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FC6" w:rsidRDefault="00285FC6" w:rsidP="00285FC6">
      <w:pPr>
        <w:spacing w:after="480"/>
        <w:ind w:left="-709"/>
        <w:jc w:val="center"/>
        <w:rPr>
          <w:b/>
          <w:caps/>
        </w:rPr>
      </w:pPr>
      <w:r>
        <w:rPr>
          <w:noProof/>
        </w:rPr>
        <w:drawing>
          <wp:inline distT="0" distB="0" distL="0" distR="0" wp14:anchorId="62234B09" wp14:editId="7F028CDB">
            <wp:extent cx="1616710" cy="1081405"/>
            <wp:effectExtent l="0" t="0" r="2540" b="4445"/>
            <wp:docPr id="1" name="Picture 1"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artment of Health 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6710" cy="1081405"/>
                    </a:xfrm>
                    <a:prstGeom prst="rect">
                      <a:avLst/>
                    </a:prstGeom>
                    <a:noFill/>
                    <a:ln>
                      <a:noFill/>
                    </a:ln>
                  </pic:spPr>
                </pic:pic>
              </a:graphicData>
            </a:graphic>
          </wp:inline>
        </w:drawing>
      </w:r>
    </w:p>
    <w:p w:rsidR="004069FA" w:rsidRPr="00F545DD" w:rsidRDefault="004069FA" w:rsidP="00273C9B">
      <w:pPr>
        <w:pStyle w:val="Heading1"/>
        <w:ind w:left="-709"/>
        <w:jc w:val="center"/>
        <w:rPr>
          <w:sz w:val="24"/>
        </w:rPr>
      </w:pPr>
      <w:r w:rsidRPr="00F545DD">
        <w:rPr>
          <w:sz w:val="24"/>
        </w:rPr>
        <w:t>Biosimilar Uptake Drivers</w:t>
      </w:r>
    </w:p>
    <w:p w:rsidR="0059575F" w:rsidRDefault="0059575F" w:rsidP="007D6D87">
      <w:pPr>
        <w:spacing w:after="120"/>
        <w:ind w:left="-709"/>
        <w:rPr>
          <w:rFonts w:ascii="Arial" w:hAnsi="Arial"/>
        </w:rPr>
      </w:pPr>
    </w:p>
    <w:p w:rsidR="007D6D87" w:rsidRPr="00D673BE" w:rsidRDefault="007D6D87" w:rsidP="007D6D87">
      <w:pPr>
        <w:spacing w:after="120"/>
        <w:ind w:left="-709"/>
        <w:rPr>
          <w:rFonts w:ascii="Arial" w:hAnsi="Arial"/>
        </w:rPr>
      </w:pPr>
      <w:r w:rsidRPr="00D673BE">
        <w:rPr>
          <w:rFonts w:ascii="Arial" w:hAnsi="Arial"/>
        </w:rPr>
        <w:t xml:space="preserve">A biosimilar </w:t>
      </w:r>
      <w:r w:rsidR="0059575F">
        <w:rPr>
          <w:rFonts w:ascii="Arial" w:hAnsi="Arial"/>
        </w:rPr>
        <w:t>is a highly similar copy of an original or reference biological medicine.</w:t>
      </w:r>
      <w:r w:rsidRPr="00D673BE">
        <w:rPr>
          <w:rFonts w:ascii="Arial" w:hAnsi="Arial"/>
        </w:rPr>
        <w:t xml:space="preserve"> </w:t>
      </w:r>
      <w:r w:rsidR="0059575F">
        <w:rPr>
          <w:rFonts w:ascii="Arial" w:hAnsi="Arial"/>
        </w:rPr>
        <w:t xml:space="preserve"> More information </w:t>
      </w:r>
      <w:r w:rsidR="00DA62A5">
        <w:rPr>
          <w:rFonts w:ascii="Arial" w:hAnsi="Arial"/>
        </w:rPr>
        <w:t xml:space="preserve">about biosimilar medicines </w:t>
      </w:r>
      <w:r w:rsidR="0059575F">
        <w:rPr>
          <w:rFonts w:ascii="Arial" w:hAnsi="Arial"/>
        </w:rPr>
        <w:t xml:space="preserve">is available on the Department’s </w:t>
      </w:r>
      <w:hyperlink r:id="rId9" w:history="1">
        <w:r w:rsidR="0059575F" w:rsidRPr="0059575F">
          <w:rPr>
            <w:rStyle w:val="Hyperlink"/>
            <w:rFonts w:ascii="Arial" w:hAnsi="Arial"/>
          </w:rPr>
          <w:t>Biosimilar Awareness Initiative webpage</w:t>
        </w:r>
      </w:hyperlink>
      <w:r w:rsidR="0059575F">
        <w:rPr>
          <w:rFonts w:ascii="Arial" w:hAnsi="Arial"/>
        </w:rPr>
        <w:t>.</w:t>
      </w:r>
    </w:p>
    <w:p w:rsidR="007D6D87" w:rsidRPr="00F545DD" w:rsidRDefault="007D6D87" w:rsidP="00353950">
      <w:pPr>
        <w:pStyle w:val="Heading2"/>
        <w:adjustRightInd w:val="0"/>
        <w:spacing w:before="360"/>
        <w:ind w:left="-709"/>
        <w:rPr>
          <w:rFonts w:cs="Times New Roman"/>
          <w:bCs w:val="0"/>
          <w:i w:val="0"/>
          <w:iCs w:val="0"/>
          <w:szCs w:val="24"/>
        </w:rPr>
      </w:pPr>
      <w:r w:rsidRPr="00F545DD">
        <w:rPr>
          <w:rFonts w:cs="Times New Roman"/>
          <w:bCs w:val="0"/>
          <w:i w:val="0"/>
          <w:iCs w:val="0"/>
          <w:szCs w:val="24"/>
        </w:rPr>
        <w:t xml:space="preserve">What </w:t>
      </w:r>
      <w:r w:rsidR="00D07BB5" w:rsidRPr="00F545DD">
        <w:rPr>
          <w:rFonts w:cs="Times New Roman"/>
          <w:bCs w:val="0"/>
          <w:i w:val="0"/>
          <w:iCs w:val="0"/>
          <w:szCs w:val="24"/>
        </w:rPr>
        <w:t>are the biosimilar uptake</w:t>
      </w:r>
      <w:r w:rsidRPr="00F545DD">
        <w:rPr>
          <w:rFonts w:cs="Times New Roman"/>
          <w:bCs w:val="0"/>
          <w:i w:val="0"/>
          <w:iCs w:val="0"/>
          <w:szCs w:val="24"/>
        </w:rPr>
        <w:t xml:space="preserve"> </w:t>
      </w:r>
      <w:r w:rsidR="00DA62A5" w:rsidRPr="00F545DD">
        <w:rPr>
          <w:rFonts w:cs="Times New Roman"/>
          <w:bCs w:val="0"/>
          <w:i w:val="0"/>
          <w:iCs w:val="0"/>
          <w:szCs w:val="24"/>
        </w:rPr>
        <w:t>drivers</w:t>
      </w:r>
      <w:r w:rsidR="004069FA" w:rsidRPr="00F545DD">
        <w:rPr>
          <w:rFonts w:cs="Times New Roman"/>
          <w:bCs w:val="0"/>
          <w:i w:val="0"/>
          <w:iCs w:val="0"/>
          <w:szCs w:val="24"/>
        </w:rPr>
        <w:t>?</w:t>
      </w:r>
    </w:p>
    <w:p w:rsidR="00DA62A5" w:rsidRDefault="0059575F" w:rsidP="007D6D87">
      <w:pPr>
        <w:spacing w:after="120"/>
        <w:ind w:left="-709"/>
        <w:rPr>
          <w:rFonts w:ascii="Arial" w:hAnsi="Arial"/>
        </w:rPr>
      </w:pPr>
      <w:r>
        <w:rPr>
          <w:rFonts w:ascii="Arial" w:hAnsi="Arial"/>
        </w:rPr>
        <w:t>T</w:t>
      </w:r>
      <w:r w:rsidR="007D6D87" w:rsidRPr="00AD01F6">
        <w:rPr>
          <w:rFonts w:ascii="Arial" w:hAnsi="Arial"/>
        </w:rPr>
        <w:t>he Australian Government</w:t>
      </w:r>
      <w:r w:rsidR="00DA62A5">
        <w:rPr>
          <w:rFonts w:ascii="Arial" w:hAnsi="Arial"/>
        </w:rPr>
        <w:t xml:space="preserve"> supports initiatives to increase the use of biosimilar medicines. </w:t>
      </w:r>
    </w:p>
    <w:p w:rsidR="007D6D87" w:rsidRPr="00AD01F6" w:rsidRDefault="00DA62A5" w:rsidP="007D6D87">
      <w:pPr>
        <w:spacing w:after="120"/>
        <w:ind w:left="-709"/>
        <w:rPr>
          <w:rFonts w:ascii="Arial" w:hAnsi="Arial"/>
        </w:rPr>
      </w:pPr>
      <w:r>
        <w:rPr>
          <w:rFonts w:ascii="Arial" w:hAnsi="Arial"/>
        </w:rPr>
        <w:t>A</w:t>
      </w:r>
      <w:r w:rsidRPr="00AD01F6">
        <w:rPr>
          <w:rFonts w:ascii="Arial" w:hAnsi="Arial"/>
        </w:rPr>
        <w:t>s part of the 2017 Budget process</w:t>
      </w:r>
      <w:r>
        <w:rPr>
          <w:rFonts w:ascii="Arial" w:hAnsi="Arial"/>
        </w:rPr>
        <w:t xml:space="preserve"> the Government reached </w:t>
      </w:r>
      <w:hyperlink r:id="rId10" w:history="1">
        <w:r w:rsidRPr="00E651A8">
          <w:rPr>
            <w:rStyle w:val="Hyperlink"/>
            <w:rFonts w:ascii="Arial" w:hAnsi="Arial"/>
          </w:rPr>
          <w:t>agreement with</w:t>
        </w:r>
        <w:r w:rsidR="007D6D87" w:rsidRPr="00E651A8">
          <w:rPr>
            <w:rStyle w:val="Hyperlink"/>
            <w:rFonts w:ascii="Arial" w:hAnsi="Arial"/>
          </w:rPr>
          <w:t xml:space="preserve"> Medicines Australia, the Generic and Biosimilar Medicines Association and the Pharmacy Guild of Australia</w:t>
        </w:r>
      </w:hyperlink>
      <w:r w:rsidR="007D6D87" w:rsidRPr="00AD01F6">
        <w:rPr>
          <w:rFonts w:ascii="Arial" w:hAnsi="Arial"/>
        </w:rPr>
        <w:t xml:space="preserve"> </w:t>
      </w:r>
      <w:r>
        <w:rPr>
          <w:rFonts w:ascii="Arial" w:hAnsi="Arial"/>
        </w:rPr>
        <w:t>to implement biosim</w:t>
      </w:r>
      <w:r w:rsidR="00E651A8">
        <w:rPr>
          <w:rFonts w:ascii="Arial" w:hAnsi="Arial"/>
        </w:rPr>
        <w:t>i</w:t>
      </w:r>
      <w:r>
        <w:rPr>
          <w:rFonts w:ascii="Arial" w:hAnsi="Arial"/>
        </w:rPr>
        <w:t>lar uptake drivers</w:t>
      </w:r>
      <w:r w:rsidR="007D6D87" w:rsidRPr="00AD01F6">
        <w:rPr>
          <w:rFonts w:ascii="Arial" w:hAnsi="Arial"/>
        </w:rPr>
        <w:t xml:space="preserve">.  </w:t>
      </w:r>
    </w:p>
    <w:p w:rsidR="007D6D87" w:rsidRPr="00AD01F6" w:rsidRDefault="00E651A8" w:rsidP="007D6D87">
      <w:pPr>
        <w:spacing w:after="120"/>
        <w:ind w:left="-709"/>
        <w:rPr>
          <w:rFonts w:ascii="Arial" w:hAnsi="Arial"/>
        </w:rPr>
      </w:pPr>
      <w:r>
        <w:rPr>
          <w:rFonts w:ascii="Arial" w:hAnsi="Arial"/>
        </w:rPr>
        <w:t>T</w:t>
      </w:r>
      <w:r w:rsidR="00DA62A5">
        <w:rPr>
          <w:rFonts w:ascii="Arial" w:hAnsi="Arial"/>
        </w:rPr>
        <w:t>wo</w:t>
      </w:r>
      <w:r w:rsidR="007D6D87" w:rsidRPr="00AD01F6">
        <w:rPr>
          <w:rFonts w:ascii="Arial" w:hAnsi="Arial"/>
        </w:rPr>
        <w:t xml:space="preserve"> </w:t>
      </w:r>
      <w:r>
        <w:rPr>
          <w:rFonts w:ascii="Arial" w:hAnsi="Arial"/>
        </w:rPr>
        <w:t>specific biosimilar uptake drivers are being implemented</w:t>
      </w:r>
      <w:r w:rsidR="007D6D87" w:rsidRPr="00AD01F6">
        <w:rPr>
          <w:rFonts w:ascii="Arial" w:hAnsi="Arial"/>
        </w:rPr>
        <w:t>:</w:t>
      </w:r>
    </w:p>
    <w:p w:rsidR="007D6D87" w:rsidRPr="00AD01F6" w:rsidRDefault="007D6D87" w:rsidP="007D6D87">
      <w:pPr>
        <w:pStyle w:val="ListParagraph"/>
        <w:numPr>
          <w:ilvl w:val="0"/>
          <w:numId w:val="3"/>
        </w:numPr>
        <w:spacing w:after="120"/>
        <w:rPr>
          <w:rFonts w:ascii="Arial" w:hAnsi="Arial"/>
        </w:rPr>
      </w:pPr>
      <w:r w:rsidRPr="00AD01F6">
        <w:rPr>
          <w:rFonts w:ascii="Arial" w:hAnsi="Arial"/>
        </w:rPr>
        <w:t xml:space="preserve">encouraging prescribing of a biosimilar brand rather than the reference biological brand for treatment naïve patients; and </w:t>
      </w:r>
    </w:p>
    <w:p w:rsidR="007D6D87" w:rsidRPr="00AD01F6" w:rsidRDefault="007D6D87" w:rsidP="007D6D87">
      <w:pPr>
        <w:pStyle w:val="ListParagraph"/>
        <w:numPr>
          <w:ilvl w:val="0"/>
          <w:numId w:val="3"/>
        </w:numPr>
        <w:spacing w:after="120"/>
        <w:rPr>
          <w:rFonts w:ascii="Arial" w:hAnsi="Arial"/>
        </w:rPr>
      </w:pPr>
      <w:proofErr w:type="gramStart"/>
      <w:r w:rsidRPr="00AD01F6">
        <w:rPr>
          <w:rFonts w:ascii="Arial" w:hAnsi="Arial"/>
        </w:rPr>
        <w:t>providing</w:t>
      </w:r>
      <w:proofErr w:type="gramEnd"/>
      <w:r w:rsidRPr="00AD01F6">
        <w:rPr>
          <w:rFonts w:ascii="Arial" w:hAnsi="Arial"/>
        </w:rPr>
        <w:t xml:space="preserve"> for a </w:t>
      </w:r>
      <w:r w:rsidR="00E651A8">
        <w:rPr>
          <w:rFonts w:ascii="Arial" w:hAnsi="Arial"/>
        </w:rPr>
        <w:t xml:space="preserve">simpler and faster approval process for prescribing </w:t>
      </w:r>
      <w:r w:rsidRPr="00AD01F6">
        <w:rPr>
          <w:rFonts w:ascii="Arial" w:hAnsi="Arial"/>
        </w:rPr>
        <w:t>biosimilar brands (e.g. streamlined authority) while maintaining an existing higher level a</w:t>
      </w:r>
      <w:r w:rsidR="00E651A8">
        <w:rPr>
          <w:rFonts w:ascii="Arial" w:hAnsi="Arial"/>
        </w:rPr>
        <w:t xml:space="preserve">uthority requirement </w:t>
      </w:r>
      <w:r w:rsidRPr="00AD01F6">
        <w:rPr>
          <w:rFonts w:ascii="Arial" w:hAnsi="Arial"/>
        </w:rPr>
        <w:t>for the reference biological brand (e.g. written authority).</w:t>
      </w:r>
    </w:p>
    <w:p w:rsidR="007D6D87" w:rsidRPr="002137A3" w:rsidRDefault="007D6D87" w:rsidP="007D6D87">
      <w:pPr>
        <w:spacing w:after="120"/>
        <w:ind w:left="-709"/>
        <w:rPr>
          <w:rFonts w:ascii="Arial" w:hAnsi="Arial"/>
        </w:rPr>
      </w:pPr>
      <w:r w:rsidRPr="008E59C0">
        <w:rPr>
          <w:rFonts w:ascii="Arial" w:hAnsi="Arial"/>
        </w:rPr>
        <w:t>The</w:t>
      </w:r>
      <w:r w:rsidR="00AA6452">
        <w:rPr>
          <w:rFonts w:ascii="Arial" w:hAnsi="Arial"/>
        </w:rPr>
        <w:t>se</w:t>
      </w:r>
      <w:r w:rsidRPr="008E59C0">
        <w:rPr>
          <w:rFonts w:ascii="Arial" w:hAnsi="Arial"/>
        </w:rPr>
        <w:t xml:space="preserve"> uptake drivers are designed to supplement existing activities by the Department </w:t>
      </w:r>
      <w:r>
        <w:rPr>
          <w:rFonts w:ascii="Arial" w:hAnsi="Arial"/>
        </w:rPr>
        <w:t xml:space="preserve">of Health </w:t>
      </w:r>
      <w:r w:rsidRPr="008E59C0">
        <w:rPr>
          <w:rFonts w:ascii="Arial" w:hAnsi="Arial"/>
        </w:rPr>
        <w:t xml:space="preserve">to improve awareness of, and confidence in, </w:t>
      </w:r>
      <w:proofErr w:type="spellStart"/>
      <w:r w:rsidRPr="008E59C0">
        <w:rPr>
          <w:rFonts w:ascii="Arial" w:hAnsi="Arial"/>
        </w:rPr>
        <w:t>biosimilars</w:t>
      </w:r>
      <w:proofErr w:type="spellEnd"/>
      <w:r w:rsidRPr="008E59C0">
        <w:rPr>
          <w:rFonts w:ascii="Arial" w:hAnsi="Arial"/>
        </w:rPr>
        <w:t xml:space="preserve"> for both healthcare professionals and consumers. </w:t>
      </w:r>
    </w:p>
    <w:p w:rsidR="007935E5" w:rsidRPr="00F545DD" w:rsidRDefault="007935E5" w:rsidP="00353950">
      <w:pPr>
        <w:pStyle w:val="Heading2"/>
        <w:spacing w:before="360"/>
        <w:ind w:left="-709"/>
        <w:rPr>
          <w:i w:val="0"/>
        </w:rPr>
      </w:pPr>
      <w:r w:rsidRPr="00F545DD">
        <w:rPr>
          <w:i w:val="0"/>
        </w:rPr>
        <w:t xml:space="preserve">What are the key principles underpinning </w:t>
      </w:r>
      <w:r w:rsidR="00743379" w:rsidRPr="00F545DD">
        <w:rPr>
          <w:i w:val="0"/>
        </w:rPr>
        <w:t>the</w:t>
      </w:r>
      <w:r w:rsidRPr="00F545DD">
        <w:rPr>
          <w:i w:val="0"/>
        </w:rPr>
        <w:t xml:space="preserve"> uptake drivers?</w:t>
      </w:r>
    </w:p>
    <w:p w:rsidR="007935E5" w:rsidRDefault="007935E5" w:rsidP="007935E5">
      <w:pPr>
        <w:spacing w:before="120" w:after="60"/>
        <w:ind w:left="-709"/>
        <w:rPr>
          <w:rFonts w:ascii="Arial" w:hAnsi="Arial"/>
        </w:rPr>
      </w:pPr>
      <w:r w:rsidRPr="0064280D">
        <w:rPr>
          <w:rFonts w:ascii="Arial" w:hAnsi="Arial"/>
        </w:rPr>
        <w:t>The uptake drivers will be implemented with the following principles in mind:</w:t>
      </w:r>
    </w:p>
    <w:p w:rsidR="007935E5" w:rsidRPr="00F35D5E" w:rsidRDefault="00690E34" w:rsidP="007935E5">
      <w:pPr>
        <w:pStyle w:val="ListParagraph"/>
        <w:numPr>
          <w:ilvl w:val="0"/>
          <w:numId w:val="4"/>
        </w:numPr>
        <w:spacing w:before="120" w:after="60"/>
        <w:rPr>
          <w:rFonts w:ascii="Arial" w:hAnsi="Arial"/>
        </w:rPr>
      </w:pPr>
      <w:r>
        <w:rPr>
          <w:rFonts w:ascii="Arial" w:hAnsi="Arial"/>
        </w:rPr>
        <w:t>Doctors and other prescribers</w:t>
      </w:r>
      <w:r w:rsidRPr="0064280D">
        <w:rPr>
          <w:rFonts w:ascii="Arial" w:hAnsi="Arial"/>
        </w:rPr>
        <w:t xml:space="preserve"> </w:t>
      </w:r>
      <w:r w:rsidR="007935E5" w:rsidRPr="0064280D">
        <w:rPr>
          <w:rFonts w:ascii="Arial" w:hAnsi="Arial"/>
        </w:rPr>
        <w:t>will retain, in consultation with their patient, the ability to choose which brand to prescribe</w:t>
      </w:r>
      <w:r w:rsidR="007935E5">
        <w:rPr>
          <w:rFonts w:ascii="Arial" w:hAnsi="Arial"/>
        </w:rPr>
        <w:t xml:space="preserve">.  Prescribers can also continue to tick the ‘no substitution’ box on a prescription </w:t>
      </w:r>
      <w:r w:rsidR="00743379">
        <w:rPr>
          <w:rFonts w:ascii="Arial" w:hAnsi="Arial"/>
        </w:rPr>
        <w:t>which means the</w:t>
      </w:r>
      <w:r w:rsidR="007935E5">
        <w:rPr>
          <w:rFonts w:ascii="Arial" w:hAnsi="Arial"/>
        </w:rPr>
        <w:t xml:space="preserve"> prescribed brand must be dispensed when an equivalent brand could otherwise be substituted by the pharmacist</w:t>
      </w:r>
      <w:r w:rsidR="007935E5" w:rsidRPr="00F35D5E">
        <w:rPr>
          <w:rFonts w:ascii="Arial" w:hAnsi="Arial"/>
        </w:rPr>
        <w:t>;</w:t>
      </w:r>
    </w:p>
    <w:p w:rsidR="007935E5" w:rsidRPr="0064280D" w:rsidRDefault="007935E5" w:rsidP="007935E5">
      <w:pPr>
        <w:pStyle w:val="ListParagraph"/>
        <w:numPr>
          <w:ilvl w:val="0"/>
          <w:numId w:val="4"/>
        </w:numPr>
        <w:spacing w:before="120" w:after="60"/>
        <w:rPr>
          <w:rFonts w:ascii="Arial" w:hAnsi="Arial"/>
        </w:rPr>
      </w:pPr>
      <w:r>
        <w:rPr>
          <w:rFonts w:ascii="Arial" w:hAnsi="Arial"/>
        </w:rPr>
        <w:t>T</w:t>
      </w:r>
      <w:r w:rsidRPr="0064280D">
        <w:rPr>
          <w:rFonts w:ascii="Arial" w:hAnsi="Arial"/>
        </w:rPr>
        <w:t>he uptake drivers will be considered by the Pharmaceutical Benefits Advisory Committee on a case by case basis, with regard to the evidence for, and context of the particular medicine and the clinical setting in which it will be used;</w:t>
      </w:r>
    </w:p>
    <w:p w:rsidR="007935E5" w:rsidRPr="0064280D" w:rsidRDefault="007935E5" w:rsidP="007935E5">
      <w:pPr>
        <w:pStyle w:val="ListParagraph"/>
        <w:numPr>
          <w:ilvl w:val="0"/>
          <w:numId w:val="4"/>
        </w:numPr>
        <w:spacing w:before="120" w:after="60"/>
        <w:rPr>
          <w:rFonts w:ascii="Arial" w:hAnsi="Arial"/>
        </w:rPr>
      </w:pPr>
      <w:r>
        <w:rPr>
          <w:rFonts w:ascii="Arial" w:hAnsi="Arial"/>
        </w:rPr>
        <w:t>E</w:t>
      </w:r>
      <w:r w:rsidRPr="0064280D">
        <w:rPr>
          <w:rFonts w:ascii="Arial" w:hAnsi="Arial"/>
        </w:rPr>
        <w:t xml:space="preserve">xisting authority </w:t>
      </w:r>
      <w:r w:rsidR="00254DEA">
        <w:rPr>
          <w:rFonts w:ascii="Arial" w:hAnsi="Arial"/>
        </w:rPr>
        <w:t>requirements</w:t>
      </w:r>
      <w:r>
        <w:rPr>
          <w:rFonts w:ascii="Arial" w:hAnsi="Arial"/>
        </w:rPr>
        <w:t xml:space="preserve"> to prescribe </w:t>
      </w:r>
      <w:r w:rsidRPr="0064280D">
        <w:rPr>
          <w:rFonts w:ascii="Arial" w:hAnsi="Arial"/>
        </w:rPr>
        <w:t xml:space="preserve">reference brands will not be increased;  </w:t>
      </w:r>
    </w:p>
    <w:p w:rsidR="007935E5" w:rsidRPr="0064280D" w:rsidRDefault="007935E5" w:rsidP="007935E5">
      <w:pPr>
        <w:pStyle w:val="ListParagraph"/>
        <w:numPr>
          <w:ilvl w:val="0"/>
          <w:numId w:val="4"/>
        </w:numPr>
        <w:spacing w:before="120" w:after="60"/>
        <w:rPr>
          <w:rFonts w:ascii="Arial" w:hAnsi="Arial"/>
        </w:rPr>
      </w:pPr>
      <w:r>
        <w:rPr>
          <w:rFonts w:ascii="Arial" w:hAnsi="Arial"/>
        </w:rPr>
        <w:t>G</w:t>
      </w:r>
      <w:r w:rsidRPr="0064280D">
        <w:rPr>
          <w:rFonts w:ascii="Arial" w:hAnsi="Arial"/>
        </w:rPr>
        <w:t xml:space="preserve">reater use of </w:t>
      </w:r>
      <w:proofErr w:type="spellStart"/>
      <w:r w:rsidRPr="0064280D">
        <w:rPr>
          <w:rFonts w:ascii="Arial" w:hAnsi="Arial"/>
        </w:rPr>
        <w:t>biosimilars</w:t>
      </w:r>
      <w:proofErr w:type="spellEnd"/>
      <w:r w:rsidRPr="0064280D">
        <w:rPr>
          <w:rFonts w:ascii="Arial" w:hAnsi="Arial"/>
        </w:rPr>
        <w:t xml:space="preserve"> is beneficial for supporting access to clinically and cost effective medicines in Australia.</w:t>
      </w:r>
    </w:p>
    <w:p w:rsidR="0013407E" w:rsidRDefault="0013407E">
      <w:pPr>
        <w:rPr>
          <w:rFonts w:ascii="Arial" w:hAnsi="Arial"/>
          <w:b/>
        </w:rPr>
      </w:pPr>
      <w:r>
        <w:rPr>
          <w:rFonts w:ascii="Arial" w:hAnsi="Arial"/>
          <w:b/>
        </w:rPr>
        <w:br w:type="page"/>
      </w:r>
    </w:p>
    <w:p w:rsidR="007D6D87" w:rsidRPr="00F545DD" w:rsidRDefault="007D6D87" w:rsidP="00353950">
      <w:pPr>
        <w:pStyle w:val="Heading2"/>
        <w:spacing w:before="360"/>
        <w:ind w:left="-709"/>
        <w:rPr>
          <w:i w:val="0"/>
        </w:rPr>
      </w:pPr>
      <w:r w:rsidRPr="00F545DD">
        <w:rPr>
          <w:i w:val="0"/>
        </w:rPr>
        <w:lastRenderedPageBreak/>
        <w:t>Why are the</w:t>
      </w:r>
      <w:r w:rsidR="00F54F30" w:rsidRPr="00F545DD">
        <w:rPr>
          <w:i w:val="0"/>
        </w:rPr>
        <w:t xml:space="preserve"> uptake drivers</w:t>
      </w:r>
      <w:r w:rsidRPr="00F545DD">
        <w:rPr>
          <w:i w:val="0"/>
        </w:rPr>
        <w:t xml:space="preserve"> being implemented?</w:t>
      </w:r>
    </w:p>
    <w:p w:rsidR="00CA34EA" w:rsidRDefault="00E651A8" w:rsidP="007D6D87">
      <w:pPr>
        <w:spacing w:after="120"/>
        <w:ind w:left="-709"/>
        <w:rPr>
          <w:rFonts w:ascii="Arial" w:hAnsi="Arial"/>
        </w:rPr>
      </w:pPr>
      <w:r w:rsidRPr="008E59C0">
        <w:rPr>
          <w:rFonts w:ascii="Arial" w:hAnsi="Arial"/>
        </w:rPr>
        <w:t xml:space="preserve">The uptake drivers are intended to </w:t>
      </w:r>
      <w:r w:rsidR="00F54F30">
        <w:rPr>
          <w:rFonts w:ascii="Arial" w:hAnsi="Arial"/>
        </w:rPr>
        <w:t xml:space="preserve">result in increased use of </w:t>
      </w:r>
      <w:proofErr w:type="spellStart"/>
      <w:r w:rsidR="00F54F30">
        <w:rPr>
          <w:rFonts w:ascii="Arial" w:hAnsi="Arial"/>
        </w:rPr>
        <w:t>biosimilars</w:t>
      </w:r>
      <w:proofErr w:type="spellEnd"/>
      <w:r w:rsidR="00F54F30">
        <w:rPr>
          <w:rFonts w:ascii="Arial" w:hAnsi="Arial"/>
        </w:rPr>
        <w:t>, supporting a viable long term market</w:t>
      </w:r>
      <w:r w:rsidR="00EC4063">
        <w:rPr>
          <w:rFonts w:ascii="Arial" w:hAnsi="Arial"/>
        </w:rPr>
        <w:t xml:space="preserve"> for these medicines</w:t>
      </w:r>
      <w:r w:rsidR="00F54F30">
        <w:rPr>
          <w:rFonts w:ascii="Arial" w:hAnsi="Arial"/>
        </w:rPr>
        <w:t xml:space="preserve"> in Australia.  </w:t>
      </w:r>
      <w:r w:rsidR="002F5E27">
        <w:rPr>
          <w:rFonts w:ascii="Arial" w:hAnsi="Arial"/>
        </w:rPr>
        <w:t>A h</w:t>
      </w:r>
      <w:r w:rsidR="00595594">
        <w:rPr>
          <w:rFonts w:ascii="Arial" w:hAnsi="Arial"/>
        </w:rPr>
        <w:t xml:space="preserve">ealthy </w:t>
      </w:r>
      <w:r w:rsidR="002F5E27">
        <w:rPr>
          <w:rFonts w:ascii="Arial" w:hAnsi="Arial"/>
        </w:rPr>
        <w:t>competitive market that includes</w:t>
      </w:r>
      <w:r w:rsidR="00595594">
        <w:rPr>
          <w:rFonts w:ascii="Arial" w:hAnsi="Arial"/>
        </w:rPr>
        <w:t xml:space="preserve"> biosimilar brands</w:t>
      </w:r>
      <w:r w:rsidR="00F54F30">
        <w:rPr>
          <w:rFonts w:ascii="Arial" w:hAnsi="Arial"/>
        </w:rPr>
        <w:t xml:space="preserve"> is expected to result in </w:t>
      </w:r>
      <w:r w:rsidR="00CA34EA">
        <w:rPr>
          <w:rFonts w:ascii="Arial" w:hAnsi="Arial"/>
        </w:rPr>
        <w:t>a lower cost for</w:t>
      </w:r>
      <w:r w:rsidR="00595594">
        <w:rPr>
          <w:rFonts w:ascii="Arial" w:hAnsi="Arial"/>
        </w:rPr>
        <w:t xml:space="preserve"> subsidising</w:t>
      </w:r>
      <w:r w:rsidR="00F54F30">
        <w:rPr>
          <w:rFonts w:ascii="Arial" w:hAnsi="Arial"/>
        </w:rPr>
        <w:t xml:space="preserve"> access to biological medicines</w:t>
      </w:r>
      <w:r w:rsidR="00595594">
        <w:rPr>
          <w:rFonts w:ascii="Arial" w:hAnsi="Arial"/>
        </w:rPr>
        <w:t xml:space="preserve"> through the Pharmaceutical Benefits Scheme (PBS).  This</w:t>
      </w:r>
      <w:r w:rsidR="00F54F30">
        <w:rPr>
          <w:rFonts w:ascii="Arial" w:hAnsi="Arial"/>
        </w:rPr>
        <w:t xml:space="preserve"> will help the Government </w:t>
      </w:r>
      <w:r w:rsidR="00595594">
        <w:rPr>
          <w:rFonts w:ascii="Arial" w:hAnsi="Arial"/>
        </w:rPr>
        <w:t xml:space="preserve">subsidise </w:t>
      </w:r>
      <w:r w:rsidR="00F54F30">
        <w:rPr>
          <w:rFonts w:ascii="Arial" w:hAnsi="Arial"/>
        </w:rPr>
        <w:t xml:space="preserve">access </w:t>
      </w:r>
      <w:r w:rsidR="00595594">
        <w:rPr>
          <w:rFonts w:ascii="Arial" w:hAnsi="Arial"/>
        </w:rPr>
        <w:t xml:space="preserve">to </w:t>
      </w:r>
      <w:r w:rsidR="00F54F30">
        <w:rPr>
          <w:rFonts w:ascii="Arial" w:hAnsi="Arial"/>
        </w:rPr>
        <w:t>new expensive health treatments</w:t>
      </w:r>
      <w:r w:rsidRPr="008E59C0">
        <w:rPr>
          <w:rFonts w:ascii="Arial" w:hAnsi="Arial"/>
        </w:rPr>
        <w:t>.</w:t>
      </w:r>
      <w:r w:rsidR="00CA34EA">
        <w:rPr>
          <w:rFonts w:ascii="Arial" w:hAnsi="Arial"/>
        </w:rPr>
        <w:t xml:space="preserve"> </w:t>
      </w:r>
    </w:p>
    <w:p w:rsidR="00CA34EA" w:rsidRPr="00F545DD" w:rsidRDefault="002D58D1" w:rsidP="00353950">
      <w:pPr>
        <w:pStyle w:val="Heading2"/>
        <w:spacing w:before="360"/>
        <w:ind w:left="-709"/>
        <w:rPr>
          <w:i w:val="0"/>
        </w:rPr>
      </w:pPr>
      <w:r w:rsidRPr="00F545DD">
        <w:rPr>
          <w:i w:val="0"/>
        </w:rPr>
        <w:t xml:space="preserve">How does </w:t>
      </w:r>
      <w:r w:rsidR="00194CCF" w:rsidRPr="00F545DD">
        <w:rPr>
          <w:i w:val="0"/>
        </w:rPr>
        <w:t xml:space="preserve">increased use of </w:t>
      </w:r>
      <w:r w:rsidRPr="00F545DD">
        <w:rPr>
          <w:i w:val="0"/>
        </w:rPr>
        <w:t xml:space="preserve">the biosimilar brand result in lower costs? </w:t>
      </w:r>
    </w:p>
    <w:p w:rsidR="002D58D1" w:rsidRDefault="004C5E21" w:rsidP="00595594">
      <w:pPr>
        <w:spacing w:after="120"/>
        <w:ind w:left="-709"/>
        <w:rPr>
          <w:rFonts w:ascii="Arial" w:hAnsi="Arial"/>
        </w:rPr>
      </w:pPr>
      <w:r>
        <w:rPr>
          <w:rFonts w:ascii="Arial" w:hAnsi="Arial"/>
        </w:rPr>
        <w:t>E</w:t>
      </w:r>
      <w:r w:rsidR="00AA6452">
        <w:rPr>
          <w:rFonts w:ascii="Arial" w:hAnsi="Arial"/>
        </w:rPr>
        <w:t xml:space="preserve">xisting PBS pricing mechanisms </w:t>
      </w:r>
      <w:r w:rsidR="00743379" w:rsidRPr="00743379">
        <w:rPr>
          <w:rFonts w:ascii="Arial" w:hAnsi="Arial"/>
        </w:rPr>
        <w:t xml:space="preserve">under the </w:t>
      </w:r>
      <w:r w:rsidR="00305E19">
        <w:rPr>
          <w:rFonts w:ascii="Arial" w:hAnsi="Arial"/>
          <w:i/>
        </w:rPr>
        <w:t>National H</w:t>
      </w:r>
      <w:r w:rsidR="00743379" w:rsidRPr="00743379">
        <w:rPr>
          <w:rFonts w:ascii="Arial" w:hAnsi="Arial"/>
          <w:i/>
        </w:rPr>
        <w:t>ealth Act 1953</w:t>
      </w:r>
      <w:r w:rsidR="00743379">
        <w:rPr>
          <w:rFonts w:ascii="Arial" w:hAnsi="Arial"/>
        </w:rPr>
        <w:t xml:space="preserve"> </w:t>
      </w:r>
      <w:r w:rsidR="00AA6452">
        <w:rPr>
          <w:rFonts w:ascii="Arial" w:hAnsi="Arial"/>
        </w:rPr>
        <w:t xml:space="preserve">will reduce the cost of subsidising </w:t>
      </w:r>
      <w:r w:rsidR="002D58D1">
        <w:rPr>
          <w:rFonts w:ascii="Arial" w:hAnsi="Arial"/>
        </w:rPr>
        <w:t xml:space="preserve">all brands of a </w:t>
      </w:r>
      <w:r w:rsidR="00AA6452">
        <w:rPr>
          <w:rFonts w:ascii="Arial" w:hAnsi="Arial"/>
        </w:rPr>
        <w:t>biological medicin</w:t>
      </w:r>
      <w:r w:rsidR="002D58D1">
        <w:rPr>
          <w:rFonts w:ascii="Arial" w:hAnsi="Arial"/>
        </w:rPr>
        <w:t>e</w:t>
      </w:r>
      <w:r w:rsidR="00AA6452">
        <w:rPr>
          <w:rFonts w:ascii="Arial" w:hAnsi="Arial"/>
        </w:rPr>
        <w:t xml:space="preserve"> if </w:t>
      </w:r>
      <w:proofErr w:type="spellStart"/>
      <w:r w:rsidR="00AA6452">
        <w:rPr>
          <w:rFonts w:ascii="Arial" w:hAnsi="Arial"/>
        </w:rPr>
        <w:t>biosimilars</w:t>
      </w:r>
      <w:proofErr w:type="spellEnd"/>
      <w:r w:rsidR="00AA6452">
        <w:rPr>
          <w:rFonts w:ascii="Arial" w:hAnsi="Arial"/>
        </w:rPr>
        <w:t xml:space="preserve"> are introduced and </w:t>
      </w:r>
      <w:r w:rsidR="002D58D1">
        <w:rPr>
          <w:rFonts w:ascii="Arial" w:hAnsi="Arial"/>
        </w:rPr>
        <w:t xml:space="preserve">they </w:t>
      </w:r>
      <w:r w:rsidR="00AA6452">
        <w:rPr>
          <w:rFonts w:ascii="Arial" w:hAnsi="Arial"/>
        </w:rPr>
        <w:t xml:space="preserve">generate price competition.  </w:t>
      </w:r>
    </w:p>
    <w:p w:rsidR="00CA34EA" w:rsidRDefault="00690E34" w:rsidP="00595594">
      <w:pPr>
        <w:spacing w:after="120"/>
        <w:ind w:left="-709"/>
        <w:rPr>
          <w:rFonts w:ascii="Arial" w:hAnsi="Arial"/>
        </w:rPr>
      </w:pPr>
      <w:r>
        <w:rPr>
          <w:rFonts w:ascii="Arial" w:hAnsi="Arial"/>
        </w:rPr>
        <w:t>A</w:t>
      </w:r>
      <w:r w:rsidR="00CA34EA">
        <w:rPr>
          <w:rFonts w:ascii="Arial" w:hAnsi="Arial"/>
        </w:rPr>
        <w:t xml:space="preserve"> </w:t>
      </w:r>
      <w:r w:rsidR="00743379">
        <w:rPr>
          <w:rFonts w:ascii="Arial" w:hAnsi="Arial"/>
        </w:rPr>
        <w:t xml:space="preserve">mandatory </w:t>
      </w:r>
      <w:hyperlink r:id="rId11" w:history="1">
        <w:r w:rsidR="00CA34EA" w:rsidRPr="00CA34EA">
          <w:rPr>
            <w:rStyle w:val="Hyperlink"/>
            <w:rFonts w:ascii="Arial" w:hAnsi="Arial"/>
          </w:rPr>
          <w:t xml:space="preserve">reduction </w:t>
        </w:r>
        <w:r w:rsidR="00743379">
          <w:rPr>
            <w:rStyle w:val="Hyperlink"/>
            <w:rFonts w:ascii="Arial" w:hAnsi="Arial"/>
          </w:rPr>
          <w:t xml:space="preserve">applies to the Government subsidised price for </w:t>
        </w:r>
        <w:r w:rsidR="00CA34EA" w:rsidRPr="00CA34EA">
          <w:rPr>
            <w:rStyle w:val="Hyperlink"/>
            <w:rFonts w:ascii="Arial" w:hAnsi="Arial"/>
          </w:rPr>
          <w:t xml:space="preserve">all brands of </w:t>
        </w:r>
        <w:r w:rsidR="00CA34EA">
          <w:rPr>
            <w:rStyle w:val="Hyperlink"/>
            <w:rFonts w:ascii="Arial" w:hAnsi="Arial"/>
          </w:rPr>
          <w:t>a biological</w:t>
        </w:r>
        <w:r w:rsidR="00CA34EA" w:rsidRPr="00CA34EA">
          <w:rPr>
            <w:rStyle w:val="Hyperlink"/>
            <w:rFonts w:ascii="Arial" w:hAnsi="Arial"/>
          </w:rPr>
          <w:t xml:space="preserve"> medicine when </w:t>
        </w:r>
        <w:r w:rsidR="00743379">
          <w:rPr>
            <w:rStyle w:val="Hyperlink"/>
            <w:rFonts w:ascii="Arial" w:hAnsi="Arial"/>
          </w:rPr>
          <w:t>its</w:t>
        </w:r>
        <w:r w:rsidR="00CA34EA" w:rsidRPr="00CA34EA">
          <w:rPr>
            <w:rStyle w:val="Hyperlink"/>
            <w:rFonts w:ascii="Arial" w:hAnsi="Arial"/>
          </w:rPr>
          <w:t xml:space="preserve"> first biosimilar lists</w:t>
        </w:r>
      </w:hyperlink>
      <w:r w:rsidR="00743379">
        <w:rPr>
          <w:rFonts w:ascii="Arial" w:hAnsi="Arial"/>
        </w:rPr>
        <w:t xml:space="preserve"> </w:t>
      </w:r>
      <w:r w:rsidR="00CA34EA">
        <w:rPr>
          <w:rFonts w:ascii="Arial" w:hAnsi="Arial"/>
        </w:rPr>
        <w:t xml:space="preserve">(currently </w:t>
      </w:r>
      <w:r w:rsidR="002D58D1">
        <w:rPr>
          <w:rFonts w:ascii="Arial" w:hAnsi="Arial"/>
        </w:rPr>
        <w:t xml:space="preserve">by </w:t>
      </w:r>
      <w:r w:rsidR="00CA34EA">
        <w:rPr>
          <w:rFonts w:ascii="Arial" w:hAnsi="Arial"/>
        </w:rPr>
        <w:t>16%, increasing to 25% from October 2018).</w:t>
      </w:r>
    </w:p>
    <w:p w:rsidR="002D58D1" w:rsidRDefault="00CA34EA" w:rsidP="002D58D1">
      <w:pPr>
        <w:spacing w:after="120"/>
        <w:ind w:left="-709"/>
        <w:rPr>
          <w:rFonts w:ascii="Arial" w:hAnsi="Arial"/>
        </w:rPr>
      </w:pPr>
      <w:r>
        <w:rPr>
          <w:rFonts w:ascii="Arial" w:hAnsi="Arial"/>
        </w:rPr>
        <w:t xml:space="preserve">Further </w:t>
      </w:r>
      <w:r w:rsidR="00743379">
        <w:rPr>
          <w:rFonts w:ascii="Arial" w:hAnsi="Arial"/>
        </w:rPr>
        <w:t>price</w:t>
      </w:r>
      <w:r>
        <w:rPr>
          <w:rFonts w:ascii="Arial" w:hAnsi="Arial"/>
        </w:rPr>
        <w:t xml:space="preserve"> reductions </w:t>
      </w:r>
      <w:r w:rsidR="00743379">
        <w:rPr>
          <w:rFonts w:ascii="Arial" w:hAnsi="Arial"/>
        </w:rPr>
        <w:t>apply</w:t>
      </w:r>
      <w:r>
        <w:rPr>
          <w:rFonts w:ascii="Arial" w:hAnsi="Arial"/>
        </w:rPr>
        <w:t xml:space="preserve"> under</w:t>
      </w:r>
      <w:r w:rsidR="00743379">
        <w:rPr>
          <w:rFonts w:ascii="Arial" w:hAnsi="Arial"/>
        </w:rPr>
        <w:t xml:space="preserve"> PBS </w:t>
      </w:r>
      <w:r w:rsidR="00F73409">
        <w:rPr>
          <w:rFonts w:ascii="Arial" w:hAnsi="Arial"/>
        </w:rPr>
        <w:t xml:space="preserve">price disclosure arrangements </w:t>
      </w:r>
      <w:r>
        <w:rPr>
          <w:rFonts w:ascii="Arial" w:hAnsi="Arial"/>
        </w:rPr>
        <w:t>if there is</w:t>
      </w:r>
      <w:r w:rsidR="002D58D1">
        <w:rPr>
          <w:rFonts w:ascii="Arial" w:hAnsi="Arial"/>
        </w:rPr>
        <w:t xml:space="preserve"> significant market competition on price</w:t>
      </w:r>
      <w:r>
        <w:rPr>
          <w:rFonts w:ascii="Arial" w:hAnsi="Arial"/>
        </w:rPr>
        <w:t xml:space="preserve">.  </w:t>
      </w:r>
      <w:r w:rsidR="002D58D1">
        <w:rPr>
          <w:rFonts w:ascii="Arial" w:hAnsi="Arial"/>
        </w:rPr>
        <w:t>The Government pays the same price for all brand</w:t>
      </w:r>
      <w:r w:rsidR="00F73409">
        <w:rPr>
          <w:rFonts w:ascii="Arial" w:hAnsi="Arial"/>
        </w:rPr>
        <w:t>s</w:t>
      </w:r>
      <w:r w:rsidR="002D58D1">
        <w:rPr>
          <w:rFonts w:ascii="Arial" w:hAnsi="Arial"/>
        </w:rPr>
        <w:t xml:space="preserve"> of the same </w:t>
      </w:r>
      <w:r w:rsidR="008D233A">
        <w:rPr>
          <w:rFonts w:ascii="Arial" w:hAnsi="Arial"/>
        </w:rPr>
        <w:t xml:space="preserve">biological </w:t>
      </w:r>
      <w:r w:rsidR="002D58D1">
        <w:rPr>
          <w:rFonts w:ascii="Arial" w:hAnsi="Arial"/>
        </w:rPr>
        <w:t>medicine</w:t>
      </w:r>
      <w:r w:rsidR="00F73409">
        <w:rPr>
          <w:rFonts w:ascii="Arial" w:hAnsi="Arial"/>
        </w:rPr>
        <w:t>.</w:t>
      </w:r>
      <w:r w:rsidR="002D58D1">
        <w:rPr>
          <w:rFonts w:ascii="Arial" w:hAnsi="Arial"/>
        </w:rPr>
        <w:t xml:space="preserve">  </w:t>
      </w:r>
      <w:r w:rsidR="00F73409">
        <w:rPr>
          <w:rFonts w:ascii="Arial" w:hAnsi="Arial"/>
        </w:rPr>
        <w:t>However, the</w:t>
      </w:r>
      <w:r w:rsidR="002D58D1">
        <w:rPr>
          <w:rFonts w:ascii="Arial" w:hAnsi="Arial"/>
        </w:rPr>
        <w:t xml:space="preserve"> </w:t>
      </w:r>
      <w:r w:rsidR="008D233A">
        <w:rPr>
          <w:rFonts w:ascii="Arial" w:hAnsi="Arial"/>
        </w:rPr>
        <w:t>PBS p</w:t>
      </w:r>
      <w:r w:rsidR="002D58D1">
        <w:rPr>
          <w:rFonts w:ascii="Arial" w:hAnsi="Arial"/>
        </w:rPr>
        <w:t>rice is reduced</w:t>
      </w:r>
      <w:r w:rsidR="00F73409">
        <w:rPr>
          <w:rFonts w:ascii="Arial" w:hAnsi="Arial"/>
        </w:rPr>
        <w:t xml:space="preserve"> </w:t>
      </w:r>
      <w:r w:rsidR="002D58D1">
        <w:rPr>
          <w:rFonts w:ascii="Arial" w:hAnsi="Arial"/>
        </w:rPr>
        <w:t xml:space="preserve">if market competition results in significant </w:t>
      </w:r>
      <w:r w:rsidR="008D233A">
        <w:rPr>
          <w:rFonts w:ascii="Arial" w:hAnsi="Arial"/>
        </w:rPr>
        <w:t xml:space="preserve">average </w:t>
      </w:r>
      <w:r w:rsidR="002D58D1">
        <w:rPr>
          <w:rFonts w:ascii="Arial" w:hAnsi="Arial"/>
        </w:rPr>
        <w:t>discount</w:t>
      </w:r>
      <w:r w:rsidR="008D233A">
        <w:rPr>
          <w:rFonts w:ascii="Arial" w:hAnsi="Arial"/>
        </w:rPr>
        <w:t>s</w:t>
      </w:r>
      <w:r w:rsidR="002D58D1">
        <w:rPr>
          <w:rFonts w:ascii="Arial" w:hAnsi="Arial"/>
        </w:rPr>
        <w:t xml:space="preserve"> in </w:t>
      </w:r>
      <w:r w:rsidR="008D233A">
        <w:rPr>
          <w:rFonts w:ascii="Arial" w:hAnsi="Arial"/>
        </w:rPr>
        <w:t>the p</w:t>
      </w:r>
      <w:r w:rsidR="002D58D1">
        <w:rPr>
          <w:rFonts w:ascii="Arial" w:hAnsi="Arial"/>
        </w:rPr>
        <w:t xml:space="preserve">rice </w:t>
      </w:r>
      <w:r w:rsidR="008D233A">
        <w:rPr>
          <w:rFonts w:ascii="Arial" w:hAnsi="Arial"/>
        </w:rPr>
        <w:t xml:space="preserve">charged by pharmaceutical companies.  </w:t>
      </w:r>
    </w:p>
    <w:p w:rsidR="007D6D87" w:rsidRPr="00F545DD" w:rsidRDefault="00F35D5E" w:rsidP="00353950">
      <w:pPr>
        <w:pStyle w:val="Heading2"/>
        <w:spacing w:before="360"/>
        <w:ind w:left="-709"/>
        <w:rPr>
          <w:i w:val="0"/>
        </w:rPr>
      </w:pPr>
      <w:r w:rsidRPr="00F545DD">
        <w:rPr>
          <w:i w:val="0"/>
        </w:rPr>
        <w:t>What consultation has occurred</w:t>
      </w:r>
      <w:r w:rsidR="008D233A" w:rsidRPr="00F545DD">
        <w:rPr>
          <w:i w:val="0"/>
        </w:rPr>
        <w:t xml:space="preserve"> about the uptake drivers</w:t>
      </w:r>
      <w:r w:rsidR="007D6D87" w:rsidRPr="00F545DD">
        <w:rPr>
          <w:i w:val="0"/>
        </w:rPr>
        <w:t xml:space="preserve">? </w:t>
      </w:r>
    </w:p>
    <w:p w:rsidR="007D6D87" w:rsidRDefault="00F73409" w:rsidP="007D6D87">
      <w:pPr>
        <w:spacing w:before="120" w:after="60"/>
        <w:ind w:left="-709"/>
        <w:rPr>
          <w:rFonts w:ascii="Arial" w:hAnsi="Arial"/>
        </w:rPr>
      </w:pPr>
      <w:r>
        <w:rPr>
          <w:rFonts w:ascii="Arial" w:hAnsi="Arial"/>
        </w:rPr>
        <w:t>T</w:t>
      </w:r>
      <w:r w:rsidR="007D6D87" w:rsidRPr="00AD3600">
        <w:rPr>
          <w:rFonts w:ascii="Arial" w:hAnsi="Arial"/>
        </w:rPr>
        <w:t xml:space="preserve">he Government reached </w:t>
      </w:r>
      <w:r>
        <w:rPr>
          <w:rFonts w:ascii="Arial" w:hAnsi="Arial"/>
        </w:rPr>
        <w:t xml:space="preserve">agreement for initiatives to encourage use of </w:t>
      </w:r>
      <w:proofErr w:type="spellStart"/>
      <w:r>
        <w:rPr>
          <w:rFonts w:ascii="Arial" w:hAnsi="Arial"/>
        </w:rPr>
        <w:t>biosimilars</w:t>
      </w:r>
      <w:proofErr w:type="spellEnd"/>
      <w:r>
        <w:rPr>
          <w:rFonts w:ascii="Arial" w:hAnsi="Arial"/>
        </w:rPr>
        <w:t xml:space="preserve"> </w:t>
      </w:r>
      <w:r w:rsidR="007D6D87" w:rsidRPr="00AD3600">
        <w:rPr>
          <w:rFonts w:ascii="Arial" w:hAnsi="Arial"/>
        </w:rPr>
        <w:t>with Medicines Australia, the Generic and Biosimilar Medicines Association and the Pharmacy Guild of Australia</w:t>
      </w:r>
      <w:r w:rsidR="00690E34">
        <w:rPr>
          <w:rFonts w:ascii="Arial" w:hAnsi="Arial"/>
        </w:rPr>
        <w:t>.</w:t>
      </w:r>
    </w:p>
    <w:p w:rsidR="007D6D87" w:rsidRDefault="00F73409" w:rsidP="007D6D87">
      <w:pPr>
        <w:spacing w:before="120" w:after="60"/>
        <w:ind w:left="-709"/>
        <w:rPr>
          <w:rFonts w:ascii="Arial" w:hAnsi="Arial"/>
        </w:rPr>
      </w:pPr>
      <w:r>
        <w:rPr>
          <w:rFonts w:ascii="Arial" w:hAnsi="Arial"/>
        </w:rPr>
        <w:t>T</w:t>
      </w:r>
      <w:r w:rsidR="007D6D87">
        <w:rPr>
          <w:rFonts w:ascii="Arial" w:hAnsi="Arial"/>
        </w:rPr>
        <w:t xml:space="preserve">he </w:t>
      </w:r>
      <w:r>
        <w:rPr>
          <w:rFonts w:ascii="Arial" w:hAnsi="Arial"/>
        </w:rPr>
        <w:t>D</w:t>
      </w:r>
      <w:r w:rsidR="007D6D87">
        <w:rPr>
          <w:rFonts w:ascii="Arial" w:hAnsi="Arial"/>
        </w:rPr>
        <w:t xml:space="preserve">epartment of Health </w:t>
      </w:r>
      <w:r w:rsidR="00F35D5E">
        <w:rPr>
          <w:rFonts w:ascii="Arial" w:hAnsi="Arial"/>
        </w:rPr>
        <w:t>sought input from</w:t>
      </w:r>
      <w:r w:rsidR="007D6D87">
        <w:rPr>
          <w:rFonts w:ascii="Arial" w:hAnsi="Arial"/>
        </w:rPr>
        <w:t xml:space="preserve"> key organisations on </w:t>
      </w:r>
      <w:r w:rsidR="00F35D5E">
        <w:rPr>
          <w:rFonts w:ascii="Arial" w:hAnsi="Arial"/>
        </w:rPr>
        <w:t xml:space="preserve">implementing the initiatives. This </w:t>
      </w:r>
      <w:r w:rsidR="007D6D87">
        <w:rPr>
          <w:rFonts w:ascii="Arial" w:hAnsi="Arial"/>
        </w:rPr>
        <w:t>include</w:t>
      </w:r>
      <w:r w:rsidR="00F35D5E">
        <w:rPr>
          <w:rFonts w:ascii="Arial" w:hAnsi="Arial"/>
        </w:rPr>
        <w:t>d</w:t>
      </w:r>
      <w:r w:rsidR="007D6D87">
        <w:rPr>
          <w:rFonts w:ascii="Arial" w:hAnsi="Arial"/>
        </w:rPr>
        <w:t xml:space="preserve"> representative</w:t>
      </w:r>
      <w:r>
        <w:rPr>
          <w:rFonts w:ascii="Arial" w:hAnsi="Arial"/>
        </w:rPr>
        <w:t xml:space="preserve"> bodies for prescribers, pharmacy and </w:t>
      </w:r>
      <w:r w:rsidR="007D6D87">
        <w:rPr>
          <w:rFonts w:ascii="Arial" w:hAnsi="Arial"/>
        </w:rPr>
        <w:t>pharmacist</w:t>
      </w:r>
      <w:r>
        <w:rPr>
          <w:rFonts w:ascii="Arial" w:hAnsi="Arial"/>
        </w:rPr>
        <w:t>s, pharmaceutical industry,</w:t>
      </w:r>
      <w:r w:rsidR="007D6D87">
        <w:rPr>
          <w:rFonts w:ascii="Arial" w:hAnsi="Arial"/>
        </w:rPr>
        <w:t xml:space="preserve"> software vendors and consumers.</w:t>
      </w:r>
    </w:p>
    <w:p w:rsidR="00B70F40" w:rsidRPr="00F545DD" w:rsidRDefault="00DE171F" w:rsidP="00F545DD">
      <w:pPr>
        <w:pStyle w:val="Heading2"/>
        <w:ind w:left="-709"/>
        <w:rPr>
          <w:i w:val="0"/>
        </w:rPr>
      </w:pPr>
      <w:r w:rsidRPr="00F545DD">
        <w:rPr>
          <w:i w:val="0"/>
        </w:rPr>
        <w:t>The uptake drivers include changes to the authority requirements - w</w:t>
      </w:r>
      <w:r w:rsidR="00B70F40" w:rsidRPr="00F545DD">
        <w:rPr>
          <w:i w:val="0"/>
        </w:rPr>
        <w:t>hat is an ‘authority’?</w:t>
      </w:r>
    </w:p>
    <w:p w:rsidR="00035335" w:rsidRDefault="00B70F40" w:rsidP="007D6D87">
      <w:pPr>
        <w:spacing w:before="120" w:after="60"/>
        <w:ind w:left="-709"/>
        <w:rPr>
          <w:rFonts w:ascii="Arial" w:hAnsi="Arial"/>
        </w:rPr>
      </w:pPr>
      <w:r>
        <w:rPr>
          <w:rFonts w:ascii="Arial" w:hAnsi="Arial"/>
        </w:rPr>
        <w:t xml:space="preserve">Some </w:t>
      </w:r>
      <w:r w:rsidR="00E051CE">
        <w:rPr>
          <w:rFonts w:ascii="Arial" w:hAnsi="Arial"/>
        </w:rPr>
        <w:t xml:space="preserve">medicines require </w:t>
      </w:r>
      <w:r w:rsidR="00254DEA">
        <w:rPr>
          <w:rFonts w:ascii="Arial" w:hAnsi="Arial"/>
        </w:rPr>
        <w:t>prior</w:t>
      </w:r>
      <w:r w:rsidR="00E051CE">
        <w:rPr>
          <w:rFonts w:ascii="Arial" w:hAnsi="Arial"/>
        </w:rPr>
        <w:t xml:space="preserve"> authorisation or approval </w:t>
      </w:r>
      <w:r w:rsidR="00254DEA">
        <w:rPr>
          <w:rFonts w:ascii="Arial" w:hAnsi="Arial"/>
        </w:rPr>
        <w:t xml:space="preserve">for </w:t>
      </w:r>
      <w:r w:rsidR="00E051CE">
        <w:rPr>
          <w:rFonts w:ascii="Arial" w:hAnsi="Arial"/>
        </w:rPr>
        <w:t>pres</w:t>
      </w:r>
      <w:r w:rsidR="00254DEA">
        <w:rPr>
          <w:rFonts w:ascii="Arial" w:hAnsi="Arial"/>
        </w:rPr>
        <w:t>cribing on the PBS</w:t>
      </w:r>
      <w:r w:rsidR="00E051CE">
        <w:rPr>
          <w:rFonts w:ascii="Arial" w:hAnsi="Arial"/>
        </w:rPr>
        <w:t xml:space="preserve">.  </w:t>
      </w:r>
    </w:p>
    <w:p w:rsidR="00B70F40" w:rsidRDefault="00E051CE" w:rsidP="007D6D87">
      <w:pPr>
        <w:spacing w:before="120" w:after="60"/>
        <w:ind w:left="-709"/>
        <w:rPr>
          <w:rFonts w:ascii="Arial" w:hAnsi="Arial"/>
        </w:rPr>
      </w:pPr>
      <w:r>
        <w:rPr>
          <w:rFonts w:ascii="Arial" w:hAnsi="Arial"/>
        </w:rPr>
        <w:t>There are three broad types of authority</w:t>
      </w:r>
      <w:r w:rsidR="00047B0E">
        <w:rPr>
          <w:rFonts w:ascii="Arial" w:hAnsi="Arial"/>
        </w:rPr>
        <w:t xml:space="preserve"> requirement for prescribing PBS medicines:</w:t>
      </w:r>
    </w:p>
    <w:p w:rsidR="00047B0E" w:rsidRDefault="00047B0E" w:rsidP="007D6D87">
      <w:pPr>
        <w:spacing w:before="120" w:after="60"/>
        <w:ind w:left="-709"/>
        <w:rPr>
          <w:rFonts w:ascii="Arial" w:hAnsi="Arial"/>
        </w:rPr>
      </w:pPr>
      <w:r w:rsidRPr="00047B0E">
        <w:rPr>
          <w:rFonts w:ascii="Arial" w:hAnsi="Arial"/>
          <w:b/>
        </w:rPr>
        <w:t>Written Authority</w:t>
      </w:r>
      <w:r>
        <w:rPr>
          <w:rFonts w:ascii="Arial" w:hAnsi="Arial"/>
        </w:rPr>
        <w:t xml:space="preserve"> – the prescriber is required to obtain from the Department of Human Services an authority approval in writing for prescribing the medicine.  The application for authority to prescribe is sent by post or email, </w:t>
      </w:r>
      <w:r w:rsidR="00DE171F">
        <w:rPr>
          <w:rFonts w:ascii="Arial" w:hAnsi="Arial"/>
        </w:rPr>
        <w:t xml:space="preserve">and can also require provision of </w:t>
      </w:r>
      <w:r>
        <w:rPr>
          <w:rFonts w:ascii="Arial" w:hAnsi="Arial"/>
        </w:rPr>
        <w:t>diagnostic test results</w:t>
      </w:r>
      <w:r w:rsidR="00DE171F">
        <w:rPr>
          <w:rFonts w:ascii="Arial" w:hAnsi="Arial"/>
        </w:rPr>
        <w:t xml:space="preserve"> responding to eligibility criteria</w:t>
      </w:r>
      <w:r w:rsidR="00AD7BB7">
        <w:rPr>
          <w:rFonts w:ascii="Arial" w:hAnsi="Arial"/>
        </w:rPr>
        <w:t xml:space="preserve"> for the medicine</w:t>
      </w:r>
      <w:r>
        <w:rPr>
          <w:rFonts w:ascii="Arial" w:hAnsi="Arial"/>
        </w:rPr>
        <w:t xml:space="preserve">. The prescription is then either: </w:t>
      </w:r>
    </w:p>
    <w:p w:rsidR="00047B0E" w:rsidRPr="00047B0E" w:rsidRDefault="00047B0E" w:rsidP="00047B0E">
      <w:pPr>
        <w:pStyle w:val="ListParagraph"/>
        <w:numPr>
          <w:ilvl w:val="0"/>
          <w:numId w:val="10"/>
        </w:numPr>
        <w:spacing w:before="120" w:after="60"/>
        <w:rPr>
          <w:rFonts w:ascii="Arial" w:hAnsi="Arial"/>
        </w:rPr>
      </w:pPr>
      <w:r w:rsidRPr="00047B0E">
        <w:rPr>
          <w:rFonts w:ascii="Arial" w:hAnsi="Arial"/>
        </w:rPr>
        <w:t xml:space="preserve">posted back to the patient or the doctor once the approval is marked on the prescription; or </w:t>
      </w:r>
    </w:p>
    <w:p w:rsidR="00047B0E" w:rsidRPr="00047B0E" w:rsidRDefault="00047B0E" w:rsidP="00047B0E">
      <w:pPr>
        <w:pStyle w:val="ListParagraph"/>
        <w:numPr>
          <w:ilvl w:val="0"/>
          <w:numId w:val="10"/>
        </w:numPr>
        <w:spacing w:before="120" w:after="60"/>
        <w:rPr>
          <w:rFonts w:ascii="Arial" w:hAnsi="Arial"/>
        </w:rPr>
      </w:pPr>
      <w:proofErr w:type="gramStart"/>
      <w:r w:rsidRPr="00047B0E">
        <w:rPr>
          <w:rFonts w:ascii="Arial" w:hAnsi="Arial"/>
        </w:rPr>
        <w:t>details</w:t>
      </w:r>
      <w:proofErr w:type="gramEnd"/>
      <w:r w:rsidRPr="00047B0E">
        <w:rPr>
          <w:rFonts w:ascii="Arial" w:hAnsi="Arial"/>
        </w:rPr>
        <w:t xml:space="preserve"> of the approval are emailed back to the doctor after consideration by the Department of Human Se</w:t>
      </w:r>
      <w:r w:rsidR="00DE171F">
        <w:rPr>
          <w:rFonts w:ascii="Arial" w:hAnsi="Arial"/>
        </w:rPr>
        <w:t>r</w:t>
      </w:r>
      <w:r w:rsidRPr="00047B0E">
        <w:rPr>
          <w:rFonts w:ascii="Arial" w:hAnsi="Arial"/>
        </w:rPr>
        <w:t>vices, for marking on the prescription.</w:t>
      </w:r>
    </w:p>
    <w:p w:rsidR="00047B0E" w:rsidRDefault="00047B0E" w:rsidP="007D6D87">
      <w:pPr>
        <w:spacing w:before="120" w:after="60"/>
        <w:ind w:left="-709"/>
        <w:rPr>
          <w:rFonts w:ascii="Arial" w:hAnsi="Arial"/>
        </w:rPr>
      </w:pPr>
      <w:r w:rsidRPr="00047B0E">
        <w:rPr>
          <w:rFonts w:ascii="Arial" w:hAnsi="Arial"/>
          <w:b/>
        </w:rPr>
        <w:t>Immediate Authority</w:t>
      </w:r>
      <w:r>
        <w:rPr>
          <w:rFonts w:ascii="Arial" w:hAnsi="Arial"/>
        </w:rPr>
        <w:t xml:space="preserve"> – the prescriber can get the authority to prescribe either online or by phone</w:t>
      </w:r>
      <w:r w:rsidR="00C51E09">
        <w:rPr>
          <w:rFonts w:ascii="Arial" w:hAnsi="Arial"/>
        </w:rPr>
        <w:t xml:space="preserve"> (which can occur during a consultation)</w:t>
      </w:r>
      <w:r>
        <w:rPr>
          <w:rFonts w:ascii="Arial" w:hAnsi="Arial"/>
        </w:rPr>
        <w:t>.  .</w:t>
      </w:r>
    </w:p>
    <w:p w:rsidR="00047B0E" w:rsidRDefault="00047B0E" w:rsidP="007D6D87">
      <w:pPr>
        <w:spacing w:before="120" w:after="60"/>
        <w:ind w:left="-709"/>
        <w:rPr>
          <w:rFonts w:ascii="Arial" w:hAnsi="Arial"/>
        </w:rPr>
      </w:pPr>
      <w:r w:rsidRPr="00047B0E">
        <w:rPr>
          <w:rFonts w:ascii="Arial" w:hAnsi="Arial"/>
          <w:b/>
        </w:rPr>
        <w:t>Streamlined Authority</w:t>
      </w:r>
      <w:r>
        <w:rPr>
          <w:rFonts w:ascii="Arial" w:hAnsi="Arial"/>
        </w:rPr>
        <w:t xml:space="preserve"> –</w:t>
      </w:r>
      <w:r w:rsidR="00DE171F">
        <w:rPr>
          <w:rFonts w:ascii="Arial" w:hAnsi="Arial"/>
        </w:rPr>
        <w:t xml:space="preserve">if the </w:t>
      </w:r>
      <w:r>
        <w:rPr>
          <w:rFonts w:ascii="Arial" w:hAnsi="Arial"/>
        </w:rPr>
        <w:t xml:space="preserve">prescriber </w:t>
      </w:r>
      <w:r w:rsidR="00DE171F">
        <w:rPr>
          <w:rFonts w:ascii="Arial" w:hAnsi="Arial"/>
        </w:rPr>
        <w:t>is satisfied that the</w:t>
      </w:r>
      <w:r w:rsidR="00DE171F" w:rsidRPr="00DE171F">
        <w:rPr>
          <w:rFonts w:ascii="Arial" w:hAnsi="Arial"/>
        </w:rPr>
        <w:t xml:space="preserve"> </w:t>
      </w:r>
      <w:r w:rsidR="00DE171F">
        <w:rPr>
          <w:rFonts w:ascii="Arial" w:hAnsi="Arial"/>
        </w:rPr>
        <w:t>specific eligibility criteria and rules for prescribing on the PBS</w:t>
      </w:r>
      <w:r w:rsidR="00C51E09">
        <w:rPr>
          <w:rFonts w:ascii="Arial" w:hAnsi="Arial"/>
        </w:rPr>
        <w:t xml:space="preserve"> are met, </w:t>
      </w:r>
      <w:r w:rsidR="00DE171F">
        <w:rPr>
          <w:rFonts w:ascii="Arial" w:hAnsi="Arial"/>
        </w:rPr>
        <w:t xml:space="preserve">they </w:t>
      </w:r>
      <w:r>
        <w:rPr>
          <w:rFonts w:ascii="Arial" w:hAnsi="Arial"/>
        </w:rPr>
        <w:t xml:space="preserve">mark </w:t>
      </w:r>
      <w:r w:rsidR="00C51E09">
        <w:rPr>
          <w:rFonts w:ascii="Arial" w:hAnsi="Arial"/>
        </w:rPr>
        <w:t xml:space="preserve">a ‘streamlined authority code’ </w:t>
      </w:r>
      <w:r>
        <w:rPr>
          <w:rFonts w:ascii="Arial" w:hAnsi="Arial"/>
        </w:rPr>
        <w:t>on the prescription</w:t>
      </w:r>
      <w:r w:rsidR="00DE171F">
        <w:rPr>
          <w:rFonts w:ascii="Arial" w:hAnsi="Arial"/>
        </w:rPr>
        <w:t>.  T</w:t>
      </w:r>
      <w:r>
        <w:rPr>
          <w:rFonts w:ascii="Arial" w:hAnsi="Arial"/>
        </w:rPr>
        <w:t>h</w:t>
      </w:r>
      <w:r w:rsidR="00DE171F">
        <w:rPr>
          <w:rFonts w:ascii="Arial" w:hAnsi="Arial"/>
        </w:rPr>
        <w:t xml:space="preserve">e relevant code is included </w:t>
      </w:r>
      <w:r>
        <w:rPr>
          <w:rFonts w:ascii="Arial" w:hAnsi="Arial"/>
        </w:rPr>
        <w:t xml:space="preserve">as part of the </w:t>
      </w:r>
      <w:r>
        <w:rPr>
          <w:rFonts w:ascii="Arial" w:hAnsi="Arial"/>
        </w:rPr>
        <w:lastRenderedPageBreak/>
        <w:t>Schedule of Pharmaceutical Benefits</w:t>
      </w:r>
      <w:r w:rsidR="00DE171F">
        <w:rPr>
          <w:rFonts w:ascii="Arial" w:hAnsi="Arial"/>
        </w:rPr>
        <w:t xml:space="preserve"> listing for the medicine when this type of authority is permitted</w:t>
      </w:r>
      <w:r>
        <w:rPr>
          <w:rFonts w:ascii="Arial" w:hAnsi="Arial"/>
        </w:rPr>
        <w:t>.</w:t>
      </w:r>
    </w:p>
    <w:p w:rsidR="00DE171F" w:rsidRDefault="00254DEA" w:rsidP="007D6D87">
      <w:pPr>
        <w:spacing w:before="120" w:after="60"/>
        <w:ind w:left="-709"/>
        <w:rPr>
          <w:rFonts w:ascii="Arial" w:hAnsi="Arial"/>
        </w:rPr>
      </w:pPr>
      <w:r>
        <w:rPr>
          <w:rFonts w:ascii="Arial" w:hAnsi="Arial"/>
        </w:rPr>
        <w:t>A</w:t>
      </w:r>
      <w:r w:rsidR="00DE171F">
        <w:rPr>
          <w:rFonts w:ascii="Arial" w:hAnsi="Arial"/>
        </w:rPr>
        <w:t xml:space="preserve"> ‘streamlined authority’ provides </w:t>
      </w:r>
      <w:r w:rsidR="00C51E09">
        <w:rPr>
          <w:rFonts w:ascii="Arial" w:hAnsi="Arial"/>
        </w:rPr>
        <w:t xml:space="preserve">the </w:t>
      </w:r>
      <w:r w:rsidR="00DE171F">
        <w:rPr>
          <w:rFonts w:ascii="Arial" w:hAnsi="Arial"/>
        </w:rPr>
        <w:t>simple</w:t>
      </w:r>
      <w:r w:rsidR="00C51E09">
        <w:rPr>
          <w:rFonts w:ascii="Arial" w:hAnsi="Arial"/>
        </w:rPr>
        <w:t xml:space="preserve">st </w:t>
      </w:r>
      <w:r w:rsidR="00DE171F">
        <w:rPr>
          <w:rFonts w:ascii="Arial" w:hAnsi="Arial"/>
        </w:rPr>
        <w:t>and fast</w:t>
      </w:r>
      <w:r w:rsidR="00C51E09">
        <w:rPr>
          <w:rFonts w:ascii="Arial" w:hAnsi="Arial"/>
        </w:rPr>
        <w:t>est</w:t>
      </w:r>
      <w:r w:rsidR="00DE171F">
        <w:rPr>
          <w:rFonts w:ascii="Arial" w:hAnsi="Arial"/>
        </w:rPr>
        <w:t xml:space="preserve"> method for demonstrating </w:t>
      </w:r>
      <w:r w:rsidR="00C51E09">
        <w:rPr>
          <w:rFonts w:ascii="Arial" w:hAnsi="Arial"/>
        </w:rPr>
        <w:t xml:space="preserve">authority to prescribe the medicine.  More details </w:t>
      </w:r>
      <w:proofErr w:type="gramStart"/>
      <w:r w:rsidR="00C51E09">
        <w:rPr>
          <w:rFonts w:ascii="Arial" w:hAnsi="Arial"/>
        </w:rPr>
        <w:t>about</w:t>
      </w:r>
      <w:proofErr w:type="gramEnd"/>
      <w:r w:rsidR="00C51E09">
        <w:rPr>
          <w:rFonts w:ascii="Arial" w:hAnsi="Arial"/>
        </w:rPr>
        <w:t xml:space="preserve"> authority requirements are set out on the </w:t>
      </w:r>
      <w:hyperlink r:id="rId12" w:history="1">
        <w:r w:rsidR="00C51E09" w:rsidRPr="00254DEA">
          <w:rPr>
            <w:rStyle w:val="Hyperlink"/>
            <w:rFonts w:ascii="Arial" w:hAnsi="Arial"/>
          </w:rPr>
          <w:t>Department of Human Services</w:t>
        </w:r>
      </w:hyperlink>
      <w:r w:rsidR="00C51E09">
        <w:rPr>
          <w:rFonts w:ascii="Arial" w:hAnsi="Arial"/>
        </w:rPr>
        <w:t xml:space="preserve"> </w:t>
      </w:r>
      <w:r>
        <w:rPr>
          <w:rFonts w:ascii="Arial" w:hAnsi="Arial"/>
        </w:rPr>
        <w:t>web</w:t>
      </w:r>
      <w:r w:rsidR="00C51E09">
        <w:rPr>
          <w:rFonts w:ascii="Arial" w:hAnsi="Arial"/>
        </w:rPr>
        <w:t>s</w:t>
      </w:r>
      <w:r>
        <w:rPr>
          <w:rFonts w:ascii="Arial" w:hAnsi="Arial"/>
        </w:rPr>
        <w:t>i</w:t>
      </w:r>
      <w:r w:rsidR="00C51E09">
        <w:rPr>
          <w:rFonts w:ascii="Arial" w:hAnsi="Arial"/>
        </w:rPr>
        <w:t>te</w:t>
      </w:r>
      <w:r w:rsidR="00F05ED9">
        <w:rPr>
          <w:rFonts w:ascii="Arial" w:hAnsi="Arial"/>
        </w:rPr>
        <w:t>.</w:t>
      </w:r>
      <w:r w:rsidR="00C51E09">
        <w:rPr>
          <w:rFonts w:ascii="Arial" w:hAnsi="Arial"/>
        </w:rPr>
        <w:t xml:space="preserve"> </w:t>
      </w:r>
    </w:p>
    <w:p w:rsidR="00BB29AF" w:rsidRPr="00F545DD" w:rsidRDefault="00BB29AF" w:rsidP="00353950">
      <w:pPr>
        <w:pStyle w:val="Heading2"/>
        <w:spacing w:before="360"/>
        <w:ind w:left="-709"/>
        <w:rPr>
          <w:i w:val="0"/>
        </w:rPr>
      </w:pPr>
      <w:r w:rsidRPr="00F545DD">
        <w:rPr>
          <w:i w:val="0"/>
        </w:rPr>
        <w:t>To which medicines will the uptake drivers apply?</w:t>
      </w:r>
    </w:p>
    <w:p w:rsidR="00B70F40" w:rsidRPr="00F545DD" w:rsidRDefault="00B70F40" w:rsidP="00F545DD">
      <w:pPr>
        <w:pStyle w:val="Heading3"/>
        <w:ind w:left="-709"/>
        <w:rPr>
          <w:i/>
        </w:rPr>
      </w:pPr>
      <w:r w:rsidRPr="00F545DD">
        <w:rPr>
          <w:i/>
        </w:rPr>
        <w:t>Role of the PBAC</w:t>
      </w:r>
    </w:p>
    <w:p w:rsidR="00BB29AF" w:rsidRDefault="00BB29AF" w:rsidP="00BB29AF">
      <w:pPr>
        <w:spacing w:before="120" w:after="60"/>
        <w:ind w:left="-709"/>
        <w:rPr>
          <w:rFonts w:ascii="Arial" w:hAnsi="Arial"/>
        </w:rPr>
      </w:pPr>
      <w:r w:rsidRPr="00BB29AF">
        <w:rPr>
          <w:rFonts w:ascii="Arial" w:hAnsi="Arial"/>
        </w:rPr>
        <w:t>The</w:t>
      </w:r>
      <w:r>
        <w:rPr>
          <w:rFonts w:ascii="Arial" w:hAnsi="Arial"/>
        </w:rPr>
        <w:t xml:space="preserve"> independent expert</w:t>
      </w:r>
      <w:r w:rsidRPr="00BB29AF">
        <w:rPr>
          <w:rFonts w:ascii="Arial" w:hAnsi="Arial"/>
        </w:rPr>
        <w:t xml:space="preserve"> Pharmaceutical Benefits Advisory Committee will provide advice </w:t>
      </w:r>
      <w:r w:rsidR="00DC6688">
        <w:rPr>
          <w:rFonts w:ascii="Arial" w:hAnsi="Arial"/>
        </w:rPr>
        <w:t>on a case by case basis about</w:t>
      </w:r>
      <w:r w:rsidRPr="00BB29AF">
        <w:rPr>
          <w:rFonts w:ascii="Arial" w:hAnsi="Arial"/>
        </w:rPr>
        <w:t xml:space="preserve"> whether there would be any clinical or other concerns about appropriate use of medicines if the uptake drivers were applied, and it will review the existing authority requirements</w:t>
      </w:r>
      <w:r>
        <w:rPr>
          <w:rFonts w:ascii="Arial" w:hAnsi="Arial"/>
        </w:rPr>
        <w:t xml:space="preserve"> for prescribing the relevant medicines</w:t>
      </w:r>
      <w:r w:rsidRPr="00BB29AF">
        <w:rPr>
          <w:rFonts w:ascii="Arial" w:hAnsi="Arial"/>
        </w:rPr>
        <w:t xml:space="preserve">.  </w:t>
      </w:r>
    </w:p>
    <w:p w:rsidR="00DC6688" w:rsidRDefault="00DC6688" w:rsidP="00BB29AF">
      <w:pPr>
        <w:spacing w:before="120" w:after="60"/>
        <w:ind w:left="-709"/>
        <w:rPr>
          <w:rFonts w:ascii="Arial" w:hAnsi="Arial"/>
        </w:rPr>
      </w:pPr>
      <w:r>
        <w:rPr>
          <w:rFonts w:ascii="Arial" w:hAnsi="Arial"/>
        </w:rPr>
        <w:t xml:space="preserve">This </w:t>
      </w:r>
      <w:r w:rsidR="00B70F40" w:rsidRPr="00BB29AF">
        <w:rPr>
          <w:rFonts w:ascii="Arial" w:hAnsi="Arial"/>
        </w:rPr>
        <w:t xml:space="preserve">Pharmaceutical Benefits Advisory Committee </w:t>
      </w:r>
      <w:r>
        <w:rPr>
          <w:rFonts w:ascii="Arial" w:hAnsi="Arial"/>
        </w:rPr>
        <w:t>advice will be given whenever a request is made:</w:t>
      </w:r>
    </w:p>
    <w:p w:rsidR="00DC6688" w:rsidRPr="00DC6688" w:rsidRDefault="00DC6688" w:rsidP="00DC6688">
      <w:pPr>
        <w:pStyle w:val="ListParagraph"/>
        <w:numPr>
          <w:ilvl w:val="0"/>
          <w:numId w:val="8"/>
        </w:numPr>
        <w:spacing w:before="120" w:after="60"/>
        <w:rPr>
          <w:rFonts w:ascii="Arial" w:hAnsi="Arial"/>
        </w:rPr>
      </w:pPr>
      <w:r w:rsidRPr="00DC6688">
        <w:rPr>
          <w:rFonts w:ascii="Arial" w:hAnsi="Arial"/>
        </w:rPr>
        <w:t xml:space="preserve">to list a new biosimilar medicine on the PBS, </w:t>
      </w:r>
    </w:p>
    <w:p w:rsidR="00DC6688" w:rsidRPr="00DC6688" w:rsidRDefault="00DC6688" w:rsidP="00DC6688">
      <w:pPr>
        <w:pStyle w:val="ListParagraph"/>
        <w:numPr>
          <w:ilvl w:val="0"/>
          <w:numId w:val="8"/>
        </w:numPr>
        <w:spacing w:before="120" w:after="60"/>
        <w:rPr>
          <w:rFonts w:ascii="Arial" w:hAnsi="Arial"/>
        </w:rPr>
      </w:pPr>
      <w:r w:rsidRPr="00DC6688">
        <w:rPr>
          <w:rFonts w:ascii="Arial" w:hAnsi="Arial"/>
        </w:rPr>
        <w:t>to extend PBS listed indications</w:t>
      </w:r>
      <w:r w:rsidR="00B70F40">
        <w:rPr>
          <w:rFonts w:ascii="Arial" w:hAnsi="Arial"/>
        </w:rPr>
        <w:t xml:space="preserve"> for a biosimilar</w:t>
      </w:r>
      <w:r w:rsidRPr="00DC6688">
        <w:rPr>
          <w:rFonts w:ascii="Arial" w:hAnsi="Arial"/>
        </w:rPr>
        <w:t>, or</w:t>
      </w:r>
    </w:p>
    <w:p w:rsidR="00DC6688" w:rsidRPr="00DC6688" w:rsidRDefault="00DC6688" w:rsidP="00DC6688">
      <w:pPr>
        <w:pStyle w:val="ListParagraph"/>
        <w:numPr>
          <w:ilvl w:val="0"/>
          <w:numId w:val="8"/>
        </w:numPr>
        <w:spacing w:before="120" w:after="60"/>
        <w:rPr>
          <w:rFonts w:ascii="Arial" w:hAnsi="Arial"/>
        </w:rPr>
      </w:pPr>
      <w:proofErr w:type="gramStart"/>
      <w:r w:rsidRPr="00DC6688">
        <w:rPr>
          <w:rFonts w:ascii="Arial" w:hAnsi="Arial"/>
        </w:rPr>
        <w:t>for</w:t>
      </w:r>
      <w:proofErr w:type="gramEnd"/>
      <w:r w:rsidRPr="00DC6688">
        <w:rPr>
          <w:rFonts w:ascii="Arial" w:hAnsi="Arial"/>
        </w:rPr>
        <w:t xml:space="preserve"> application of the</w:t>
      </w:r>
      <w:r>
        <w:rPr>
          <w:rFonts w:ascii="Arial" w:hAnsi="Arial"/>
        </w:rPr>
        <w:t xml:space="preserve"> uptake</w:t>
      </w:r>
      <w:r w:rsidRPr="00DC6688">
        <w:rPr>
          <w:rFonts w:ascii="Arial" w:hAnsi="Arial"/>
        </w:rPr>
        <w:t xml:space="preserve"> drivers to an existing PBS listed biosimilar.  </w:t>
      </w:r>
    </w:p>
    <w:p w:rsidR="00997132" w:rsidRDefault="00997132" w:rsidP="00BB29AF">
      <w:pPr>
        <w:spacing w:before="120" w:after="60"/>
        <w:ind w:left="-709"/>
        <w:rPr>
          <w:rFonts w:ascii="Arial" w:hAnsi="Arial"/>
        </w:rPr>
      </w:pPr>
      <w:r>
        <w:rPr>
          <w:rFonts w:ascii="Arial" w:hAnsi="Arial"/>
        </w:rPr>
        <w:t xml:space="preserve">The PBAC will make recommendations based on </w:t>
      </w:r>
      <w:r w:rsidRPr="004C60F6">
        <w:rPr>
          <w:rFonts w:ascii="Arial" w:hAnsi="Arial"/>
        </w:rPr>
        <w:t>the evidence and context for the particular medicine</w:t>
      </w:r>
      <w:r w:rsidR="00F05ED9">
        <w:rPr>
          <w:rFonts w:ascii="Arial" w:hAnsi="Arial"/>
        </w:rPr>
        <w:t>.</w:t>
      </w:r>
    </w:p>
    <w:p w:rsidR="00B70F40" w:rsidRPr="00F545DD" w:rsidRDefault="00B70F40" w:rsidP="00353950">
      <w:pPr>
        <w:pStyle w:val="Heading3"/>
        <w:spacing w:before="360"/>
        <w:ind w:left="-709"/>
        <w:rPr>
          <w:i/>
        </w:rPr>
      </w:pPr>
      <w:r w:rsidRPr="00F545DD">
        <w:rPr>
          <w:i/>
        </w:rPr>
        <w:t xml:space="preserve">The decision </w:t>
      </w:r>
      <w:r w:rsidR="00E41E65" w:rsidRPr="00F545DD">
        <w:rPr>
          <w:i/>
        </w:rPr>
        <w:t>to</w:t>
      </w:r>
      <w:r w:rsidRPr="00F545DD">
        <w:rPr>
          <w:i/>
        </w:rPr>
        <w:t xml:space="preserve"> apply the </w:t>
      </w:r>
      <w:r w:rsidR="00E41E65" w:rsidRPr="00F545DD">
        <w:rPr>
          <w:i/>
        </w:rPr>
        <w:t xml:space="preserve">uptake </w:t>
      </w:r>
      <w:r w:rsidRPr="00F545DD">
        <w:rPr>
          <w:i/>
        </w:rPr>
        <w:t>drivers</w:t>
      </w:r>
    </w:p>
    <w:p w:rsidR="00BB29AF" w:rsidRPr="00BB29AF" w:rsidRDefault="00B70F40" w:rsidP="00BB29AF">
      <w:pPr>
        <w:spacing w:before="120" w:after="60"/>
        <w:ind w:left="-709"/>
        <w:rPr>
          <w:rFonts w:ascii="Arial" w:hAnsi="Arial"/>
        </w:rPr>
      </w:pPr>
      <w:r>
        <w:rPr>
          <w:rFonts w:ascii="Arial" w:hAnsi="Arial"/>
        </w:rPr>
        <w:t>After the</w:t>
      </w:r>
      <w:r w:rsidRPr="00B70F40">
        <w:rPr>
          <w:rFonts w:ascii="Arial" w:hAnsi="Arial"/>
        </w:rPr>
        <w:t xml:space="preserve"> </w:t>
      </w:r>
      <w:r w:rsidRPr="00BB29AF">
        <w:rPr>
          <w:rFonts w:ascii="Arial" w:hAnsi="Arial"/>
        </w:rPr>
        <w:t>Pharmaceutical Benefits Advisory Committee</w:t>
      </w:r>
      <w:r>
        <w:rPr>
          <w:rFonts w:ascii="Arial" w:hAnsi="Arial"/>
        </w:rPr>
        <w:t xml:space="preserve"> provides advice</w:t>
      </w:r>
      <w:r w:rsidR="00E41E65">
        <w:rPr>
          <w:rFonts w:ascii="Arial" w:hAnsi="Arial"/>
        </w:rPr>
        <w:t>,</w:t>
      </w:r>
      <w:r>
        <w:rPr>
          <w:rFonts w:ascii="Arial" w:hAnsi="Arial"/>
        </w:rPr>
        <w:t xml:space="preserve"> a</w:t>
      </w:r>
      <w:r w:rsidR="00BB29AF" w:rsidRPr="00BB29AF">
        <w:rPr>
          <w:rFonts w:ascii="Arial" w:hAnsi="Arial"/>
        </w:rPr>
        <w:t xml:space="preserve"> decision will be made by the Minister or Departmental delegate about applying the drivers to encourage uptake of </w:t>
      </w:r>
      <w:proofErr w:type="spellStart"/>
      <w:r w:rsidR="00BB29AF" w:rsidRPr="00BB29AF">
        <w:rPr>
          <w:rFonts w:ascii="Arial" w:hAnsi="Arial"/>
        </w:rPr>
        <w:t>biosimilars</w:t>
      </w:r>
      <w:proofErr w:type="spellEnd"/>
      <w:r w:rsidR="00BB29AF" w:rsidRPr="00BB29AF">
        <w:rPr>
          <w:rFonts w:ascii="Arial" w:hAnsi="Arial"/>
        </w:rPr>
        <w:t xml:space="preserve">. </w:t>
      </w:r>
    </w:p>
    <w:p w:rsidR="00BB29AF" w:rsidRDefault="00BB29AF" w:rsidP="00BB29AF">
      <w:pPr>
        <w:spacing w:before="120" w:after="60"/>
        <w:ind w:left="-709"/>
        <w:rPr>
          <w:rFonts w:ascii="Arial" w:hAnsi="Arial"/>
        </w:rPr>
      </w:pPr>
      <w:r w:rsidRPr="00BB29AF">
        <w:rPr>
          <w:rFonts w:ascii="Arial" w:hAnsi="Arial"/>
        </w:rPr>
        <w:t xml:space="preserve">It is likely that all </w:t>
      </w:r>
      <w:proofErr w:type="spellStart"/>
      <w:r w:rsidRPr="00BB29AF">
        <w:rPr>
          <w:rFonts w:ascii="Arial" w:hAnsi="Arial"/>
        </w:rPr>
        <w:t>biosimilars</w:t>
      </w:r>
      <w:proofErr w:type="spellEnd"/>
      <w:r w:rsidRPr="00BB29AF">
        <w:rPr>
          <w:rFonts w:ascii="Arial" w:hAnsi="Arial"/>
        </w:rPr>
        <w:t xml:space="preserve"> for the same drug will be treated the same under these uptake measures.  This is consistent with the policy to increase the uptake of </w:t>
      </w:r>
      <w:proofErr w:type="spellStart"/>
      <w:r w:rsidRPr="00BB29AF">
        <w:rPr>
          <w:rFonts w:ascii="Arial" w:hAnsi="Arial"/>
        </w:rPr>
        <w:t>biosimilars</w:t>
      </w:r>
      <w:proofErr w:type="spellEnd"/>
      <w:r w:rsidRPr="00BB29AF">
        <w:rPr>
          <w:rFonts w:ascii="Arial" w:hAnsi="Arial"/>
        </w:rPr>
        <w:t>, not parti</w:t>
      </w:r>
      <w:r w:rsidR="00DC6688">
        <w:rPr>
          <w:rFonts w:ascii="Arial" w:hAnsi="Arial"/>
        </w:rPr>
        <w:t xml:space="preserve">cular brands. If there are particular </w:t>
      </w:r>
      <w:r w:rsidRPr="00BB29AF">
        <w:rPr>
          <w:rFonts w:ascii="Arial" w:hAnsi="Arial"/>
        </w:rPr>
        <w:t>reasons why the</w:t>
      </w:r>
      <w:r w:rsidR="00DC6688">
        <w:rPr>
          <w:rFonts w:ascii="Arial" w:hAnsi="Arial"/>
        </w:rPr>
        <w:t xml:space="preserve"> brands</w:t>
      </w:r>
      <w:r w:rsidRPr="00BB29AF">
        <w:rPr>
          <w:rFonts w:ascii="Arial" w:hAnsi="Arial"/>
        </w:rPr>
        <w:t xml:space="preserve"> should not be treated the same, the </w:t>
      </w:r>
      <w:r w:rsidR="00E41E65" w:rsidRPr="00BB29AF">
        <w:rPr>
          <w:rFonts w:ascii="Arial" w:hAnsi="Arial"/>
        </w:rPr>
        <w:t>Pharmaceutical Benefits Advisory Committee</w:t>
      </w:r>
      <w:r w:rsidR="00E41E65">
        <w:rPr>
          <w:rFonts w:ascii="Arial" w:hAnsi="Arial"/>
        </w:rPr>
        <w:t xml:space="preserve"> </w:t>
      </w:r>
      <w:r w:rsidRPr="00BB29AF">
        <w:rPr>
          <w:rFonts w:ascii="Arial" w:hAnsi="Arial"/>
        </w:rPr>
        <w:t xml:space="preserve">will advise on those matters.  </w:t>
      </w:r>
    </w:p>
    <w:p w:rsidR="00254DEA" w:rsidRDefault="00254DEA" w:rsidP="00BB29AF">
      <w:pPr>
        <w:spacing w:before="120" w:after="60"/>
        <w:ind w:left="-709"/>
        <w:rPr>
          <w:rFonts w:ascii="Arial" w:hAnsi="Arial"/>
        </w:rPr>
      </w:pPr>
      <w:r>
        <w:rPr>
          <w:rFonts w:ascii="Arial" w:hAnsi="Arial"/>
        </w:rPr>
        <w:t xml:space="preserve">The first application of the biosimilar uptake drivers </w:t>
      </w:r>
      <w:r w:rsidR="002C5A07">
        <w:rPr>
          <w:rFonts w:ascii="Arial" w:hAnsi="Arial"/>
        </w:rPr>
        <w:t>was</w:t>
      </w:r>
      <w:r>
        <w:rPr>
          <w:rFonts w:ascii="Arial" w:hAnsi="Arial"/>
        </w:rPr>
        <w:t xml:space="preserve"> </w:t>
      </w:r>
      <w:r w:rsidRPr="00A165FE">
        <w:rPr>
          <w:rFonts w:ascii="Arial" w:hAnsi="Arial"/>
        </w:rPr>
        <w:t xml:space="preserve">for the biosimilar </w:t>
      </w:r>
      <w:proofErr w:type="spellStart"/>
      <w:r w:rsidRPr="00A165FE">
        <w:rPr>
          <w:rFonts w:ascii="Arial" w:hAnsi="Arial"/>
        </w:rPr>
        <w:t>Brenzys</w:t>
      </w:r>
      <w:proofErr w:type="spellEnd"/>
      <w:r w:rsidR="00E41E65" w:rsidRPr="00A165FE">
        <w:rPr>
          <w:rFonts w:ascii="Arial" w:hAnsi="Arial"/>
          <w:vertAlign w:val="superscript"/>
        </w:rPr>
        <w:t>®</w:t>
      </w:r>
      <w:r w:rsidRPr="00A165FE">
        <w:rPr>
          <w:rFonts w:ascii="Arial" w:hAnsi="Arial"/>
        </w:rPr>
        <w:t xml:space="preserve"> brand of</w:t>
      </w:r>
      <w:r w:rsidR="00E41E65" w:rsidRPr="00A165FE">
        <w:rPr>
          <w:rFonts w:ascii="Arial" w:hAnsi="Arial"/>
        </w:rPr>
        <w:t xml:space="preserve"> </w:t>
      </w:r>
      <w:proofErr w:type="spellStart"/>
      <w:r w:rsidRPr="00A165FE">
        <w:rPr>
          <w:rFonts w:ascii="Arial" w:hAnsi="Arial"/>
        </w:rPr>
        <w:t>etanercept</w:t>
      </w:r>
      <w:proofErr w:type="spellEnd"/>
      <w:r w:rsidR="00E41E65" w:rsidRPr="00A165FE">
        <w:rPr>
          <w:rFonts w:ascii="Arial" w:hAnsi="Arial"/>
        </w:rPr>
        <w:t>, effective from 1</w:t>
      </w:r>
      <w:r w:rsidR="00FA3A21">
        <w:rPr>
          <w:rFonts w:ascii="Arial" w:hAnsi="Arial"/>
        </w:rPr>
        <w:t> </w:t>
      </w:r>
      <w:r w:rsidR="00E41E65" w:rsidRPr="00A165FE">
        <w:rPr>
          <w:rFonts w:ascii="Arial" w:hAnsi="Arial"/>
        </w:rPr>
        <w:t>December</w:t>
      </w:r>
      <w:r w:rsidR="00FA3A21">
        <w:rPr>
          <w:rFonts w:ascii="Arial" w:hAnsi="Arial"/>
        </w:rPr>
        <w:t> </w:t>
      </w:r>
      <w:r w:rsidR="00E41E65" w:rsidRPr="00A165FE">
        <w:rPr>
          <w:rFonts w:ascii="Arial" w:hAnsi="Arial"/>
        </w:rPr>
        <w:t>2017</w:t>
      </w:r>
      <w:r w:rsidRPr="00A165FE">
        <w:rPr>
          <w:rFonts w:ascii="Arial" w:hAnsi="Arial"/>
        </w:rPr>
        <w:t xml:space="preserve">.  </w:t>
      </w:r>
      <w:r w:rsidR="002C5A07">
        <w:rPr>
          <w:rFonts w:ascii="Arial" w:hAnsi="Arial"/>
        </w:rPr>
        <w:t xml:space="preserve">Since that time </w:t>
      </w:r>
      <w:r w:rsidR="00492CDA">
        <w:rPr>
          <w:rFonts w:ascii="Arial" w:hAnsi="Arial"/>
        </w:rPr>
        <w:t xml:space="preserve">the drivers have been applied to </w:t>
      </w:r>
      <w:r w:rsidR="002C5A07">
        <w:rPr>
          <w:rFonts w:ascii="Arial" w:hAnsi="Arial"/>
        </w:rPr>
        <w:t xml:space="preserve">further </w:t>
      </w:r>
      <w:proofErr w:type="spellStart"/>
      <w:r w:rsidR="002C5A07">
        <w:rPr>
          <w:rFonts w:ascii="Arial" w:hAnsi="Arial"/>
        </w:rPr>
        <w:t>biosimilar</w:t>
      </w:r>
      <w:r w:rsidR="00AE0A60">
        <w:rPr>
          <w:rFonts w:ascii="Arial" w:hAnsi="Arial"/>
        </w:rPr>
        <w:t>s</w:t>
      </w:r>
      <w:proofErr w:type="spellEnd"/>
      <w:r w:rsidR="00492CDA">
        <w:rPr>
          <w:rFonts w:ascii="Arial" w:hAnsi="Arial"/>
        </w:rPr>
        <w:t>.</w:t>
      </w:r>
      <w:r w:rsidR="002C5A07">
        <w:rPr>
          <w:rFonts w:ascii="Arial" w:hAnsi="Arial"/>
        </w:rPr>
        <w:t xml:space="preserve"> </w:t>
      </w:r>
      <w:hyperlink r:id="rId13" w:history="1">
        <w:r w:rsidRPr="00A165FE">
          <w:rPr>
            <w:rStyle w:val="Hyperlink"/>
            <w:rFonts w:ascii="Arial" w:hAnsi="Arial"/>
          </w:rPr>
          <w:t>Fact Sheets are available on the PBS website</w:t>
        </w:r>
      </w:hyperlink>
      <w:r w:rsidR="00A165FE" w:rsidRPr="00A165FE">
        <w:rPr>
          <w:rFonts w:ascii="Arial" w:hAnsi="Arial"/>
        </w:rPr>
        <w:t xml:space="preserve"> giving practical information about the changes</w:t>
      </w:r>
      <w:r>
        <w:rPr>
          <w:rFonts w:ascii="Arial" w:hAnsi="Arial"/>
        </w:rPr>
        <w:t>.</w:t>
      </w:r>
    </w:p>
    <w:p w:rsidR="001B695E" w:rsidRPr="00F545DD" w:rsidRDefault="001B695E" w:rsidP="001E1B5E">
      <w:pPr>
        <w:pStyle w:val="Heading2"/>
        <w:spacing w:before="360"/>
        <w:ind w:left="-709"/>
        <w:rPr>
          <w:i w:val="0"/>
        </w:rPr>
      </w:pPr>
      <w:r w:rsidRPr="00F545DD">
        <w:rPr>
          <w:i w:val="0"/>
        </w:rPr>
        <w:t>The first uptake driver refers to ‘treatment naïve patients’ – what does that mean?</w:t>
      </w:r>
    </w:p>
    <w:p w:rsidR="001B695E" w:rsidRDefault="001B695E" w:rsidP="001B695E">
      <w:pPr>
        <w:spacing w:before="120" w:after="60"/>
        <w:ind w:left="-709"/>
        <w:rPr>
          <w:rFonts w:ascii="Arial" w:hAnsi="Arial"/>
        </w:rPr>
      </w:pPr>
      <w:r w:rsidRPr="00123D92">
        <w:rPr>
          <w:rFonts w:ascii="Arial" w:hAnsi="Arial"/>
        </w:rPr>
        <w:t xml:space="preserve">For the purpose of this uptake driver a patient is </w:t>
      </w:r>
      <w:r>
        <w:rPr>
          <w:rFonts w:ascii="Arial" w:hAnsi="Arial"/>
        </w:rPr>
        <w:t>‘</w:t>
      </w:r>
      <w:r w:rsidRPr="00123D92">
        <w:rPr>
          <w:rFonts w:ascii="Arial" w:hAnsi="Arial"/>
        </w:rPr>
        <w:t>treatment naïve</w:t>
      </w:r>
      <w:r>
        <w:rPr>
          <w:rFonts w:ascii="Arial" w:hAnsi="Arial"/>
        </w:rPr>
        <w:t>’</w:t>
      </w:r>
      <w:r w:rsidRPr="00123D92">
        <w:rPr>
          <w:rFonts w:ascii="Arial" w:hAnsi="Arial"/>
        </w:rPr>
        <w:t xml:space="preserve"> if they have not previously taken the biological medicine int</w:t>
      </w:r>
      <w:r>
        <w:rPr>
          <w:rFonts w:ascii="Arial" w:hAnsi="Arial"/>
        </w:rPr>
        <w:t xml:space="preserve">ended to be prescribed.  That is, they have not taken </w:t>
      </w:r>
      <w:r w:rsidRPr="00123D92">
        <w:rPr>
          <w:rFonts w:ascii="Arial" w:hAnsi="Arial"/>
        </w:rPr>
        <w:t>either the reference or biosimilar brand</w:t>
      </w:r>
      <w:r>
        <w:rPr>
          <w:rFonts w:ascii="Arial" w:hAnsi="Arial"/>
        </w:rPr>
        <w:t xml:space="preserve"> of the particular biological medicine</w:t>
      </w:r>
      <w:r w:rsidRPr="00123D92">
        <w:rPr>
          <w:rFonts w:ascii="Arial" w:hAnsi="Arial"/>
        </w:rPr>
        <w:t xml:space="preserve">. </w:t>
      </w:r>
    </w:p>
    <w:p w:rsidR="001B695E" w:rsidRDefault="001B695E" w:rsidP="001B695E">
      <w:pPr>
        <w:spacing w:before="120" w:after="60"/>
        <w:ind w:left="-709"/>
        <w:rPr>
          <w:rFonts w:ascii="Arial" w:hAnsi="Arial"/>
        </w:rPr>
      </w:pPr>
      <w:r w:rsidRPr="00123D92">
        <w:rPr>
          <w:rFonts w:ascii="Arial" w:hAnsi="Arial"/>
        </w:rPr>
        <w:t>Continued use of a biosimilar brand after</w:t>
      </w:r>
      <w:r>
        <w:rPr>
          <w:rFonts w:ascii="Arial" w:hAnsi="Arial"/>
        </w:rPr>
        <w:t xml:space="preserve"> it is first taken by a patient </w:t>
      </w:r>
      <w:r w:rsidRPr="00123D92">
        <w:rPr>
          <w:rFonts w:ascii="Arial" w:hAnsi="Arial"/>
        </w:rPr>
        <w:t>is a matter for the patient in consultation with their pre</w:t>
      </w:r>
      <w:r>
        <w:rPr>
          <w:rFonts w:ascii="Arial" w:hAnsi="Arial"/>
        </w:rPr>
        <w:t>scriber and pharmacist</w:t>
      </w:r>
      <w:r w:rsidRPr="00123D92">
        <w:rPr>
          <w:rFonts w:ascii="Arial" w:hAnsi="Arial"/>
        </w:rPr>
        <w:t xml:space="preserve">. </w:t>
      </w:r>
    </w:p>
    <w:p w:rsidR="00F270F6" w:rsidRDefault="00F270F6" w:rsidP="001B695E">
      <w:pPr>
        <w:spacing w:before="120" w:after="60"/>
        <w:ind w:left="-709"/>
        <w:rPr>
          <w:rFonts w:ascii="Arial" w:hAnsi="Arial"/>
        </w:rPr>
      </w:pPr>
      <w:r>
        <w:rPr>
          <w:rFonts w:ascii="Arial" w:hAnsi="Arial"/>
        </w:rPr>
        <w:t>A patient is not treatment naïve if they took any brand of the particular biological medicine in the past, even if that treatment occurred some time ago.</w:t>
      </w:r>
    </w:p>
    <w:p w:rsidR="001B695E" w:rsidRPr="00C41886" w:rsidRDefault="00F270F6" w:rsidP="001B695E">
      <w:pPr>
        <w:spacing w:before="120" w:after="60"/>
        <w:ind w:left="-709"/>
        <w:rPr>
          <w:rFonts w:ascii="Arial" w:hAnsi="Arial"/>
        </w:rPr>
      </w:pPr>
      <w:r>
        <w:rPr>
          <w:rFonts w:ascii="Arial" w:hAnsi="Arial"/>
        </w:rPr>
        <w:lastRenderedPageBreak/>
        <w:t>To work out whether a patient is treatment naïve p</w:t>
      </w:r>
      <w:r w:rsidR="001B695E" w:rsidRPr="00123D92">
        <w:rPr>
          <w:rFonts w:ascii="Arial" w:hAnsi="Arial"/>
        </w:rPr>
        <w:t xml:space="preserve">rescribers may rely on </w:t>
      </w:r>
      <w:r>
        <w:rPr>
          <w:rFonts w:ascii="Arial" w:hAnsi="Arial"/>
        </w:rPr>
        <w:t>their usual sources for taking a patient history</w:t>
      </w:r>
      <w:r w:rsidR="001B695E" w:rsidRPr="00123D92">
        <w:rPr>
          <w:rFonts w:ascii="Arial" w:hAnsi="Arial"/>
        </w:rPr>
        <w:t xml:space="preserve">. </w:t>
      </w:r>
    </w:p>
    <w:p w:rsidR="007D6D87" w:rsidRPr="00F545DD" w:rsidRDefault="00E41E65" w:rsidP="00353950">
      <w:pPr>
        <w:pStyle w:val="Heading2"/>
        <w:spacing w:before="360"/>
        <w:ind w:left="-709"/>
        <w:rPr>
          <w:i w:val="0"/>
        </w:rPr>
      </w:pPr>
      <w:r w:rsidRPr="00F545DD">
        <w:rPr>
          <w:i w:val="0"/>
        </w:rPr>
        <w:t>How will the ‘</w:t>
      </w:r>
      <w:proofErr w:type="spellStart"/>
      <w:r w:rsidR="007D6D87" w:rsidRPr="00F545DD">
        <w:rPr>
          <w:i w:val="0"/>
        </w:rPr>
        <w:t>biosimilars</w:t>
      </w:r>
      <w:proofErr w:type="spellEnd"/>
      <w:r w:rsidR="007D6D87" w:rsidRPr="00F545DD">
        <w:rPr>
          <w:i w:val="0"/>
        </w:rPr>
        <w:t xml:space="preserve"> for </w:t>
      </w:r>
      <w:r w:rsidRPr="00F545DD">
        <w:rPr>
          <w:i w:val="0"/>
        </w:rPr>
        <w:t xml:space="preserve">treatment </w:t>
      </w:r>
      <w:r w:rsidR="007D6D87" w:rsidRPr="00F545DD">
        <w:rPr>
          <w:i w:val="0"/>
        </w:rPr>
        <w:t>naïve patients</w:t>
      </w:r>
      <w:r w:rsidRPr="00F545DD">
        <w:rPr>
          <w:i w:val="0"/>
        </w:rPr>
        <w:t xml:space="preserve">’ driver be </w:t>
      </w:r>
      <w:r w:rsidR="007D6D87" w:rsidRPr="00F545DD">
        <w:rPr>
          <w:i w:val="0"/>
        </w:rPr>
        <w:t>applied?</w:t>
      </w:r>
    </w:p>
    <w:p w:rsidR="007D6D87" w:rsidRDefault="00E41E65" w:rsidP="007D6D87">
      <w:pPr>
        <w:spacing w:before="120" w:after="120"/>
        <w:ind w:left="-709"/>
        <w:rPr>
          <w:rFonts w:ascii="Arial" w:hAnsi="Arial"/>
        </w:rPr>
      </w:pPr>
      <w:r>
        <w:rPr>
          <w:rFonts w:ascii="Arial" w:hAnsi="Arial"/>
        </w:rPr>
        <w:t>The following administrative</w:t>
      </w:r>
      <w:r w:rsidR="007D6D87">
        <w:rPr>
          <w:rFonts w:ascii="Arial" w:hAnsi="Arial"/>
        </w:rPr>
        <w:t xml:space="preserve"> Note</w:t>
      </w:r>
      <w:r>
        <w:rPr>
          <w:rFonts w:ascii="Arial" w:hAnsi="Arial"/>
        </w:rPr>
        <w:t xml:space="preserve"> will be included</w:t>
      </w:r>
      <w:r w:rsidR="007D6D87">
        <w:rPr>
          <w:rFonts w:ascii="Arial" w:hAnsi="Arial"/>
        </w:rPr>
        <w:t xml:space="preserve"> in the Schedule of Pharmaceutical Benefits </w:t>
      </w:r>
      <w:r>
        <w:rPr>
          <w:rFonts w:ascii="Arial" w:hAnsi="Arial"/>
        </w:rPr>
        <w:t>for affected biological medicine</w:t>
      </w:r>
      <w:r w:rsidR="00471A62">
        <w:rPr>
          <w:rFonts w:ascii="Arial" w:hAnsi="Arial"/>
        </w:rPr>
        <w:t>s</w:t>
      </w:r>
      <w:r w:rsidR="007D6D87">
        <w:rPr>
          <w:rFonts w:ascii="Arial" w:hAnsi="Arial"/>
        </w:rPr>
        <w:t>:</w:t>
      </w:r>
    </w:p>
    <w:p w:rsidR="007D6D87" w:rsidRPr="0038226D" w:rsidRDefault="007D6D87" w:rsidP="007D6D87">
      <w:pPr>
        <w:autoSpaceDE w:val="0"/>
        <w:autoSpaceDN w:val="0"/>
        <w:adjustRightInd w:val="0"/>
        <w:ind w:left="-142"/>
        <w:rPr>
          <w:rFonts w:ascii="Arial" w:hAnsi="Arial" w:cs="Arial"/>
          <w:i/>
        </w:rPr>
      </w:pPr>
      <w:r w:rsidRPr="0038226D">
        <w:rPr>
          <w:rFonts w:ascii="Arial" w:hAnsi="Arial" w:cs="Arial"/>
          <w:b/>
          <w:bCs/>
          <w:i/>
        </w:rPr>
        <w:t xml:space="preserve">Biosimilar prescribing policy </w:t>
      </w:r>
    </w:p>
    <w:p w:rsidR="007D6D87" w:rsidRDefault="007D6D87" w:rsidP="007D6D87">
      <w:pPr>
        <w:autoSpaceDE w:val="0"/>
        <w:autoSpaceDN w:val="0"/>
        <w:adjustRightInd w:val="0"/>
        <w:ind w:left="-142"/>
        <w:rPr>
          <w:rFonts w:ascii="Arial" w:hAnsi="Arial" w:cs="Arial"/>
          <w:i/>
        </w:rPr>
      </w:pPr>
      <w:r w:rsidRPr="0038226D">
        <w:rPr>
          <w:rFonts w:ascii="Arial" w:hAnsi="Arial" w:cs="Arial"/>
          <w:i/>
        </w:rPr>
        <w:t>Prescribing of the biosimilar brand</w:t>
      </w:r>
      <w:r w:rsidR="00E41E65">
        <w:rPr>
          <w:rFonts w:ascii="Arial" w:hAnsi="Arial" w:cs="Arial"/>
          <w:i/>
        </w:rPr>
        <w:t>(s)</w:t>
      </w:r>
      <w:r w:rsidR="005F2312" w:rsidRPr="0038226D">
        <w:rPr>
          <w:rFonts w:ascii="Arial" w:hAnsi="Arial" w:cs="Arial"/>
          <w:i/>
        </w:rPr>
        <w:t xml:space="preserve"> (Brand Name</w:t>
      </w:r>
      <w:r w:rsidR="005F2312" w:rsidRPr="0038226D">
        <w:rPr>
          <w:rFonts w:ascii="Arial" w:hAnsi="Arial"/>
          <w:i/>
          <w:vertAlign w:val="superscript"/>
        </w:rPr>
        <w:t>®</w:t>
      </w:r>
      <w:r w:rsidR="005F2312" w:rsidRPr="0038226D">
        <w:rPr>
          <w:rFonts w:ascii="Arial" w:hAnsi="Arial"/>
          <w:i/>
        </w:rPr>
        <w:t>)</w:t>
      </w:r>
      <w:r w:rsidRPr="0038226D">
        <w:rPr>
          <w:rFonts w:ascii="Arial" w:hAnsi="Arial" w:cs="Arial"/>
          <w:b/>
          <w:bCs/>
          <w:i/>
        </w:rPr>
        <w:t xml:space="preserve"> </w:t>
      </w:r>
      <w:r w:rsidRPr="0038226D">
        <w:rPr>
          <w:rFonts w:ascii="Arial" w:hAnsi="Arial" w:cs="Arial"/>
          <w:i/>
        </w:rPr>
        <w:t xml:space="preserve">is encouraged for treatment naïve patients. </w:t>
      </w:r>
    </w:p>
    <w:p w:rsidR="007D6D87" w:rsidRPr="0038226D" w:rsidRDefault="007D6D87" w:rsidP="007D6D87">
      <w:pPr>
        <w:autoSpaceDE w:val="0"/>
        <w:autoSpaceDN w:val="0"/>
        <w:adjustRightInd w:val="0"/>
        <w:spacing w:after="120"/>
        <w:ind w:left="-142"/>
        <w:rPr>
          <w:rFonts w:ascii="Arial" w:hAnsi="Arial" w:cs="Arial"/>
          <w:i/>
        </w:rPr>
      </w:pPr>
      <w:r w:rsidRPr="0038226D">
        <w:rPr>
          <w:rFonts w:ascii="Arial" w:hAnsi="Arial" w:cs="Arial"/>
          <w:i/>
        </w:rPr>
        <w:t>Encouraging biosimilar prescribing for treatment naïve patients is Government policy. A viable biosimilar market is expected to result in reduced costs for biological medicines, allowing the Government to reinvest in new treatments. Further information can be found on the Biosimilar Awareness Initiative webpage (www.health.gov.au/biosimilars).</w:t>
      </w:r>
    </w:p>
    <w:p w:rsidR="00471A62" w:rsidRDefault="00471A62" w:rsidP="007D6D87">
      <w:pPr>
        <w:spacing w:before="120" w:after="60"/>
        <w:ind w:left="-709"/>
        <w:rPr>
          <w:rFonts w:ascii="Arial" w:hAnsi="Arial"/>
        </w:rPr>
      </w:pPr>
      <w:r w:rsidRPr="009B646C">
        <w:rPr>
          <w:rFonts w:ascii="Arial" w:hAnsi="Arial"/>
        </w:rPr>
        <w:t xml:space="preserve">Where there are different </w:t>
      </w:r>
      <w:r>
        <w:rPr>
          <w:rFonts w:ascii="Arial" w:hAnsi="Arial"/>
        </w:rPr>
        <w:t xml:space="preserve">prescribing </w:t>
      </w:r>
      <w:r w:rsidRPr="009B646C">
        <w:rPr>
          <w:rFonts w:ascii="Arial" w:hAnsi="Arial"/>
        </w:rPr>
        <w:t>restrictions for</w:t>
      </w:r>
      <w:r w:rsidR="001B695E">
        <w:rPr>
          <w:rFonts w:ascii="Arial" w:hAnsi="Arial"/>
        </w:rPr>
        <w:t xml:space="preserve"> the </w:t>
      </w:r>
      <w:r w:rsidRPr="009B646C">
        <w:rPr>
          <w:rFonts w:ascii="Arial" w:hAnsi="Arial"/>
        </w:rPr>
        <w:t xml:space="preserve">initial and continuing </w:t>
      </w:r>
      <w:r w:rsidR="001B695E">
        <w:rPr>
          <w:rFonts w:ascii="Arial" w:hAnsi="Arial"/>
        </w:rPr>
        <w:t xml:space="preserve">stages of </w:t>
      </w:r>
      <w:r w:rsidRPr="009B646C">
        <w:rPr>
          <w:rFonts w:ascii="Arial" w:hAnsi="Arial"/>
        </w:rPr>
        <w:t>treatment</w:t>
      </w:r>
      <w:r w:rsidR="001B695E">
        <w:rPr>
          <w:rFonts w:ascii="Arial" w:hAnsi="Arial"/>
        </w:rPr>
        <w:t xml:space="preserve"> with a medicine</w:t>
      </w:r>
      <w:r w:rsidRPr="009B646C">
        <w:rPr>
          <w:rFonts w:ascii="Arial" w:hAnsi="Arial"/>
        </w:rPr>
        <w:t xml:space="preserve">, the </w:t>
      </w:r>
      <w:r>
        <w:rPr>
          <w:rFonts w:ascii="Arial" w:hAnsi="Arial"/>
        </w:rPr>
        <w:t xml:space="preserve">administrative </w:t>
      </w:r>
      <w:r w:rsidRPr="009B646C">
        <w:rPr>
          <w:rFonts w:ascii="Arial" w:hAnsi="Arial"/>
        </w:rPr>
        <w:t>note w</w:t>
      </w:r>
      <w:r>
        <w:rPr>
          <w:rFonts w:ascii="Arial" w:hAnsi="Arial"/>
        </w:rPr>
        <w:t xml:space="preserve">ill appear along with the </w:t>
      </w:r>
      <w:r w:rsidRPr="009B646C">
        <w:rPr>
          <w:rFonts w:ascii="Arial" w:hAnsi="Arial"/>
        </w:rPr>
        <w:t>initial prescribing</w:t>
      </w:r>
      <w:r>
        <w:rPr>
          <w:rFonts w:ascii="Arial" w:hAnsi="Arial"/>
        </w:rPr>
        <w:t xml:space="preserve"> restriction</w:t>
      </w:r>
      <w:r w:rsidRPr="009B646C">
        <w:rPr>
          <w:rFonts w:ascii="Arial" w:hAnsi="Arial"/>
        </w:rPr>
        <w:t>.</w:t>
      </w:r>
    </w:p>
    <w:p w:rsidR="00471A62" w:rsidRDefault="00E41E65" w:rsidP="007D6D87">
      <w:pPr>
        <w:spacing w:before="120" w:after="60"/>
        <w:ind w:left="-709"/>
        <w:rPr>
          <w:rFonts w:ascii="Arial" w:hAnsi="Arial"/>
        </w:rPr>
      </w:pPr>
      <w:r>
        <w:rPr>
          <w:rFonts w:ascii="Arial" w:hAnsi="Arial"/>
        </w:rPr>
        <w:t xml:space="preserve">It is not mandatory to prescribe the biosimilar brand for treatment naïve patients. </w:t>
      </w:r>
    </w:p>
    <w:p w:rsidR="007D6D87" w:rsidRDefault="007D6D87" w:rsidP="007D6D87">
      <w:pPr>
        <w:spacing w:before="120" w:after="60"/>
        <w:ind w:left="-709"/>
        <w:rPr>
          <w:rFonts w:ascii="Arial" w:hAnsi="Arial"/>
        </w:rPr>
      </w:pPr>
      <w:r>
        <w:rPr>
          <w:rFonts w:ascii="Arial" w:hAnsi="Arial"/>
        </w:rPr>
        <w:t>The Department will also continue its awareness activities which assist healthcare professionals and consumers to understand how the choice of biosimilar brands of medicines is supported by the evidence regarding their safety and effectiveness.</w:t>
      </w:r>
    </w:p>
    <w:p w:rsidR="00471A62" w:rsidRDefault="00471A62" w:rsidP="007D6D87">
      <w:pPr>
        <w:spacing w:before="120" w:after="60"/>
        <w:ind w:left="-709"/>
        <w:rPr>
          <w:rFonts w:ascii="Arial" w:hAnsi="Arial"/>
        </w:rPr>
      </w:pPr>
      <w:r>
        <w:rPr>
          <w:rFonts w:ascii="Arial" w:hAnsi="Arial"/>
        </w:rPr>
        <w:t>Changes to prescribing software may in future also provide reminders or hints during the prescribing process (in addition to or instead of the Note mentioned above)</w:t>
      </w:r>
      <w:r w:rsidR="0029130B">
        <w:rPr>
          <w:rFonts w:ascii="Arial" w:hAnsi="Arial"/>
        </w:rPr>
        <w:t>.</w:t>
      </w:r>
      <w:r w:rsidR="00F545DD">
        <w:rPr>
          <w:rFonts w:ascii="Arial" w:hAnsi="Arial"/>
        </w:rPr>
        <w:t xml:space="preserve"> </w:t>
      </w:r>
    </w:p>
    <w:p w:rsidR="007D6D87" w:rsidRPr="00F545DD" w:rsidRDefault="00FB0117" w:rsidP="00353950">
      <w:pPr>
        <w:pStyle w:val="Heading2"/>
        <w:spacing w:before="360"/>
        <w:ind w:left="-709"/>
        <w:rPr>
          <w:i w:val="0"/>
        </w:rPr>
      </w:pPr>
      <w:r w:rsidRPr="00F545DD">
        <w:rPr>
          <w:i w:val="0"/>
        </w:rPr>
        <w:t>Does the uptake driver mean that</w:t>
      </w:r>
      <w:r w:rsidR="007D6D87" w:rsidRPr="00F545DD">
        <w:rPr>
          <w:i w:val="0"/>
        </w:rPr>
        <w:t xml:space="preserve"> use of </w:t>
      </w:r>
      <w:proofErr w:type="spellStart"/>
      <w:r w:rsidR="007D6D87" w:rsidRPr="00F545DD">
        <w:rPr>
          <w:i w:val="0"/>
        </w:rPr>
        <w:t>biosimilars</w:t>
      </w:r>
      <w:proofErr w:type="spellEnd"/>
      <w:r w:rsidR="007D6D87" w:rsidRPr="00F545DD">
        <w:rPr>
          <w:i w:val="0"/>
        </w:rPr>
        <w:t xml:space="preserve"> </w:t>
      </w:r>
      <w:r w:rsidRPr="00F545DD">
        <w:rPr>
          <w:i w:val="0"/>
        </w:rPr>
        <w:t xml:space="preserve">is </w:t>
      </w:r>
      <w:r w:rsidR="007D6D87" w:rsidRPr="00F545DD">
        <w:rPr>
          <w:i w:val="0"/>
        </w:rPr>
        <w:t>limited to treatment naïve patients?</w:t>
      </w:r>
    </w:p>
    <w:p w:rsidR="00FB0117" w:rsidRDefault="00FB0117" w:rsidP="00FB0117">
      <w:pPr>
        <w:spacing w:before="120" w:after="60"/>
        <w:ind w:left="-709"/>
        <w:rPr>
          <w:rFonts w:ascii="Arial" w:hAnsi="Arial"/>
        </w:rPr>
      </w:pPr>
      <w:r>
        <w:rPr>
          <w:rFonts w:ascii="Arial" w:hAnsi="Arial"/>
        </w:rPr>
        <w:t xml:space="preserve">No.  While the uptake driver is specifically intended to encourage use of </w:t>
      </w:r>
      <w:proofErr w:type="spellStart"/>
      <w:r>
        <w:rPr>
          <w:rFonts w:ascii="Arial" w:hAnsi="Arial"/>
        </w:rPr>
        <w:t>biosimilars</w:t>
      </w:r>
      <w:proofErr w:type="spellEnd"/>
      <w:r>
        <w:rPr>
          <w:rFonts w:ascii="Arial" w:hAnsi="Arial"/>
        </w:rPr>
        <w:t xml:space="preserve"> for treatment naïve patients, this does not mean that use of a biosimilar for patients who have previously taken the reference brand or a different biosimilar brand is inappropriate.</w:t>
      </w:r>
    </w:p>
    <w:p w:rsidR="007D6D87" w:rsidRDefault="008C78EF" w:rsidP="007D6D87">
      <w:pPr>
        <w:spacing w:before="120" w:after="60"/>
        <w:ind w:left="-709"/>
        <w:rPr>
          <w:rFonts w:ascii="Arial" w:hAnsi="Arial"/>
        </w:rPr>
      </w:pPr>
      <w:proofErr w:type="spellStart"/>
      <w:r>
        <w:rPr>
          <w:rFonts w:ascii="Arial" w:hAnsi="Arial"/>
        </w:rPr>
        <w:t>B</w:t>
      </w:r>
      <w:r w:rsidR="007D6D87">
        <w:rPr>
          <w:rFonts w:ascii="Arial" w:hAnsi="Arial"/>
        </w:rPr>
        <w:t>iosimilars</w:t>
      </w:r>
      <w:proofErr w:type="spellEnd"/>
      <w:r w:rsidR="007D6D87">
        <w:rPr>
          <w:rFonts w:ascii="Arial" w:hAnsi="Arial"/>
        </w:rPr>
        <w:t xml:space="preserve"> have been found in studies to be as safe and effective as the reference biological brand</w:t>
      </w:r>
      <w:r w:rsidR="007D6D87" w:rsidRPr="00123D92">
        <w:rPr>
          <w:rFonts w:ascii="Arial" w:hAnsi="Arial"/>
        </w:rPr>
        <w:t>.</w:t>
      </w:r>
      <w:r w:rsidR="007D6D87">
        <w:rPr>
          <w:rFonts w:ascii="Arial" w:hAnsi="Arial"/>
        </w:rPr>
        <w:t xml:space="preserve"> </w:t>
      </w:r>
    </w:p>
    <w:p w:rsidR="007D6D87" w:rsidRPr="00F545DD" w:rsidRDefault="007D6D87" w:rsidP="00353950">
      <w:pPr>
        <w:pStyle w:val="Heading2"/>
        <w:spacing w:before="360"/>
        <w:ind w:left="-709"/>
        <w:rPr>
          <w:i w:val="0"/>
        </w:rPr>
      </w:pPr>
      <w:r w:rsidRPr="00F545DD">
        <w:rPr>
          <w:i w:val="0"/>
        </w:rPr>
        <w:t xml:space="preserve">How will the </w:t>
      </w:r>
      <w:r w:rsidR="00817315" w:rsidRPr="00F545DD">
        <w:rPr>
          <w:i w:val="0"/>
        </w:rPr>
        <w:t>‘</w:t>
      </w:r>
      <w:r w:rsidRPr="00F545DD">
        <w:rPr>
          <w:i w:val="0"/>
        </w:rPr>
        <w:t>lower authority</w:t>
      </w:r>
      <w:r w:rsidR="00817315" w:rsidRPr="00F545DD">
        <w:rPr>
          <w:i w:val="0"/>
        </w:rPr>
        <w:t>’ driver be applied</w:t>
      </w:r>
      <w:r w:rsidRPr="00F545DD">
        <w:rPr>
          <w:i w:val="0"/>
        </w:rPr>
        <w:t>?</w:t>
      </w:r>
    </w:p>
    <w:p w:rsidR="008A07B6" w:rsidRDefault="008A07B6" w:rsidP="007D6D87">
      <w:pPr>
        <w:spacing w:before="120" w:after="60"/>
        <w:ind w:left="-709"/>
        <w:rPr>
          <w:rFonts w:ascii="Arial" w:hAnsi="Arial"/>
        </w:rPr>
      </w:pPr>
      <w:r>
        <w:rPr>
          <w:rFonts w:ascii="Arial" w:hAnsi="Arial"/>
        </w:rPr>
        <w:t>Changes to the authority requirements for prescribing a medicine will be made in accordance with the usual processes for amending</w:t>
      </w:r>
      <w:r w:rsidR="00F510B7">
        <w:rPr>
          <w:rFonts w:ascii="Arial" w:hAnsi="Arial"/>
        </w:rPr>
        <w:t xml:space="preserve"> PBS medicine </w:t>
      </w:r>
      <w:r w:rsidR="00CF6A08">
        <w:rPr>
          <w:rFonts w:ascii="Arial" w:hAnsi="Arial"/>
        </w:rPr>
        <w:t>listings</w:t>
      </w:r>
      <w:r>
        <w:rPr>
          <w:rFonts w:ascii="Arial" w:hAnsi="Arial"/>
        </w:rPr>
        <w:t xml:space="preserve">.  </w:t>
      </w:r>
    </w:p>
    <w:p w:rsidR="008A07B6" w:rsidRDefault="008A07B6" w:rsidP="007D6D87">
      <w:pPr>
        <w:spacing w:before="120" w:after="60"/>
        <w:ind w:left="-709"/>
        <w:rPr>
          <w:rFonts w:ascii="Arial" w:hAnsi="Arial"/>
        </w:rPr>
      </w:pPr>
      <w:r>
        <w:rPr>
          <w:rFonts w:ascii="Arial" w:hAnsi="Arial"/>
        </w:rPr>
        <w:t xml:space="preserve">Following consideration by the </w:t>
      </w:r>
      <w:r w:rsidR="00F510B7" w:rsidRPr="00BB29AF">
        <w:rPr>
          <w:rFonts w:ascii="Arial" w:hAnsi="Arial"/>
        </w:rPr>
        <w:t>Pharmaceutical Benefits Advisory Committee</w:t>
      </w:r>
      <w:r>
        <w:rPr>
          <w:rFonts w:ascii="Arial" w:hAnsi="Arial"/>
        </w:rPr>
        <w:t xml:space="preserve">, </w:t>
      </w:r>
      <w:r w:rsidR="00CF6A08">
        <w:rPr>
          <w:rFonts w:ascii="Arial" w:hAnsi="Arial"/>
        </w:rPr>
        <w:t>amendments to apply</w:t>
      </w:r>
      <w:r w:rsidR="00F510B7">
        <w:rPr>
          <w:rFonts w:ascii="Arial" w:hAnsi="Arial"/>
        </w:rPr>
        <w:t xml:space="preserve"> </w:t>
      </w:r>
      <w:r>
        <w:rPr>
          <w:rFonts w:ascii="Arial" w:hAnsi="Arial"/>
        </w:rPr>
        <w:t>the</w:t>
      </w:r>
      <w:r w:rsidR="00CF6A08">
        <w:rPr>
          <w:rFonts w:ascii="Arial" w:hAnsi="Arial"/>
        </w:rPr>
        <w:t xml:space="preserve"> uptake drivers for </w:t>
      </w:r>
      <w:proofErr w:type="spellStart"/>
      <w:r w:rsidR="00CF6A08">
        <w:rPr>
          <w:rFonts w:ascii="Arial" w:hAnsi="Arial"/>
        </w:rPr>
        <w:t>biosimilars</w:t>
      </w:r>
      <w:proofErr w:type="spellEnd"/>
      <w:r>
        <w:rPr>
          <w:rFonts w:ascii="Arial" w:hAnsi="Arial"/>
        </w:rPr>
        <w:t xml:space="preserve"> will be</w:t>
      </w:r>
      <w:r w:rsidR="0029130B">
        <w:rPr>
          <w:rFonts w:ascii="Arial" w:hAnsi="Arial"/>
        </w:rPr>
        <w:t xml:space="preserve"> considered by the Minister for Health or delegate</w:t>
      </w:r>
      <w:r>
        <w:rPr>
          <w:rFonts w:ascii="Arial" w:hAnsi="Arial"/>
        </w:rPr>
        <w:t xml:space="preserve"> for approval, and</w:t>
      </w:r>
      <w:r w:rsidR="0029130B">
        <w:rPr>
          <w:rFonts w:ascii="Arial" w:hAnsi="Arial"/>
        </w:rPr>
        <w:t xml:space="preserve">, if approved, </w:t>
      </w:r>
      <w:r>
        <w:rPr>
          <w:rFonts w:ascii="Arial" w:hAnsi="Arial"/>
        </w:rPr>
        <w:t xml:space="preserve">incorporated into the data for prescribing and dispensing software and the Schedule of Pharmaceutical Benefits.  The changes </w:t>
      </w:r>
      <w:r w:rsidR="00307F83">
        <w:rPr>
          <w:rFonts w:ascii="Arial" w:hAnsi="Arial"/>
        </w:rPr>
        <w:t xml:space="preserve">also </w:t>
      </w:r>
      <w:r>
        <w:rPr>
          <w:rFonts w:ascii="Arial" w:hAnsi="Arial"/>
        </w:rPr>
        <w:t>require formal</w:t>
      </w:r>
      <w:r w:rsidR="00307F83">
        <w:rPr>
          <w:rFonts w:ascii="Arial" w:hAnsi="Arial"/>
        </w:rPr>
        <w:t xml:space="preserve"> </w:t>
      </w:r>
      <w:r>
        <w:rPr>
          <w:rFonts w:ascii="Arial" w:hAnsi="Arial"/>
        </w:rPr>
        <w:t>amendment to the legal instrument</w:t>
      </w:r>
      <w:r w:rsidR="00CF6A08">
        <w:rPr>
          <w:rFonts w:ascii="Arial" w:hAnsi="Arial"/>
        </w:rPr>
        <w:t>s</w:t>
      </w:r>
      <w:r>
        <w:rPr>
          <w:rFonts w:ascii="Arial" w:hAnsi="Arial"/>
        </w:rPr>
        <w:t xml:space="preserve"> that underpin the PBS</w:t>
      </w:r>
      <w:r w:rsidR="00307F83">
        <w:rPr>
          <w:rFonts w:ascii="Arial" w:hAnsi="Arial"/>
        </w:rPr>
        <w:t xml:space="preserve"> for each affected medicine</w:t>
      </w:r>
      <w:r>
        <w:rPr>
          <w:rFonts w:ascii="Arial" w:hAnsi="Arial"/>
        </w:rPr>
        <w:t>.</w:t>
      </w:r>
    </w:p>
    <w:p w:rsidR="00F510B7" w:rsidRDefault="00F510B7" w:rsidP="007D6D87">
      <w:pPr>
        <w:spacing w:before="120" w:after="60"/>
        <w:ind w:left="-709"/>
        <w:rPr>
          <w:rFonts w:ascii="Arial" w:hAnsi="Arial"/>
        </w:rPr>
      </w:pPr>
      <w:r>
        <w:rPr>
          <w:rFonts w:ascii="Arial" w:hAnsi="Arial"/>
        </w:rPr>
        <w:t>The change to authority requirements may apply to all or only some of the stages for treating a patient with the relevant medicines.  For example, if there are different criteria and rules (restrictions) for initial treatment to those that apply for continuing treatment with a medicine, the lower authority uptake driver might be applied only for continuing treatment.</w:t>
      </w:r>
      <w:r w:rsidR="00D27FC6">
        <w:rPr>
          <w:rFonts w:ascii="Arial" w:hAnsi="Arial"/>
        </w:rPr>
        <w:t xml:space="preserve"> </w:t>
      </w:r>
    </w:p>
    <w:p w:rsidR="009942AB" w:rsidRDefault="009942AB" w:rsidP="007D6D87">
      <w:pPr>
        <w:spacing w:before="120" w:after="60"/>
        <w:ind w:left="-709"/>
        <w:rPr>
          <w:rFonts w:ascii="Arial" w:hAnsi="Arial"/>
        </w:rPr>
      </w:pPr>
      <w:r>
        <w:rPr>
          <w:rFonts w:ascii="Arial" w:hAnsi="Arial"/>
        </w:rPr>
        <w:lastRenderedPageBreak/>
        <w:t>The prescription will include information that identifies the type of authority used for approval to prescribe, and the specific PBS listing item under which the medicine was prescribed.</w:t>
      </w:r>
    </w:p>
    <w:p w:rsidR="00F510B7" w:rsidRDefault="009942AB" w:rsidP="00F510B7">
      <w:pPr>
        <w:spacing w:before="120" w:after="60"/>
        <w:ind w:left="-709"/>
        <w:rPr>
          <w:rFonts w:ascii="Arial" w:hAnsi="Arial"/>
        </w:rPr>
      </w:pPr>
      <w:r>
        <w:rPr>
          <w:rFonts w:ascii="Arial" w:hAnsi="Arial"/>
        </w:rPr>
        <w:t xml:space="preserve">Information about </w:t>
      </w:r>
      <w:r w:rsidR="00F510B7">
        <w:rPr>
          <w:rFonts w:ascii="Arial" w:hAnsi="Arial"/>
        </w:rPr>
        <w:t xml:space="preserve">the consideration </w:t>
      </w:r>
      <w:r>
        <w:rPr>
          <w:rFonts w:ascii="Arial" w:hAnsi="Arial"/>
        </w:rPr>
        <w:t xml:space="preserve">by the </w:t>
      </w:r>
      <w:r w:rsidRPr="00BB29AF">
        <w:rPr>
          <w:rFonts w:ascii="Arial" w:hAnsi="Arial"/>
        </w:rPr>
        <w:t>Pharmaceutical Benefits Advisory Committee</w:t>
      </w:r>
      <w:r>
        <w:rPr>
          <w:rFonts w:ascii="Arial" w:hAnsi="Arial"/>
        </w:rPr>
        <w:t xml:space="preserve"> </w:t>
      </w:r>
      <w:r w:rsidR="00F510B7">
        <w:rPr>
          <w:rFonts w:ascii="Arial" w:hAnsi="Arial"/>
        </w:rPr>
        <w:t xml:space="preserve">of the uptake drivers is available on the </w:t>
      </w:r>
      <w:hyperlink r:id="rId14" w:history="1">
        <w:r w:rsidR="00F510B7" w:rsidRPr="00122DC3">
          <w:rPr>
            <w:rStyle w:val="Hyperlink"/>
            <w:rFonts w:ascii="Arial" w:hAnsi="Arial"/>
          </w:rPr>
          <w:t>PBS website</w:t>
        </w:r>
      </w:hyperlink>
      <w:r w:rsidR="00122DC3">
        <w:rPr>
          <w:rFonts w:ascii="Arial" w:hAnsi="Arial"/>
        </w:rPr>
        <w:t>.</w:t>
      </w:r>
      <w:r w:rsidR="00F510B7">
        <w:rPr>
          <w:rFonts w:ascii="Arial" w:hAnsi="Arial"/>
        </w:rPr>
        <w:t xml:space="preserve">  Details of </w:t>
      </w:r>
      <w:r>
        <w:rPr>
          <w:rFonts w:ascii="Arial" w:hAnsi="Arial"/>
        </w:rPr>
        <w:t xml:space="preserve">the </w:t>
      </w:r>
      <w:r w:rsidR="00122DC3">
        <w:rPr>
          <w:rFonts w:ascii="Arial" w:hAnsi="Arial"/>
        </w:rPr>
        <w:t xml:space="preserve">PBS </w:t>
      </w:r>
      <w:r>
        <w:rPr>
          <w:rFonts w:ascii="Arial" w:hAnsi="Arial"/>
        </w:rPr>
        <w:t xml:space="preserve">listing </w:t>
      </w:r>
      <w:r w:rsidR="00F510B7">
        <w:rPr>
          <w:rFonts w:ascii="Arial" w:hAnsi="Arial"/>
        </w:rPr>
        <w:t>changes</w:t>
      </w:r>
      <w:r w:rsidR="00CF6A08">
        <w:rPr>
          <w:rFonts w:ascii="Arial" w:hAnsi="Arial"/>
        </w:rPr>
        <w:t xml:space="preserve"> to apply the uptake drivers for </w:t>
      </w:r>
      <w:proofErr w:type="spellStart"/>
      <w:r w:rsidR="00122DC3">
        <w:rPr>
          <w:rFonts w:ascii="Arial" w:hAnsi="Arial"/>
        </w:rPr>
        <w:t>biosimilars</w:t>
      </w:r>
      <w:proofErr w:type="spellEnd"/>
      <w:r w:rsidR="00122DC3">
        <w:rPr>
          <w:rFonts w:ascii="Arial" w:hAnsi="Arial"/>
        </w:rPr>
        <w:t xml:space="preserve"> </w:t>
      </w:r>
      <w:r w:rsidR="00CF6A08">
        <w:rPr>
          <w:rFonts w:ascii="Arial" w:hAnsi="Arial"/>
        </w:rPr>
        <w:t xml:space="preserve">are set out in </w:t>
      </w:r>
      <w:hyperlink r:id="rId15" w:history="1">
        <w:r w:rsidR="00122DC3" w:rsidRPr="00122DC3">
          <w:rPr>
            <w:rStyle w:val="Hyperlink"/>
            <w:rFonts w:ascii="Arial" w:hAnsi="Arial"/>
          </w:rPr>
          <w:t>fact sheets available on the PBS website</w:t>
        </w:r>
      </w:hyperlink>
      <w:r w:rsidR="00122DC3">
        <w:rPr>
          <w:rFonts w:ascii="Arial" w:hAnsi="Arial"/>
        </w:rPr>
        <w:t xml:space="preserve">. </w:t>
      </w:r>
      <w:r w:rsidR="00CF6A08">
        <w:rPr>
          <w:rFonts w:ascii="Arial" w:hAnsi="Arial"/>
        </w:rPr>
        <w:t xml:space="preserve"> Th</w:t>
      </w:r>
      <w:r w:rsidR="00122DC3">
        <w:rPr>
          <w:rFonts w:ascii="Arial" w:hAnsi="Arial"/>
        </w:rPr>
        <w:t>e fact sheets include useful</w:t>
      </w:r>
      <w:r w:rsidR="00CF6A08">
        <w:rPr>
          <w:rFonts w:ascii="Arial" w:hAnsi="Arial"/>
        </w:rPr>
        <w:t xml:space="preserve"> information </w:t>
      </w:r>
      <w:r w:rsidR="00122DC3">
        <w:rPr>
          <w:rFonts w:ascii="Arial" w:hAnsi="Arial"/>
        </w:rPr>
        <w:t>to assist healthcare professionals and consumers and their carers to understand</w:t>
      </w:r>
      <w:r w:rsidR="00CF6A08">
        <w:rPr>
          <w:rFonts w:ascii="Arial" w:hAnsi="Arial"/>
        </w:rPr>
        <w:t xml:space="preserve"> </w:t>
      </w:r>
      <w:r w:rsidR="00122DC3">
        <w:rPr>
          <w:rFonts w:ascii="Arial" w:hAnsi="Arial"/>
        </w:rPr>
        <w:t xml:space="preserve">how </w:t>
      </w:r>
      <w:r w:rsidR="00CF6A08">
        <w:rPr>
          <w:rFonts w:ascii="Arial" w:hAnsi="Arial"/>
        </w:rPr>
        <w:t>the uptake drivers</w:t>
      </w:r>
      <w:r w:rsidR="00122DC3">
        <w:rPr>
          <w:rFonts w:ascii="Arial" w:hAnsi="Arial"/>
        </w:rPr>
        <w:t xml:space="preserve"> are being applied</w:t>
      </w:r>
      <w:r w:rsidR="00CF6A08">
        <w:rPr>
          <w:rFonts w:ascii="Arial" w:hAnsi="Arial"/>
        </w:rPr>
        <w:t>.</w:t>
      </w:r>
      <w:r>
        <w:rPr>
          <w:rFonts w:ascii="Arial" w:hAnsi="Arial"/>
        </w:rPr>
        <w:t xml:space="preserve"> </w:t>
      </w:r>
    </w:p>
    <w:p w:rsidR="006C188A" w:rsidRDefault="007D6D87" w:rsidP="00F545DD">
      <w:pPr>
        <w:spacing w:before="120" w:after="60"/>
        <w:ind w:left="-709"/>
        <w:rPr>
          <w:rFonts w:ascii="Arial" w:hAnsi="Arial"/>
          <w:b/>
        </w:rPr>
      </w:pPr>
      <w:r>
        <w:rPr>
          <w:rFonts w:ascii="Arial" w:hAnsi="Arial"/>
        </w:rPr>
        <w:t xml:space="preserve">Further information </w:t>
      </w:r>
      <w:r w:rsidR="003679DB">
        <w:rPr>
          <w:rFonts w:ascii="Arial" w:hAnsi="Arial"/>
        </w:rPr>
        <w:t>about</w:t>
      </w:r>
      <w:r>
        <w:rPr>
          <w:rFonts w:ascii="Arial" w:hAnsi="Arial"/>
        </w:rPr>
        <w:t xml:space="preserve"> the</w:t>
      </w:r>
      <w:r w:rsidR="00F510B7">
        <w:rPr>
          <w:rFonts w:ascii="Arial" w:hAnsi="Arial"/>
        </w:rPr>
        <w:t xml:space="preserve"> current restrictions for prescribing particular medicines </w:t>
      </w:r>
      <w:r w:rsidR="00352770">
        <w:rPr>
          <w:rFonts w:ascii="Arial" w:hAnsi="Arial"/>
        </w:rPr>
        <w:t>is</w:t>
      </w:r>
      <w:r w:rsidR="00F510B7">
        <w:rPr>
          <w:rFonts w:ascii="Arial" w:hAnsi="Arial"/>
        </w:rPr>
        <w:t xml:space="preserve"> </w:t>
      </w:r>
      <w:r>
        <w:rPr>
          <w:rFonts w:ascii="Arial" w:hAnsi="Arial"/>
        </w:rPr>
        <w:t>available in the</w:t>
      </w:r>
      <w:r w:rsidR="00352770">
        <w:rPr>
          <w:rFonts w:ascii="Arial" w:hAnsi="Arial"/>
        </w:rPr>
        <w:t xml:space="preserve"> </w:t>
      </w:r>
      <w:hyperlink r:id="rId16" w:history="1">
        <w:r w:rsidR="00352770" w:rsidRPr="00352770">
          <w:rPr>
            <w:rStyle w:val="Hyperlink"/>
            <w:rFonts w:ascii="Arial" w:hAnsi="Arial"/>
          </w:rPr>
          <w:t>Schedule of Pharmaceutical Benefits</w:t>
        </w:r>
      </w:hyperlink>
      <w:r w:rsidR="00352770">
        <w:rPr>
          <w:rFonts w:ascii="Arial" w:hAnsi="Arial"/>
        </w:rPr>
        <w:t>.</w:t>
      </w:r>
    </w:p>
    <w:p w:rsidR="00B63DC4" w:rsidRPr="00F545DD" w:rsidRDefault="00D27FC6" w:rsidP="00353950">
      <w:pPr>
        <w:pStyle w:val="Heading2"/>
        <w:spacing w:before="360"/>
        <w:ind w:left="-709"/>
        <w:rPr>
          <w:i w:val="0"/>
        </w:rPr>
      </w:pPr>
      <w:r w:rsidRPr="00F545DD">
        <w:rPr>
          <w:i w:val="0"/>
        </w:rPr>
        <w:t xml:space="preserve">Do </w:t>
      </w:r>
      <w:r w:rsidR="00135CE3" w:rsidRPr="00F545DD">
        <w:rPr>
          <w:i w:val="0"/>
        </w:rPr>
        <w:t xml:space="preserve">the biosimilar uptake </w:t>
      </w:r>
      <w:r w:rsidRPr="00F545DD">
        <w:rPr>
          <w:i w:val="0"/>
        </w:rPr>
        <w:t xml:space="preserve">drivers make prescribing of </w:t>
      </w:r>
      <w:proofErr w:type="spellStart"/>
      <w:r w:rsidRPr="00F545DD">
        <w:rPr>
          <w:i w:val="0"/>
        </w:rPr>
        <w:t>biosimilars</w:t>
      </w:r>
      <w:proofErr w:type="spellEnd"/>
      <w:r w:rsidRPr="00F545DD">
        <w:rPr>
          <w:i w:val="0"/>
        </w:rPr>
        <w:t xml:space="preserve"> mandatory</w:t>
      </w:r>
      <w:r w:rsidR="00135CE3" w:rsidRPr="00F545DD">
        <w:rPr>
          <w:i w:val="0"/>
        </w:rPr>
        <w:t>?</w:t>
      </w:r>
    </w:p>
    <w:p w:rsidR="006C188A" w:rsidRPr="00B63DC4" w:rsidRDefault="00135CE3" w:rsidP="00B63DC4">
      <w:pPr>
        <w:spacing w:before="120" w:after="60"/>
        <w:ind w:left="-709"/>
        <w:rPr>
          <w:rFonts w:ascii="Arial" w:hAnsi="Arial"/>
          <w:b/>
        </w:rPr>
      </w:pPr>
      <w:r>
        <w:rPr>
          <w:rFonts w:ascii="Arial" w:hAnsi="Arial"/>
        </w:rPr>
        <w:t xml:space="preserve">No. </w:t>
      </w:r>
      <w:r w:rsidR="006D7309">
        <w:rPr>
          <w:rFonts w:ascii="Arial" w:hAnsi="Arial"/>
        </w:rPr>
        <w:t>P</w:t>
      </w:r>
      <w:r w:rsidR="0029130B">
        <w:rPr>
          <w:rFonts w:ascii="Arial" w:hAnsi="Arial"/>
        </w:rPr>
        <w:t>rescribers</w:t>
      </w:r>
      <w:r w:rsidR="006D7309" w:rsidRPr="0064280D">
        <w:rPr>
          <w:rFonts w:ascii="Arial" w:hAnsi="Arial"/>
        </w:rPr>
        <w:t xml:space="preserve"> retain, in consultation with their patient, the ability to choose which brand to prescribe</w:t>
      </w:r>
      <w:r w:rsidR="006D7309">
        <w:rPr>
          <w:rFonts w:ascii="Arial" w:hAnsi="Arial"/>
        </w:rPr>
        <w:t>.</w:t>
      </w:r>
      <w:r w:rsidR="00F545DD" w:rsidRPr="00B63DC4">
        <w:rPr>
          <w:rFonts w:ascii="Arial" w:hAnsi="Arial"/>
          <w:b/>
        </w:rPr>
        <w:t xml:space="preserve"> </w:t>
      </w:r>
    </w:p>
    <w:p w:rsidR="008D233A" w:rsidRPr="00F545DD" w:rsidRDefault="008D233A" w:rsidP="00353950">
      <w:pPr>
        <w:pStyle w:val="Heading2"/>
        <w:spacing w:before="360"/>
        <w:ind w:left="-709"/>
        <w:rPr>
          <w:i w:val="0"/>
        </w:rPr>
      </w:pPr>
      <w:r w:rsidRPr="00F545DD">
        <w:rPr>
          <w:i w:val="0"/>
        </w:rPr>
        <w:t>For how long will the uptake drivers apply?</w:t>
      </w:r>
    </w:p>
    <w:p w:rsidR="00E247F6" w:rsidRDefault="00C068B9" w:rsidP="00E247F6">
      <w:pPr>
        <w:spacing w:before="120" w:after="60"/>
        <w:ind w:left="-709"/>
        <w:rPr>
          <w:rFonts w:ascii="Arial" w:hAnsi="Arial"/>
        </w:rPr>
      </w:pPr>
      <w:r>
        <w:rPr>
          <w:rFonts w:ascii="Arial" w:hAnsi="Arial"/>
        </w:rPr>
        <w:t>The uptake drivers are expected to be</w:t>
      </w:r>
      <w:r w:rsidR="00E247F6">
        <w:rPr>
          <w:rFonts w:ascii="Arial" w:hAnsi="Arial"/>
        </w:rPr>
        <w:t xml:space="preserve"> time-limited </w:t>
      </w:r>
      <w:r>
        <w:rPr>
          <w:rFonts w:ascii="Arial" w:hAnsi="Arial"/>
        </w:rPr>
        <w:t>initiatives to</w:t>
      </w:r>
      <w:r w:rsidR="00E247F6">
        <w:rPr>
          <w:rFonts w:ascii="Arial" w:hAnsi="Arial"/>
        </w:rPr>
        <w:t xml:space="preserve"> </w:t>
      </w:r>
      <w:r>
        <w:rPr>
          <w:rFonts w:ascii="Arial" w:hAnsi="Arial"/>
        </w:rPr>
        <w:t>support</w:t>
      </w:r>
      <w:r w:rsidR="00E247F6">
        <w:rPr>
          <w:rFonts w:ascii="Arial" w:hAnsi="Arial"/>
        </w:rPr>
        <w:t xml:space="preserve"> biosimilar</w:t>
      </w:r>
      <w:r>
        <w:rPr>
          <w:rFonts w:ascii="Arial" w:hAnsi="Arial"/>
        </w:rPr>
        <w:t xml:space="preserve"> brand(s)</w:t>
      </w:r>
      <w:r w:rsidR="00E247F6">
        <w:rPr>
          <w:rFonts w:ascii="Arial" w:hAnsi="Arial"/>
        </w:rPr>
        <w:t xml:space="preserve"> to gain acceptance</w:t>
      </w:r>
      <w:r>
        <w:rPr>
          <w:rFonts w:ascii="Arial" w:hAnsi="Arial"/>
        </w:rPr>
        <w:t xml:space="preserve"> and increased use</w:t>
      </w:r>
      <w:r w:rsidR="00E247F6">
        <w:rPr>
          <w:rFonts w:ascii="Arial" w:hAnsi="Arial"/>
        </w:rPr>
        <w:t>.</w:t>
      </w:r>
    </w:p>
    <w:p w:rsidR="008D233A" w:rsidRPr="00C64B13" w:rsidRDefault="008D233A" w:rsidP="008D233A">
      <w:pPr>
        <w:spacing w:after="120"/>
        <w:ind w:left="-709"/>
        <w:rPr>
          <w:rFonts w:ascii="Arial" w:hAnsi="Arial"/>
        </w:rPr>
      </w:pPr>
      <w:r>
        <w:rPr>
          <w:rFonts w:ascii="Arial" w:hAnsi="Arial"/>
        </w:rPr>
        <w:t>PBS data on t</w:t>
      </w:r>
      <w:r w:rsidRPr="00C64B13">
        <w:rPr>
          <w:rFonts w:ascii="Arial" w:hAnsi="Arial"/>
        </w:rPr>
        <w:t xml:space="preserve">he uptake </w:t>
      </w:r>
      <w:r>
        <w:rPr>
          <w:rFonts w:ascii="Arial" w:hAnsi="Arial"/>
        </w:rPr>
        <w:t xml:space="preserve">of </w:t>
      </w:r>
      <w:proofErr w:type="spellStart"/>
      <w:r w:rsidRPr="00C64B13">
        <w:rPr>
          <w:rFonts w:ascii="Arial" w:hAnsi="Arial"/>
        </w:rPr>
        <w:t>biosimilars</w:t>
      </w:r>
      <w:proofErr w:type="spellEnd"/>
      <w:r w:rsidR="00C068B9">
        <w:rPr>
          <w:rFonts w:ascii="Arial" w:hAnsi="Arial"/>
        </w:rPr>
        <w:t>,</w:t>
      </w:r>
      <w:r w:rsidRPr="00C64B13">
        <w:rPr>
          <w:rFonts w:ascii="Arial" w:hAnsi="Arial"/>
        </w:rPr>
        <w:t xml:space="preserve"> </w:t>
      </w:r>
      <w:r w:rsidR="00C068B9">
        <w:rPr>
          <w:rFonts w:ascii="Arial" w:hAnsi="Arial"/>
        </w:rPr>
        <w:t xml:space="preserve">and the market behaviour of affected products, </w:t>
      </w:r>
      <w:r w:rsidRPr="00C64B13">
        <w:rPr>
          <w:rFonts w:ascii="Arial" w:hAnsi="Arial"/>
        </w:rPr>
        <w:t xml:space="preserve">will be monitored </w:t>
      </w:r>
      <w:r>
        <w:rPr>
          <w:rFonts w:ascii="Arial" w:hAnsi="Arial"/>
        </w:rPr>
        <w:t>by</w:t>
      </w:r>
      <w:r w:rsidRPr="00C64B13">
        <w:rPr>
          <w:rFonts w:ascii="Arial" w:hAnsi="Arial"/>
        </w:rPr>
        <w:t xml:space="preserve"> the Department</w:t>
      </w:r>
      <w:r>
        <w:rPr>
          <w:rFonts w:ascii="Arial" w:hAnsi="Arial"/>
        </w:rPr>
        <w:t xml:space="preserve"> of Health</w:t>
      </w:r>
      <w:r w:rsidR="00672FC3">
        <w:rPr>
          <w:rFonts w:ascii="Arial" w:hAnsi="Arial"/>
        </w:rPr>
        <w:t xml:space="preserve"> for each affected medicine</w:t>
      </w:r>
      <w:r w:rsidRPr="00C64B13">
        <w:rPr>
          <w:rFonts w:ascii="Arial" w:hAnsi="Arial"/>
        </w:rPr>
        <w:t xml:space="preserve">.  </w:t>
      </w:r>
    </w:p>
    <w:p w:rsidR="008D233A" w:rsidRPr="002F6782" w:rsidRDefault="00C068B9" w:rsidP="008D233A">
      <w:pPr>
        <w:spacing w:after="120"/>
        <w:ind w:left="-709"/>
        <w:rPr>
          <w:rFonts w:ascii="Arial" w:hAnsi="Arial"/>
        </w:rPr>
      </w:pPr>
      <w:r>
        <w:rPr>
          <w:rFonts w:ascii="Arial" w:hAnsi="Arial"/>
        </w:rPr>
        <w:t>T</w:t>
      </w:r>
      <w:r w:rsidR="008D233A">
        <w:rPr>
          <w:rFonts w:ascii="Arial" w:hAnsi="Arial"/>
        </w:rPr>
        <w:t xml:space="preserve">he Department will work with </w:t>
      </w:r>
      <w:r>
        <w:rPr>
          <w:rFonts w:ascii="Arial" w:hAnsi="Arial"/>
        </w:rPr>
        <w:t xml:space="preserve">the pharmaceutical </w:t>
      </w:r>
      <w:r w:rsidR="008D233A">
        <w:rPr>
          <w:rFonts w:ascii="Arial" w:hAnsi="Arial"/>
        </w:rPr>
        <w:t xml:space="preserve">industry </w:t>
      </w:r>
      <w:r>
        <w:rPr>
          <w:rFonts w:ascii="Arial" w:hAnsi="Arial"/>
        </w:rPr>
        <w:t xml:space="preserve">to identify indicators for success of the drivers. </w:t>
      </w:r>
    </w:p>
    <w:p w:rsidR="007D6D87" w:rsidRPr="00F545DD" w:rsidRDefault="007D6D87" w:rsidP="00353950">
      <w:pPr>
        <w:pStyle w:val="Heading2"/>
        <w:spacing w:before="360"/>
        <w:ind w:left="-709"/>
        <w:rPr>
          <w:i w:val="0"/>
        </w:rPr>
      </w:pPr>
      <w:r w:rsidRPr="00F545DD">
        <w:rPr>
          <w:i w:val="0"/>
        </w:rPr>
        <w:t>More Information</w:t>
      </w:r>
    </w:p>
    <w:p w:rsidR="00130C3F" w:rsidRDefault="002B28EC" w:rsidP="002B28EC">
      <w:pPr>
        <w:spacing w:before="120" w:after="60"/>
        <w:ind w:left="-709"/>
        <w:rPr>
          <w:rFonts w:ascii="Arial" w:hAnsi="Arial"/>
          <w:lang w:eastAsia="ko-KR"/>
        </w:rPr>
      </w:pPr>
      <w:hyperlink r:id="rId17" w:history="1">
        <w:r w:rsidR="00130C3F" w:rsidRPr="00A165FE">
          <w:rPr>
            <w:rStyle w:val="Hyperlink"/>
            <w:rFonts w:ascii="Arial" w:hAnsi="Arial"/>
            <w:lang w:eastAsia="ko-KR"/>
          </w:rPr>
          <w:t>Fact Sheets</w:t>
        </w:r>
      </w:hyperlink>
      <w:r w:rsidR="00130C3F" w:rsidRPr="00130C3F">
        <w:rPr>
          <w:rFonts w:ascii="Arial" w:hAnsi="Arial"/>
          <w:lang w:eastAsia="ko-KR"/>
        </w:rPr>
        <w:t xml:space="preserve"> providing</w:t>
      </w:r>
      <w:r w:rsidR="00130C3F">
        <w:rPr>
          <w:rFonts w:ascii="Arial" w:hAnsi="Arial"/>
          <w:lang w:eastAsia="ko-KR"/>
        </w:rPr>
        <w:t xml:space="preserve"> </w:t>
      </w:r>
      <w:r w:rsidR="007D6D87">
        <w:rPr>
          <w:rFonts w:ascii="Arial" w:hAnsi="Arial"/>
          <w:lang w:eastAsia="ko-KR"/>
        </w:rPr>
        <w:t xml:space="preserve">information </w:t>
      </w:r>
      <w:r w:rsidR="00130C3F">
        <w:rPr>
          <w:rFonts w:ascii="Arial" w:hAnsi="Arial"/>
          <w:lang w:eastAsia="ko-KR"/>
        </w:rPr>
        <w:t xml:space="preserve">tailored to assist </w:t>
      </w:r>
      <w:r w:rsidR="007D6D87">
        <w:rPr>
          <w:rFonts w:ascii="Arial" w:hAnsi="Arial"/>
          <w:lang w:eastAsia="ko-KR"/>
        </w:rPr>
        <w:t>healthcare professionals</w:t>
      </w:r>
      <w:r w:rsidR="00130C3F">
        <w:rPr>
          <w:rFonts w:ascii="Arial" w:hAnsi="Arial"/>
          <w:lang w:eastAsia="ko-KR"/>
        </w:rPr>
        <w:t xml:space="preserve"> and </w:t>
      </w:r>
      <w:r w:rsidR="007D6D87">
        <w:rPr>
          <w:rFonts w:ascii="Arial" w:hAnsi="Arial"/>
          <w:lang w:eastAsia="ko-KR"/>
        </w:rPr>
        <w:t>consumers</w:t>
      </w:r>
      <w:r w:rsidR="00130C3F">
        <w:rPr>
          <w:rFonts w:ascii="Arial" w:hAnsi="Arial"/>
          <w:lang w:eastAsia="ko-KR"/>
        </w:rPr>
        <w:t xml:space="preserve"> to </w:t>
      </w:r>
      <w:proofErr w:type="gramStart"/>
      <w:r w:rsidR="00130C3F">
        <w:rPr>
          <w:rFonts w:ascii="Arial" w:hAnsi="Arial"/>
          <w:lang w:eastAsia="ko-KR"/>
        </w:rPr>
        <w:t xml:space="preserve">understand </w:t>
      </w:r>
      <w:r w:rsidR="00130C3F" w:rsidRPr="00A165FE">
        <w:rPr>
          <w:rFonts w:ascii="Arial" w:hAnsi="Arial"/>
          <w:lang w:eastAsia="ko-KR"/>
        </w:rPr>
        <w:t xml:space="preserve"> </w:t>
      </w:r>
      <w:r w:rsidR="007D6D87" w:rsidRPr="00A165FE">
        <w:rPr>
          <w:rFonts w:ascii="Arial" w:hAnsi="Arial"/>
          <w:lang w:eastAsia="ko-KR"/>
        </w:rPr>
        <w:t>listings</w:t>
      </w:r>
      <w:proofErr w:type="gramEnd"/>
      <w:r w:rsidR="007D6D87" w:rsidRPr="00A165FE">
        <w:rPr>
          <w:rFonts w:ascii="Arial" w:hAnsi="Arial"/>
          <w:lang w:eastAsia="ko-KR"/>
        </w:rPr>
        <w:t xml:space="preserve"> changes </w:t>
      </w:r>
      <w:r w:rsidR="00122DC3">
        <w:rPr>
          <w:rFonts w:ascii="Arial" w:hAnsi="Arial"/>
          <w:lang w:eastAsia="ko-KR"/>
        </w:rPr>
        <w:t>to implement the</w:t>
      </w:r>
      <w:r w:rsidR="007D6D87" w:rsidRPr="00A165FE">
        <w:rPr>
          <w:rFonts w:ascii="Arial" w:hAnsi="Arial"/>
          <w:lang w:eastAsia="ko-KR"/>
        </w:rPr>
        <w:t xml:space="preserve"> </w:t>
      </w:r>
      <w:proofErr w:type="spellStart"/>
      <w:r w:rsidR="00122DC3">
        <w:rPr>
          <w:rFonts w:ascii="Arial" w:hAnsi="Arial"/>
          <w:lang w:eastAsia="ko-KR"/>
        </w:rPr>
        <w:t>biosimilars</w:t>
      </w:r>
      <w:proofErr w:type="spellEnd"/>
      <w:r w:rsidR="00122DC3">
        <w:rPr>
          <w:rFonts w:ascii="Arial" w:hAnsi="Arial"/>
          <w:lang w:eastAsia="ko-KR"/>
        </w:rPr>
        <w:t xml:space="preserve"> uptake drivers</w:t>
      </w:r>
      <w:r w:rsidR="007D6D87" w:rsidRPr="00A165FE">
        <w:rPr>
          <w:rFonts w:ascii="Arial" w:hAnsi="Arial"/>
          <w:lang w:eastAsia="ko-KR"/>
        </w:rPr>
        <w:t xml:space="preserve"> </w:t>
      </w:r>
      <w:r w:rsidR="00130C3F" w:rsidRPr="00A165FE">
        <w:rPr>
          <w:rFonts w:ascii="Arial" w:hAnsi="Arial"/>
          <w:lang w:eastAsia="ko-KR"/>
        </w:rPr>
        <w:t xml:space="preserve">are published </w:t>
      </w:r>
      <w:r w:rsidR="007D6D87" w:rsidRPr="00A165FE">
        <w:rPr>
          <w:rFonts w:ascii="Arial" w:hAnsi="Arial"/>
          <w:lang w:eastAsia="ko-KR"/>
        </w:rPr>
        <w:t>on the PBS website.</w:t>
      </w:r>
    </w:p>
    <w:p w:rsidR="00130C3F" w:rsidRDefault="00130C3F" w:rsidP="00130C3F">
      <w:pPr>
        <w:spacing w:before="120" w:after="60"/>
        <w:ind w:left="-709"/>
        <w:rPr>
          <w:rFonts w:ascii="Arial" w:hAnsi="Arial"/>
          <w:lang w:eastAsia="ko-KR"/>
        </w:rPr>
      </w:pPr>
      <w:r>
        <w:rPr>
          <w:rFonts w:ascii="Arial" w:hAnsi="Arial"/>
          <w:lang w:eastAsia="ko-KR"/>
        </w:rPr>
        <w:t>I</w:t>
      </w:r>
      <w:r w:rsidR="007D6D87">
        <w:rPr>
          <w:rFonts w:ascii="Arial" w:hAnsi="Arial"/>
          <w:lang w:eastAsia="ko-KR"/>
        </w:rPr>
        <w:t xml:space="preserve">nformation </w:t>
      </w:r>
      <w:r>
        <w:rPr>
          <w:rFonts w:ascii="Arial" w:hAnsi="Arial"/>
          <w:lang w:eastAsia="ko-KR"/>
        </w:rPr>
        <w:t>about</w:t>
      </w:r>
      <w:r w:rsidR="007D6D87">
        <w:rPr>
          <w:rFonts w:ascii="Arial" w:hAnsi="Arial"/>
          <w:lang w:eastAsia="ko-KR"/>
        </w:rPr>
        <w:t xml:space="preserve"> prescribing restrictions </w:t>
      </w:r>
      <w:r w:rsidR="008670AB">
        <w:rPr>
          <w:rFonts w:ascii="Arial" w:hAnsi="Arial"/>
          <w:lang w:eastAsia="ko-KR"/>
        </w:rPr>
        <w:t xml:space="preserve">for biosimilar medicines </w:t>
      </w:r>
      <w:r>
        <w:rPr>
          <w:rFonts w:ascii="Arial" w:hAnsi="Arial"/>
          <w:lang w:eastAsia="ko-KR"/>
        </w:rPr>
        <w:t xml:space="preserve">is set out </w:t>
      </w:r>
      <w:r w:rsidR="007D6D87">
        <w:rPr>
          <w:rFonts w:ascii="Arial" w:hAnsi="Arial"/>
          <w:lang w:eastAsia="ko-KR"/>
        </w:rPr>
        <w:t>in the</w:t>
      </w:r>
      <w:r w:rsidR="008670AB">
        <w:rPr>
          <w:rFonts w:ascii="Arial" w:hAnsi="Arial"/>
          <w:lang w:eastAsia="ko-KR"/>
        </w:rPr>
        <w:t xml:space="preserve"> </w:t>
      </w:r>
      <w:hyperlink r:id="rId18" w:history="1">
        <w:r w:rsidR="008670AB" w:rsidRPr="008670AB">
          <w:rPr>
            <w:rStyle w:val="Hyperlink"/>
            <w:rFonts w:ascii="Arial" w:hAnsi="Arial"/>
            <w:lang w:eastAsia="ko-KR"/>
          </w:rPr>
          <w:t>Schedule of Pharmaceutical Benefits</w:t>
        </w:r>
      </w:hyperlink>
      <w:r w:rsidRPr="00130C3F">
        <w:t xml:space="preserve">, </w:t>
      </w:r>
      <w:r w:rsidRPr="00130C3F">
        <w:rPr>
          <w:rFonts w:ascii="Arial" w:hAnsi="Arial"/>
          <w:lang w:eastAsia="ko-KR"/>
        </w:rPr>
        <w:t>and reflected in prescribing and dispensing software</w:t>
      </w:r>
      <w:r w:rsidR="008670AB">
        <w:rPr>
          <w:rFonts w:ascii="Arial" w:hAnsi="Arial"/>
          <w:lang w:eastAsia="ko-KR"/>
        </w:rPr>
        <w:t xml:space="preserve"> commencing from the first application of the uptake drivers</w:t>
      </w:r>
      <w:r w:rsidR="002B28EC">
        <w:rPr>
          <w:rFonts w:ascii="Arial" w:hAnsi="Arial"/>
          <w:lang w:eastAsia="ko-KR"/>
        </w:rPr>
        <w:t xml:space="preserve"> on</w:t>
      </w:r>
      <w:r w:rsidRPr="00130C3F">
        <w:rPr>
          <w:rFonts w:ascii="Arial" w:hAnsi="Arial"/>
          <w:lang w:eastAsia="ko-KR"/>
        </w:rPr>
        <w:t xml:space="preserve"> 1</w:t>
      </w:r>
      <w:r w:rsidR="008670AB">
        <w:rPr>
          <w:rFonts w:ascii="Arial" w:hAnsi="Arial"/>
          <w:lang w:eastAsia="ko-KR"/>
        </w:rPr>
        <w:t> </w:t>
      </w:r>
      <w:r w:rsidRPr="00130C3F">
        <w:rPr>
          <w:rFonts w:ascii="Arial" w:hAnsi="Arial"/>
          <w:lang w:eastAsia="ko-KR"/>
        </w:rPr>
        <w:t>December</w:t>
      </w:r>
      <w:r w:rsidR="008670AB">
        <w:rPr>
          <w:rFonts w:ascii="Arial" w:hAnsi="Arial"/>
          <w:lang w:eastAsia="ko-KR"/>
        </w:rPr>
        <w:t> </w:t>
      </w:r>
      <w:r w:rsidRPr="00130C3F">
        <w:rPr>
          <w:rFonts w:ascii="Arial" w:hAnsi="Arial"/>
          <w:lang w:eastAsia="ko-KR"/>
        </w:rPr>
        <w:t>2017.</w:t>
      </w:r>
    </w:p>
    <w:p w:rsidR="007D6D87" w:rsidRDefault="00130C3F" w:rsidP="007D6D87">
      <w:pPr>
        <w:spacing w:before="120" w:after="60"/>
        <w:ind w:left="-709"/>
        <w:rPr>
          <w:rFonts w:ascii="Arial" w:hAnsi="Arial"/>
          <w:lang w:eastAsia="ko-KR"/>
        </w:rPr>
      </w:pPr>
      <w:r>
        <w:rPr>
          <w:rFonts w:ascii="Arial" w:hAnsi="Arial"/>
          <w:lang w:eastAsia="ko-KR"/>
        </w:rPr>
        <w:t>I</w:t>
      </w:r>
      <w:r w:rsidR="007D6D87">
        <w:rPr>
          <w:rFonts w:ascii="Arial" w:hAnsi="Arial"/>
          <w:lang w:eastAsia="ko-KR"/>
        </w:rPr>
        <w:t xml:space="preserve">nformation </w:t>
      </w:r>
      <w:r>
        <w:rPr>
          <w:rFonts w:ascii="Arial" w:hAnsi="Arial"/>
          <w:lang w:eastAsia="ko-KR"/>
        </w:rPr>
        <w:t>about</w:t>
      </w:r>
      <w:r w:rsidR="007D6D87">
        <w:rPr>
          <w:rFonts w:ascii="Arial" w:hAnsi="Arial"/>
          <w:lang w:eastAsia="ko-KR"/>
        </w:rPr>
        <w:t xml:space="preserve"> PBS authorit</w:t>
      </w:r>
      <w:r w:rsidR="00672FC3">
        <w:rPr>
          <w:rFonts w:ascii="Arial" w:hAnsi="Arial"/>
          <w:lang w:eastAsia="ko-KR"/>
        </w:rPr>
        <w:t>ies</w:t>
      </w:r>
      <w:r>
        <w:rPr>
          <w:rFonts w:ascii="Arial" w:hAnsi="Arial"/>
          <w:lang w:eastAsia="ko-KR"/>
        </w:rPr>
        <w:t xml:space="preserve"> to prescribe</w:t>
      </w:r>
      <w:r w:rsidR="00E615D7">
        <w:rPr>
          <w:rFonts w:ascii="Arial" w:hAnsi="Arial"/>
          <w:lang w:eastAsia="ko-KR"/>
        </w:rPr>
        <w:t xml:space="preserve"> is available on</w:t>
      </w:r>
      <w:bookmarkStart w:id="0" w:name="_GoBack"/>
      <w:bookmarkEnd w:id="0"/>
      <w:r w:rsidR="00E615D7">
        <w:rPr>
          <w:rFonts w:ascii="Arial" w:hAnsi="Arial"/>
          <w:lang w:eastAsia="ko-KR"/>
        </w:rPr>
        <w:t xml:space="preserve"> the </w:t>
      </w:r>
      <w:hyperlink r:id="rId19" w:history="1">
        <w:r w:rsidR="00E615D7" w:rsidRPr="00E615D7">
          <w:rPr>
            <w:rStyle w:val="Hyperlink"/>
            <w:rFonts w:ascii="Arial" w:hAnsi="Arial"/>
            <w:lang w:eastAsia="ko-KR"/>
          </w:rPr>
          <w:t>Australian Government Department of Human Services website</w:t>
        </w:r>
      </w:hyperlink>
      <w:r w:rsidR="00E615D7">
        <w:rPr>
          <w:rFonts w:ascii="Arial" w:hAnsi="Arial"/>
          <w:lang w:eastAsia="ko-KR"/>
        </w:rPr>
        <w:t>.</w:t>
      </w:r>
    </w:p>
    <w:p w:rsidR="00672FC3" w:rsidRPr="00672FC3" w:rsidRDefault="00672FC3" w:rsidP="00672FC3">
      <w:pPr>
        <w:spacing w:before="120" w:after="60"/>
        <w:ind w:left="-709"/>
        <w:rPr>
          <w:rFonts w:ascii="Arial" w:hAnsi="Arial"/>
          <w:lang w:eastAsia="ko-KR"/>
        </w:rPr>
      </w:pPr>
      <w:r w:rsidRPr="00672FC3">
        <w:rPr>
          <w:rFonts w:ascii="Arial" w:hAnsi="Arial"/>
          <w:lang w:eastAsia="ko-KR"/>
        </w:rPr>
        <w:t>The</w:t>
      </w:r>
      <w:r w:rsidRPr="00E55676">
        <w:rPr>
          <w:rFonts w:ascii="Arial" w:hAnsi="Arial"/>
          <w:lang w:eastAsia="ko-KR"/>
        </w:rPr>
        <w:t xml:space="preserve"> </w:t>
      </w:r>
      <w:proofErr w:type="spellStart"/>
      <w:r w:rsidRPr="00E55676">
        <w:rPr>
          <w:rFonts w:ascii="Arial" w:hAnsi="Arial"/>
          <w:lang w:eastAsia="ko-KR"/>
        </w:rPr>
        <w:t>Biosimilars</w:t>
      </w:r>
      <w:proofErr w:type="spellEnd"/>
      <w:r w:rsidRPr="00E55676">
        <w:rPr>
          <w:rFonts w:ascii="Arial" w:hAnsi="Arial"/>
          <w:lang w:eastAsia="ko-KR"/>
        </w:rPr>
        <w:t xml:space="preserve"> Awareness Initiative webpage on the</w:t>
      </w:r>
      <w:r w:rsidRPr="00E55676">
        <w:t xml:space="preserve"> </w:t>
      </w:r>
      <w:hyperlink r:id="rId20" w:history="1">
        <w:r w:rsidRPr="00672FC3">
          <w:rPr>
            <w:rStyle w:val="Hyperlink"/>
            <w:rFonts w:ascii="Arial" w:hAnsi="Arial"/>
            <w:lang w:eastAsia="ko-KR"/>
          </w:rPr>
          <w:t>Australian Government Department of Health website</w:t>
        </w:r>
      </w:hyperlink>
      <w:r w:rsidRPr="00672FC3">
        <w:rPr>
          <w:rFonts w:ascii="Arial" w:hAnsi="Arial"/>
          <w:lang w:eastAsia="ko-KR"/>
        </w:rPr>
        <w:t xml:space="preserve"> provides information about biosimilar medicines.</w:t>
      </w:r>
    </w:p>
    <w:p w:rsidR="00E615D7" w:rsidRDefault="00672FC3" w:rsidP="00E615D7">
      <w:pPr>
        <w:spacing w:before="120" w:after="60"/>
        <w:ind w:left="-709"/>
        <w:rPr>
          <w:rFonts w:ascii="Arial" w:hAnsi="Arial"/>
          <w:lang w:eastAsia="ko-KR"/>
        </w:rPr>
      </w:pPr>
      <w:r w:rsidRPr="00672FC3">
        <w:rPr>
          <w:rFonts w:ascii="Arial" w:hAnsi="Arial"/>
          <w:lang w:eastAsia="ko-KR"/>
        </w:rPr>
        <w:t xml:space="preserve">The </w:t>
      </w:r>
      <w:proofErr w:type="spellStart"/>
      <w:r w:rsidRPr="00672FC3">
        <w:rPr>
          <w:rFonts w:ascii="Arial" w:hAnsi="Arial"/>
          <w:lang w:eastAsia="ko-KR"/>
        </w:rPr>
        <w:t>biosimilars</w:t>
      </w:r>
      <w:proofErr w:type="spellEnd"/>
      <w:r w:rsidRPr="00672FC3">
        <w:rPr>
          <w:rFonts w:ascii="Arial" w:hAnsi="Arial"/>
          <w:lang w:eastAsia="ko-KR"/>
        </w:rPr>
        <w:t xml:space="preserve"> regulation page on the </w:t>
      </w:r>
      <w:hyperlink r:id="rId21" w:history="1">
        <w:r w:rsidRPr="00672FC3">
          <w:rPr>
            <w:rStyle w:val="Hyperlink"/>
            <w:rFonts w:ascii="Arial" w:hAnsi="Arial"/>
            <w:lang w:eastAsia="ko-KR"/>
          </w:rPr>
          <w:t>Therapeutic Goods Administration website</w:t>
        </w:r>
      </w:hyperlink>
      <w:r w:rsidRPr="00672FC3">
        <w:rPr>
          <w:rStyle w:val="Hyperlink"/>
          <w:lang w:eastAsia="ko-KR"/>
        </w:rPr>
        <w:t xml:space="preserve"> </w:t>
      </w:r>
      <w:r w:rsidRPr="00672FC3">
        <w:rPr>
          <w:rFonts w:ascii="Arial" w:hAnsi="Arial"/>
          <w:lang w:eastAsia="ko-KR"/>
        </w:rPr>
        <w:t>explains the process for approval of biosimilar medicines for use in Australia.</w:t>
      </w:r>
    </w:p>
    <w:p w:rsidR="00003743" w:rsidRPr="00353950" w:rsidRDefault="00E615D7" w:rsidP="00353950">
      <w:pPr>
        <w:spacing w:before="120" w:after="60"/>
        <w:ind w:left="-709"/>
        <w:rPr>
          <w:rFonts w:ascii="Arial" w:hAnsi="Arial"/>
          <w:lang w:eastAsia="ko-KR"/>
        </w:rPr>
      </w:pPr>
      <w:r w:rsidRPr="00754ECC">
        <w:rPr>
          <w:rFonts w:ascii="Arial" w:hAnsi="Arial" w:cs="Arial"/>
        </w:rPr>
        <w:t>The Strategic Agreements between Government and Industry refer</w:t>
      </w:r>
      <w:r>
        <w:rPr>
          <w:rFonts w:ascii="Arial" w:hAnsi="Arial" w:cs="Arial"/>
        </w:rPr>
        <w:t>ring</w:t>
      </w:r>
      <w:r w:rsidRPr="00754ECC">
        <w:rPr>
          <w:rFonts w:ascii="Arial" w:hAnsi="Arial" w:cs="Arial"/>
        </w:rPr>
        <w:t xml:space="preserve"> to the biosimilar uptake drivers</w:t>
      </w:r>
      <w:r>
        <w:rPr>
          <w:rFonts w:ascii="Arial" w:hAnsi="Arial" w:cs="Arial"/>
        </w:rPr>
        <w:t xml:space="preserve"> are available on the </w:t>
      </w:r>
      <w:hyperlink r:id="rId22" w:history="1">
        <w:r w:rsidRPr="00F71F26">
          <w:rPr>
            <w:rStyle w:val="Hyperlink"/>
            <w:rFonts w:ascii="Arial" w:hAnsi="Arial" w:cs="Arial"/>
          </w:rPr>
          <w:t>Australian Government Department of Health website</w:t>
        </w:r>
      </w:hyperlink>
      <w:r>
        <w:rPr>
          <w:rFonts w:ascii="Arial" w:hAnsi="Arial" w:cs="Arial"/>
        </w:rPr>
        <w:t>.</w:t>
      </w:r>
    </w:p>
    <w:sectPr w:rsidR="00003743" w:rsidRPr="00353950" w:rsidSect="007D6D87">
      <w:headerReference w:type="even" r:id="rId23"/>
      <w:headerReference w:type="default" r:id="rId24"/>
      <w:footerReference w:type="even" r:id="rId25"/>
      <w:footerReference w:type="default" r:id="rId26"/>
      <w:headerReference w:type="first" r:id="rId27"/>
      <w:footerReference w:type="first" r:id="rId28"/>
      <w:pgSz w:w="11906" w:h="16838"/>
      <w:pgMar w:top="992" w:right="1797" w:bottom="1276"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949" w:rsidRDefault="00BF6949" w:rsidP="002D509D">
      <w:r>
        <w:separator/>
      </w:r>
    </w:p>
  </w:endnote>
  <w:endnote w:type="continuationSeparator" w:id="0">
    <w:p w:rsidR="00BF6949" w:rsidRDefault="00BF6949" w:rsidP="002D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105" w:rsidRDefault="00D241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105" w:rsidRDefault="00D241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105" w:rsidRDefault="00D241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949" w:rsidRDefault="00BF6949" w:rsidP="002D509D">
      <w:r>
        <w:separator/>
      </w:r>
    </w:p>
  </w:footnote>
  <w:footnote w:type="continuationSeparator" w:id="0">
    <w:p w:rsidR="00BF6949" w:rsidRDefault="00BF6949" w:rsidP="002D5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105" w:rsidRDefault="00D241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105" w:rsidRDefault="00D241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105" w:rsidRDefault="00D24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748C"/>
    <w:multiLevelType w:val="hybridMultilevel"/>
    <w:tmpl w:val="EE0E31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12D40ED8"/>
    <w:multiLevelType w:val="hybridMultilevel"/>
    <w:tmpl w:val="A072D64A"/>
    <w:lvl w:ilvl="0" w:tplc="AF00200E">
      <w:start w:val="1"/>
      <w:numFmt w:val="bullet"/>
      <w:lvlText w:val=""/>
      <w:lvlJc w:val="left"/>
      <w:pPr>
        <w:ind w:left="720" w:hanging="360"/>
      </w:pPr>
      <w:rPr>
        <w:rFonts w:ascii="Symbol" w:hAnsi="Symbol" w:hint="default"/>
      </w:rPr>
    </w:lvl>
    <w:lvl w:ilvl="1" w:tplc="068EE5EE">
      <w:start w:val="1"/>
      <w:numFmt w:val="bullet"/>
      <w:lvlText w:val="o"/>
      <w:lvlJc w:val="left"/>
      <w:pPr>
        <w:ind w:left="1440" w:hanging="360"/>
      </w:pPr>
      <w:rPr>
        <w:rFonts w:ascii="Courier New" w:hAnsi="Courier New" w:cs="Courier New" w:hint="default"/>
      </w:rPr>
    </w:lvl>
    <w:lvl w:ilvl="2" w:tplc="82C4F748">
      <w:start w:val="1"/>
      <w:numFmt w:val="bullet"/>
      <w:lvlText w:val=""/>
      <w:lvlJc w:val="left"/>
      <w:pPr>
        <w:ind w:left="2160" w:hanging="360"/>
      </w:pPr>
      <w:rPr>
        <w:rFonts w:ascii="Wingdings" w:hAnsi="Wingdings" w:hint="default"/>
      </w:rPr>
    </w:lvl>
    <w:lvl w:ilvl="3" w:tplc="2ECA4C04">
      <w:start w:val="1"/>
      <w:numFmt w:val="bullet"/>
      <w:lvlText w:val=""/>
      <w:lvlJc w:val="left"/>
      <w:pPr>
        <w:ind w:left="2880" w:hanging="360"/>
      </w:pPr>
      <w:rPr>
        <w:rFonts w:ascii="Symbol" w:hAnsi="Symbol" w:hint="default"/>
      </w:rPr>
    </w:lvl>
    <w:lvl w:ilvl="4" w:tplc="AE7697D4">
      <w:start w:val="1"/>
      <w:numFmt w:val="bullet"/>
      <w:lvlText w:val="o"/>
      <w:lvlJc w:val="left"/>
      <w:pPr>
        <w:ind w:left="3600" w:hanging="360"/>
      </w:pPr>
      <w:rPr>
        <w:rFonts w:ascii="Courier New" w:hAnsi="Courier New" w:cs="Courier New" w:hint="default"/>
      </w:rPr>
    </w:lvl>
    <w:lvl w:ilvl="5" w:tplc="233AD952">
      <w:start w:val="1"/>
      <w:numFmt w:val="bullet"/>
      <w:lvlText w:val=""/>
      <w:lvlJc w:val="left"/>
      <w:pPr>
        <w:ind w:left="4320" w:hanging="360"/>
      </w:pPr>
      <w:rPr>
        <w:rFonts w:ascii="Wingdings" w:hAnsi="Wingdings" w:hint="default"/>
      </w:rPr>
    </w:lvl>
    <w:lvl w:ilvl="6" w:tplc="A802C304">
      <w:start w:val="1"/>
      <w:numFmt w:val="bullet"/>
      <w:lvlText w:val=""/>
      <w:lvlJc w:val="left"/>
      <w:pPr>
        <w:ind w:left="5040" w:hanging="360"/>
      </w:pPr>
      <w:rPr>
        <w:rFonts w:ascii="Symbol" w:hAnsi="Symbol" w:hint="default"/>
      </w:rPr>
    </w:lvl>
    <w:lvl w:ilvl="7" w:tplc="220A477A">
      <w:start w:val="1"/>
      <w:numFmt w:val="bullet"/>
      <w:lvlText w:val="o"/>
      <w:lvlJc w:val="left"/>
      <w:pPr>
        <w:ind w:left="5760" w:hanging="360"/>
      </w:pPr>
      <w:rPr>
        <w:rFonts w:ascii="Courier New" w:hAnsi="Courier New" w:cs="Courier New" w:hint="default"/>
      </w:rPr>
    </w:lvl>
    <w:lvl w:ilvl="8" w:tplc="A1CA2A3A">
      <w:start w:val="1"/>
      <w:numFmt w:val="bullet"/>
      <w:lvlText w:val=""/>
      <w:lvlJc w:val="left"/>
      <w:pPr>
        <w:ind w:left="6480" w:hanging="360"/>
      </w:pPr>
      <w:rPr>
        <w:rFonts w:ascii="Wingdings" w:hAnsi="Wingdings" w:hint="default"/>
      </w:rPr>
    </w:lvl>
  </w:abstractNum>
  <w:abstractNum w:abstractNumId="2">
    <w:nsid w:val="20C15035"/>
    <w:multiLevelType w:val="hybridMultilevel"/>
    <w:tmpl w:val="8020B90E"/>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
    <w:nsid w:val="2B477D96"/>
    <w:multiLevelType w:val="hybridMultilevel"/>
    <w:tmpl w:val="2AF08056"/>
    <w:lvl w:ilvl="0" w:tplc="0C09000F">
      <w:start w:val="1"/>
      <w:numFmt w:val="decimal"/>
      <w:lvlText w:val="%1."/>
      <w:lvlJc w:val="left"/>
      <w:pPr>
        <w:ind w:left="11" w:hanging="360"/>
      </w:pPr>
      <w:rPr>
        <w:rFonts w:hint="default"/>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start w:val="1"/>
      <w:numFmt w:val="bullet"/>
      <w:lvlText w:val=""/>
      <w:lvlJc w:val="left"/>
      <w:pPr>
        <w:ind w:left="2171" w:hanging="360"/>
      </w:pPr>
      <w:rPr>
        <w:rFonts w:ascii="Symbol" w:hAnsi="Symbol" w:hint="default"/>
      </w:rPr>
    </w:lvl>
    <w:lvl w:ilvl="4" w:tplc="0C090003">
      <w:start w:val="1"/>
      <w:numFmt w:val="bullet"/>
      <w:lvlText w:val="o"/>
      <w:lvlJc w:val="left"/>
      <w:pPr>
        <w:ind w:left="2891" w:hanging="360"/>
      </w:pPr>
      <w:rPr>
        <w:rFonts w:ascii="Courier New" w:hAnsi="Courier New" w:cs="Courier New" w:hint="default"/>
      </w:rPr>
    </w:lvl>
    <w:lvl w:ilvl="5" w:tplc="0C090005">
      <w:start w:val="1"/>
      <w:numFmt w:val="bullet"/>
      <w:lvlText w:val=""/>
      <w:lvlJc w:val="left"/>
      <w:pPr>
        <w:ind w:left="3611" w:hanging="360"/>
      </w:pPr>
      <w:rPr>
        <w:rFonts w:ascii="Wingdings" w:hAnsi="Wingdings" w:hint="default"/>
      </w:rPr>
    </w:lvl>
    <w:lvl w:ilvl="6" w:tplc="0C090001">
      <w:start w:val="1"/>
      <w:numFmt w:val="bullet"/>
      <w:lvlText w:val=""/>
      <w:lvlJc w:val="left"/>
      <w:pPr>
        <w:ind w:left="4331" w:hanging="360"/>
      </w:pPr>
      <w:rPr>
        <w:rFonts w:ascii="Symbol" w:hAnsi="Symbol" w:hint="default"/>
      </w:rPr>
    </w:lvl>
    <w:lvl w:ilvl="7" w:tplc="0C090003">
      <w:start w:val="1"/>
      <w:numFmt w:val="bullet"/>
      <w:lvlText w:val="o"/>
      <w:lvlJc w:val="left"/>
      <w:pPr>
        <w:ind w:left="5051" w:hanging="360"/>
      </w:pPr>
      <w:rPr>
        <w:rFonts w:ascii="Courier New" w:hAnsi="Courier New" w:cs="Courier New" w:hint="default"/>
      </w:rPr>
    </w:lvl>
    <w:lvl w:ilvl="8" w:tplc="0C090005">
      <w:start w:val="1"/>
      <w:numFmt w:val="bullet"/>
      <w:lvlText w:val=""/>
      <w:lvlJc w:val="left"/>
      <w:pPr>
        <w:ind w:left="5771" w:hanging="360"/>
      </w:pPr>
      <w:rPr>
        <w:rFonts w:ascii="Wingdings" w:hAnsi="Wingdings" w:hint="default"/>
      </w:rPr>
    </w:lvl>
  </w:abstractNum>
  <w:abstractNum w:abstractNumId="4">
    <w:nsid w:val="2F115985"/>
    <w:multiLevelType w:val="hybridMultilevel"/>
    <w:tmpl w:val="0CF44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D90102F"/>
    <w:multiLevelType w:val="hybridMultilevel"/>
    <w:tmpl w:val="21C626D0"/>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6">
    <w:nsid w:val="49B613E3"/>
    <w:multiLevelType w:val="hybridMultilevel"/>
    <w:tmpl w:val="5BECDCA8"/>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7">
    <w:nsid w:val="71615A40"/>
    <w:multiLevelType w:val="hybridMultilevel"/>
    <w:tmpl w:val="0A408A28"/>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8">
    <w:nsid w:val="74B46716"/>
    <w:multiLevelType w:val="hybridMultilevel"/>
    <w:tmpl w:val="02BC55D4"/>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9">
    <w:nsid w:val="76183DF5"/>
    <w:multiLevelType w:val="hybridMultilevel"/>
    <w:tmpl w:val="6E74D3DE"/>
    <w:lvl w:ilvl="0" w:tplc="C23E7DC4">
      <w:start w:val="1"/>
      <w:numFmt w:val="decimal"/>
      <w:lvlText w:val="%1."/>
      <w:lvlJc w:val="left"/>
      <w:pPr>
        <w:ind w:left="-349" w:hanging="360"/>
      </w:pPr>
      <w:rPr>
        <w:rFonts w:hint="default"/>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10">
    <w:nsid w:val="77D33ACA"/>
    <w:multiLevelType w:val="hybridMultilevel"/>
    <w:tmpl w:val="346EE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9"/>
  </w:num>
  <w:num w:numId="5">
    <w:abstractNumId w:val="10"/>
  </w:num>
  <w:num w:numId="6">
    <w:abstractNumId w:val="1"/>
  </w:num>
  <w:num w:numId="7">
    <w:abstractNumId w:val="0"/>
  </w:num>
  <w:num w:numId="8">
    <w:abstractNumId w:val="5"/>
  </w:num>
  <w:num w:numId="9">
    <w:abstractNumId w:val="2"/>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FC6"/>
    <w:rsid w:val="00003743"/>
    <w:rsid w:val="00035335"/>
    <w:rsid w:val="00047B0E"/>
    <w:rsid w:val="00067456"/>
    <w:rsid w:val="0006787C"/>
    <w:rsid w:val="000D6C73"/>
    <w:rsid w:val="000F32D8"/>
    <w:rsid w:val="000F5587"/>
    <w:rsid w:val="00107E24"/>
    <w:rsid w:val="00120F1E"/>
    <w:rsid w:val="00122DC3"/>
    <w:rsid w:val="00130C3F"/>
    <w:rsid w:val="0013407E"/>
    <w:rsid w:val="00135CE3"/>
    <w:rsid w:val="00177763"/>
    <w:rsid w:val="00194CCF"/>
    <w:rsid w:val="001B3443"/>
    <w:rsid w:val="001B695E"/>
    <w:rsid w:val="001D2E8C"/>
    <w:rsid w:val="001E1B5E"/>
    <w:rsid w:val="00254DEA"/>
    <w:rsid w:val="00273C9B"/>
    <w:rsid w:val="00274CD4"/>
    <w:rsid w:val="00285FC6"/>
    <w:rsid w:val="0029130B"/>
    <w:rsid w:val="002B28EC"/>
    <w:rsid w:val="002C5A07"/>
    <w:rsid w:val="002D509D"/>
    <w:rsid w:val="002D58D1"/>
    <w:rsid w:val="002E5228"/>
    <w:rsid w:val="002F3AE3"/>
    <w:rsid w:val="002F5E27"/>
    <w:rsid w:val="00305E19"/>
    <w:rsid w:val="0030786C"/>
    <w:rsid w:val="00307F83"/>
    <w:rsid w:val="00352770"/>
    <w:rsid w:val="00353950"/>
    <w:rsid w:val="003615EA"/>
    <w:rsid w:val="003679DB"/>
    <w:rsid w:val="00373B8B"/>
    <w:rsid w:val="0038226D"/>
    <w:rsid w:val="003C2B6E"/>
    <w:rsid w:val="003D17F9"/>
    <w:rsid w:val="003D473D"/>
    <w:rsid w:val="003F2F6D"/>
    <w:rsid w:val="004069FA"/>
    <w:rsid w:val="00430593"/>
    <w:rsid w:val="00471A62"/>
    <w:rsid w:val="0047395E"/>
    <w:rsid w:val="004867E2"/>
    <w:rsid w:val="00492CDA"/>
    <w:rsid w:val="004A4D69"/>
    <w:rsid w:val="004C5E21"/>
    <w:rsid w:val="004F764F"/>
    <w:rsid w:val="00506B8C"/>
    <w:rsid w:val="005818B1"/>
    <w:rsid w:val="00595594"/>
    <w:rsid w:val="0059575F"/>
    <w:rsid w:val="005A7BA3"/>
    <w:rsid w:val="005D726A"/>
    <w:rsid w:val="005F2312"/>
    <w:rsid w:val="00606031"/>
    <w:rsid w:val="00611237"/>
    <w:rsid w:val="00644257"/>
    <w:rsid w:val="00672FC3"/>
    <w:rsid w:val="00690E34"/>
    <w:rsid w:val="006C188A"/>
    <w:rsid w:val="006D7309"/>
    <w:rsid w:val="00743379"/>
    <w:rsid w:val="007935E5"/>
    <w:rsid w:val="007B790D"/>
    <w:rsid w:val="007D6D87"/>
    <w:rsid w:val="007E29A7"/>
    <w:rsid w:val="007E4090"/>
    <w:rsid w:val="00817315"/>
    <w:rsid w:val="008264EB"/>
    <w:rsid w:val="008670AB"/>
    <w:rsid w:val="00885407"/>
    <w:rsid w:val="008A07B6"/>
    <w:rsid w:val="008A56A7"/>
    <w:rsid w:val="008C78EF"/>
    <w:rsid w:val="008D233A"/>
    <w:rsid w:val="008F47C1"/>
    <w:rsid w:val="00914395"/>
    <w:rsid w:val="009942AB"/>
    <w:rsid w:val="00997132"/>
    <w:rsid w:val="009B4ADA"/>
    <w:rsid w:val="009C334E"/>
    <w:rsid w:val="00A165FE"/>
    <w:rsid w:val="00A4512D"/>
    <w:rsid w:val="00A51626"/>
    <w:rsid w:val="00A705AF"/>
    <w:rsid w:val="00A74B88"/>
    <w:rsid w:val="00A94ACB"/>
    <w:rsid w:val="00A959C9"/>
    <w:rsid w:val="00AA6452"/>
    <w:rsid w:val="00AD7BB7"/>
    <w:rsid w:val="00AE0A60"/>
    <w:rsid w:val="00B32BD5"/>
    <w:rsid w:val="00B42851"/>
    <w:rsid w:val="00B63DC4"/>
    <w:rsid w:val="00B70F40"/>
    <w:rsid w:val="00B71F42"/>
    <w:rsid w:val="00B83F94"/>
    <w:rsid w:val="00BB29AF"/>
    <w:rsid w:val="00BF6949"/>
    <w:rsid w:val="00C008A4"/>
    <w:rsid w:val="00C068B9"/>
    <w:rsid w:val="00C12603"/>
    <w:rsid w:val="00C51E09"/>
    <w:rsid w:val="00C600F1"/>
    <w:rsid w:val="00C67015"/>
    <w:rsid w:val="00C94FFB"/>
    <w:rsid w:val="00CA34EA"/>
    <w:rsid w:val="00CB5B1A"/>
    <w:rsid w:val="00CF6A08"/>
    <w:rsid w:val="00D07BB5"/>
    <w:rsid w:val="00D22F0E"/>
    <w:rsid w:val="00D24105"/>
    <w:rsid w:val="00D27FC6"/>
    <w:rsid w:val="00D55BC8"/>
    <w:rsid w:val="00DA62A5"/>
    <w:rsid w:val="00DC6688"/>
    <w:rsid w:val="00DE171F"/>
    <w:rsid w:val="00E02617"/>
    <w:rsid w:val="00E051CE"/>
    <w:rsid w:val="00E247F6"/>
    <w:rsid w:val="00E24B67"/>
    <w:rsid w:val="00E418B1"/>
    <w:rsid w:val="00E41E65"/>
    <w:rsid w:val="00E53AF4"/>
    <w:rsid w:val="00E55676"/>
    <w:rsid w:val="00E615D7"/>
    <w:rsid w:val="00E651A8"/>
    <w:rsid w:val="00EC4063"/>
    <w:rsid w:val="00ED3FDF"/>
    <w:rsid w:val="00EE3E16"/>
    <w:rsid w:val="00F05ED9"/>
    <w:rsid w:val="00F254D7"/>
    <w:rsid w:val="00F270F6"/>
    <w:rsid w:val="00F3588E"/>
    <w:rsid w:val="00F35D5E"/>
    <w:rsid w:val="00F461AC"/>
    <w:rsid w:val="00F510B7"/>
    <w:rsid w:val="00F54308"/>
    <w:rsid w:val="00F545DD"/>
    <w:rsid w:val="00F54F30"/>
    <w:rsid w:val="00F73409"/>
    <w:rsid w:val="00F93C70"/>
    <w:rsid w:val="00FA3A21"/>
    <w:rsid w:val="00FB0117"/>
    <w:rsid w:val="00FD075B"/>
    <w:rsid w:val="00FE3420"/>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5FC6"/>
    <w:rPr>
      <w:sz w:val="24"/>
      <w:szCs w:val="24"/>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Points,Bullet point,List Paragraph1,List Paragraph11,Recommendation,L,Bullet Point,Bulletr List Paragraph,Content descriptions,FooterText,List Bullet 1,List Paragraph2,List Paragraph21,Listeafsnit1,NFP GP Bulleted List,リスト段落"/>
    <w:basedOn w:val="Normal"/>
    <w:link w:val="ListParagraphChar"/>
    <w:uiPriority w:val="34"/>
    <w:qFormat/>
    <w:rsid w:val="00A4512D"/>
    <w:pPr>
      <w:ind w:left="720"/>
      <w:contextualSpacing/>
    </w:pPr>
  </w:style>
  <w:style w:type="character" w:styleId="Hyperlink">
    <w:name w:val="Hyperlink"/>
    <w:basedOn w:val="DefaultParagraphFont"/>
    <w:uiPriority w:val="99"/>
    <w:unhideWhenUsed/>
    <w:rsid w:val="00285FC6"/>
    <w:rPr>
      <w:color w:val="0000FF" w:themeColor="hyperlink"/>
      <w:u w:val="single"/>
    </w:rPr>
  </w:style>
  <w:style w:type="table" w:styleId="TableGrid">
    <w:name w:val="Table Grid"/>
    <w:basedOn w:val="TableNormal"/>
    <w:rsid w:val="00285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85FC6"/>
    <w:rPr>
      <w:rFonts w:ascii="Tahoma" w:hAnsi="Tahoma" w:cs="Tahoma"/>
      <w:sz w:val="16"/>
      <w:szCs w:val="16"/>
    </w:rPr>
  </w:style>
  <w:style w:type="character" w:customStyle="1" w:styleId="BalloonTextChar">
    <w:name w:val="Balloon Text Char"/>
    <w:basedOn w:val="DefaultParagraphFont"/>
    <w:link w:val="BalloonText"/>
    <w:rsid w:val="00285FC6"/>
    <w:rPr>
      <w:rFonts w:ascii="Tahoma" w:hAnsi="Tahoma" w:cs="Tahoma"/>
      <w:sz w:val="16"/>
      <w:szCs w:val="16"/>
    </w:rPr>
  </w:style>
  <w:style w:type="paragraph" w:styleId="FootnoteText">
    <w:name w:val="footnote text"/>
    <w:basedOn w:val="Normal"/>
    <w:link w:val="FootnoteTextChar"/>
    <w:rsid w:val="002D509D"/>
    <w:rPr>
      <w:sz w:val="20"/>
      <w:szCs w:val="20"/>
    </w:rPr>
  </w:style>
  <w:style w:type="character" w:customStyle="1" w:styleId="FootnoteTextChar">
    <w:name w:val="Footnote Text Char"/>
    <w:basedOn w:val="DefaultParagraphFont"/>
    <w:link w:val="FootnoteText"/>
    <w:rsid w:val="002D509D"/>
  </w:style>
  <w:style w:type="character" w:styleId="FootnoteReference">
    <w:name w:val="footnote reference"/>
    <w:basedOn w:val="DefaultParagraphFont"/>
    <w:rsid w:val="002D509D"/>
    <w:rPr>
      <w:vertAlign w:val="superscript"/>
    </w:rPr>
  </w:style>
  <w:style w:type="character" w:customStyle="1" w:styleId="ListParagraphChar">
    <w:name w:val="List Paragraph Char"/>
    <w:aliases w:val="BulletPoints Char,Bullet point Char,List Paragraph1 Char,List Paragraph11 Char,Recommendation Char,L Char,Bullet Point Char,Bulletr List Paragraph Char,Content descriptions Char,FooterText Char,List Bullet 1 Char,List Paragraph2 Char"/>
    <w:basedOn w:val="DefaultParagraphFont"/>
    <w:link w:val="ListParagraph"/>
    <w:uiPriority w:val="34"/>
    <w:qFormat/>
    <w:locked/>
    <w:rsid w:val="007D6D87"/>
    <w:rPr>
      <w:sz w:val="24"/>
      <w:szCs w:val="24"/>
    </w:rPr>
  </w:style>
  <w:style w:type="character" w:styleId="CommentReference">
    <w:name w:val="annotation reference"/>
    <w:basedOn w:val="DefaultParagraphFont"/>
    <w:rsid w:val="007D6D87"/>
    <w:rPr>
      <w:sz w:val="16"/>
      <w:szCs w:val="16"/>
    </w:rPr>
  </w:style>
  <w:style w:type="paragraph" w:styleId="CommentText">
    <w:name w:val="annotation text"/>
    <w:basedOn w:val="Normal"/>
    <w:link w:val="CommentTextChar"/>
    <w:rsid w:val="007D6D87"/>
    <w:rPr>
      <w:sz w:val="20"/>
      <w:szCs w:val="20"/>
    </w:rPr>
  </w:style>
  <w:style w:type="character" w:customStyle="1" w:styleId="CommentTextChar">
    <w:name w:val="Comment Text Char"/>
    <w:basedOn w:val="DefaultParagraphFont"/>
    <w:link w:val="CommentText"/>
    <w:rsid w:val="007D6D87"/>
  </w:style>
  <w:style w:type="character" w:styleId="FollowedHyperlink">
    <w:name w:val="FollowedHyperlink"/>
    <w:basedOn w:val="DefaultParagraphFont"/>
    <w:rsid w:val="00FD075B"/>
    <w:rPr>
      <w:color w:val="800080" w:themeColor="followedHyperlink"/>
      <w:u w:val="single"/>
    </w:rPr>
  </w:style>
  <w:style w:type="paragraph" w:styleId="CommentSubject">
    <w:name w:val="annotation subject"/>
    <w:basedOn w:val="CommentText"/>
    <w:next w:val="CommentText"/>
    <w:link w:val="CommentSubjectChar"/>
    <w:rsid w:val="0006787C"/>
    <w:rPr>
      <w:b/>
      <w:bCs/>
    </w:rPr>
  </w:style>
  <w:style w:type="character" w:customStyle="1" w:styleId="CommentSubjectChar">
    <w:name w:val="Comment Subject Char"/>
    <w:basedOn w:val="CommentTextChar"/>
    <w:link w:val="CommentSubject"/>
    <w:rsid w:val="0006787C"/>
    <w:rPr>
      <w:b/>
      <w:bCs/>
    </w:rPr>
  </w:style>
  <w:style w:type="paragraph" w:styleId="Header">
    <w:name w:val="header"/>
    <w:basedOn w:val="Normal"/>
    <w:link w:val="HeaderChar"/>
    <w:rsid w:val="00D24105"/>
    <w:pPr>
      <w:tabs>
        <w:tab w:val="center" w:pos="4513"/>
        <w:tab w:val="right" w:pos="9026"/>
      </w:tabs>
    </w:pPr>
  </w:style>
  <w:style w:type="character" w:customStyle="1" w:styleId="HeaderChar">
    <w:name w:val="Header Char"/>
    <w:basedOn w:val="DefaultParagraphFont"/>
    <w:link w:val="Header"/>
    <w:rsid w:val="00D24105"/>
    <w:rPr>
      <w:sz w:val="24"/>
      <w:szCs w:val="24"/>
    </w:rPr>
  </w:style>
  <w:style w:type="paragraph" w:styleId="Footer">
    <w:name w:val="footer"/>
    <w:basedOn w:val="Normal"/>
    <w:link w:val="FooterChar"/>
    <w:rsid w:val="00D24105"/>
    <w:pPr>
      <w:tabs>
        <w:tab w:val="center" w:pos="4513"/>
        <w:tab w:val="right" w:pos="9026"/>
      </w:tabs>
    </w:pPr>
  </w:style>
  <w:style w:type="character" w:customStyle="1" w:styleId="FooterChar">
    <w:name w:val="Footer Char"/>
    <w:basedOn w:val="DefaultParagraphFont"/>
    <w:link w:val="Footer"/>
    <w:rsid w:val="00D24105"/>
    <w:rPr>
      <w:sz w:val="24"/>
      <w:szCs w:val="24"/>
    </w:rPr>
  </w:style>
  <w:style w:type="paragraph" w:styleId="Revision">
    <w:name w:val="Revision"/>
    <w:hidden/>
    <w:uiPriority w:val="99"/>
    <w:semiHidden/>
    <w:rsid w:val="000F558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5FC6"/>
    <w:rPr>
      <w:sz w:val="24"/>
      <w:szCs w:val="24"/>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Points,Bullet point,List Paragraph1,List Paragraph11,Recommendation,L,Bullet Point,Bulletr List Paragraph,Content descriptions,FooterText,List Bullet 1,List Paragraph2,List Paragraph21,Listeafsnit1,NFP GP Bulleted List,リスト段落"/>
    <w:basedOn w:val="Normal"/>
    <w:link w:val="ListParagraphChar"/>
    <w:uiPriority w:val="34"/>
    <w:qFormat/>
    <w:rsid w:val="00A4512D"/>
    <w:pPr>
      <w:ind w:left="720"/>
      <w:contextualSpacing/>
    </w:pPr>
  </w:style>
  <w:style w:type="character" w:styleId="Hyperlink">
    <w:name w:val="Hyperlink"/>
    <w:basedOn w:val="DefaultParagraphFont"/>
    <w:uiPriority w:val="99"/>
    <w:unhideWhenUsed/>
    <w:rsid w:val="00285FC6"/>
    <w:rPr>
      <w:color w:val="0000FF" w:themeColor="hyperlink"/>
      <w:u w:val="single"/>
    </w:rPr>
  </w:style>
  <w:style w:type="table" w:styleId="TableGrid">
    <w:name w:val="Table Grid"/>
    <w:basedOn w:val="TableNormal"/>
    <w:rsid w:val="00285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85FC6"/>
    <w:rPr>
      <w:rFonts w:ascii="Tahoma" w:hAnsi="Tahoma" w:cs="Tahoma"/>
      <w:sz w:val="16"/>
      <w:szCs w:val="16"/>
    </w:rPr>
  </w:style>
  <w:style w:type="character" w:customStyle="1" w:styleId="BalloonTextChar">
    <w:name w:val="Balloon Text Char"/>
    <w:basedOn w:val="DefaultParagraphFont"/>
    <w:link w:val="BalloonText"/>
    <w:rsid w:val="00285FC6"/>
    <w:rPr>
      <w:rFonts w:ascii="Tahoma" w:hAnsi="Tahoma" w:cs="Tahoma"/>
      <w:sz w:val="16"/>
      <w:szCs w:val="16"/>
    </w:rPr>
  </w:style>
  <w:style w:type="paragraph" w:styleId="FootnoteText">
    <w:name w:val="footnote text"/>
    <w:basedOn w:val="Normal"/>
    <w:link w:val="FootnoteTextChar"/>
    <w:rsid w:val="002D509D"/>
    <w:rPr>
      <w:sz w:val="20"/>
      <w:szCs w:val="20"/>
    </w:rPr>
  </w:style>
  <w:style w:type="character" w:customStyle="1" w:styleId="FootnoteTextChar">
    <w:name w:val="Footnote Text Char"/>
    <w:basedOn w:val="DefaultParagraphFont"/>
    <w:link w:val="FootnoteText"/>
    <w:rsid w:val="002D509D"/>
  </w:style>
  <w:style w:type="character" w:styleId="FootnoteReference">
    <w:name w:val="footnote reference"/>
    <w:basedOn w:val="DefaultParagraphFont"/>
    <w:rsid w:val="002D509D"/>
    <w:rPr>
      <w:vertAlign w:val="superscript"/>
    </w:rPr>
  </w:style>
  <w:style w:type="character" w:customStyle="1" w:styleId="ListParagraphChar">
    <w:name w:val="List Paragraph Char"/>
    <w:aliases w:val="BulletPoints Char,Bullet point Char,List Paragraph1 Char,List Paragraph11 Char,Recommendation Char,L Char,Bullet Point Char,Bulletr List Paragraph Char,Content descriptions Char,FooterText Char,List Bullet 1 Char,List Paragraph2 Char"/>
    <w:basedOn w:val="DefaultParagraphFont"/>
    <w:link w:val="ListParagraph"/>
    <w:uiPriority w:val="34"/>
    <w:qFormat/>
    <w:locked/>
    <w:rsid w:val="007D6D87"/>
    <w:rPr>
      <w:sz w:val="24"/>
      <w:szCs w:val="24"/>
    </w:rPr>
  </w:style>
  <w:style w:type="character" w:styleId="CommentReference">
    <w:name w:val="annotation reference"/>
    <w:basedOn w:val="DefaultParagraphFont"/>
    <w:rsid w:val="007D6D87"/>
    <w:rPr>
      <w:sz w:val="16"/>
      <w:szCs w:val="16"/>
    </w:rPr>
  </w:style>
  <w:style w:type="paragraph" w:styleId="CommentText">
    <w:name w:val="annotation text"/>
    <w:basedOn w:val="Normal"/>
    <w:link w:val="CommentTextChar"/>
    <w:rsid w:val="007D6D87"/>
    <w:rPr>
      <w:sz w:val="20"/>
      <w:szCs w:val="20"/>
    </w:rPr>
  </w:style>
  <w:style w:type="character" w:customStyle="1" w:styleId="CommentTextChar">
    <w:name w:val="Comment Text Char"/>
    <w:basedOn w:val="DefaultParagraphFont"/>
    <w:link w:val="CommentText"/>
    <w:rsid w:val="007D6D87"/>
  </w:style>
  <w:style w:type="character" w:styleId="FollowedHyperlink">
    <w:name w:val="FollowedHyperlink"/>
    <w:basedOn w:val="DefaultParagraphFont"/>
    <w:rsid w:val="00FD075B"/>
    <w:rPr>
      <w:color w:val="800080" w:themeColor="followedHyperlink"/>
      <w:u w:val="single"/>
    </w:rPr>
  </w:style>
  <w:style w:type="paragraph" w:styleId="CommentSubject">
    <w:name w:val="annotation subject"/>
    <w:basedOn w:val="CommentText"/>
    <w:next w:val="CommentText"/>
    <w:link w:val="CommentSubjectChar"/>
    <w:rsid w:val="0006787C"/>
    <w:rPr>
      <w:b/>
      <w:bCs/>
    </w:rPr>
  </w:style>
  <w:style w:type="character" w:customStyle="1" w:styleId="CommentSubjectChar">
    <w:name w:val="Comment Subject Char"/>
    <w:basedOn w:val="CommentTextChar"/>
    <w:link w:val="CommentSubject"/>
    <w:rsid w:val="0006787C"/>
    <w:rPr>
      <w:b/>
      <w:bCs/>
    </w:rPr>
  </w:style>
  <w:style w:type="paragraph" w:styleId="Header">
    <w:name w:val="header"/>
    <w:basedOn w:val="Normal"/>
    <w:link w:val="HeaderChar"/>
    <w:rsid w:val="00D24105"/>
    <w:pPr>
      <w:tabs>
        <w:tab w:val="center" w:pos="4513"/>
        <w:tab w:val="right" w:pos="9026"/>
      </w:tabs>
    </w:pPr>
  </w:style>
  <w:style w:type="character" w:customStyle="1" w:styleId="HeaderChar">
    <w:name w:val="Header Char"/>
    <w:basedOn w:val="DefaultParagraphFont"/>
    <w:link w:val="Header"/>
    <w:rsid w:val="00D24105"/>
    <w:rPr>
      <w:sz w:val="24"/>
      <w:szCs w:val="24"/>
    </w:rPr>
  </w:style>
  <w:style w:type="paragraph" w:styleId="Footer">
    <w:name w:val="footer"/>
    <w:basedOn w:val="Normal"/>
    <w:link w:val="FooterChar"/>
    <w:rsid w:val="00D24105"/>
    <w:pPr>
      <w:tabs>
        <w:tab w:val="center" w:pos="4513"/>
        <w:tab w:val="right" w:pos="9026"/>
      </w:tabs>
    </w:pPr>
  </w:style>
  <w:style w:type="character" w:customStyle="1" w:styleId="FooterChar">
    <w:name w:val="Footer Char"/>
    <w:basedOn w:val="DefaultParagraphFont"/>
    <w:link w:val="Footer"/>
    <w:rsid w:val="00D24105"/>
    <w:rPr>
      <w:sz w:val="24"/>
      <w:szCs w:val="24"/>
    </w:rPr>
  </w:style>
  <w:style w:type="paragraph" w:styleId="Revision">
    <w:name w:val="Revision"/>
    <w:hidden/>
    <w:uiPriority w:val="99"/>
    <w:semiHidden/>
    <w:rsid w:val="000F55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044050">
      <w:bodyDiv w:val="1"/>
      <w:marLeft w:val="0"/>
      <w:marRight w:val="0"/>
      <w:marTop w:val="0"/>
      <w:marBottom w:val="0"/>
      <w:divBdr>
        <w:top w:val="none" w:sz="0" w:space="0" w:color="auto"/>
        <w:left w:val="none" w:sz="0" w:space="0" w:color="auto"/>
        <w:bottom w:val="none" w:sz="0" w:space="0" w:color="auto"/>
        <w:right w:val="none" w:sz="0" w:space="0" w:color="auto"/>
      </w:divBdr>
    </w:div>
    <w:div w:id="193130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bs.gov.au/info/general/biosimilars" TargetMode="External"/><Relationship Id="rId18" Type="http://schemas.openxmlformats.org/officeDocument/2006/relationships/hyperlink" Target="http://www.pbs.gov.au/browse/medicine-listing"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www.tga.gov.au/publication/evaluation-biosimilars" TargetMode="External"/><Relationship Id="rId7" Type="http://schemas.openxmlformats.org/officeDocument/2006/relationships/endnotes" Target="endnotes.xml"/><Relationship Id="rId12" Type="http://schemas.openxmlformats.org/officeDocument/2006/relationships/hyperlink" Target="https://www.humanservices.gov.au/organisations/health-professionals/enablers/pbs-authorities" TargetMode="External"/><Relationship Id="rId17" Type="http://schemas.openxmlformats.org/officeDocument/2006/relationships/hyperlink" Target="http://www.pbs.gov.au/info/general/biosimilar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pbs.gov.au/browse/medicine-listing" TargetMode="External"/><Relationship Id="rId20" Type="http://schemas.openxmlformats.org/officeDocument/2006/relationships/hyperlink" Target="http://www.health.gov.au/biosimilar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bs.gov.au/info/industry/pricing/pbs-items/price-reduction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pbs.gov.au/info/general/biosimilar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health.gov.au/internet/main/publishing.nsf/Content/landmark-compacts" TargetMode="External"/><Relationship Id="rId19" Type="http://schemas.openxmlformats.org/officeDocument/2006/relationships/hyperlink" Target="https://www.humanservices.gov.au/organisations/health-professionals/enablers/pbs-authorities" TargetMode="External"/><Relationship Id="rId4" Type="http://schemas.openxmlformats.org/officeDocument/2006/relationships/settings" Target="settings.xml"/><Relationship Id="rId9" Type="http://schemas.openxmlformats.org/officeDocument/2006/relationships/hyperlink" Target="http://www.health.gov.au/biosimilars" TargetMode="External"/><Relationship Id="rId14" Type="http://schemas.openxmlformats.org/officeDocument/2006/relationships/hyperlink" Target="http://www.pbs.gov.au/info/industry/listing/elements/pbac-meetings/pbac-outcomes" TargetMode="External"/><Relationship Id="rId22" Type="http://schemas.openxmlformats.org/officeDocument/2006/relationships/hyperlink" Target="http://www.health.gov.au/internet/main/publishing.nsf/Content/landmark-compacts"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1966</Words>
  <Characters>12465</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2018-07-17T23:36:00Z</dcterms:created>
  <dcterms:modified xsi:type="dcterms:W3CDTF">2018-07-17T23:48:00Z</dcterms:modified>
</cp:coreProperties>
</file>