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17F3" w14:textId="77777777" w:rsidR="007F36F2" w:rsidRPr="009D3B53" w:rsidRDefault="007F36F2" w:rsidP="004021D5">
      <w:pPr>
        <w:pStyle w:val="covTitle"/>
        <w:tabs>
          <w:tab w:val="left" w:pos="426"/>
          <w:tab w:val="right" w:pos="9070"/>
        </w:tabs>
        <w:spacing w:before="3360"/>
        <w:ind w:right="425" w:hanging="113"/>
        <w:jc w:val="center"/>
      </w:pPr>
      <w:r>
        <w:t xml:space="preserve">Strategic </w:t>
      </w:r>
      <w:r w:rsidRPr="009D3B53">
        <w:t>Agreement</w:t>
      </w:r>
      <w:bookmarkStart w:id="0" w:name="_GoBack"/>
      <w:bookmarkEnd w:id="0"/>
    </w:p>
    <w:p w14:paraId="40AD97D9" w14:textId="77777777" w:rsidR="007F36F2" w:rsidRPr="009D3B53" w:rsidRDefault="007F36F2" w:rsidP="007F36F2">
      <w:pPr>
        <w:pStyle w:val="covSubTitle"/>
      </w:pPr>
    </w:p>
    <w:p w14:paraId="5EA7401D" w14:textId="77777777" w:rsidR="007F36F2" w:rsidRDefault="007F36F2" w:rsidP="007F36F2">
      <w:pPr>
        <w:pStyle w:val="covSubTitle"/>
      </w:pPr>
    </w:p>
    <w:p w14:paraId="51538209" w14:textId="77777777" w:rsidR="007F36F2" w:rsidRDefault="007F36F2" w:rsidP="007F36F2">
      <w:pPr>
        <w:pStyle w:val="covBodyText"/>
      </w:pPr>
    </w:p>
    <w:p w14:paraId="0BB06385" w14:textId="77777777" w:rsidR="007C4C60" w:rsidRDefault="007C4C60" w:rsidP="007F36F2">
      <w:pPr>
        <w:pStyle w:val="covBodyText"/>
      </w:pPr>
    </w:p>
    <w:p w14:paraId="08E6AD67" w14:textId="77777777" w:rsidR="007C4C60" w:rsidRDefault="007C4C60" w:rsidP="007F36F2">
      <w:pPr>
        <w:pStyle w:val="covBodyText"/>
      </w:pPr>
    </w:p>
    <w:p w14:paraId="1496F1DB" w14:textId="77777777" w:rsidR="007C4C60" w:rsidRDefault="007C4C60" w:rsidP="007F36F2">
      <w:pPr>
        <w:pStyle w:val="covBodyText"/>
      </w:pPr>
    </w:p>
    <w:p w14:paraId="7DC92331" w14:textId="77777777" w:rsidR="007C4C60" w:rsidRPr="007C4C60" w:rsidRDefault="007C4C60" w:rsidP="007F36F2">
      <w:pPr>
        <w:pStyle w:val="covBodyText"/>
        <w:rPr>
          <w:b/>
          <w:bCs/>
        </w:rPr>
      </w:pPr>
      <w:r w:rsidRPr="007C4C60">
        <w:rPr>
          <w:b/>
          <w:bCs/>
        </w:rPr>
        <w:t>Commonwealth of Australia</w:t>
      </w:r>
    </w:p>
    <w:p w14:paraId="2857F754" w14:textId="77777777" w:rsidR="007C4C60" w:rsidRDefault="007C4C60" w:rsidP="007F36F2">
      <w:pPr>
        <w:pStyle w:val="covBodyText"/>
      </w:pPr>
      <w:r>
        <w:t>and</w:t>
      </w:r>
    </w:p>
    <w:p w14:paraId="51B813FA" w14:textId="77777777" w:rsidR="007C4C60" w:rsidRDefault="007C4C60" w:rsidP="007F36F2">
      <w:pPr>
        <w:pStyle w:val="covBodyText"/>
      </w:pPr>
    </w:p>
    <w:p w14:paraId="1DE33C15" w14:textId="77777777" w:rsidR="007C4C60" w:rsidRDefault="007C4C60" w:rsidP="007F36F2">
      <w:pPr>
        <w:pStyle w:val="covBodyText"/>
      </w:pPr>
    </w:p>
    <w:p w14:paraId="3184B870" w14:textId="77777777" w:rsidR="007C4C60" w:rsidRPr="00485454" w:rsidRDefault="007C4C60" w:rsidP="007F36F2">
      <w:pPr>
        <w:pStyle w:val="covBodyText"/>
      </w:pPr>
      <w:r w:rsidRPr="007C4C60">
        <w:rPr>
          <w:b/>
          <w:bCs/>
        </w:rPr>
        <w:t>Generic Medicines Industry Association Pty Ltd</w:t>
      </w:r>
      <w:r w:rsidR="004021D5">
        <w:br/>
      </w:r>
      <w:r>
        <w:t xml:space="preserve">trading as </w:t>
      </w:r>
      <w:r w:rsidRPr="007C4C60">
        <w:t>Generic and Biosimilar Medicines Association</w:t>
      </w:r>
    </w:p>
    <w:p w14:paraId="4BA46D1D" w14:textId="77777777" w:rsidR="007F36F2" w:rsidRPr="009D3B53" w:rsidRDefault="007F36F2" w:rsidP="007F36F2">
      <w:pPr>
        <w:pStyle w:val="covSubTitle"/>
      </w:pPr>
    </w:p>
    <w:p w14:paraId="7DFAD5DC" w14:textId="77777777" w:rsidR="007F36F2" w:rsidRDefault="007F36F2" w:rsidP="00D21557">
      <w:pPr>
        <w:pStyle w:val="mainTitle"/>
      </w:pPr>
      <w:r>
        <w:br w:type="page"/>
      </w:r>
    </w:p>
    <w:sdt>
      <w:sdtPr>
        <w:rPr>
          <w:rFonts w:asciiTheme="minorHAnsi" w:eastAsiaTheme="minorEastAsia" w:hAnsiTheme="minorHAnsi"/>
          <w:b w:val="0"/>
          <w:sz w:val="3276"/>
          <w:szCs w:val="3276"/>
        </w:rPr>
        <w:id w:val="891073889"/>
        <w:docPartObj>
          <w:docPartGallery w:val="Table of Contents"/>
          <w:docPartUnique/>
        </w:docPartObj>
      </w:sdtPr>
      <w:sdtEndPr>
        <w:rPr>
          <w:rFonts w:ascii="Arial" w:eastAsia="Times New Roman" w:hAnsi="Arial"/>
          <w:bCs/>
          <w:noProof/>
          <w:sz w:val="20"/>
          <w:szCs w:val="20"/>
          <w:lang w:val="en-US"/>
        </w:rPr>
      </w:sdtEndPr>
      <w:sdtContent>
        <w:p w14:paraId="1AEB6172" w14:textId="77777777" w:rsidR="00AE7167" w:rsidRDefault="00AE7167" w:rsidP="0091489C">
          <w:pPr>
            <w:pStyle w:val="mainTitle"/>
          </w:pPr>
          <w:r>
            <w:t>Contents</w:t>
          </w:r>
        </w:p>
        <w:p w14:paraId="53060417" w14:textId="77777777" w:rsidR="00AE7167" w:rsidRDefault="00AE7167" w:rsidP="0091489C"/>
        <w:p w14:paraId="084EC1CB" w14:textId="27EB228D" w:rsidR="00877680" w:rsidRDefault="00AE7167">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2,2,legalSchedule,1,legalScheduleDesc,2,legalPart,3,legalAttachment,1" </w:instrText>
          </w:r>
          <w:r>
            <w:fldChar w:fldCharType="separate"/>
          </w:r>
          <w:hyperlink w:anchor="_Toc79567151" w:history="1">
            <w:r w:rsidR="00877680" w:rsidRPr="006C543F">
              <w:rPr>
                <w:rStyle w:val="Hyperlink"/>
                <w:noProof/>
              </w:rPr>
              <w:t>1.</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Definitions</w:t>
            </w:r>
            <w:r w:rsidR="00877680">
              <w:rPr>
                <w:noProof/>
                <w:webHidden/>
              </w:rPr>
              <w:tab/>
            </w:r>
            <w:r w:rsidR="00877680">
              <w:rPr>
                <w:noProof/>
                <w:webHidden/>
              </w:rPr>
              <w:fldChar w:fldCharType="begin"/>
            </w:r>
            <w:r w:rsidR="00877680">
              <w:rPr>
                <w:noProof/>
                <w:webHidden/>
              </w:rPr>
              <w:instrText xml:space="preserve"> PAGEREF _Toc79567151 \h </w:instrText>
            </w:r>
            <w:r w:rsidR="00877680">
              <w:rPr>
                <w:noProof/>
                <w:webHidden/>
              </w:rPr>
            </w:r>
            <w:r w:rsidR="00877680">
              <w:rPr>
                <w:noProof/>
                <w:webHidden/>
              </w:rPr>
              <w:fldChar w:fldCharType="separate"/>
            </w:r>
            <w:r w:rsidR="00877680">
              <w:rPr>
                <w:noProof/>
                <w:webHidden/>
              </w:rPr>
              <w:t>6</w:t>
            </w:r>
            <w:r w:rsidR="00877680">
              <w:rPr>
                <w:noProof/>
                <w:webHidden/>
              </w:rPr>
              <w:fldChar w:fldCharType="end"/>
            </w:r>
          </w:hyperlink>
        </w:p>
        <w:p w14:paraId="506D474F" w14:textId="2E3DFD92" w:rsidR="00877680" w:rsidRDefault="00D405B1">
          <w:pPr>
            <w:pStyle w:val="TOC1"/>
            <w:rPr>
              <w:rFonts w:asciiTheme="minorHAnsi" w:eastAsiaTheme="minorEastAsia" w:hAnsiTheme="minorHAnsi" w:cstheme="minorBidi"/>
              <w:b w:val="0"/>
              <w:noProof/>
              <w:sz w:val="22"/>
              <w:szCs w:val="22"/>
              <w:lang w:eastAsia="en-AU"/>
            </w:rPr>
          </w:pPr>
          <w:hyperlink w:anchor="_Toc79567152" w:history="1">
            <w:r w:rsidR="00877680" w:rsidRPr="006C543F">
              <w:rPr>
                <w:rStyle w:val="Hyperlink"/>
                <w:noProof/>
              </w:rPr>
              <w:t>2.</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Term</w:t>
            </w:r>
            <w:r w:rsidR="00877680">
              <w:rPr>
                <w:noProof/>
                <w:webHidden/>
              </w:rPr>
              <w:tab/>
            </w:r>
            <w:r w:rsidR="00877680">
              <w:rPr>
                <w:noProof/>
                <w:webHidden/>
              </w:rPr>
              <w:fldChar w:fldCharType="begin"/>
            </w:r>
            <w:r w:rsidR="00877680">
              <w:rPr>
                <w:noProof/>
                <w:webHidden/>
              </w:rPr>
              <w:instrText xml:space="preserve"> PAGEREF _Toc79567152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0B55953E" w14:textId="30C5F0F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3" w:history="1">
            <w:r w:rsidR="00877680" w:rsidRPr="006C543F">
              <w:rPr>
                <w:rStyle w:val="Hyperlink"/>
                <w:noProof/>
              </w:rPr>
              <w:t>2.1</w:t>
            </w:r>
            <w:r w:rsidR="00877680">
              <w:rPr>
                <w:rFonts w:asciiTheme="minorHAnsi" w:eastAsiaTheme="minorEastAsia" w:hAnsiTheme="minorHAnsi" w:cstheme="minorBidi"/>
                <w:noProof/>
                <w:sz w:val="22"/>
                <w:szCs w:val="22"/>
                <w:lang w:eastAsia="en-AU"/>
              </w:rPr>
              <w:tab/>
            </w:r>
            <w:r w:rsidR="00877680" w:rsidRPr="006C543F">
              <w:rPr>
                <w:rStyle w:val="Hyperlink"/>
                <w:noProof/>
              </w:rPr>
              <w:t>Term of Agreement</w:t>
            </w:r>
            <w:r w:rsidR="00877680">
              <w:rPr>
                <w:noProof/>
                <w:webHidden/>
              </w:rPr>
              <w:tab/>
            </w:r>
            <w:r w:rsidR="00877680">
              <w:rPr>
                <w:noProof/>
                <w:webHidden/>
              </w:rPr>
              <w:fldChar w:fldCharType="begin"/>
            </w:r>
            <w:r w:rsidR="00877680">
              <w:rPr>
                <w:noProof/>
                <w:webHidden/>
              </w:rPr>
              <w:instrText xml:space="preserve"> PAGEREF _Toc79567153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6D4B2272" w14:textId="1FB50C95"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4" w:history="1">
            <w:r w:rsidR="00877680" w:rsidRPr="006C543F">
              <w:rPr>
                <w:rStyle w:val="Hyperlink"/>
                <w:noProof/>
              </w:rPr>
              <w:t>2.2</w:t>
            </w:r>
            <w:r w:rsidR="00877680">
              <w:rPr>
                <w:rFonts w:asciiTheme="minorHAnsi" w:eastAsiaTheme="minorEastAsia" w:hAnsiTheme="minorHAnsi" w:cstheme="minorBidi"/>
                <w:noProof/>
                <w:sz w:val="22"/>
                <w:szCs w:val="22"/>
                <w:lang w:eastAsia="en-AU"/>
              </w:rPr>
              <w:tab/>
            </w:r>
            <w:r w:rsidR="00877680" w:rsidRPr="006C543F">
              <w:rPr>
                <w:rStyle w:val="Hyperlink"/>
                <w:noProof/>
              </w:rPr>
              <w:t>Condition precedent to commencement of Agreement</w:t>
            </w:r>
            <w:r w:rsidR="00877680">
              <w:rPr>
                <w:noProof/>
                <w:webHidden/>
              </w:rPr>
              <w:tab/>
            </w:r>
            <w:r w:rsidR="00877680">
              <w:rPr>
                <w:noProof/>
                <w:webHidden/>
              </w:rPr>
              <w:fldChar w:fldCharType="begin"/>
            </w:r>
            <w:r w:rsidR="00877680">
              <w:rPr>
                <w:noProof/>
                <w:webHidden/>
              </w:rPr>
              <w:instrText xml:space="preserve"> PAGEREF _Toc79567154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76754EB8" w14:textId="3024676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5" w:history="1">
            <w:r w:rsidR="00877680" w:rsidRPr="006C543F">
              <w:rPr>
                <w:rStyle w:val="Hyperlink"/>
                <w:noProof/>
              </w:rPr>
              <w:t>2.3</w:t>
            </w:r>
            <w:r w:rsidR="00877680">
              <w:rPr>
                <w:rFonts w:asciiTheme="minorHAnsi" w:eastAsiaTheme="minorEastAsia" w:hAnsiTheme="minorHAnsi" w:cstheme="minorBidi"/>
                <w:noProof/>
                <w:sz w:val="22"/>
                <w:szCs w:val="22"/>
                <w:lang w:eastAsia="en-AU"/>
              </w:rPr>
              <w:tab/>
            </w:r>
            <w:r w:rsidR="00877680" w:rsidRPr="006C543F">
              <w:rPr>
                <w:rStyle w:val="Hyperlink"/>
                <w:noProof/>
              </w:rPr>
              <w:t>End of last Agreement</w:t>
            </w:r>
            <w:r w:rsidR="00877680">
              <w:rPr>
                <w:noProof/>
                <w:webHidden/>
              </w:rPr>
              <w:tab/>
            </w:r>
            <w:r w:rsidR="00877680">
              <w:rPr>
                <w:noProof/>
                <w:webHidden/>
              </w:rPr>
              <w:fldChar w:fldCharType="begin"/>
            </w:r>
            <w:r w:rsidR="00877680">
              <w:rPr>
                <w:noProof/>
                <w:webHidden/>
              </w:rPr>
              <w:instrText xml:space="preserve"> PAGEREF _Toc79567155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0D59EAD9" w14:textId="4DB96820" w:rsidR="00877680" w:rsidRDefault="00D405B1">
          <w:pPr>
            <w:pStyle w:val="TOC1"/>
            <w:rPr>
              <w:rFonts w:asciiTheme="minorHAnsi" w:eastAsiaTheme="minorEastAsia" w:hAnsiTheme="minorHAnsi" w:cstheme="minorBidi"/>
              <w:b w:val="0"/>
              <w:noProof/>
              <w:sz w:val="22"/>
              <w:szCs w:val="22"/>
              <w:lang w:eastAsia="en-AU"/>
            </w:rPr>
          </w:pPr>
          <w:hyperlink w:anchor="_Toc79567156" w:history="1">
            <w:r w:rsidR="00877680" w:rsidRPr="006C543F">
              <w:rPr>
                <w:rStyle w:val="Hyperlink"/>
                <w:noProof/>
              </w:rPr>
              <w:t>3.</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Measures to support patient access and sustainability</w:t>
            </w:r>
            <w:r w:rsidR="00877680">
              <w:rPr>
                <w:noProof/>
                <w:webHidden/>
              </w:rPr>
              <w:tab/>
            </w:r>
            <w:r w:rsidR="00877680">
              <w:rPr>
                <w:noProof/>
                <w:webHidden/>
              </w:rPr>
              <w:fldChar w:fldCharType="begin"/>
            </w:r>
            <w:r w:rsidR="00877680">
              <w:rPr>
                <w:noProof/>
                <w:webHidden/>
              </w:rPr>
              <w:instrText xml:space="preserve"> PAGEREF _Toc79567156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4D934000" w14:textId="6248DE9E"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7" w:history="1">
            <w:r w:rsidR="00877680" w:rsidRPr="006C543F">
              <w:rPr>
                <w:rStyle w:val="Hyperlink"/>
                <w:noProof/>
              </w:rPr>
              <w:t>3.1</w:t>
            </w:r>
            <w:r w:rsidR="00877680">
              <w:rPr>
                <w:rFonts w:asciiTheme="minorHAnsi" w:eastAsiaTheme="minorEastAsia" w:hAnsiTheme="minorHAnsi" w:cstheme="minorBidi"/>
                <w:noProof/>
                <w:sz w:val="22"/>
                <w:szCs w:val="22"/>
                <w:lang w:eastAsia="en-AU"/>
              </w:rPr>
              <w:tab/>
            </w:r>
            <w:r w:rsidR="00877680" w:rsidRPr="006C543F">
              <w:rPr>
                <w:rStyle w:val="Hyperlink"/>
                <w:noProof/>
              </w:rPr>
              <w:t>Overview of implementation of measures</w:t>
            </w:r>
            <w:r w:rsidR="00877680">
              <w:rPr>
                <w:noProof/>
                <w:webHidden/>
              </w:rPr>
              <w:tab/>
            </w:r>
            <w:r w:rsidR="00877680">
              <w:rPr>
                <w:noProof/>
                <w:webHidden/>
              </w:rPr>
              <w:fldChar w:fldCharType="begin"/>
            </w:r>
            <w:r w:rsidR="00877680">
              <w:rPr>
                <w:noProof/>
                <w:webHidden/>
              </w:rPr>
              <w:instrText xml:space="preserve"> PAGEREF _Toc79567157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250B308B" w14:textId="39BC410D"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8" w:history="1">
            <w:r w:rsidR="00877680" w:rsidRPr="006C543F">
              <w:rPr>
                <w:rStyle w:val="Hyperlink"/>
                <w:noProof/>
              </w:rPr>
              <w:t>3.2</w:t>
            </w:r>
            <w:r w:rsidR="00877680">
              <w:rPr>
                <w:rFonts w:asciiTheme="minorHAnsi" w:eastAsiaTheme="minorEastAsia" w:hAnsiTheme="minorHAnsi" w:cstheme="minorBidi"/>
                <w:noProof/>
                <w:sz w:val="22"/>
                <w:szCs w:val="22"/>
                <w:lang w:eastAsia="en-AU"/>
              </w:rPr>
              <w:tab/>
            </w:r>
            <w:r w:rsidR="00877680" w:rsidRPr="006C543F">
              <w:rPr>
                <w:rStyle w:val="Hyperlink"/>
                <w:noProof/>
              </w:rPr>
              <w:t>Price competition</w:t>
            </w:r>
            <w:r w:rsidR="00877680">
              <w:rPr>
                <w:noProof/>
                <w:webHidden/>
              </w:rPr>
              <w:tab/>
            </w:r>
            <w:r w:rsidR="00877680">
              <w:rPr>
                <w:noProof/>
                <w:webHidden/>
              </w:rPr>
              <w:fldChar w:fldCharType="begin"/>
            </w:r>
            <w:r w:rsidR="00877680">
              <w:rPr>
                <w:noProof/>
                <w:webHidden/>
              </w:rPr>
              <w:instrText xml:space="preserve"> PAGEREF _Toc79567158 \h </w:instrText>
            </w:r>
            <w:r w:rsidR="00877680">
              <w:rPr>
                <w:noProof/>
                <w:webHidden/>
              </w:rPr>
            </w:r>
            <w:r w:rsidR="00877680">
              <w:rPr>
                <w:noProof/>
                <w:webHidden/>
              </w:rPr>
              <w:fldChar w:fldCharType="separate"/>
            </w:r>
            <w:r w:rsidR="00877680">
              <w:rPr>
                <w:noProof/>
                <w:webHidden/>
              </w:rPr>
              <w:t>9</w:t>
            </w:r>
            <w:r w:rsidR="00877680">
              <w:rPr>
                <w:noProof/>
                <w:webHidden/>
              </w:rPr>
              <w:fldChar w:fldCharType="end"/>
            </w:r>
          </w:hyperlink>
        </w:p>
        <w:p w14:paraId="39521798" w14:textId="4E97CA07"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59" w:history="1">
            <w:r w:rsidR="00877680" w:rsidRPr="006C543F">
              <w:rPr>
                <w:rStyle w:val="Hyperlink"/>
                <w:noProof/>
              </w:rPr>
              <w:t>3.3</w:t>
            </w:r>
            <w:r w:rsidR="00877680">
              <w:rPr>
                <w:rFonts w:asciiTheme="minorHAnsi" w:eastAsiaTheme="minorEastAsia" w:hAnsiTheme="minorHAnsi" w:cstheme="minorBidi"/>
                <w:noProof/>
                <w:sz w:val="22"/>
                <w:szCs w:val="22"/>
                <w:lang w:eastAsia="en-AU"/>
              </w:rPr>
              <w:tab/>
            </w:r>
            <w:r w:rsidR="00877680" w:rsidRPr="006C543F">
              <w:rPr>
                <w:rStyle w:val="Hyperlink"/>
                <w:noProof/>
              </w:rPr>
              <w:t>Early removal of Originator Brand</w:t>
            </w:r>
            <w:r w:rsidR="00877680">
              <w:rPr>
                <w:noProof/>
                <w:webHidden/>
              </w:rPr>
              <w:tab/>
            </w:r>
            <w:r w:rsidR="00877680">
              <w:rPr>
                <w:noProof/>
                <w:webHidden/>
              </w:rPr>
              <w:fldChar w:fldCharType="begin"/>
            </w:r>
            <w:r w:rsidR="00877680">
              <w:rPr>
                <w:noProof/>
                <w:webHidden/>
              </w:rPr>
              <w:instrText xml:space="preserve"> PAGEREF _Toc79567159 \h </w:instrText>
            </w:r>
            <w:r w:rsidR="00877680">
              <w:rPr>
                <w:noProof/>
                <w:webHidden/>
              </w:rPr>
            </w:r>
            <w:r w:rsidR="00877680">
              <w:rPr>
                <w:noProof/>
                <w:webHidden/>
              </w:rPr>
              <w:fldChar w:fldCharType="separate"/>
            </w:r>
            <w:r w:rsidR="00877680">
              <w:rPr>
                <w:noProof/>
                <w:webHidden/>
              </w:rPr>
              <w:t>10</w:t>
            </w:r>
            <w:r w:rsidR="00877680">
              <w:rPr>
                <w:noProof/>
                <w:webHidden/>
              </w:rPr>
              <w:fldChar w:fldCharType="end"/>
            </w:r>
          </w:hyperlink>
        </w:p>
        <w:p w14:paraId="1D5FE68E" w14:textId="05BE25C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0" w:history="1">
            <w:r w:rsidR="00877680" w:rsidRPr="006C543F">
              <w:rPr>
                <w:rStyle w:val="Hyperlink"/>
                <w:noProof/>
              </w:rPr>
              <w:t>3.4</w:t>
            </w:r>
            <w:r w:rsidR="00877680">
              <w:rPr>
                <w:rFonts w:asciiTheme="minorHAnsi" w:eastAsiaTheme="minorEastAsia" w:hAnsiTheme="minorHAnsi" w:cstheme="minorBidi"/>
                <w:noProof/>
                <w:sz w:val="22"/>
                <w:szCs w:val="22"/>
                <w:lang w:eastAsia="en-AU"/>
              </w:rPr>
              <w:tab/>
            </w:r>
            <w:r w:rsidR="00877680" w:rsidRPr="006C543F">
              <w:rPr>
                <w:rStyle w:val="Hyperlink"/>
                <w:noProof/>
              </w:rPr>
              <w:t>Security of supply</w:t>
            </w:r>
            <w:r w:rsidR="00877680">
              <w:rPr>
                <w:noProof/>
                <w:webHidden/>
              </w:rPr>
              <w:tab/>
            </w:r>
            <w:r w:rsidR="00877680">
              <w:rPr>
                <w:noProof/>
                <w:webHidden/>
              </w:rPr>
              <w:fldChar w:fldCharType="begin"/>
            </w:r>
            <w:r w:rsidR="00877680">
              <w:rPr>
                <w:noProof/>
                <w:webHidden/>
              </w:rPr>
              <w:instrText xml:space="preserve"> PAGEREF _Toc79567160 \h </w:instrText>
            </w:r>
            <w:r w:rsidR="00877680">
              <w:rPr>
                <w:noProof/>
                <w:webHidden/>
              </w:rPr>
            </w:r>
            <w:r w:rsidR="00877680">
              <w:rPr>
                <w:noProof/>
                <w:webHidden/>
              </w:rPr>
              <w:fldChar w:fldCharType="separate"/>
            </w:r>
            <w:r w:rsidR="00877680">
              <w:rPr>
                <w:noProof/>
                <w:webHidden/>
              </w:rPr>
              <w:t>10</w:t>
            </w:r>
            <w:r w:rsidR="00877680">
              <w:rPr>
                <w:noProof/>
                <w:webHidden/>
              </w:rPr>
              <w:fldChar w:fldCharType="end"/>
            </w:r>
          </w:hyperlink>
        </w:p>
        <w:p w14:paraId="031CA23E" w14:textId="50439B78"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1" w:history="1">
            <w:r w:rsidR="00877680" w:rsidRPr="006C543F">
              <w:rPr>
                <w:rStyle w:val="Hyperlink"/>
                <w:noProof/>
              </w:rPr>
              <w:t>3.5</w:t>
            </w:r>
            <w:r w:rsidR="00877680">
              <w:rPr>
                <w:rFonts w:asciiTheme="minorHAnsi" w:eastAsiaTheme="minorEastAsia" w:hAnsiTheme="minorHAnsi" w:cstheme="minorBidi"/>
                <w:noProof/>
                <w:sz w:val="22"/>
                <w:szCs w:val="22"/>
                <w:lang w:eastAsia="en-AU"/>
              </w:rPr>
              <w:tab/>
            </w:r>
            <w:r w:rsidR="00877680" w:rsidRPr="006C543F">
              <w:rPr>
                <w:rStyle w:val="Hyperlink"/>
                <w:noProof/>
              </w:rPr>
              <w:t>Floor Price and 30% Price Disclosure threshold</w:t>
            </w:r>
            <w:r w:rsidR="00877680">
              <w:rPr>
                <w:noProof/>
                <w:webHidden/>
              </w:rPr>
              <w:tab/>
            </w:r>
            <w:r w:rsidR="00877680">
              <w:rPr>
                <w:noProof/>
                <w:webHidden/>
              </w:rPr>
              <w:fldChar w:fldCharType="begin"/>
            </w:r>
            <w:r w:rsidR="00877680">
              <w:rPr>
                <w:noProof/>
                <w:webHidden/>
              </w:rPr>
              <w:instrText xml:space="preserve"> PAGEREF _Toc79567161 \h </w:instrText>
            </w:r>
            <w:r w:rsidR="00877680">
              <w:rPr>
                <w:noProof/>
                <w:webHidden/>
              </w:rPr>
            </w:r>
            <w:r w:rsidR="00877680">
              <w:rPr>
                <w:noProof/>
                <w:webHidden/>
              </w:rPr>
              <w:fldChar w:fldCharType="separate"/>
            </w:r>
            <w:r w:rsidR="00877680">
              <w:rPr>
                <w:noProof/>
                <w:webHidden/>
              </w:rPr>
              <w:t>11</w:t>
            </w:r>
            <w:r w:rsidR="00877680">
              <w:rPr>
                <w:noProof/>
                <w:webHidden/>
              </w:rPr>
              <w:fldChar w:fldCharType="end"/>
            </w:r>
          </w:hyperlink>
        </w:p>
        <w:p w14:paraId="7C88D107" w14:textId="50DB91AD"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2" w:history="1">
            <w:r w:rsidR="00877680" w:rsidRPr="006C543F">
              <w:rPr>
                <w:rStyle w:val="Hyperlink"/>
                <w:noProof/>
              </w:rPr>
              <w:t>3.6</w:t>
            </w:r>
            <w:r w:rsidR="00877680">
              <w:rPr>
                <w:rFonts w:asciiTheme="minorHAnsi" w:eastAsiaTheme="minorEastAsia" w:hAnsiTheme="minorHAnsi" w:cstheme="minorBidi"/>
                <w:noProof/>
                <w:sz w:val="22"/>
                <w:szCs w:val="22"/>
                <w:lang w:eastAsia="en-AU"/>
              </w:rPr>
              <w:tab/>
            </w:r>
            <w:r w:rsidR="00877680" w:rsidRPr="006C543F">
              <w:rPr>
                <w:rStyle w:val="Hyperlink"/>
                <w:noProof/>
              </w:rPr>
              <w:t>Stockholding requirement</w:t>
            </w:r>
            <w:r w:rsidR="00877680">
              <w:rPr>
                <w:noProof/>
                <w:webHidden/>
              </w:rPr>
              <w:tab/>
            </w:r>
            <w:r w:rsidR="00877680">
              <w:rPr>
                <w:noProof/>
                <w:webHidden/>
              </w:rPr>
              <w:fldChar w:fldCharType="begin"/>
            </w:r>
            <w:r w:rsidR="00877680">
              <w:rPr>
                <w:noProof/>
                <w:webHidden/>
              </w:rPr>
              <w:instrText xml:space="preserve"> PAGEREF _Toc79567162 \h </w:instrText>
            </w:r>
            <w:r w:rsidR="00877680">
              <w:rPr>
                <w:noProof/>
                <w:webHidden/>
              </w:rPr>
            </w:r>
            <w:r w:rsidR="00877680">
              <w:rPr>
                <w:noProof/>
                <w:webHidden/>
              </w:rPr>
              <w:fldChar w:fldCharType="separate"/>
            </w:r>
            <w:r w:rsidR="00877680">
              <w:rPr>
                <w:noProof/>
                <w:webHidden/>
              </w:rPr>
              <w:t>12</w:t>
            </w:r>
            <w:r w:rsidR="00877680">
              <w:rPr>
                <w:noProof/>
                <w:webHidden/>
              </w:rPr>
              <w:fldChar w:fldCharType="end"/>
            </w:r>
          </w:hyperlink>
        </w:p>
        <w:p w14:paraId="27C7F5B4" w14:textId="51F38930"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3" w:history="1">
            <w:r w:rsidR="00877680" w:rsidRPr="006C543F">
              <w:rPr>
                <w:rStyle w:val="Hyperlink"/>
                <w:noProof/>
                <w:lang w:eastAsia="zh-CN"/>
              </w:rPr>
              <w:t>3.7</w:t>
            </w:r>
            <w:r w:rsidR="00877680">
              <w:rPr>
                <w:rFonts w:asciiTheme="minorHAnsi" w:eastAsiaTheme="minorEastAsia" w:hAnsiTheme="minorHAnsi" w:cstheme="minorBidi"/>
                <w:noProof/>
                <w:sz w:val="22"/>
                <w:szCs w:val="22"/>
                <w:lang w:eastAsia="en-AU"/>
              </w:rPr>
              <w:tab/>
            </w:r>
            <w:r w:rsidR="00877680" w:rsidRPr="006C543F">
              <w:rPr>
                <w:rStyle w:val="Hyperlink"/>
                <w:noProof/>
              </w:rPr>
              <w:t>Uptake of biosimilar medicines</w:t>
            </w:r>
            <w:r w:rsidR="00877680">
              <w:rPr>
                <w:noProof/>
                <w:webHidden/>
              </w:rPr>
              <w:tab/>
            </w:r>
            <w:r w:rsidR="00877680">
              <w:rPr>
                <w:noProof/>
                <w:webHidden/>
              </w:rPr>
              <w:fldChar w:fldCharType="begin"/>
            </w:r>
            <w:r w:rsidR="00877680">
              <w:rPr>
                <w:noProof/>
                <w:webHidden/>
              </w:rPr>
              <w:instrText xml:space="preserve"> PAGEREF _Toc79567163 \h </w:instrText>
            </w:r>
            <w:r w:rsidR="00877680">
              <w:rPr>
                <w:noProof/>
                <w:webHidden/>
              </w:rPr>
            </w:r>
            <w:r w:rsidR="00877680">
              <w:rPr>
                <w:noProof/>
                <w:webHidden/>
              </w:rPr>
              <w:fldChar w:fldCharType="separate"/>
            </w:r>
            <w:r w:rsidR="00877680">
              <w:rPr>
                <w:noProof/>
                <w:webHidden/>
              </w:rPr>
              <w:t>13</w:t>
            </w:r>
            <w:r w:rsidR="00877680">
              <w:rPr>
                <w:noProof/>
                <w:webHidden/>
              </w:rPr>
              <w:fldChar w:fldCharType="end"/>
            </w:r>
          </w:hyperlink>
        </w:p>
        <w:p w14:paraId="3D29C40C" w14:textId="299A7AC4"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4" w:history="1">
            <w:r w:rsidR="00877680" w:rsidRPr="006C543F">
              <w:rPr>
                <w:rStyle w:val="Hyperlink"/>
                <w:noProof/>
              </w:rPr>
              <w:t>3.8</w:t>
            </w:r>
            <w:r w:rsidR="00877680">
              <w:rPr>
                <w:rFonts w:asciiTheme="minorHAnsi" w:eastAsiaTheme="minorEastAsia" w:hAnsiTheme="minorHAnsi" w:cstheme="minorBidi"/>
                <w:noProof/>
                <w:sz w:val="22"/>
                <w:szCs w:val="22"/>
                <w:lang w:eastAsia="en-AU"/>
              </w:rPr>
              <w:tab/>
            </w:r>
            <w:r w:rsidR="00877680" w:rsidRPr="006C543F">
              <w:rPr>
                <w:rStyle w:val="Hyperlink"/>
                <w:noProof/>
              </w:rPr>
              <w:t>Repurposing of medicines</w:t>
            </w:r>
            <w:r w:rsidR="00877680">
              <w:rPr>
                <w:noProof/>
                <w:webHidden/>
              </w:rPr>
              <w:tab/>
            </w:r>
            <w:r w:rsidR="00877680">
              <w:rPr>
                <w:noProof/>
                <w:webHidden/>
              </w:rPr>
              <w:fldChar w:fldCharType="begin"/>
            </w:r>
            <w:r w:rsidR="00877680">
              <w:rPr>
                <w:noProof/>
                <w:webHidden/>
              </w:rPr>
              <w:instrText xml:space="preserve"> PAGEREF _Toc79567164 \h </w:instrText>
            </w:r>
            <w:r w:rsidR="00877680">
              <w:rPr>
                <w:noProof/>
                <w:webHidden/>
              </w:rPr>
            </w:r>
            <w:r w:rsidR="00877680">
              <w:rPr>
                <w:noProof/>
                <w:webHidden/>
              </w:rPr>
              <w:fldChar w:fldCharType="separate"/>
            </w:r>
            <w:r w:rsidR="00877680">
              <w:rPr>
                <w:noProof/>
                <w:webHidden/>
              </w:rPr>
              <w:t>14</w:t>
            </w:r>
            <w:r w:rsidR="00877680">
              <w:rPr>
                <w:noProof/>
                <w:webHidden/>
              </w:rPr>
              <w:fldChar w:fldCharType="end"/>
            </w:r>
          </w:hyperlink>
        </w:p>
        <w:p w14:paraId="0652C90B" w14:textId="284A4875"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5" w:history="1">
            <w:r w:rsidR="00877680" w:rsidRPr="006C543F">
              <w:rPr>
                <w:rStyle w:val="Hyperlink"/>
                <w:noProof/>
              </w:rPr>
              <w:t>3.9</w:t>
            </w:r>
            <w:r w:rsidR="00877680">
              <w:rPr>
                <w:rFonts w:asciiTheme="minorHAnsi" w:eastAsiaTheme="minorEastAsia" w:hAnsiTheme="minorHAnsi" w:cstheme="minorBidi"/>
                <w:noProof/>
                <w:sz w:val="22"/>
                <w:szCs w:val="22"/>
                <w:lang w:eastAsia="en-AU"/>
              </w:rPr>
              <w:tab/>
            </w:r>
            <w:r w:rsidR="00877680" w:rsidRPr="006C543F">
              <w:rPr>
                <w:rStyle w:val="Hyperlink"/>
                <w:noProof/>
              </w:rPr>
              <w:t xml:space="preserve">PBS listing of medicines approved under section 19A of </w:t>
            </w:r>
            <w:r w:rsidR="00877680" w:rsidRPr="006C543F">
              <w:rPr>
                <w:rStyle w:val="Hyperlink"/>
                <w:i/>
                <w:iCs/>
                <w:noProof/>
              </w:rPr>
              <w:t>Therapeutic Goods Act 1989</w:t>
            </w:r>
            <w:r w:rsidR="00877680">
              <w:rPr>
                <w:noProof/>
                <w:webHidden/>
              </w:rPr>
              <w:tab/>
            </w:r>
            <w:r w:rsidR="00877680">
              <w:rPr>
                <w:noProof/>
                <w:webHidden/>
              </w:rPr>
              <w:fldChar w:fldCharType="begin"/>
            </w:r>
            <w:r w:rsidR="00877680">
              <w:rPr>
                <w:noProof/>
                <w:webHidden/>
              </w:rPr>
              <w:instrText xml:space="preserve"> PAGEREF _Toc79567165 \h </w:instrText>
            </w:r>
            <w:r w:rsidR="00877680">
              <w:rPr>
                <w:noProof/>
                <w:webHidden/>
              </w:rPr>
            </w:r>
            <w:r w:rsidR="00877680">
              <w:rPr>
                <w:noProof/>
                <w:webHidden/>
              </w:rPr>
              <w:fldChar w:fldCharType="separate"/>
            </w:r>
            <w:r w:rsidR="00877680">
              <w:rPr>
                <w:noProof/>
                <w:webHidden/>
              </w:rPr>
              <w:t>14</w:t>
            </w:r>
            <w:r w:rsidR="00877680">
              <w:rPr>
                <w:noProof/>
                <w:webHidden/>
              </w:rPr>
              <w:fldChar w:fldCharType="end"/>
            </w:r>
          </w:hyperlink>
        </w:p>
        <w:p w14:paraId="30F765D1" w14:textId="0278B0AC" w:rsidR="00877680" w:rsidRDefault="00D405B1">
          <w:pPr>
            <w:pStyle w:val="TOC1"/>
            <w:rPr>
              <w:rFonts w:asciiTheme="minorHAnsi" w:eastAsiaTheme="minorEastAsia" w:hAnsiTheme="minorHAnsi" w:cstheme="minorBidi"/>
              <w:b w:val="0"/>
              <w:noProof/>
              <w:sz w:val="22"/>
              <w:szCs w:val="22"/>
              <w:lang w:eastAsia="en-AU"/>
            </w:rPr>
          </w:pPr>
          <w:hyperlink w:anchor="_Toc79567166" w:history="1">
            <w:r w:rsidR="00877680" w:rsidRPr="006C543F">
              <w:rPr>
                <w:rStyle w:val="Hyperlink"/>
                <w:noProof/>
              </w:rPr>
              <w:t>4.</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Statutory Price Reductions</w:t>
            </w:r>
            <w:r w:rsidR="00877680">
              <w:rPr>
                <w:noProof/>
                <w:webHidden/>
              </w:rPr>
              <w:tab/>
            </w:r>
            <w:r w:rsidR="00877680">
              <w:rPr>
                <w:noProof/>
                <w:webHidden/>
              </w:rPr>
              <w:fldChar w:fldCharType="begin"/>
            </w:r>
            <w:r w:rsidR="00877680">
              <w:rPr>
                <w:noProof/>
                <w:webHidden/>
              </w:rPr>
              <w:instrText xml:space="preserve"> PAGEREF _Toc79567166 \h </w:instrText>
            </w:r>
            <w:r w:rsidR="00877680">
              <w:rPr>
                <w:noProof/>
                <w:webHidden/>
              </w:rPr>
            </w:r>
            <w:r w:rsidR="00877680">
              <w:rPr>
                <w:noProof/>
                <w:webHidden/>
              </w:rPr>
              <w:fldChar w:fldCharType="separate"/>
            </w:r>
            <w:r w:rsidR="00877680">
              <w:rPr>
                <w:noProof/>
                <w:webHidden/>
              </w:rPr>
              <w:t>14</w:t>
            </w:r>
            <w:r w:rsidR="00877680">
              <w:rPr>
                <w:noProof/>
                <w:webHidden/>
              </w:rPr>
              <w:fldChar w:fldCharType="end"/>
            </w:r>
          </w:hyperlink>
        </w:p>
        <w:p w14:paraId="1E09CCF5" w14:textId="4F8D49D3"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7" w:history="1">
            <w:r w:rsidR="00877680" w:rsidRPr="006C543F">
              <w:rPr>
                <w:rStyle w:val="Hyperlink"/>
                <w:noProof/>
              </w:rPr>
              <w:t>4.1</w:t>
            </w:r>
            <w:r w:rsidR="00877680">
              <w:rPr>
                <w:rFonts w:asciiTheme="minorHAnsi" w:eastAsiaTheme="minorEastAsia" w:hAnsiTheme="minorHAnsi" w:cstheme="minorBidi"/>
                <w:noProof/>
                <w:sz w:val="22"/>
                <w:szCs w:val="22"/>
                <w:lang w:eastAsia="en-AU"/>
              </w:rPr>
              <w:tab/>
            </w:r>
            <w:r w:rsidR="00877680" w:rsidRPr="006C543F">
              <w:rPr>
                <w:rStyle w:val="Hyperlink"/>
                <w:noProof/>
              </w:rPr>
              <w:t>Outline</w:t>
            </w:r>
            <w:r w:rsidR="00877680">
              <w:rPr>
                <w:noProof/>
                <w:webHidden/>
              </w:rPr>
              <w:tab/>
            </w:r>
            <w:r w:rsidR="00877680">
              <w:rPr>
                <w:noProof/>
                <w:webHidden/>
              </w:rPr>
              <w:fldChar w:fldCharType="begin"/>
            </w:r>
            <w:r w:rsidR="00877680">
              <w:rPr>
                <w:noProof/>
                <w:webHidden/>
              </w:rPr>
              <w:instrText xml:space="preserve"> PAGEREF _Toc79567167 \h </w:instrText>
            </w:r>
            <w:r w:rsidR="00877680">
              <w:rPr>
                <w:noProof/>
                <w:webHidden/>
              </w:rPr>
            </w:r>
            <w:r w:rsidR="00877680">
              <w:rPr>
                <w:noProof/>
                <w:webHidden/>
              </w:rPr>
              <w:fldChar w:fldCharType="separate"/>
            </w:r>
            <w:r w:rsidR="00877680">
              <w:rPr>
                <w:noProof/>
                <w:webHidden/>
              </w:rPr>
              <w:t>14</w:t>
            </w:r>
            <w:r w:rsidR="00877680">
              <w:rPr>
                <w:noProof/>
                <w:webHidden/>
              </w:rPr>
              <w:fldChar w:fldCharType="end"/>
            </w:r>
          </w:hyperlink>
        </w:p>
        <w:p w14:paraId="79089829" w14:textId="57307363"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8" w:history="1">
            <w:r w:rsidR="00877680" w:rsidRPr="006C543F">
              <w:rPr>
                <w:rStyle w:val="Hyperlink"/>
                <w:noProof/>
              </w:rPr>
              <w:t>4.2</w:t>
            </w:r>
            <w:r w:rsidR="00877680">
              <w:rPr>
                <w:rFonts w:asciiTheme="minorHAnsi" w:eastAsiaTheme="minorEastAsia" w:hAnsiTheme="minorHAnsi" w:cstheme="minorBidi"/>
                <w:noProof/>
                <w:sz w:val="22"/>
                <w:szCs w:val="22"/>
                <w:lang w:eastAsia="en-AU"/>
              </w:rPr>
              <w:tab/>
            </w:r>
            <w:r w:rsidR="00877680" w:rsidRPr="006C543F">
              <w:rPr>
                <w:rStyle w:val="Hyperlink"/>
                <w:noProof/>
              </w:rPr>
              <w:t>Amendments to Statutory Price Reductions</w:t>
            </w:r>
            <w:r w:rsidR="00877680">
              <w:rPr>
                <w:noProof/>
                <w:webHidden/>
              </w:rPr>
              <w:tab/>
            </w:r>
            <w:r w:rsidR="00877680">
              <w:rPr>
                <w:noProof/>
                <w:webHidden/>
              </w:rPr>
              <w:fldChar w:fldCharType="begin"/>
            </w:r>
            <w:r w:rsidR="00877680">
              <w:rPr>
                <w:noProof/>
                <w:webHidden/>
              </w:rPr>
              <w:instrText xml:space="preserve"> PAGEREF _Toc79567168 \h </w:instrText>
            </w:r>
            <w:r w:rsidR="00877680">
              <w:rPr>
                <w:noProof/>
                <w:webHidden/>
              </w:rPr>
            </w:r>
            <w:r w:rsidR="00877680">
              <w:rPr>
                <w:noProof/>
                <w:webHidden/>
              </w:rPr>
              <w:fldChar w:fldCharType="separate"/>
            </w:r>
            <w:r w:rsidR="00877680">
              <w:rPr>
                <w:noProof/>
                <w:webHidden/>
              </w:rPr>
              <w:t>14</w:t>
            </w:r>
            <w:r w:rsidR="00877680">
              <w:rPr>
                <w:noProof/>
                <w:webHidden/>
              </w:rPr>
              <w:fldChar w:fldCharType="end"/>
            </w:r>
          </w:hyperlink>
        </w:p>
        <w:p w14:paraId="59C24FD5" w14:textId="40AA68A7"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69" w:history="1">
            <w:r w:rsidR="00877680" w:rsidRPr="006C543F">
              <w:rPr>
                <w:rStyle w:val="Hyperlink"/>
                <w:noProof/>
              </w:rPr>
              <w:t>4.3</w:t>
            </w:r>
            <w:r w:rsidR="00877680">
              <w:rPr>
                <w:rFonts w:asciiTheme="minorHAnsi" w:eastAsiaTheme="minorEastAsia" w:hAnsiTheme="minorHAnsi" w:cstheme="minorBidi"/>
                <w:noProof/>
                <w:sz w:val="22"/>
                <w:szCs w:val="22"/>
                <w:lang w:eastAsia="en-AU"/>
              </w:rPr>
              <w:tab/>
            </w:r>
            <w:r w:rsidR="00877680" w:rsidRPr="006C543F">
              <w:rPr>
                <w:rStyle w:val="Hyperlink"/>
                <w:noProof/>
              </w:rPr>
              <w:t>Catch-up reductions</w:t>
            </w:r>
            <w:r w:rsidR="00877680">
              <w:rPr>
                <w:noProof/>
                <w:webHidden/>
              </w:rPr>
              <w:tab/>
            </w:r>
            <w:r w:rsidR="00877680">
              <w:rPr>
                <w:noProof/>
                <w:webHidden/>
              </w:rPr>
              <w:fldChar w:fldCharType="begin"/>
            </w:r>
            <w:r w:rsidR="00877680">
              <w:rPr>
                <w:noProof/>
                <w:webHidden/>
              </w:rPr>
              <w:instrText xml:space="preserve"> PAGEREF _Toc79567169 \h </w:instrText>
            </w:r>
            <w:r w:rsidR="00877680">
              <w:rPr>
                <w:noProof/>
                <w:webHidden/>
              </w:rPr>
            </w:r>
            <w:r w:rsidR="00877680">
              <w:rPr>
                <w:noProof/>
                <w:webHidden/>
              </w:rPr>
              <w:fldChar w:fldCharType="separate"/>
            </w:r>
            <w:r w:rsidR="00877680">
              <w:rPr>
                <w:noProof/>
                <w:webHidden/>
              </w:rPr>
              <w:t>15</w:t>
            </w:r>
            <w:r w:rsidR="00877680">
              <w:rPr>
                <w:noProof/>
                <w:webHidden/>
              </w:rPr>
              <w:fldChar w:fldCharType="end"/>
            </w:r>
          </w:hyperlink>
        </w:p>
        <w:p w14:paraId="0E7D90CC" w14:textId="11221EA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0" w:history="1">
            <w:r w:rsidR="00877680" w:rsidRPr="006C543F">
              <w:rPr>
                <w:rStyle w:val="Hyperlink"/>
                <w:noProof/>
              </w:rPr>
              <w:t>4.4</w:t>
            </w:r>
            <w:r w:rsidR="00877680">
              <w:rPr>
                <w:rFonts w:asciiTheme="minorHAnsi" w:eastAsiaTheme="minorEastAsia" w:hAnsiTheme="minorHAnsi" w:cstheme="minorBidi"/>
                <w:noProof/>
                <w:sz w:val="22"/>
                <w:szCs w:val="22"/>
                <w:lang w:eastAsia="en-AU"/>
              </w:rPr>
              <w:tab/>
            </w:r>
            <w:r w:rsidR="00877680" w:rsidRPr="006C543F">
              <w:rPr>
                <w:rStyle w:val="Hyperlink"/>
                <w:noProof/>
              </w:rPr>
              <w:t>Cap on Statutory Price Reductions</w:t>
            </w:r>
            <w:r w:rsidR="00877680">
              <w:rPr>
                <w:noProof/>
                <w:webHidden/>
              </w:rPr>
              <w:tab/>
            </w:r>
            <w:r w:rsidR="00877680">
              <w:rPr>
                <w:noProof/>
                <w:webHidden/>
              </w:rPr>
              <w:fldChar w:fldCharType="begin"/>
            </w:r>
            <w:r w:rsidR="00877680">
              <w:rPr>
                <w:noProof/>
                <w:webHidden/>
              </w:rPr>
              <w:instrText xml:space="preserve"> PAGEREF _Toc79567170 \h </w:instrText>
            </w:r>
            <w:r w:rsidR="00877680">
              <w:rPr>
                <w:noProof/>
                <w:webHidden/>
              </w:rPr>
            </w:r>
            <w:r w:rsidR="00877680">
              <w:rPr>
                <w:noProof/>
                <w:webHidden/>
              </w:rPr>
              <w:fldChar w:fldCharType="separate"/>
            </w:r>
            <w:r w:rsidR="00877680">
              <w:rPr>
                <w:noProof/>
                <w:webHidden/>
              </w:rPr>
              <w:t>16</w:t>
            </w:r>
            <w:r w:rsidR="00877680">
              <w:rPr>
                <w:noProof/>
                <w:webHidden/>
              </w:rPr>
              <w:fldChar w:fldCharType="end"/>
            </w:r>
          </w:hyperlink>
        </w:p>
        <w:p w14:paraId="0228A39A" w14:textId="3EC90E34"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1" w:history="1">
            <w:r w:rsidR="00877680" w:rsidRPr="006C543F">
              <w:rPr>
                <w:rStyle w:val="Hyperlink"/>
                <w:noProof/>
              </w:rPr>
              <w:t>4.5</w:t>
            </w:r>
            <w:r w:rsidR="00877680">
              <w:rPr>
                <w:rFonts w:asciiTheme="minorHAnsi" w:eastAsiaTheme="minorEastAsia" w:hAnsiTheme="minorHAnsi" w:cstheme="minorBidi"/>
                <w:noProof/>
                <w:sz w:val="22"/>
                <w:szCs w:val="22"/>
                <w:lang w:eastAsia="en-AU"/>
              </w:rPr>
              <w:tab/>
            </w:r>
            <w:r w:rsidR="00877680" w:rsidRPr="006C543F">
              <w:rPr>
                <w:rStyle w:val="Hyperlink"/>
                <w:noProof/>
              </w:rPr>
              <w:t>Price reduction mechanism</w:t>
            </w:r>
            <w:r w:rsidR="00877680">
              <w:rPr>
                <w:noProof/>
                <w:webHidden/>
              </w:rPr>
              <w:tab/>
            </w:r>
            <w:r w:rsidR="00877680">
              <w:rPr>
                <w:noProof/>
                <w:webHidden/>
              </w:rPr>
              <w:fldChar w:fldCharType="begin"/>
            </w:r>
            <w:r w:rsidR="00877680">
              <w:rPr>
                <w:noProof/>
                <w:webHidden/>
              </w:rPr>
              <w:instrText xml:space="preserve"> PAGEREF _Toc79567171 \h </w:instrText>
            </w:r>
            <w:r w:rsidR="00877680">
              <w:rPr>
                <w:noProof/>
                <w:webHidden/>
              </w:rPr>
            </w:r>
            <w:r w:rsidR="00877680">
              <w:rPr>
                <w:noProof/>
                <w:webHidden/>
              </w:rPr>
              <w:fldChar w:fldCharType="separate"/>
            </w:r>
            <w:r w:rsidR="00877680">
              <w:rPr>
                <w:noProof/>
                <w:webHidden/>
              </w:rPr>
              <w:t>16</w:t>
            </w:r>
            <w:r w:rsidR="00877680">
              <w:rPr>
                <w:noProof/>
                <w:webHidden/>
              </w:rPr>
              <w:fldChar w:fldCharType="end"/>
            </w:r>
          </w:hyperlink>
        </w:p>
        <w:p w14:paraId="6C18F4FA" w14:textId="25DAEA2D"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2" w:history="1">
            <w:r w:rsidR="00877680" w:rsidRPr="006C543F">
              <w:rPr>
                <w:rStyle w:val="Hyperlink"/>
                <w:noProof/>
              </w:rPr>
              <w:t>4.6</w:t>
            </w:r>
            <w:r w:rsidR="00877680">
              <w:rPr>
                <w:rFonts w:asciiTheme="minorHAnsi" w:eastAsiaTheme="minorEastAsia" w:hAnsiTheme="minorHAnsi" w:cstheme="minorBidi"/>
                <w:noProof/>
                <w:sz w:val="22"/>
                <w:szCs w:val="22"/>
                <w:lang w:eastAsia="en-AU"/>
              </w:rPr>
              <w:tab/>
            </w:r>
            <w:r w:rsidR="00877680" w:rsidRPr="006C543F">
              <w:rPr>
                <w:rStyle w:val="Hyperlink"/>
                <w:noProof/>
              </w:rPr>
              <w:t>Ministerial discretion</w:t>
            </w:r>
            <w:r w:rsidR="00877680">
              <w:rPr>
                <w:noProof/>
                <w:webHidden/>
              </w:rPr>
              <w:tab/>
            </w:r>
            <w:r w:rsidR="00877680">
              <w:rPr>
                <w:noProof/>
                <w:webHidden/>
              </w:rPr>
              <w:fldChar w:fldCharType="begin"/>
            </w:r>
            <w:r w:rsidR="00877680">
              <w:rPr>
                <w:noProof/>
                <w:webHidden/>
              </w:rPr>
              <w:instrText xml:space="preserve"> PAGEREF _Toc79567172 \h </w:instrText>
            </w:r>
            <w:r w:rsidR="00877680">
              <w:rPr>
                <w:noProof/>
                <w:webHidden/>
              </w:rPr>
            </w:r>
            <w:r w:rsidR="00877680">
              <w:rPr>
                <w:noProof/>
                <w:webHidden/>
              </w:rPr>
              <w:fldChar w:fldCharType="separate"/>
            </w:r>
            <w:r w:rsidR="00877680">
              <w:rPr>
                <w:noProof/>
                <w:webHidden/>
              </w:rPr>
              <w:t>17</w:t>
            </w:r>
            <w:r w:rsidR="00877680">
              <w:rPr>
                <w:noProof/>
                <w:webHidden/>
              </w:rPr>
              <w:fldChar w:fldCharType="end"/>
            </w:r>
          </w:hyperlink>
        </w:p>
        <w:p w14:paraId="147B1735" w14:textId="50851932"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3" w:history="1">
            <w:r w:rsidR="00877680" w:rsidRPr="006C543F">
              <w:rPr>
                <w:rStyle w:val="Hyperlink"/>
                <w:noProof/>
              </w:rPr>
              <w:t>4.7</w:t>
            </w:r>
            <w:r w:rsidR="00877680">
              <w:rPr>
                <w:rFonts w:asciiTheme="minorHAnsi" w:eastAsiaTheme="minorEastAsia" w:hAnsiTheme="minorHAnsi" w:cstheme="minorBidi"/>
                <w:noProof/>
                <w:sz w:val="22"/>
                <w:szCs w:val="22"/>
                <w:lang w:eastAsia="en-AU"/>
              </w:rPr>
              <w:tab/>
            </w:r>
            <w:r w:rsidR="00877680" w:rsidRPr="006C543F">
              <w:rPr>
                <w:rStyle w:val="Hyperlink"/>
                <w:noProof/>
              </w:rPr>
              <w:t>Clarification in respect of arrangements</w:t>
            </w:r>
            <w:r w:rsidR="00877680">
              <w:rPr>
                <w:noProof/>
                <w:webHidden/>
              </w:rPr>
              <w:tab/>
            </w:r>
            <w:r w:rsidR="00877680">
              <w:rPr>
                <w:noProof/>
                <w:webHidden/>
              </w:rPr>
              <w:fldChar w:fldCharType="begin"/>
            </w:r>
            <w:r w:rsidR="00877680">
              <w:rPr>
                <w:noProof/>
                <w:webHidden/>
              </w:rPr>
              <w:instrText xml:space="preserve"> PAGEREF _Toc79567173 \h </w:instrText>
            </w:r>
            <w:r w:rsidR="00877680">
              <w:rPr>
                <w:noProof/>
                <w:webHidden/>
              </w:rPr>
            </w:r>
            <w:r w:rsidR="00877680">
              <w:rPr>
                <w:noProof/>
                <w:webHidden/>
              </w:rPr>
              <w:fldChar w:fldCharType="separate"/>
            </w:r>
            <w:r w:rsidR="00877680">
              <w:rPr>
                <w:noProof/>
                <w:webHidden/>
              </w:rPr>
              <w:t>17</w:t>
            </w:r>
            <w:r w:rsidR="00877680">
              <w:rPr>
                <w:noProof/>
                <w:webHidden/>
              </w:rPr>
              <w:fldChar w:fldCharType="end"/>
            </w:r>
          </w:hyperlink>
        </w:p>
        <w:p w14:paraId="51360486" w14:textId="5B025B42" w:rsidR="00877680" w:rsidRDefault="00D405B1">
          <w:pPr>
            <w:pStyle w:val="TOC1"/>
            <w:rPr>
              <w:rFonts w:asciiTheme="minorHAnsi" w:eastAsiaTheme="minorEastAsia" w:hAnsiTheme="minorHAnsi" w:cstheme="minorBidi"/>
              <w:b w:val="0"/>
              <w:noProof/>
              <w:sz w:val="22"/>
              <w:szCs w:val="22"/>
              <w:lang w:eastAsia="en-AU"/>
            </w:rPr>
          </w:pPr>
          <w:hyperlink w:anchor="_Toc79567174" w:history="1">
            <w:r w:rsidR="00877680" w:rsidRPr="006C543F">
              <w:rPr>
                <w:rStyle w:val="Hyperlink"/>
                <w:noProof/>
              </w:rPr>
              <w:t>5.</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Agreement oversight</w:t>
            </w:r>
            <w:r w:rsidR="00877680">
              <w:rPr>
                <w:noProof/>
                <w:webHidden/>
              </w:rPr>
              <w:tab/>
            </w:r>
            <w:r w:rsidR="00877680">
              <w:rPr>
                <w:noProof/>
                <w:webHidden/>
              </w:rPr>
              <w:fldChar w:fldCharType="begin"/>
            </w:r>
            <w:r w:rsidR="00877680">
              <w:rPr>
                <w:noProof/>
                <w:webHidden/>
              </w:rPr>
              <w:instrText xml:space="preserve"> PAGEREF _Toc79567174 \h </w:instrText>
            </w:r>
            <w:r w:rsidR="00877680">
              <w:rPr>
                <w:noProof/>
                <w:webHidden/>
              </w:rPr>
            </w:r>
            <w:r w:rsidR="00877680">
              <w:rPr>
                <w:noProof/>
                <w:webHidden/>
              </w:rPr>
              <w:fldChar w:fldCharType="separate"/>
            </w:r>
            <w:r w:rsidR="00877680">
              <w:rPr>
                <w:noProof/>
                <w:webHidden/>
              </w:rPr>
              <w:t>17</w:t>
            </w:r>
            <w:r w:rsidR="00877680">
              <w:rPr>
                <w:noProof/>
                <w:webHidden/>
              </w:rPr>
              <w:fldChar w:fldCharType="end"/>
            </w:r>
          </w:hyperlink>
        </w:p>
        <w:p w14:paraId="20587255" w14:textId="192060FD" w:rsidR="00877680" w:rsidRDefault="00D405B1">
          <w:pPr>
            <w:pStyle w:val="TOC1"/>
            <w:rPr>
              <w:rFonts w:asciiTheme="minorHAnsi" w:eastAsiaTheme="minorEastAsia" w:hAnsiTheme="minorHAnsi" w:cstheme="minorBidi"/>
              <w:b w:val="0"/>
              <w:noProof/>
              <w:sz w:val="22"/>
              <w:szCs w:val="22"/>
              <w:lang w:eastAsia="en-AU"/>
            </w:rPr>
          </w:pPr>
          <w:hyperlink w:anchor="_Toc79567175" w:history="1">
            <w:r w:rsidR="00877680" w:rsidRPr="006C543F">
              <w:rPr>
                <w:rStyle w:val="Hyperlink"/>
                <w:noProof/>
              </w:rPr>
              <w:t>6.</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General matters</w:t>
            </w:r>
            <w:r w:rsidR="00877680">
              <w:rPr>
                <w:noProof/>
                <w:webHidden/>
              </w:rPr>
              <w:tab/>
            </w:r>
            <w:r w:rsidR="00877680">
              <w:rPr>
                <w:noProof/>
                <w:webHidden/>
              </w:rPr>
              <w:fldChar w:fldCharType="begin"/>
            </w:r>
            <w:r w:rsidR="00877680">
              <w:rPr>
                <w:noProof/>
                <w:webHidden/>
              </w:rPr>
              <w:instrText xml:space="preserve"> PAGEREF _Toc79567175 \h </w:instrText>
            </w:r>
            <w:r w:rsidR="00877680">
              <w:rPr>
                <w:noProof/>
                <w:webHidden/>
              </w:rPr>
            </w:r>
            <w:r w:rsidR="00877680">
              <w:rPr>
                <w:noProof/>
                <w:webHidden/>
              </w:rPr>
              <w:fldChar w:fldCharType="separate"/>
            </w:r>
            <w:r w:rsidR="00877680">
              <w:rPr>
                <w:noProof/>
                <w:webHidden/>
              </w:rPr>
              <w:t>18</w:t>
            </w:r>
            <w:r w:rsidR="00877680">
              <w:rPr>
                <w:noProof/>
                <w:webHidden/>
              </w:rPr>
              <w:fldChar w:fldCharType="end"/>
            </w:r>
          </w:hyperlink>
        </w:p>
        <w:p w14:paraId="7C26DEB2" w14:textId="20E1B61F"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6" w:history="1">
            <w:r w:rsidR="00877680" w:rsidRPr="006C543F">
              <w:rPr>
                <w:rStyle w:val="Hyperlink"/>
                <w:noProof/>
              </w:rPr>
              <w:t>6.1</w:t>
            </w:r>
            <w:r w:rsidR="00877680">
              <w:rPr>
                <w:rFonts w:asciiTheme="minorHAnsi" w:eastAsiaTheme="minorEastAsia" w:hAnsiTheme="minorHAnsi" w:cstheme="minorBidi"/>
                <w:noProof/>
                <w:sz w:val="22"/>
                <w:szCs w:val="22"/>
                <w:lang w:eastAsia="en-AU"/>
              </w:rPr>
              <w:tab/>
            </w:r>
            <w:r w:rsidR="00877680" w:rsidRPr="006C543F">
              <w:rPr>
                <w:rStyle w:val="Hyperlink"/>
                <w:noProof/>
              </w:rPr>
              <w:t>Review of effectiveness of measures</w:t>
            </w:r>
            <w:r w:rsidR="00877680">
              <w:rPr>
                <w:noProof/>
                <w:webHidden/>
              </w:rPr>
              <w:tab/>
            </w:r>
            <w:r w:rsidR="00877680">
              <w:rPr>
                <w:noProof/>
                <w:webHidden/>
              </w:rPr>
              <w:fldChar w:fldCharType="begin"/>
            </w:r>
            <w:r w:rsidR="00877680">
              <w:rPr>
                <w:noProof/>
                <w:webHidden/>
              </w:rPr>
              <w:instrText xml:space="preserve"> PAGEREF _Toc79567176 \h </w:instrText>
            </w:r>
            <w:r w:rsidR="00877680">
              <w:rPr>
                <w:noProof/>
                <w:webHidden/>
              </w:rPr>
            </w:r>
            <w:r w:rsidR="00877680">
              <w:rPr>
                <w:noProof/>
                <w:webHidden/>
              </w:rPr>
              <w:fldChar w:fldCharType="separate"/>
            </w:r>
            <w:r w:rsidR="00877680">
              <w:rPr>
                <w:noProof/>
                <w:webHidden/>
              </w:rPr>
              <w:t>18</w:t>
            </w:r>
            <w:r w:rsidR="00877680">
              <w:rPr>
                <w:noProof/>
                <w:webHidden/>
              </w:rPr>
              <w:fldChar w:fldCharType="end"/>
            </w:r>
          </w:hyperlink>
        </w:p>
        <w:p w14:paraId="7A3A5F3A" w14:textId="4564027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7" w:history="1">
            <w:r w:rsidR="00877680" w:rsidRPr="006C543F">
              <w:rPr>
                <w:rStyle w:val="Hyperlink"/>
                <w:noProof/>
              </w:rPr>
              <w:t>6.2</w:t>
            </w:r>
            <w:r w:rsidR="00877680">
              <w:rPr>
                <w:rFonts w:asciiTheme="minorHAnsi" w:eastAsiaTheme="minorEastAsia" w:hAnsiTheme="minorHAnsi" w:cstheme="minorBidi"/>
                <w:noProof/>
                <w:sz w:val="22"/>
                <w:szCs w:val="22"/>
                <w:lang w:eastAsia="en-AU"/>
              </w:rPr>
              <w:tab/>
            </w:r>
            <w:r w:rsidR="00877680" w:rsidRPr="006C543F">
              <w:rPr>
                <w:rStyle w:val="Hyperlink"/>
                <w:noProof/>
              </w:rPr>
              <w:t>Issue resolution</w:t>
            </w:r>
            <w:r w:rsidR="00877680">
              <w:rPr>
                <w:noProof/>
                <w:webHidden/>
              </w:rPr>
              <w:tab/>
            </w:r>
            <w:r w:rsidR="00877680">
              <w:rPr>
                <w:noProof/>
                <w:webHidden/>
              </w:rPr>
              <w:fldChar w:fldCharType="begin"/>
            </w:r>
            <w:r w:rsidR="00877680">
              <w:rPr>
                <w:noProof/>
                <w:webHidden/>
              </w:rPr>
              <w:instrText xml:space="preserve"> PAGEREF _Toc79567177 \h </w:instrText>
            </w:r>
            <w:r w:rsidR="00877680">
              <w:rPr>
                <w:noProof/>
                <w:webHidden/>
              </w:rPr>
            </w:r>
            <w:r w:rsidR="00877680">
              <w:rPr>
                <w:noProof/>
                <w:webHidden/>
              </w:rPr>
              <w:fldChar w:fldCharType="separate"/>
            </w:r>
            <w:r w:rsidR="00877680">
              <w:rPr>
                <w:noProof/>
                <w:webHidden/>
              </w:rPr>
              <w:t>19</w:t>
            </w:r>
            <w:r w:rsidR="00877680">
              <w:rPr>
                <w:noProof/>
                <w:webHidden/>
              </w:rPr>
              <w:fldChar w:fldCharType="end"/>
            </w:r>
          </w:hyperlink>
        </w:p>
        <w:p w14:paraId="2C642AFC" w14:textId="2C36038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8" w:history="1">
            <w:r w:rsidR="00877680" w:rsidRPr="006C543F">
              <w:rPr>
                <w:rStyle w:val="Hyperlink"/>
                <w:noProof/>
              </w:rPr>
              <w:t>6.3</w:t>
            </w:r>
            <w:r w:rsidR="00877680">
              <w:rPr>
                <w:rFonts w:asciiTheme="minorHAnsi" w:eastAsiaTheme="minorEastAsia" w:hAnsiTheme="minorHAnsi" w:cstheme="minorBidi"/>
                <w:noProof/>
                <w:sz w:val="22"/>
                <w:szCs w:val="22"/>
                <w:lang w:eastAsia="en-AU"/>
              </w:rPr>
              <w:tab/>
            </w:r>
            <w:r w:rsidR="00877680" w:rsidRPr="006C543F">
              <w:rPr>
                <w:rStyle w:val="Hyperlink"/>
                <w:noProof/>
              </w:rPr>
              <w:t>New agreement</w:t>
            </w:r>
            <w:r w:rsidR="00877680">
              <w:rPr>
                <w:noProof/>
                <w:webHidden/>
              </w:rPr>
              <w:tab/>
            </w:r>
            <w:r w:rsidR="00877680">
              <w:rPr>
                <w:noProof/>
                <w:webHidden/>
              </w:rPr>
              <w:fldChar w:fldCharType="begin"/>
            </w:r>
            <w:r w:rsidR="00877680">
              <w:rPr>
                <w:noProof/>
                <w:webHidden/>
              </w:rPr>
              <w:instrText xml:space="preserve"> PAGEREF _Toc79567178 \h </w:instrText>
            </w:r>
            <w:r w:rsidR="00877680">
              <w:rPr>
                <w:noProof/>
                <w:webHidden/>
              </w:rPr>
            </w:r>
            <w:r w:rsidR="00877680">
              <w:rPr>
                <w:noProof/>
                <w:webHidden/>
              </w:rPr>
              <w:fldChar w:fldCharType="separate"/>
            </w:r>
            <w:r w:rsidR="00877680">
              <w:rPr>
                <w:noProof/>
                <w:webHidden/>
              </w:rPr>
              <w:t>19</w:t>
            </w:r>
            <w:r w:rsidR="00877680">
              <w:rPr>
                <w:noProof/>
                <w:webHidden/>
              </w:rPr>
              <w:fldChar w:fldCharType="end"/>
            </w:r>
          </w:hyperlink>
        </w:p>
        <w:p w14:paraId="19D1C337" w14:textId="17BC58A1"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79" w:history="1">
            <w:r w:rsidR="00877680" w:rsidRPr="006C543F">
              <w:rPr>
                <w:rStyle w:val="Hyperlink"/>
                <w:noProof/>
              </w:rPr>
              <w:t>6.4</w:t>
            </w:r>
            <w:r w:rsidR="00877680">
              <w:rPr>
                <w:rFonts w:asciiTheme="minorHAnsi" w:eastAsiaTheme="minorEastAsia" w:hAnsiTheme="minorHAnsi" w:cstheme="minorBidi"/>
                <w:noProof/>
                <w:sz w:val="22"/>
                <w:szCs w:val="22"/>
                <w:lang w:eastAsia="en-AU"/>
              </w:rPr>
              <w:tab/>
            </w:r>
            <w:r w:rsidR="00877680" w:rsidRPr="006C543F">
              <w:rPr>
                <w:rStyle w:val="Hyperlink"/>
                <w:noProof/>
              </w:rPr>
              <w:t>Variation</w:t>
            </w:r>
            <w:r w:rsidR="00877680">
              <w:rPr>
                <w:noProof/>
                <w:webHidden/>
              </w:rPr>
              <w:tab/>
            </w:r>
            <w:r w:rsidR="00877680">
              <w:rPr>
                <w:noProof/>
                <w:webHidden/>
              </w:rPr>
              <w:fldChar w:fldCharType="begin"/>
            </w:r>
            <w:r w:rsidR="00877680">
              <w:rPr>
                <w:noProof/>
                <w:webHidden/>
              </w:rPr>
              <w:instrText xml:space="preserve"> PAGEREF _Toc79567179 \h </w:instrText>
            </w:r>
            <w:r w:rsidR="00877680">
              <w:rPr>
                <w:noProof/>
                <w:webHidden/>
              </w:rPr>
            </w:r>
            <w:r w:rsidR="00877680">
              <w:rPr>
                <w:noProof/>
                <w:webHidden/>
              </w:rPr>
              <w:fldChar w:fldCharType="separate"/>
            </w:r>
            <w:r w:rsidR="00877680">
              <w:rPr>
                <w:noProof/>
                <w:webHidden/>
              </w:rPr>
              <w:t>19</w:t>
            </w:r>
            <w:r w:rsidR="00877680">
              <w:rPr>
                <w:noProof/>
                <w:webHidden/>
              </w:rPr>
              <w:fldChar w:fldCharType="end"/>
            </w:r>
          </w:hyperlink>
        </w:p>
        <w:p w14:paraId="1F3ADB44" w14:textId="501D8699"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80" w:history="1">
            <w:r w:rsidR="00877680" w:rsidRPr="006C543F">
              <w:rPr>
                <w:rStyle w:val="Hyperlink"/>
                <w:noProof/>
              </w:rPr>
              <w:t>6.5</w:t>
            </w:r>
            <w:r w:rsidR="00877680">
              <w:rPr>
                <w:rFonts w:asciiTheme="minorHAnsi" w:eastAsiaTheme="minorEastAsia" w:hAnsiTheme="minorHAnsi" w:cstheme="minorBidi"/>
                <w:noProof/>
                <w:sz w:val="22"/>
                <w:szCs w:val="22"/>
                <w:lang w:eastAsia="en-AU"/>
              </w:rPr>
              <w:tab/>
            </w:r>
            <w:r w:rsidR="00877680" w:rsidRPr="006C543F">
              <w:rPr>
                <w:rStyle w:val="Hyperlink"/>
                <w:noProof/>
              </w:rPr>
              <w:t>Status of this document</w:t>
            </w:r>
            <w:r w:rsidR="00877680">
              <w:rPr>
                <w:noProof/>
                <w:webHidden/>
              </w:rPr>
              <w:tab/>
            </w:r>
            <w:r w:rsidR="00877680">
              <w:rPr>
                <w:noProof/>
                <w:webHidden/>
              </w:rPr>
              <w:fldChar w:fldCharType="begin"/>
            </w:r>
            <w:r w:rsidR="00877680">
              <w:rPr>
                <w:noProof/>
                <w:webHidden/>
              </w:rPr>
              <w:instrText xml:space="preserve"> PAGEREF _Toc79567180 \h </w:instrText>
            </w:r>
            <w:r w:rsidR="00877680">
              <w:rPr>
                <w:noProof/>
                <w:webHidden/>
              </w:rPr>
            </w:r>
            <w:r w:rsidR="00877680">
              <w:rPr>
                <w:noProof/>
                <w:webHidden/>
              </w:rPr>
              <w:fldChar w:fldCharType="separate"/>
            </w:r>
            <w:r w:rsidR="00877680">
              <w:rPr>
                <w:noProof/>
                <w:webHidden/>
              </w:rPr>
              <w:t>19</w:t>
            </w:r>
            <w:r w:rsidR="00877680">
              <w:rPr>
                <w:noProof/>
                <w:webHidden/>
              </w:rPr>
              <w:fldChar w:fldCharType="end"/>
            </w:r>
          </w:hyperlink>
        </w:p>
        <w:p w14:paraId="2FFA81B7" w14:textId="294502E0"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81" w:history="1">
            <w:r w:rsidR="00877680" w:rsidRPr="006C543F">
              <w:rPr>
                <w:rStyle w:val="Hyperlink"/>
                <w:noProof/>
              </w:rPr>
              <w:t>6.6</w:t>
            </w:r>
            <w:r w:rsidR="00877680">
              <w:rPr>
                <w:rFonts w:asciiTheme="minorHAnsi" w:eastAsiaTheme="minorEastAsia" w:hAnsiTheme="minorHAnsi" w:cstheme="minorBidi"/>
                <w:noProof/>
                <w:sz w:val="22"/>
                <w:szCs w:val="22"/>
                <w:lang w:eastAsia="en-AU"/>
              </w:rPr>
              <w:tab/>
            </w:r>
            <w:r w:rsidR="00877680" w:rsidRPr="006C543F">
              <w:rPr>
                <w:rStyle w:val="Hyperlink"/>
                <w:noProof/>
              </w:rPr>
              <w:t>Notices</w:t>
            </w:r>
            <w:r w:rsidR="00877680">
              <w:rPr>
                <w:noProof/>
                <w:webHidden/>
              </w:rPr>
              <w:tab/>
            </w:r>
            <w:r w:rsidR="00877680">
              <w:rPr>
                <w:noProof/>
                <w:webHidden/>
              </w:rPr>
              <w:fldChar w:fldCharType="begin"/>
            </w:r>
            <w:r w:rsidR="00877680">
              <w:rPr>
                <w:noProof/>
                <w:webHidden/>
              </w:rPr>
              <w:instrText xml:space="preserve"> PAGEREF _Toc79567181 \h </w:instrText>
            </w:r>
            <w:r w:rsidR="00877680">
              <w:rPr>
                <w:noProof/>
                <w:webHidden/>
              </w:rPr>
            </w:r>
            <w:r w:rsidR="00877680">
              <w:rPr>
                <w:noProof/>
                <w:webHidden/>
              </w:rPr>
              <w:fldChar w:fldCharType="separate"/>
            </w:r>
            <w:r w:rsidR="00877680">
              <w:rPr>
                <w:noProof/>
                <w:webHidden/>
              </w:rPr>
              <w:t>20</w:t>
            </w:r>
            <w:r w:rsidR="00877680">
              <w:rPr>
                <w:noProof/>
                <w:webHidden/>
              </w:rPr>
              <w:fldChar w:fldCharType="end"/>
            </w:r>
          </w:hyperlink>
        </w:p>
        <w:p w14:paraId="384F244B" w14:textId="2DF10EAC" w:rsidR="00877680" w:rsidRDefault="00D405B1">
          <w:pPr>
            <w:pStyle w:val="TOC1"/>
            <w:rPr>
              <w:rFonts w:asciiTheme="minorHAnsi" w:eastAsiaTheme="minorEastAsia" w:hAnsiTheme="minorHAnsi" w:cstheme="minorBidi"/>
              <w:b w:val="0"/>
              <w:noProof/>
              <w:sz w:val="22"/>
              <w:szCs w:val="22"/>
              <w:lang w:eastAsia="en-AU"/>
            </w:rPr>
          </w:pPr>
          <w:hyperlink w:anchor="_Toc79567182" w:history="1">
            <w:r w:rsidR="00877680" w:rsidRPr="006C543F">
              <w:rPr>
                <w:rStyle w:val="Hyperlink"/>
                <w:noProof/>
              </w:rPr>
              <w:t>7.</w:t>
            </w:r>
            <w:r w:rsidR="00877680">
              <w:rPr>
                <w:rFonts w:asciiTheme="minorHAnsi" w:eastAsiaTheme="minorEastAsia" w:hAnsiTheme="minorHAnsi" w:cstheme="minorBidi"/>
                <w:b w:val="0"/>
                <w:noProof/>
                <w:sz w:val="22"/>
                <w:szCs w:val="22"/>
                <w:lang w:eastAsia="en-AU"/>
              </w:rPr>
              <w:tab/>
            </w:r>
            <w:r w:rsidR="00877680" w:rsidRPr="006C543F">
              <w:rPr>
                <w:rStyle w:val="Hyperlink"/>
                <w:noProof/>
              </w:rPr>
              <w:t>Interpretation</w:t>
            </w:r>
            <w:r w:rsidR="00877680">
              <w:rPr>
                <w:noProof/>
                <w:webHidden/>
              </w:rPr>
              <w:tab/>
            </w:r>
            <w:r w:rsidR="00877680">
              <w:rPr>
                <w:noProof/>
                <w:webHidden/>
              </w:rPr>
              <w:fldChar w:fldCharType="begin"/>
            </w:r>
            <w:r w:rsidR="00877680">
              <w:rPr>
                <w:noProof/>
                <w:webHidden/>
              </w:rPr>
              <w:instrText xml:space="preserve"> PAGEREF _Toc79567182 \h </w:instrText>
            </w:r>
            <w:r w:rsidR="00877680">
              <w:rPr>
                <w:noProof/>
                <w:webHidden/>
              </w:rPr>
            </w:r>
            <w:r w:rsidR="00877680">
              <w:rPr>
                <w:noProof/>
                <w:webHidden/>
              </w:rPr>
              <w:fldChar w:fldCharType="separate"/>
            </w:r>
            <w:r w:rsidR="00877680">
              <w:rPr>
                <w:noProof/>
                <w:webHidden/>
              </w:rPr>
              <w:t>21</w:t>
            </w:r>
            <w:r w:rsidR="00877680">
              <w:rPr>
                <w:noProof/>
                <w:webHidden/>
              </w:rPr>
              <w:fldChar w:fldCharType="end"/>
            </w:r>
          </w:hyperlink>
        </w:p>
        <w:p w14:paraId="4F3030C7" w14:textId="19041EDF"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83" w:history="1">
            <w:r w:rsidR="00877680" w:rsidRPr="006C543F">
              <w:rPr>
                <w:rStyle w:val="Hyperlink"/>
                <w:noProof/>
              </w:rPr>
              <w:t>7.1</w:t>
            </w:r>
            <w:r w:rsidR="00877680">
              <w:rPr>
                <w:rFonts w:asciiTheme="minorHAnsi" w:eastAsiaTheme="minorEastAsia" w:hAnsiTheme="minorHAnsi" w:cstheme="minorBidi"/>
                <w:noProof/>
                <w:sz w:val="22"/>
                <w:szCs w:val="22"/>
                <w:lang w:eastAsia="en-AU"/>
              </w:rPr>
              <w:tab/>
            </w:r>
            <w:r w:rsidR="00877680" w:rsidRPr="006C543F">
              <w:rPr>
                <w:rStyle w:val="Hyperlink"/>
                <w:noProof/>
              </w:rPr>
              <w:t>Words and headings</w:t>
            </w:r>
            <w:r w:rsidR="00877680">
              <w:rPr>
                <w:noProof/>
                <w:webHidden/>
              </w:rPr>
              <w:tab/>
            </w:r>
            <w:r w:rsidR="00877680">
              <w:rPr>
                <w:noProof/>
                <w:webHidden/>
              </w:rPr>
              <w:fldChar w:fldCharType="begin"/>
            </w:r>
            <w:r w:rsidR="00877680">
              <w:rPr>
                <w:noProof/>
                <w:webHidden/>
              </w:rPr>
              <w:instrText xml:space="preserve"> PAGEREF _Toc79567183 \h </w:instrText>
            </w:r>
            <w:r w:rsidR="00877680">
              <w:rPr>
                <w:noProof/>
                <w:webHidden/>
              </w:rPr>
            </w:r>
            <w:r w:rsidR="00877680">
              <w:rPr>
                <w:noProof/>
                <w:webHidden/>
              </w:rPr>
              <w:fldChar w:fldCharType="separate"/>
            </w:r>
            <w:r w:rsidR="00877680">
              <w:rPr>
                <w:noProof/>
                <w:webHidden/>
              </w:rPr>
              <w:t>21</w:t>
            </w:r>
            <w:r w:rsidR="00877680">
              <w:rPr>
                <w:noProof/>
                <w:webHidden/>
              </w:rPr>
              <w:fldChar w:fldCharType="end"/>
            </w:r>
          </w:hyperlink>
        </w:p>
        <w:p w14:paraId="06CC32D7" w14:textId="32E8CE96" w:rsidR="00877680" w:rsidRDefault="00D405B1">
          <w:pPr>
            <w:pStyle w:val="TOC2"/>
            <w:tabs>
              <w:tab w:val="left" w:pos="1702"/>
            </w:tabs>
            <w:rPr>
              <w:rFonts w:asciiTheme="minorHAnsi" w:eastAsiaTheme="minorEastAsia" w:hAnsiTheme="minorHAnsi" w:cstheme="minorBidi"/>
              <w:noProof/>
              <w:sz w:val="22"/>
              <w:szCs w:val="22"/>
              <w:lang w:eastAsia="en-AU"/>
            </w:rPr>
          </w:pPr>
          <w:hyperlink w:anchor="_Toc79567184" w:history="1">
            <w:r w:rsidR="00877680" w:rsidRPr="006C543F">
              <w:rPr>
                <w:rStyle w:val="Hyperlink"/>
                <w:noProof/>
              </w:rPr>
              <w:t>7.2</w:t>
            </w:r>
            <w:r w:rsidR="00877680">
              <w:rPr>
                <w:rFonts w:asciiTheme="minorHAnsi" w:eastAsiaTheme="minorEastAsia" w:hAnsiTheme="minorHAnsi" w:cstheme="minorBidi"/>
                <w:noProof/>
                <w:sz w:val="22"/>
                <w:szCs w:val="22"/>
                <w:lang w:eastAsia="en-AU"/>
              </w:rPr>
              <w:tab/>
            </w:r>
            <w:r w:rsidR="00877680" w:rsidRPr="006C543F">
              <w:rPr>
                <w:rStyle w:val="Hyperlink"/>
                <w:noProof/>
              </w:rPr>
              <w:t>Specific references</w:t>
            </w:r>
            <w:r w:rsidR="00877680">
              <w:rPr>
                <w:noProof/>
                <w:webHidden/>
              </w:rPr>
              <w:tab/>
            </w:r>
            <w:r w:rsidR="00877680">
              <w:rPr>
                <w:noProof/>
                <w:webHidden/>
              </w:rPr>
              <w:fldChar w:fldCharType="begin"/>
            </w:r>
            <w:r w:rsidR="00877680">
              <w:rPr>
                <w:noProof/>
                <w:webHidden/>
              </w:rPr>
              <w:instrText xml:space="preserve"> PAGEREF _Toc79567184 \h </w:instrText>
            </w:r>
            <w:r w:rsidR="00877680">
              <w:rPr>
                <w:noProof/>
                <w:webHidden/>
              </w:rPr>
            </w:r>
            <w:r w:rsidR="00877680">
              <w:rPr>
                <w:noProof/>
                <w:webHidden/>
              </w:rPr>
              <w:fldChar w:fldCharType="separate"/>
            </w:r>
            <w:r w:rsidR="00877680">
              <w:rPr>
                <w:noProof/>
                <w:webHidden/>
              </w:rPr>
              <w:t>21</w:t>
            </w:r>
            <w:r w:rsidR="00877680">
              <w:rPr>
                <w:noProof/>
                <w:webHidden/>
              </w:rPr>
              <w:fldChar w:fldCharType="end"/>
            </w:r>
          </w:hyperlink>
        </w:p>
        <w:p w14:paraId="62C70ED6" w14:textId="0E8FEBF6" w:rsidR="00877680" w:rsidRDefault="00D405B1">
          <w:pPr>
            <w:pStyle w:val="TOC1"/>
            <w:rPr>
              <w:rFonts w:asciiTheme="minorHAnsi" w:eastAsiaTheme="minorEastAsia" w:hAnsiTheme="minorHAnsi" w:cstheme="minorBidi"/>
              <w:b w:val="0"/>
              <w:noProof/>
              <w:sz w:val="22"/>
              <w:szCs w:val="22"/>
              <w:lang w:eastAsia="en-AU"/>
            </w:rPr>
          </w:pPr>
          <w:hyperlink w:anchor="_Toc79567185" w:history="1">
            <w:r w:rsidR="00877680" w:rsidRPr="006C543F">
              <w:rPr>
                <w:rStyle w:val="Hyperlink"/>
                <w:noProof/>
              </w:rPr>
              <w:t>Appendix 1</w:t>
            </w:r>
            <w:r w:rsidR="00877680">
              <w:rPr>
                <w:noProof/>
                <w:webHidden/>
              </w:rPr>
              <w:tab/>
            </w:r>
            <w:r w:rsidR="00877680">
              <w:rPr>
                <w:noProof/>
                <w:webHidden/>
              </w:rPr>
              <w:fldChar w:fldCharType="begin"/>
            </w:r>
            <w:r w:rsidR="00877680">
              <w:rPr>
                <w:noProof/>
                <w:webHidden/>
              </w:rPr>
              <w:instrText xml:space="preserve"> PAGEREF _Toc79567185 \h </w:instrText>
            </w:r>
            <w:r w:rsidR="00877680">
              <w:rPr>
                <w:noProof/>
                <w:webHidden/>
              </w:rPr>
            </w:r>
            <w:r w:rsidR="00877680">
              <w:rPr>
                <w:noProof/>
                <w:webHidden/>
              </w:rPr>
              <w:fldChar w:fldCharType="separate"/>
            </w:r>
            <w:r w:rsidR="00877680">
              <w:rPr>
                <w:noProof/>
                <w:webHidden/>
              </w:rPr>
              <w:t>23</w:t>
            </w:r>
            <w:r w:rsidR="00877680">
              <w:rPr>
                <w:noProof/>
                <w:webHidden/>
              </w:rPr>
              <w:fldChar w:fldCharType="end"/>
            </w:r>
          </w:hyperlink>
        </w:p>
        <w:p w14:paraId="09911272" w14:textId="363B73B9" w:rsidR="00877680" w:rsidRDefault="00D405B1">
          <w:pPr>
            <w:pStyle w:val="TOC1"/>
            <w:rPr>
              <w:rFonts w:asciiTheme="minorHAnsi" w:eastAsiaTheme="minorEastAsia" w:hAnsiTheme="minorHAnsi" w:cstheme="minorBidi"/>
              <w:b w:val="0"/>
              <w:noProof/>
              <w:sz w:val="22"/>
              <w:szCs w:val="22"/>
              <w:lang w:eastAsia="en-AU"/>
            </w:rPr>
          </w:pPr>
          <w:hyperlink w:anchor="_Toc79567186" w:history="1">
            <w:r w:rsidR="00877680" w:rsidRPr="006C543F">
              <w:rPr>
                <w:rStyle w:val="Hyperlink"/>
                <w:noProof/>
              </w:rPr>
              <w:t>Appendix 2</w:t>
            </w:r>
            <w:r w:rsidR="00877680">
              <w:rPr>
                <w:noProof/>
                <w:webHidden/>
              </w:rPr>
              <w:tab/>
            </w:r>
            <w:r w:rsidR="00877680">
              <w:rPr>
                <w:noProof/>
                <w:webHidden/>
              </w:rPr>
              <w:fldChar w:fldCharType="begin"/>
            </w:r>
            <w:r w:rsidR="00877680">
              <w:rPr>
                <w:noProof/>
                <w:webHidden/>
              </w:rPr>
              <w:instrText xml:space="preserve"> PAGEREF _Toc79567186 \h </w:instrText>
            </w:r>
            <w:r w:rsidR="00877680">
              <w:rPr>
                <w:noProof/>
                <w:webHidden/>
              </w:rPr>
            </w:r>
            <w:r w:rsidR="00877680">
              <w:rPr>
                <w:noProof/>
                <w:webHidden/>
              </w:rPr>
              <w:fldChar w:fldCharType="separate"/>
            </w:r>
            <w:r w:rsidR="00877680">
              <w:rPr>
                <w:noProof/>
                <w:webHidden/>
              </w:rPr>
              <w:t>24</w:t>
            </w:r>
            <w:r w:rsidR="00877680">
              <w:rPr>
                <w:noProof/>
                <w:webHidden/>
              </w:rPr>
              <w:fldChar w:fldCharType="end"/>
            </w:r>
          </w:hyperlink>
        </w:p>
        <w:p w14:paraId="55FDE459" w14:textId="3C530684" w:rsidR="00AE7167" w:rsidRPr="00F35A90" w:rsidRDefault="00AE7167" w:rsidP="0091489C">
          <w:r>
            <w:rPr>
              <w:b/>
              <w:bCs/>
              <w:noProof/>
              <w:lang w:val="en-US"/>
            </w:rPr>
            <w:fldChar w:fldCharType="end"/>
          </w:r>
        </w:p>
      </w:sdtContent>
    </w:sdt>
    <w:p w14:paraId="082E02C0" w14:textId="77777777" w:rsidR="007F36F2" w:rsidRDefault="00AE7167" w:rsidP="007F36F2">
      <w:r>
        <w:br w:type="page"/>
      </w:r>
    </w:p>
    <w:p w14:paraId="682C401C" w14:textId="77777777" w:rsidR="00AE7167" w:rsidRDefault="00AE7167" w:rsidP="00AE7167">
      <w:pPr>
        <w:pStyle w:val="mainTitle"/>
      </w:pPr>
      <w:r>
        <w:t>Strategic Agreement</w:t>
      </w:r>
    </w:p>
    <w:p w14:paraId="04A47381" w14:textId="77777777" w:rsidR="00AE7167" w:rsidRPr="003619F3" w:rsidRDefault="00AE7167" w:rsidP="00AE7167">
      <w:pPr>
        <w:pStyle w:val="legalTitleDescription"/>
        <w:spacing w:before="480" w:after="480"/>
        <w:rPr>
          <w:b w:val="0"/>
          <w:bCs/>
          <w:sz w:val="34"/>
          <w:szCs w:val="34"/>
        </w:rPr>
      </w:pPr>
    </w:p>
    <w:p w14:paraId="33EFBC9C" w14:textId="77777777" w:rsidR="00AE7167" w:rsidRDefault="00AE7167" w:rsidP="00AE7167">
      <w:pPr>
        <w:pStyle w:val="mainTitle"/>
        <w:spacing w:after="480"/>
      </w:pPr>
      <w:r>
        <w:t>Parties</w:t>
      </w:r>
    </w:p>
    <w:tbl>
      <w:tblPr>
        <w:tblW w:w="0" w:type="auto"/>
        <w:tblLook w:val="01E0" w:firstRow="1" w:lastRow="1" w:firstColumn="1" w:lastColumn="1" w:noHBand="0" w:noVBand="0"/>
      </w:tblPr>
      <w:tblGrid>
        <w:gridCol w:w="2088"/>
        <w:gridCol w:w="7198"/>
      </w:tblGrid>
      <w:tr w:rsidR="00AE7167" w14:paraId="7406ED9B" w14:textId="77777777" w:rsidTr="0091489C">
        <w:tc>
          <w:tcPr>
            <w:tcW w:w="2088" w:type="dxa"/>
            <w:tcBorders>
              <w:top w:val="nil"/>
              <w:left w:val="nil"/>
              <w:bottom w:val="nil"/>
              <w:right w:val="single" w:sz="4" w:space="0" w:color="auto"/>
            </w:tcBorders>
          </w:tcPr>
          <w:p w14:paraId="0F236E9D" w14:textId="77777777" w:rsidR="00AE7167" w:rsidRDefault="00AE7167" w:rsidP="0091489C">
            <w:pPr>
              <w:spacing w:after="120"/>
              <w:ind w:left="851"/>
              <w:jc w:val="both"/>
              <w:rPr>
                <w:b/>
                <w:bCs/>
                <w:sz w:val="18"/>
                <w:szCs w:val="18"/>
              </w:rPr>
            </w:pPr>
            <w:r>
              <w:rPr>
                <w:sz w:val="18"/>
                <w:szCs w:val="18"/>
              </w:rPr>
              <w:t>Name</w:t>
            </w:r>
          </w:p>
        </w:tc>
        <w:tc>
          <w:tcPr>
            <w:tcW w:w="7198" w:type="dxa"/>
            <w:tcBorders>
              <w:top w:val="nil"/>
              <w:left w:val="single" w:sz="4" w:space="0" w:color="auto"/>
              <w:bottom w:val="nil"/>
              <w:right w:val="nil"/>
            </w:tcBorders>
          </w:tcPr>
          <w:p w14:paraId="5D572A84" w14:textId="09EBE62B" w:rsidR="00AE7167" w:rsidRDefault="005D19CF" w:rsidP="004528B9">
            <w:pPr>
              <w:spacing w:after="120"/>
              <w:ind w:left="180"/>
              <w:rPr>
                <w:b/>
                <w:bCs/>
              </w:rPr>
            </w:pPr>
            <w:r>
              <w:rPr>
                <w:b/>
                <w:spacing w:val="-3"/>
              </w:rPr>
              <w:t xml:space="preserve">The Honourable </w:t>
            </w:r>
            <w:r w:rsidRPr="00E16E6B">
              <w:rPr>
                <w:b/>
                <w:spacing w:val="-3"/>
              </w:rPr>
              <w:t>Greg Hunt MP</w:t>
            </w:r>
            <w:r>
              <w:rPr>
                <w:b/>
                <w:spacing w:val="-3"/>
              </w:rPr>
              <w:t>,</w:t>
            </w:r>
            <w:r w:rsidRPr="00426FB0">
              <w:rPr>
                <w:b/>
                <w:spacing w:val="-3"/>
              </w:rPr>
              <w:t xml:space="preserve"> Minister </w:t>
            </w:r>
            <w:r>
              <w:rPr>
                <w:b/>
                <w:spacing w:val="-3"/>
              </w:rPr>
              <w:t>f</w:t>
            </w:r>
            <w:r w:rsidRPr="00426FB0">
              <w:rPr>
                <w:b/>
                <w:spacing w:val="-3"/>
              </w:rPr>
              <w:t xml:space="preserve">or Health </w:t>
            </w:r>
            <w:r>
              <w:rPr>
                <w:b/>
                <w:spacing w:val="-3"/>
              </w:rPr>
              <w:t>and Aged Care</w:t>
            </w:r>
            <w:r w:rsidR="004528B9">
              <w:rPr>
                <w:b/>
                <w:spacing w:val="-3"/>
              </w:rPr>
              <w:br/>
            </w:r>
            <w:r w:rsidRPr="00426FB0">
              <w:rPr>
                <w:spacing w:val="-3"/>
              </w:rPr>
              <w:t xml:space="preserve">on behalf of the </w:t>
            </w:r>
            <w:r w:rsidRPr="00426FB0">
              <w:rPr>
                <w:b/>
                <w:spacing w:val="-3"/>
              </w:rPr>
              <w:t>Commonwealth of Australia</w:t>
            </w:r>
          </w:p>
        </w:tc>
      </w:tr>
      <w:tr w:rsidR="00AE7167" w14:paraId="70A730FF" w14:textId="77777777" w:rsidTr="0091489C">
        <w:tc>
          <w:tcPr>
            <w:tcW w:w="2088" w:type="dxa"/>
            <w:tcBorders>
              <w:top w:val="nil"/>
              <w:left w:val="nil"/>
              <w:right w:val="single" w:sz="4" w:space="0" w:color="auto"/>
            </w:tcBorders>
          </w:tcPr>
          <w:p w14:paraId="48D6437A" w14:textId="77777777" w:rsidR="00AE7167" w:rsidRDefault="00AE7167" w:rsidP="0091489C">
            <w:pPr>
              <w:spacing w:after="120"/>
              <w:ind w:left="851"/>
              <w:jc w:val="both"/>
              <w:rPr>
                <w:b/>
                <w:bCs/>
                <w:sz w:val="18"/>
                <w:szCs w:val="18"/>
              </w:rPr>
            </w:pPr>
            <w:r>
              <w:rPr>
                <w:sz w:val="18"/>
                <w:szCs w:val="18"/>
              </w:rPr>
              <w:t>Short name</w:t>
            </w:r>
          </w:p>
        </w:tc>
        <w:tc>
          <w:tcPr>
            <w:tcW w:w="7198" w:type="dxa"/>
            <w:tcBorders>
              <w:top w:val="nil"/>
              <w:left w:val="single" w:sz="4" w:space="0" w:color="auto"/>
              <w:bottom w:val="nil"/>
              <w:right w:val="nil"/>
            </w:tcBorders>
          </w:tcPr>
          <w:p w14:paraId="5EE77603" w14:textId="77777777" w:rsidR="00AE7167" w:rsidRDefault="00AE7167" w:rsidP="0091489C">
            <w:pPr>
              <w:spacing w:after="120"/>
              <w:ind w:left="178" w:firstLine="14"/>
              <w:jc w:val="both"/>
            </w:pPr>
            <w:r>
              <w:rPr>
                <w:b/>
                <w:bCs/>
              </w:rPr>
              <w:t>Commonwealth</w:t>
            </w:r>
          </w:p>
        </w:tc>
      </w:tr>
    </w:tbl>
    <w:p w14:paraId="590F93A8" w14:textId="77777777" w:rsidR="00AE7167" w:rsidRDefault="00AE7167" w:rsidP="00AE7167">
      <w:pPr>
        <w:tabs>
          <w:tab w:val="left" w:pos="2088"/>
        </w:tabs>
        <w:rPr>
          <w:b/>
          <w:bCs/>
        </w:rPr>
      </w:pPr>
    </w:p>
    <w:p w14:paraId="45A078F6" w14:textId="77777777" w:rsidR="00AE7167" w:rsidRDefault="00AE7167" w:rsidP="00AE7167">
      <w:pPr>
        <w:tabs>
          <w:tab w:val="left" w:pos="2088"/>
        </w:tabs>
        <w:rPr>
          <w:b/>
          <w:bCs/>
        </w:rPr>
      </w:pPr>
    </w:p>
    <w:tbl>
      <w:tblPr>
        <w:tblW w:w="0" w:type="auto"/>
        <w:tblLook w:val="01E0" w:firstRow="1" w:lastRow="1" w:firstColumn="1" w:lastColumn="1" w:noHBand="0" w:noVBand="0"/>
      </w:tblPr>
      <w:tblGrid>
        <w:gridCol w:w="2088"/>
        <w:gridCol w:w="7198"/>
      </w:tblGrid>
      <w:tr w:rsidR="00AE7167" w14:paraId="7310F6F6" w14:textId="77777777" w:rsidTr="0091489C">
        <w:tc>
          <w:tcPr>
            <w:tcW w:w="2088" w:type="dxa"/>
            <w:tcBorders>
              <w:top w:val="nil"/>
              <w:left w:val="nil"/>
              <w:bottom w:val="nil"/>
              <w:right w:val="single" w:sz="4" w:space="0" w:color="auto"/>
            </w:tcBorders>
          </w:tcPr>
          <w:p w14:paraId="384D428B" w14:textId="77777777" w:rsidR="00AE7167" w:rsidRDefault="00AE7167" w:rsidP="0091489C">
            <w:pPr>
              <w:spacing w:after="120"/>
              <w:ind w:left="851"/>
              <w:jc w:val="both"/>
              <w:rPr>
                <w:b/>
                <w:bCs/>
                <w:sz w:val="18"/>
                <w:szCs w:val="18"/>
              </w:rPr>
            </w:pPr>
            <w:r>
              <w:rPr>
                <w:sz w:val="18"/>
                <w:szCs w:val="18"/>
              </w:rPr>
              <w:t>Name</w:t>
            </w:r>
          </w:p>
        </w:tc>
        <w:tc>
          <w:tcPr>
            <w:tcW w:w="7198" w:type="dxa"/>
            <w:tcBorders>
              <w:top w:val="nil"/>
              <w:left w:val="single" w:sz="4" w:space="0" w:color="auto"/>
              <w:bottom w:val="nil"/>
              <w:right w:val="nil"/>
            </w:tcBorders>
          </w:tcPr>
          <w:p w14:paraId="06FEABC9" w14:textId="77777777" w:rsidR="00AE7167" w:rsidRDefault="00AE7167" w:rsidP="004021D5">
            <w:pPr>
              <w:spacing w:after="120"/>
              <w:ind w:left="180"/>
              <w:rPr>
                <w:bCs/>
              </w:rPr>
            </w:pPr>
            <w:r>
              <w:rPr>
                <w:rFonts w:cs="Arial"/>
                <w:b/>
                <w:bCs/>
              </w:rPr>
              <w:t>Generic Medicines Industry Association Pty Ltd</w:t>
            </w:r>
            <w:r>
              <w:rPr>
                <w:b/>
                <w:bCs/>
              </w:rPr>
              <w:t xml:space="preserve"> </w:t>
            </w:r>
            <w:r w:rsidRPr="004021D5">
              <w:rPr>
                <w:rFonts w:cs="Arial"/>
                <w:bCs/>
              </w:rPr>
              <w:t>ACN</w:t>
            </w:r>
            <w:r w:rsidRPr="00FA6109">
              <w:rPr>
                <w:bCs/>
              </w:rPr>
              <w:t xml:space="preserve"> </w:t>
            </w:r>
            <w:r>
              <w:rPr>
                <w:bCs/>
              </w:rPr>
              <w:t>096 009 540</w:t>
            </w:r>
            <w:r w:rsidR="004021D5">
              <w:rPr>
                <w:bCs/>
              </w:rPr>
              <w:br/>
            </w:r>
            <w:r w:rsidR="00943937">
              <w:rPr>
                <w:bCs/>
              </w:rPr>
              <w:t xml:space="preserve">trading as </w:t>
            </w:r>
            <w:bookmarkStart w:id="1" w:name="_Hlk66347971"/>
            <w:r w:rsidRPr="00AE7167">
              <w:rPr>
                <w:b/>
              </w:rPr>
              <w:t>Generic and Biosimilar Medicines Association</w:t>
            </w:r>
            <w:bookmarkEnd w:id="1"/>
          </w:p>
        </w:tc>
      </w:tr>
      <w:tr w:rsidR="00AE7167" w14:paraId="429FE9D4" w14:textId="77777777" w:rsidTr="0091489C">
        <w:tc>
          <w:tcPr>
            <w:tcW w:w="2088" w:type="dxa"/>
            <w:tcBorders>
              <w:top w:val="nil"/>
              <w:left w:val="nil"/>
              <w:bottom w:val="nil"/>
              <w:right w:val="single" w:sz="4" w:space="0" w:color="auto"/>
            </w:tcBorders>
          </w:tcPr>
          <w:p w14:paraId="6CDF3D5E" w14:textId="77777777" w:rsidR="00AE7167" w:rsidRDefault="00AE7167" w:rsidP="0091489C">
            <w:pPr>
              <w:spacing w:after="120"/>
              <w:ind w:left="851"/>
              <w:jc w:val="both"/>
              <w:rPr>
                <w:b/>
                <w:bCs/>
                <w:sz w:val="18"/>
                <w:szCs w:val="18"/>
              </w:rPr>
            </w:pPr>
            <w:r>
              <w:rPr>
                <w:sz w:val="18"/>
                <w:szCs w:val="18"/>
              </w:rPr>
              <w:t>Short name</w:t>
            </w:r>
          </w:p>
        </w:tc>
        <w:tc>
          <w:tcPr>
            <w:tcW w:w="7198" w:type="dxa"/>
            <w:tcBorders>
              <w:top w:val="nil"/>
              <w:left w:val="single" w:sz="4" w:space="0" w:color="auto"/>
              <w:bottom w:val="nil"/>
              <w:right w:val="nil"/>
            </w:tcBorders>
          </w:tcPr>
          <w:p w14:paraId="4B421EAF" w14:textId="77777777" w:rsidR="00AE7167" w:rsidRDefault="00AE7167" w:rsidP="0091489C">
            <w:pPr>
              <w:spacing w:after="120"/>
              <w:ind w:left="170"/>
              <w:jc w:val="both"/>
              <w:rPr>
                <w:b/>
              </w:rPr>
            </w:pPr>
            <w:r>
              <w:rPr>
                <w:b/>
              </w:rPr>
              <w:t>G</w:t>
            </w:r>
            <w:r w:rsidR="00ED7F45">
              <w:rPr>
                <w:b/>
              </w:rPr>
              <w:t>B</w:t>
            </w:r>
            <w:r>
              <w:rPr>
                <w:b/>
              </w:rPr>
              <w:t xml:space="preserve">MA </w:t>
            </w:r>
          </w:p>
        </w:tc>
      </w:tr>
    </w:tbl>
    <w:p w14:paraId="0BDA4415" w14:textId="77777777" w:rsidR="00AE7167" w:rsidRDefault="00AE7167" w:rsidP="00AE7167"/>
    <w:p w14:paraId="4F7299D8" w14:textId="77777777" w:rsidR="00AE7167" w:rsidRPr="007F36F2" w:rsidRDefault="00AE7167" w:rsidP="007F36F2"/>
    <w:p w14:paraId="7A84C07E" w14:textId="0FB081B4" w:rsidR="00D21557" w:rsidRDefault="003F23B2" w:rsidP="00D21557">
      <w:pPr>
        <w:pStyle w:val="mainTitle"/>
      </w:pPr>
      <w:r>
        <w:t>Recitals</w:t>
      </w:r>
    </w:p>
    <w:p w14:paraId="70A84942" w14:textId="6522CDD6" w:rsidR="008D3FBA" w:rsidRDefault="00850BC1" w:rsidP="00952638">
      <w:pPr>
        <w:pStyle w:val="legalRecital1"/>
      </w:pPr>
      <w:r>
        <w:t xml:space="preserve">This Agreement </w:t>
      </w:r>
      <w:r w:rsidR="00043241">
        <w:t xml:space="preserve">reflects </w:t>
      </w:r>
      <w:r>
        <w:t>the common int</w:t>
      </w:r>
      <w:r w:rsidR="00043241">
        <w:t>ention</w:t>
      </w:r>
      <w:r>
        <w:t xml:space="preserve"> </w:t>
      </w:r>
      <w:r w:rsidR="00043241">
        <w:t>of</w:t>
      </w:r>
      <w:r>
        <w:t xml:space="preserve"> the Commonwealth and GBMA </w:t>
      </w:r>
      <w:r w:rsidR="00043241">
        <w:t xml:space="preserve">that </w:t>
      </w:r>
      <w:r w:rsidR="009D092F">
        <w:t>Australians hav</w:t>
      </w:r>
      <w:r w:rsidR="00043241">
        <w:t>e</w:t>
      </w:r>
      <w:r w:rsidR="009D092F">
        <w:t xml:space="preserve"> access to the right medicines when they need them.</w:t>
      </w:r>
      <w:r w:rsidR="00575EF4">
        <w:t xml:space="preserve"> </w:t>
      </w:r>
      <w:r w:rsidR="009D092F">
        <w:t>The parties agree that this access is underpinned by secure medicines supply</w:t>
      </w:r>
      <w:r w:rsidR="001150F6">
        <w:t xml:space="preserve"> delivered</w:t>
      </w:r>
      <w:r w:rsidR="009D092F">
        <w:t xml:space="preserve"> at an efficient cost to the Australian taxpayer. </w:t>
      </w:r>
      <w:r w:rsidR="00952638">
        <w:t>T</w:t>
      </w:r>
      <w:r>
        <w:t>he generic a</w:t>
      </w:r>
      <w:r w:rsidR="00D44C71">
        <w:t xml:space="preserve">nd biosimilar medicines industry </w:t>
      </w:r>
      <w:r w:rsidR="008D3FBA">
        <w:t xml:space="preserve">is key to </w:t>
      </w:r>
      <w:r w:rsidR="00043241">
        <w:t xml:space="preserve">the achievement of </w:t>
      </w:r>
      <w:r w:rsidR="008D3FBA">
        <w:t>these objectives as</w:t>
      </w:r>
      <w:r w:rsidR="00D44C71">
        <w:t xml:space="preserve"> </w:t>
      </w:r>
      <w:r w:rsidR="008131CA">
        <w:t>integral</w:t>
      </w:r>
      <w:r w:rsidR="00D44C71">
        <w:t xml:space="preserve"> supplier</w:t>
      </w:r>
      <w:r w:rsidR="008131CA">
        <w:t>s</w:t>
      </w:r>
      <w:r w:rsidR="00D44C71">
        <w:t xml:space="preserve"> of </w:t>
      </w:r>
      <w:r w:rsidR="00952638">
        <w:t>life</w:t>
      </w:r>
      <w:r w:rsidR="00043241">
        <w:t xml:space="preserve"> </w:t>
      </w:r>
      <w:r w:rsidR="00952638">
        <w:t>saving and life</w:t>
      </w:r>
      <w:r w:rsidR="00043241">
        <w:t xml:space="preserve"> </w:t>
      </w:r>
      <w:r w:rsidR="00952638">
        <w:t xml:space="preserve">changing </w:t>
      </w:r>
      <w:r>
        <w:t>medicines</w:t>
      </w:r>
      <w:r w:rsidR="00D04782">
        <w:t xml:space="preserve"> in Australia</w:t>
      </w:r>
      <w:r>
        <w:t xml:space="preserve"> subsidised through the P</w:t>
      </w:r>
      <w:r w:rsidR="00D04782">
        <w:t xml:space="preserve">harmaceutical </w:t>
      </w:r>
      <w:r>
        <w:t>B</w:t>
      </w:r>
      <w:r w:rsidR="00D04782">
        <w:t xml:space="preserve">enefits </w:t>
      </w:r>
      <w:r>
        <w:t>S</w:t>
      </w:r>
      <w:r w:rsidR="00D04782">
        <w:t>cheme</w:t>
      </w:r>
      <w:r w:rsidR="001150F6">
        <w:t xml:space="preserve"> (</w:t>
      </w:r>
      <w:r w:rsidR="001150F6" w:rsidRPr="004F383E">
        <w:rPr>
          <w:b/>
          <w:bCs/>
        </w:rPr>
        <w:t>PBS</w:t>
      </w:r>
      <w:r w:rsidR="001150F6">
        <w:t>)</w:t>
      </w:r>
      <w:r>
        <w:t>.</w:t>
      </w:r>
      <w:r w:rsidR="008D3FBA">
        <w:t xml:space="preserve"> </w:t>
      </w:r>
    </w:p>
    <w:p w14:paraId="5F4EEADA" w14:textId="589C4B50" w:rsidR="00A1033F" w:rsidRDefault="00A1033F" w:rsidP="003F5B09">
      <w:pPr>
        <w:pStyle w:val="legalRecital1"/>
      </w:pPr>
      <w:r>
        <w:t xml:space="preserve">The </w:t>
      </w:r>
      <w:r w:rsidR="001D6DC1">
        <w:t xml:space="preserve">package of reforms in this </w:t>
      </w:r>
      <w:r w:rsidR="00043241">
        <w:t>A</w:t>
      </w:r>
      <w:r w:rsidR="001D6DC1">
        <w:t>greement has</w:t>
      </w:r>
      <w:r>
        <w:t xml:space="preserve"> been designed </w:t>
      </w:r>
      <w:r w:rsidR="00043241">
        <w:t>closely with</w:t>
      </w:r>
      <w:r w:rsidR="00D44C71">
        <w:t xml:space="preserve"> industry</w:t>
      </w:r>
      <w:r w:rsidR="008131CA">
        <w:t>,</w:t>
      </w:r>
      <w:r w:rsidR="00C06E23">
        <w:t xml:space="preserve"> </w:t>
      </w:r>
      <w:r w:rsidR="00C44B6A">
        <w:t>recognising</w:t>
      </w:r>
      <w:r w:rsidR="0057714A">
        <w:t xml:space="preserve"> </w:t>
      </w:r>
      <w:r w:rsidR="00371442">
        <w:t xml:space="preserve">that medicines are essential to </w:t>
      </w:r>
      <w:r w:rsidR="00B5469E">
        <w:t>life for</w:t>
      </w:r>
      <w:r w:rsidR="00371442">
        <w:t xml:space="preserve"> many Australians</w:t>
      </w:r>
      <w:r w:rsidR="0057714A">
        <w:t xml:space="preserve"> and </w:t>
      </w:r>
      <w:r w:rsidR="00C06E23">
        <w:t xml:space="preserve">that </w:t>
      </w:r>
      <w:r w:rsidR="00371442">
        <w:t>the community</w:t>
      </w:r>
      <w:r w:rsidR="00C06E23">
        <w:t xml:space="preserve"> rightly </w:t>
      </w:r>
      <w:r w:rsidR="009D092F">
        <w:t>expects</w:t>
      </w:r>
      <w:r w:rsidR="001150F6">
        <w:t xml:space="preserve"> </w:t>
      </w:r>
      <w:r w:rsidR="009D092F">
        <w:t>to be able to access medicines when they are needed</w:t>
      </w:r>
      <w:r w:rsidR="00371442">
        <w:t xml:space="preserve">. </w:t>
      </w:r>
      <w:r w:rsidR="004E0F8D">
        <w:t xml:space="preserve">These reforms comprise a balanced package of incentives designed to support the medicines industry to manage supply chain risks </w:t>
      </w:r>
      <w:r w:rsidR="00684D3C">
        <w:t>to meet Australians’ expectations</w:t>
      </w:r>
      <w:r w:rsidR="00043241">
        <w:t>,</w:t>
      </w:r>
      <w:r w:rsidR="009D092F">
        <w:t xml:space="preserve"> while ensuring PBS subsidy represents value for money for the Australian taxpayer</w:t>
      </w:r>
      <w:r w:rsidR="004E0F8D">
        <w:t>. The</w:t>
      </w:r>
      <w:r w:rsidR="009D092F">
        <w:t xml:space="preserve"> reforms</w:t>
      </w:r>
      <w:r w:rsidR="004E0F8D">
        <w:t xml:space="preserve"> </w:t>
      </w:r>
      <w:r w:rsidR="00043241">
        <w:t xml:space="preserve">are intended to </w:t>
      </w:r>
      <w:r w:rsidR="004E0F8D">
        <w:t xml:space="preserve">direct Commonwealth investment through the PBS towards medicines supply chains to reduce the impact of global medicine shortages on Australian patients. </w:t>
      </w:r>
    </w:p>
    <w:p w14:paraId="2554A24F" w14:textId="77777777" w:rsidR="00043241" w:rsidRDefault="00043241" w:rsidP="00043241">
      <w:pPr>
        <w:pStyle w:val="legalRecital1"/>
      </w:pPr>
      <w:bookmarkStart w:id="2" w:name="_Ref65490691"/>
      <w:r>
        <w:t>This Agreement is underpinned by the shared principles of:</w:t>
      </w:r>
      <w:bookmarkEnd w:id="2"/>
      <w:r>
        <w:t xml:space="preserve"> </w:t>
      </w:r>
    </w:p>
    <w:p w14:paraId="3AE37350" w14:textId="77777777" w:rsidR="00043241" w:rsidRPr="00CA6DA6" w:rsidRDefault="00043241" w:rsidP="00043241">
      <w:pPr>
        <w:pStyle w:val="legalRecital1"/>
        <w:numPr>
          <w:ilvl w:val="1"/>
          <w:numId w:val="3"/>
        </w:numPr>
      </w:pPr>
      <w:r w:rsidRPr="00CA6DA6">
        <w:t>stewardship of the health system, particularly the PBS, and a shared responsibility for its ongoing sustainability;</w:t>
      </w:r>
    </w:p>
    <w:p w14:paraId="42CB89E5" w14:textId="77777777" w:rsidR="00043241" w:rsidRPr="00CA6DA6" w:rsidRDefault="00043241" w:rsidP="00043241">
      <w:pPr>
        <w:pStyle w:val="legalRecital1"/>
        <w:numPr>
          <w:ilvl w:val="1"/>
          <w:numId w:val="3"/>
        </w:numPr>
      </w:pPr>
      <w:r w:rsidRPr="00CA6DA6">
        <w:t xml:space="preserve">stability and certainty for a strong generic and biosimilar medicines sector and reliable supply of medicines to Australians that advance health outcomes for patients, including recognition of the role that a predictable and stable PBS plays in encouraging new generic and biosimilar medicines; </w:t>
      </w:r>
    </w:p>
    <w:p w14:paraId="1575FB1F" w14:textId="77777777" w:rsidR="00043241" w:rsidRPr="00CA6DA6" w:rsidRDefault="00043241" w:rsidP="00043241">
      <w:pPr>
        <w:pStyle w:val="legalRecital1"/>
        <w:numPr>
          <w:ilvl w:val="1"/>
          <w:numId w:val="3"/>
        </w:numPr>
      </w:pPr>
      <w:r w:rsidRPr="00CA6DA6">
        <w:t>partnership in the delivery of the National Medicines Policy;</w:t>
      </w:r>
    </w:p>
    <w:p w14:paraId="6A2FA170" w14:textId="77777777" w:rsidR="00043241" w:rsidRPr="00CA6DA6" w:rsidRDefault="00043241" w:rsidP="00043241">
      <w:pPr>
        <w:pStyle w:val="legalRecital1"/>
        <w:numPr>
          <w:ilvl w:val="1"/>
          <w:numId w:val="3"/>
        </w:numPr>
      </w:pPr>
      <w:r w:rsidRPr="00CA6DA6">
        <w:t xml:space="preserve">transparency, predictability, and efficiency of processes for listing medicines on the PBS; </w:t>
      </w:r>
    </w:p>
    <w:p w14:paraId="405122F9" w14:textId="77777777" w:rsidR="00043241" w:rsidRDefault="00043241" w:rsidP="00043241">
      <w:pPr>
        <w:pStyle w:val="legalRecital1"/>
        <w:numPr>
          <w:ilvl w:val="1"/>
          <w:numId w:val="3"/>
        </w:numPr>
      </w:pPr>
      <w:r w:rsidRPr="00CA6DA6">
        <w:t>integrity of Australia’s world class</w:t>
      </w:r>
      <w:r>
        <w:t xml:space="preserve"> health system, including patient safety and high value clinical care; and </w:t>
      </w:r>
    </w:p>
    <w:p w14:paraId="03B789C5" w14:textId="77777777" w:rsidR="00043241" w:rsidRPr="00CA6DA6" w:rsidRDefault="00043241" w:rsidP="00043241">
      <w:pPr>
        <w:pStyle w:val="legalRecital1"/>
        <w:numPr>
          <w:ilvl w:val="1"/>
          <w:numId w:val="3"/>
        </w:numPr>
      </w:pPr>
      <w:r w:rsidRPr="00CA6DA6">
        <w:t xml:space="preserve">acknowledgement of the value of the generic and biosimilar pharmaceutical industry and the medicines sector in ensuring a healthy Australia for a vibrant economic recovery. </w:t>
      </w:r>
    </w:p>
    <w:p w14:paraId="37AE1FF0" w14:textId="6A482D7C" w:rsidR="00371442" w:rsidRDefault="004E0F8D" w:rsidP="00D44C71">
      <w:pPr>
        <w:pStyle w:val="legalRecital1"/>
      </w:pPr>
      <w:r>
        <w:t>The package of</w:t>
      </w:r>
      <w:r w:rsidR="001D6DC1">
        <w:t xml:space="preserve"> investment</w:t>
      </w:r>
      <w:r>
        <w:t xml:space="preserve"> and incentives </w:t>
      </w:r>
      <w:r w:rsidR="00B5469E">
        <w:t>in this A</w:t>
      </w:r>
      <w:r>
        <w:t>greement</w:t>
      </w:r>
      <w:r w:rsidR="001D6DC1">
        <w:t xml:space="preserve"> </w:t>
      </w:r>
      <w:r>
        <w:t xml:space="preserve">seeks to </w:t>
      </w:r>
      <w:r w:rsidR="00684D3C">
        <w:t>create</w:t>
      </w:r>
      <w:r>
        <w:t xml:space="preserve"> the right conditions for the medicines industry </w:t>
      </w:r>
      <w:r w:rsidR="00684D3C">
        <w:t xml:space="preserve">in Australia </w:t>
      </w:r>
      <w:r>
        <w:t xml:space="preserve">to thrive, and includes measures to reduce barriers to market entry for </w:t>
      </w:r>
      <w:r w:rsidR="0017013C">
        <w:t xml:space="preserve">new </w:t>
      </w:r>
      <w:r>
        <w:t xml:space="preserve">competitors and </w:t>
      </w:r>
      <w:r w:rsidR="00043241">
        <w:t>incentivise</w:t>
      </w:r>
      <w:r>
        <w:t xml:space="preserve"> companies to maintain broad portfolio</w:t>
      </w:r>
      <w:r w:rsidR="00043241">
        <w:t>s</w:t>
      </w:r>
      <w:r>
        <w:t xml:space="preserve"> of medicines in Australia. </w:t>
      </w:r>
      <w:r w:rsidR="0017013C">
        <w:t>Th</w:t>
      </w:r>
      <w:r w:rsidR="00684D3C">
        <w:t xml:space="preserve">is will support </w:t>
      </w:r>
      <w:r w:rsidR="0017013C">
        <w:t>choice for Australian prescribers and patients.</w:t>
      </w:r>
      <w:r w:rsidR="001D6DC1">
        <w:t xml:space="preserve"> </w:t>
      </w:r>
    </w:p>
    <w:p w14:paraId="4D6DDBE6" w14:textId="6E05E4BB" w:rsidR="00A1033F" w:rsidRDefault="00C06E23" w:rsidP="003F5B09">
      <w:pPr>
        <w:pStyle w:val="legalRecital1"/>
      </w:pPr>
      <w:r>
        <w:t xml:space="preserve">This Agreement </w:t>
      </w:r>
      <w:r w:rsidR="00371442">
        <w:t>also contains measures identified by the parties that will improve the efficiency of the PBS</w:t>
      </w:r>
      <w:r w:rsidR="00F704E2">
        <w:t>,</w:t>
      </w:r>
      <w:r w:rsidR="00371442">
        <w:t xml:space="preserve"> and ensure that the Australian taxpayer pays fair market prices for </w:t>
      </w:r>
      <w:r w:rsidR="00D44C71">
        <w:t xml:space="preserve">medicines throughout the patent and post-patent lifecycle. </w:t>
      </w:r>
    </w:p>
    <w:p w14:paraId="08FF0518" w14:textId="77777777" w:rsidR="00D44C71" w:rsidRDefault="00D44C71" w:rsidP="00043241">
      <w:pPr>
        <w:pStyle w:val="legalRecital1"/>
        <w:numPr>
          <w:ilvl w:val="0"/>
          <w:numId w:val="0"/>
        </w:numPr>
        <w:ind w:left="851"/>
      </w:pPr>
    </w:p>
    <w:p w14:paraId="05CF225A" w14:textId="2A891CE8" w:rsidR="007839C6" w:rsidRDefault="007839C6" w:rsidP="00D2162E">
      <w:pPr>
        <w:pStyle w:val="legalRecital1"/>
      </w:pPr>
      <w:r>
        <w:br w:type="page"/>
      </w:r>
    </w:p>
    <w:p w14:paraId="76659C9A" w14:textId="77777777" w:rsidR="00F22A95" w:rsidRDefault="00F22A95" w:rsidP="008A3083">
      <w:pPr>
        <w:pStyle w:val="Heading1"/>
      </w:pPr>
      <w:bookmarkStart w:id="3" w:name="_Ref63336888"/>
      <w:bookmarkStart w:id="4" w:name="_Toc79567151"/>
      <w:r>
        <w:t>Definitions</w:t>
      </w:r>
      <w:bookmarkEnd w:id="3"/>
      <w:bookmarkEnd w:id="4"/>
    </w:p>
    <w:p w14:paraId="3335ABD8" w14:textId="77777777" w:rsidR="00DE2BC7" w:rsidRPr="009D3B53" w:rsidRDefault="00DE2BC7" w:rsidP="008A3083">
      <w:pPr>
        <w:pStyle w:val="Headingpara2"/>
        <w:keepNext/>
      </w:pPr>
      <w:r w:rsidRPr="009D3B53">
        <w:t>In this Agreement, unless the contrary intention appears:</w:t>
      </w:r>
    </w:p>
    <w:p w14:paraId="08DA3A05" w14:textId="170D4409" w:rsidR="00F64AC9" w:rsidRPr="00F64AC9" w:rsidRDefault="00F64AC9" w:rsidP="00F64AC9">
      <w:pPr>
        <w:pStyle w:val="BodyIndent1"/>
        <w:rPr>
          <w:b/>
          <w:bCs/>
        </w:rPr>
      </w:pPr>
      <w:r w:rsidRPr="00F64AC9">
        <w:rPr>
          <w:b/>
          <w:bCs/>
        </w:rPr>
        <w:t xml:space="preserve">12.5% Price Reduction </w:t>
      </w:r>
      <w:r w:rsidRPr="00F64AC9">
        <w:rPr>
          <w:bCs/>
        </w:rPr>
        <w:t xml:space="preserve">means a 12.5% price reduction </w:t>
      </w:r>
      <w:r w:rsidR="00F704E2">
        <w:t xml:space="preserve">referred to in, or previously applied </w:t>
      </w:r>
      <w:r w:rsidRPr="00F64AC9">
        <w:rPr>
          <w:bCs/>
        </w:rPr>
        <w:t>under</w:t>
      </w:r>
      <w:r w:rsidR="00F704E2">
        <w:rPr>
          <w:bCs/>
        </w:rPr>
        <w:t>,</w:t>
      </w:r>
      <w:r w:rsidRPr="00F64AC9">
        <w:rPr>
          <w:bCs/>
        </w:rPr>
        <w:t xml:space="preserve"> Division 3A </w:t>
      </w:r>
      <w:r w:rsidR="00CA6DA6">
        <w:rPr>
          <w:bCs/>
        </w:rPr>
        <w:t xml:space="preserve">of Part VII </w:t>
      </w:r>
      <w:r w:rsidRPr="00F64AC9">
        <w:rPr>
          <w:bCs/>
        </w:rPr>
        <w:t>of the Act.</w:t>
      </w:r>
    </w:p>
    <w:p w14:paraId="36F092B5" w14:textId="77777777" w:rsidR="00F64AC9" w:rsidRPr="00F64AC9" w:rsidRDefault="00F64AC9" w:rsidP="00F64AC9">
      <w:pPr>
        <w:pStyle w:val="BodyIndent1"/>
        <w:rPr>
          <w:b/>
          <w:bCs/>
        </w:rPr>
      </w:pPr>
      <w:r w:rsidRPr="00F64AC9">
        <w:rPr>
          <w:b/>
          <w:bCs/>
        </w:rPr>
        <w:t xml:space="preserve">14.5% Price Reduction </w:t>
      </w:r>
      <w:r w:rsidRPr="00F64AC9">
        <w:rPr>
          <w:bCs/>
        </w:rPr>
        <w:t>means a price reduction of the kind described in Item 6 of the table in subsection 99ACF(1) of the Act (as at 30 June 2022).</w:t>
      </w:r>
    </w:p>
    <w:p w14:paraId="4638E8C5" w14:textId="43DF1193" w:rsidR="00F64AC9" w:rsidRPr="00F64AC9" w:rsidRDefault="00F64AC9" w:rsidP="00F64AC9">
      <w:pPr>
        <w:pStyle w:val="BodyIndent1"/>
        <w:rPr>
          <w:b/>
          <w:bCs/>
        </w:rPr>
      </w:pPr>
      <w:r w:rsidRPr="00F64AC9">
        <w:rPr>
          <w:b/>
          <w:bCs/>
        </w:rPr>
        <w:t xml:space="preserve">16% Price Reduction </w:t>
      </w:r>
      <w:r w:rsidRPr="00F64AC9">
        <w:rPr>
          <w:bCs/>
        </w:rPr>
        <w:t xml:space="preserve">means a 16% price reduction </w:t>
      </w:r>
      <w:r w:rsidR="00F704E2">
        <w:t xml:space="preserve">referred to in, or previously applied </w:t>
      </w:r>
      <w:r w:rsidRPr="00F64AC9">
        <w:rPr>
          <w:bCs/>
        </w:rPr>
        <w:t>under</w:t>
      </w:r>
      <w:r w:rsidR="00F704E2">
        <w:rPr>
          <w:bCs/>
        </w:rPr>
        <w:t>,</w:t>
      </w:r>
      <w:r w:rsidRPr="00F64AC9">
        <w:rPr>
          <w:bCs/>
        </w:rPr>
        <w:t xml:space="preserve"> Division 3A </w:t>
      </w:r>
      <w:r w:rsidR="00CA6DA6">
        <w:rPr>
          <w:bCs/>
        </w:rPr>
        <w:t xml:space="preserve">of Part VII </w:t>
      </w:r>
      <w:r w:rsidRPr="00F64AC9">
        <w:rPr>
          <w:bCs/>
        </w:rPr>
        <w:t>of the Act.</w:t>
      </w:r>
    </w:p>
    <w:p w14:paraId="54951C60" w14:textId="55F99A2E" w:rsidR="00F64AC9" w:rsidRDefault="00F64AC9" w:rsidP="00F64AC9">
      <w:pPr>
        <w:pStyle w:val="BodyIndent1"/>
        <w:rPr>
          <w:b/>
          <w:bCs/>
        </w:rPr>
      </w:pPr>
      <w:r w:rsidRPr="00F64AC9">
        <w:rPr>
          <w:b/>
          <w:bCs/>
        </w:rPr>
        <w:t xml:space="preserve">25% Price Reduction </w:t>
      </w:r>
      <w:r w:rsidRPr="00F64AC9">
        <w:rPr>
          <w:bCs/>
        </w:rPr>
        <w:t xml:space="preserve">means a 25% price reduction </w:t>
      </w:r>
      <w:r w:rsidR="00F704E2">
        <w:t xml:space="preserve">referred to in, or previously applied </w:t>
      </w:r>
      <w:r w:rsidRPr="00F64AC9">
        <w:rPr>
          <w:bCs/>
        </w:rPr>
        <w:t>under</w:t>
      </w:r>
      <w:r w:rsidR="00F704E2">
        <w:rPr>
          <w:bCs/>
        </w:rPr>
        <w:t>,</w:t>
      </w:r>
      <w:r w:rsidRPr="00F64AC9">
        <w:rPr>
          <w:bCs/>
        </w:rPr>
        <w:t xml:space="preserve"> Division 3A </w:t>
      </w:r>
      <w:r w:rsidR="00CA6DA6">
        <w:rPr>
          <w:bCs/>
        </w:rPr>
        <w:t xml:space="preserve">of Part VII </w:t>
      </w:r>
      <w:r w:rsidRPr="00F64AC9">
        <w:rPr>
          <w:bCs/>
        </w:rPr>
        <w:t>of the Act.</w:t>
      </w:r>
    </w:p>
    <w:p w14:paraId="2D0E4686" w14:textId="2118EEFD" w:rsidR="00DE2BC7" w:rsidRDefault="00DE2BC7" w:rsidP="00DE2BC7">
      <w:pPr>
        <w:pStyle w:val="BodyIndent1"/>
      </w:pPr>
      <w:r w:rsidRPr="00DE2BC7">
        <w:rPr>
          <w:b/>
          <w:bCs/>
        </w:rPr>
        <w:t>Act</w:t>
      </w:r>
      <w:r w:rsidRPr="00DE2BC7">
        <w:t xml:space="preserve"> means </w:t>
      </w:r>
      <w:r>
        <w:t xml:space="preserve">the </w:t>
      </w:r>
      <w:r w:rsidRPr="0006571F">
        <w:rPr>
          <w:i/>
          <w:iCs/>
        </w:rPr>
        <w:t>National Health Act 1953</w:t>
      </w:r>
      <w:r>
        <w:t xml:space="preserve"> (Cth).</w:t>
      </w:r>
    </w:p>
    <w:p w14:paraId="17B46058" w14:textId="77777777" w:rsidR="00A73626" w:rsidRPr="00A73626" w:rsidRDefault="00A73626" w:rsidP="006844FF">
      <w:pPr>
        <w:spacing w:before="240"/>
        <w:ind w:left="851"/>
        <w:rPr>
          <w:rFonts w:cs="Arial"/>
          <w:bCs/>
        </w:rPr>
      </w:pPr>
      <w:r>
        <w:rPr>
          <w:rFonts w:cs="Arial"/>
          <w:b/>
        </w:rPr>
        <w:t>Agreement</w:t>
      </w:r>
      <w:r>
        <w:rPr>
          <w:rFonts w:cs="Arial"/>
          <w:bCs/>
        </w:rPr>
        <w:t xml:space="preserve"> means this 2021 Strategic Agreement between the Commonwealth and</w:t>
      </w:r>
      <w:r w:rsidR="00ED7F45">
        <w:rPr>
          <w:rFonts w:cs="Arial"/>
          <w:bCs/>
        </w:rPr>
        <w:t xml:space="preserve"> GBMA</w:t>
      </w:r>
      <w:r>
        <w:rPr>
          <w:rFonts w:cs="Arial"/>
          <w:bCs/>
        </w:rPr>
        <w:t>.</w:t>
      </w:r>
    </w:p>
    <w:p w14:paraId="7DE0C564" w14:textId="7F0212D3" w:rsidR="003A3837" w:rsidRPr="003A3837" w:rsidRDefault="003A3837" w:rsidP="006844FF">
      <w:pPr>
        <w:spacing w:before="240"/>
        <w:ind w:left="851"/>
        <w:rPr>
          <w:rFonts w:cs="Arial"/>
          <w:bCs/>
        </w:rPr>
      </w:pPr>
      <w:r>
        <w:rPr>
          <w:rFonts w:cs="Arial"/>
          <w:b/>
        </w:rPr>
        <w:t>Approved Ex-Manufacturer Price</w:t>
      </w:r>
      <w:r>
        <w:rPr>
          <w:rFonts w:cs="Arial"/>
          <w:bCs/>
        </w:rPr>
        <w:t xml:space="preserve"> </w:t>
      </w:r>
      <w:r w:rsidR="0045464E">
        <w:rPr>
          <w:rFonts w:cs="Arial"/>
          <w:bCs/>
        </w:rPr>
        <w:t xml:space="preserve">or </w:t>
      </w:r>
      <w:r w:rsidR="006E316C" w:rsidRPr="006E316C">
        <w:rPr>
          <w:b/>
          <w:bCs/>
        </w:rPr>
        <w:t>AEMP</w:t>
      </w:r>
      <w:r w:rsidR="006E316C">
        <w:t xml:space="preserve"> </w:t>
      </w:r>
      <w:r>
        <w:rPr>
          <w:rFonts w:cs="Arial"/>
          <w:bCs/>
        </w:rPr>
        <w:t>has the meaning given to the term ‘approved ex-manufacturer price’ in subsection 84(1) of the Act.</w:t>
      </w:r>
    </w:p>
    <w:p w14:paraId="33017AB9" w14:textId="0BF16468" w:rsidR="00A73626" w:rsidRPr="00A73626" w:rsidRDefault="00A73626" w:rsidP="006844FF">
      <w:pPr>
        <w:spacing w:before="240"/>
        <w:ind w:left="851"/>
        <w:rPr>
          <w:rFonts w:cs="Arial"/>
          <w:bCs/>
        </w:rPr>
      </w:pPr>
      <w:r>
        <w:rPr>
          <w:rFonts w:cs="Arial"/>
          <w:b/>
        </w:rPr>
        <w:t>Bill</w:t>
      </w:r>
      <w:r>
        <w:rPr>
          <w:rFonts w:cs="Arial"/>
          <w:bCs/>
        </w:rPr>
        <w:t xml:space="preserve"> means the bill or bills that will bring about the legislative changes required to implement the </w:t>
      </w:r>
      <w:r w:rsidR="00674B80">
        <w:rPr>
          <w:rFonts w:cs="Arial"/>
          <w:bCs/>
        </w:rPr>
        <w:t xml:space="preserve">legislated </w:t>
      </w:r>
      <w:r w:rsidR="00AD2A8A">
        <w:rPr>
          <w:rFonts w:cs="Arial"/>
          <w:bCs/>
        </w:rPr>
        <w:t>measures described in this Agreement</w:t>
      </w:r>
      <w:r>
        <w:rPr>
          <w:rFonts w:cs="Arial"/>
          <w:bCs/>
        </w:rPr>
        <w:t>.</w:t>
      </w:r>
    </w:p>
    <w:p w14:paraId="5ACDEC8A" w14:textId="3C6F6BEA" w:rsidR="00FB482C" w:rsidRDefault="00FB482C" w:rsidP="00FB482C">
      <w:pPr>
        <w:spacing w:before="240"/>
        <w:ind w:left="851"/>
        <w:rPr>
          <w:rFonts w:cs="Arial"/>
          <w:bCs/>
        </w:rPr>
      </w:pPr>
      <w:r w:rsidRPr="004E6B48">
        <w:rPr>
          <w:rFonts w:cs="Arial"/>
          <w:b/>
        </w:rPr>
        <w:t>Biosimilar Brand</w:t>
      </w:r>
      <w:r w:rsidRPr="004E6B48">
        <w:rPr>
          <w:rFonts w:cs="Arial"/>
          <w:bCs/>
        </w:rPr>
        <w:t xml:space="preserve"> means a Listed Brand that is a biosimilar version of a reference biologic.</w:t>
      </w:r>
      <w:r w:rsidRPr="004E6B48">
        <w:rPr>
          <w:rFonts w:cs="Arial"/>
          <w:bCs/>
          <w:vertAlign w:val="superscript"/>
        </w:rPr>
        <w:footnoteReference w:id="1"/>
      </w:r>
    </w:p>
    <w:p w14:paraId="318CE443" w14:textId="50742005" w:rsidR="0045464E" w:rsidRDefault="00D56182" w:rsidP="006844FF">
      <w:pPr>
        <w:spacing w:before="240"/>
        <w:ind w:left="851"/>
        <w:rPr>
          <w:rFonts w:cs="Arial"/>
        </w:rPr>
      </w:pPr>
      <w:bookmarkStart w:id="5" w:name="_Hlk76567778"/>
      <w:r w:rsidRPr="0022399C">
        <w:rPr>
          <w:rFonts w:cs="Arial"/>
          <w:b/>
        </w:rPr>
        <w:t>Business Day</w:t>
      </w:r>
      <w:r w:rsidRPr="0022399C">
        <w:rPr>
          <w:rFonts w:cs="Arial"/>
        </w:rPr>
        <w:t xml:space="preserve"> means a day other than a Saturday, Sunday or public holiday in the Australian Capital Territory.</w:t>
      </w:r>
    </w:p>
    <w:bookmarkEnd w:id="5"/>
    <w:p w14:paraId="570C9C5C" w14:textId="77777777" w:rsidR="009369DA" w:rsidRPr="009369DA" w:rsidRDefault="009369DA" w:rsidP="006844FF">
      <w:pPr>
        <w:spacing w:before="240"/>
        <w:ind w:left="851"/>
        <w:rPr>
          <w:rFonts w:cs="Arial"/>
          <w:bCs/>
        </w:rPr>
      </w:pPr>
      <w:r>
        <w:rPr>
          <w:rFonts w:cs="Arial"/>
          <w:b/>
        </w:rPr>
        <w:t>Combination Item</w:t>
      </w:r>
      <w:r>
        <w:rPr>
          <w:rFonts w:cs="Arial"/>
          <w:bCs/>
        </w:rPr>
        <w:t xml:space="preserve"> has the meaning given to the term ‘combination item’ in subsection 84(1) of the Act.</w:t>
      </w:r>
    </w:p>
    <w:p w14:paraId="1A231F4A" w14:textId="72D7BCCC" w:rsidR="00FA3BC4" w:rsidRPr="007B2F47" w:rsidRDefault="00FA3BC4" w:rsidP="006844FF">
      <w:pPr>
        <w:spacing w:before="240"/>
        <w:ind w:left="851"/>
        <w:rPr>
          <w:rFonts w:cs="Arial"/>
          <w:bCs/>
        </w:rPr>
      </w:pPr>
      <w:r>
        <w:rPr>
          <w:rFonts w:cs="Arial"/>
          <w:b/>
        </w:rPr>
        <w:t>Control</w:t>
      </w:r>
      <w:r w:rsidR="007B2F47">
        <w:rPr>
          <w:rFonts w:cs="Arial"/>
          <w:bCs/>
        </w:rPr>
        <w:t xml:space="preserve"> has the meaning given to the term ‘control’ in section 50AA of the </w:t>
      </w:r>
      <w:r w:rsidR="007B2F47" w:rsidRPr="007B2F47">
        <w:rPr>
          <w:rFonts w:cs="Arial"/>
          <w:bCs/>
          <w:i/>
          <w:iCs/>
        </w:rPr>
        <w:t>Corporations Act 2001</w:t>
      </w:r>
      <w:r w:rsidR="007B2F47">
        <w:rPr>
          <w:rFonts w:cs="Arial"/>
          <w:bCs/>
        </w:rPr>
        <w:t xml:space="preserve"> (Cth).</w:t>
      </w:r>
    </w:p>
    <w:p w14:paraId="19D7691D" w14:textId="2DB52A43" w:rsidR="00E02A9B" w:rsidRPr="00E02A9B" w:rsidRDefault="00E02A9B" w:rsidP="006844FF">
      <w:pPr>
        <w:spacing w:before="240"/>
        <w:ind w:left="851"/>
        <w:rPr>
          <w:rFonts w:cs="Arial"/>
          <w:bCs/>
        </w:rPr>
      </w:pPr>
      <w:r>
        <w:rPr>
          <w:rFonts w:cs="Arial"/>
          <w:b/>
        </w:rPr>
        <w:t>Data Collection Period</w:t>
      </w:r>
      <w:r>
        <w:rPr>
          <w:rFonts w:cs="Arial"/>
          <w:bCs/>
        </w:rPr>
        <w:t xml:space="preserve"> has the meaning given to the term ‘data collection period’ in section 99ADBA of the Act.</w:t>
      </w:r>
    </w:p>
    <w:p w14:paraId="77E84264" w14:textId="77777777" w:rsidR="006844FF" w:rsidRPr="006844FF" w:rsidRDefault="006844FF" w:rsidP="006844FF">
      <w:pPr>
        <w:spacing w:before="240"/>
        <w:ind w:left="851"/>
        <w:rPr>
          <w:rFonts w:cs="Arial"/>
        </w:rPr>
      </w:pPr>
      <w:r w:rsidRPr="006844FF">
        <w:rPr>
          <w:rFonts w:cs="Arial"/>
          <w:b/>
        </w:rPr>
        <w:t>Department</w:t>
      </w:r>
      <w:r w:rsidRPr="006844FF">
        <w:rPr>
          <w:rFonts w:cs="Arial"/>
        </w:rPr>
        <w:t xml:space="preserve"> means:</w:t>
      </w:r>
    </w:p>
    <w:p w14:paraId="2447F3C3" w14:textId="77777777" w:rsidR="006844FF" w:rsidRPr="006844FF" w:rsidRDefault="006844FF" w:rsidP="009218DC">
      <w:pPr>
        <w:keepNext/>
        <w:numPr>
          <w:ilvl w:val="0"/>
          <w:numId w:val="10"/>
        </w:numPr>
        <w:spacing w:before="240"/>
      </w:pPr>
      <w:r w:rsidRPr="006844FF">
        <w:t>the Department of Health; or</w:t>
      </w:r>
    </w:p>
    <w:p w14:paraId="775F3603" w14:textId="77777777" w:rsidR="006844FF" w:rsidRPr="006844FF" w:rsidRDefault="006844FF" w:rsidP="009218DC">
      <w:pPr>
        <w:keepNext/>
        <w:numPr>
          <w:ilvl w:val="0"/>
          <w:numId w:val="10"/>
        </w:numPr>
        <w:spacing w:before="240"/>
      </w:pPr>
      <w:r w:rsidRPr="006844FF">
        <w:t>any successor department or agency of the Commonwealth having responsibility for the administration of Part VII of the Act.</w:t>
      </w:r>
    </w:p>
    <w:p w14:paraId="30AE1ABC" w14:textId="77777777" w:rsidR="00F64AC9" w:rsidRPr="00F64AC9" w:rsidRDefault="00F64AC9" w:rsidP="00F64AC9">
      <w:pPr>
        <w:spacing w:before="240"/>
        <w:ind w:left="851"/>
        <w:rPr>
          <w:rFonts w:cs="Arial"/>
          <w:b/>
        </w:rPr>
      </w:pPr>
      <w:r w:rsidRPr="00F64AC9">
        <w:rPr>
          <w:rFonts w:cs="Arial"/>
          <w:b/>
        </w:rPr>
        <w:t xml:space="preserve">Drug is on F1 </w:t>
      </w:r>
      <w:r w:rsidRPr="00F64AC9">
        <w:rPr>
          <w:rFonts w:cs="Arial"/>
        </w:rPr>
        <w:t xml:space="preserve">has the </w:t>
      </w:r>
      <w:r w:rsidRPr="008A0C80">
        <w:t>meaning</w:t>
      </w:r>
      <w:r w:rsidRPr="00F64AC9">
        <w:rPr>
          <w:rFonts w:cs="Arial"/>
        </w:rPr>
        <w:t xml:space="preserve"> given to the term ‘drug is on F1’ in section 84AC of the Act. </w:t>
      </w:r>
    </w:p>
    <w:p w14:paraId="01749AB3" w14:textId="224478F6" w:rsidR="00F64AC9" w:rsidRDefault="00F64AC9" w:rsidP="00F64AC9">
      <w:pPr>
        <w:spacing w:before="240"/>
        <w:ind w:left="851"/>
        <w:rPr>
          <w:rFonts w:cs="Arial"/>
          <w:b/>
        </w:rPr>
      </w:pPr>
      <w:r w:rsidRPr="00F64AC9">
        <w:rPr>
          <w:rFonts w:cs="Arial"/>
          <w:b/>
        </w:rPr>
        <w:t xml:space="preserve">Drug is on F2 </w:t>
      </w:r>
      <w:r w:rsidRPr="00F64AC9">
        <w:rPr>
          <w:rFonts w:cs="Arial"/>
        </w:rPr>
        <w:t xml:space="preserve">has the </w:t>
      </w:r>
      <w:r w:rsidRPr="008A0C80">
        <w:t>meaning</w:t>
      </w:r>
      <w:r w:rsidRPr="00F64AC9">
        <w:rPr>
          <w:rFonts w:cs="Arial"/>
        </w:rPr>
        <w:t xml:space="preserve"> given to the term ‘drug is on F2’ in section 84AC of the Act.</w:t>
      </w:r>
    </w:p>
    <w:p w14:paraId="11F0FDC9" w14:textId="346997E5" w:rsidR="0089779C" w:rsidRDefault="00FB482C" w:rsidP="007B2F47">
      <w:pPr>
        <w:keepNext/>
        <w:spacing w:before="240"/>
        <w:ind w:left="851"/>
      </w:pPr>
      <w:r>
        <w:rPr>
          <w:rFonts w:cs="Arial"/>
          <w:b/>
        </w:rPr>
        <w:t>Effective Price</w:t>
      </w:r>
      <w:r w:rsidR="00D17A9E">
        <w:rPr>
          <w:rStyle w:val="FootnoteReference"/>
          <w:rFonts w:cs="Arial"/>
          <w:b/>
        </w:rPr>
        <w:footnoteReference w:id="2"/>
      </w:r>
      <w:r>
        <w:rPr>
          <w:rFonts w:cs="Arial"/>
          <w:bCs/>
        </w:rPr>
        <w:t xml:space="preserve"> </w:t>
      </w:r>
      <w:r w:rsidRPr="009D5120">
        <w:rPr>
          <w:rFonts w:cs="Arial"/>
          <w:bCs/>
        </w:rPr>
        <w:t>means</w:t>
      </w:r>
      <w:r w:rsidR="00674B80">
        <w:rPr>
          <w:rFonts w:cs="Arial"/>
          <w:bCs/>
        </w:rPr>
        <w:t>, in respect of a Listed Brand that is subject to a deed entered into under section 85E of the Act (</w:t>
      </w:r>
      <w:r w:rsidR="00674B80" w:rsidRPr="00674B80">
        <w:rPr>
          <w:rFonts w:cs="Arial"/>
          <w:b/>
        </w:rPr>
        <w:t>Deed</w:t>
      </w:r>
      <w:r w:rsidR="00674B80">
        <w:rPr>
          <w:rFonts w:cs="Arial"/>
          <w:bCs/>
        </w:rPr>
        <w:t>)</w:t>
      </w:r>
      <w:r w:rsidR="0089779C">
        <w:rPr>
          <w:rFonts w:cs="Arial"/>
          <w:bCs/>
        </w:rPr>
        <w:t>, the payment made by the Commonwealth in respect of the supply of that</w:t>
      </w:r>
      <w:r w:rsidRPr="009D5120">
        <w:rPr>
          <w:rFonts w:cs="Arial"/>
          <w:bCs/>
        </w:rPr>
        <w:t xml:space="preserve"> </w:t>
      </w:r>
      <w:r w:rsidRPr="00C56417">
        <w:t xml:space="preserve">Listed Brand </w:t>
      </w:r>
      <w:r w:rsidR="0089779C">
        <w:t>less any:</w:t>
      </w:r>
    </w:p>
    <w:p w14:paraId="15080492" w14:textId="1762DEFA" w:rsidR="0089779C" w:rsidRPr="0089779C" w:rsidRDefault="0089779C" w:rsidP="007B2F47">
      <w:pPr>
        <w:pStyle w:val="legalDefinition"/>
        <w:keepNext/>
        <w:numPr>
          <w:ilvl w:val="0"/>
          <w:numId w:val="32"/>
        </w:numPr>
      </w:pPr>
      <w:r>
        <w:t>r</w:t>
      </w:r>
      <w:r w:rsidRPr="0089779C">
        <w:t xml:space="preserve">ebates </w:t>
      </w:r>
      <w:r w:rsidR="007367E9">
        <w:t xml:space="preserve">or reimbursement </w:t>
      </w:r>
      <w:r w:rsidRPr="0089779C">
        <w:t xml:space="preserve">payable </w:t>
      </w:r>
      <w:r w:rsidR="00F87D9A">
        <w:t>to</w:t>
      </w:r>
      <w:r w:rsidRPr="0089779C">
        <w:t xml:space="preserve"> the Commonwealth under the Deed; and </w:t>
      </w:r>
    </w:p>
    <w:p w14:paraId="24190012" w14:textId="2052B141" w:rsidR="0089779C" w:rsidRPr="0089779C" w:rsidRDefault="0089779C" w:rsidP="0089779C">
      <w:pPr>
        <w:keepNext/>
        <w:numPr>
          <w:ilvl w:val="0"/>
          <w:numId w:val="10"/>
        </w:numPr>
        <w:spacing w:before="240"/>
      </w:pPr>
      <w:r>
        <w:t>f</w:t>
      </w:r>
      <w:r w:rsidRPr="0089779C">
        <w:t>ees and mark ups</w:t>
      </w:r>
      <w:r w:rsidR="00F87D9A">
        <w:t>,</w:t>
      </w:r>
      <w:r w:rsidRPr="0089779C">
        <w:t xml:space="preserve"> </w:t>
      </w:r>
    </w:p>
    <w:p w14:paraId="5C489190" w14:textId="2B8D341F" w:rsidR="0089779C" w:rsidRPr="0089779C" w:rsidRDefault="0089779C" w:rsidP="0089779C">
      <w:pPr>
        <w:keepNext/>
        <w:spacing w:before="240"/>
        <w:ind w:left="851"/>
      </w:pPr>
      <w:r>
        <w:t>f</w:t>
      </w:r>
      <w:r w:rsidRPr="0089779C">
        <w:t xml:space="preserve">or that Listed Brand. </w:t>
      </w:r>
    </w:p>
    <w:p w14:paraId="6B4E065E" w14:textId="77777777" w:rsidR="00875FA4" w:rsidRDefault="00875FA4" w:rsidP="00875FA4">
      <w:pPr>
        <w:pStyle w:val="legalDefinition"/>
        <w:numPr>
          <w:ilvl w:val="0"/>
          <w:numId w:val="0"/>
        </w:numPr>
        <w:ind w:left="851"/>
        <w:rPr>
          <w:b/>
          <w:bCs/>
        </w:rPr>
      </w:pPr>
      <w:r w:rsidRPr="00121211">
        <w:rPr>
          <w:b/>
          <w:bCs/>
        </w:rPr>
        <w:t>First New Brand</w:t>
      </w:r>
      <w:r w:rsidRPr="00121211">
        <w:t xml:space="preserve"> means the new brand described in sections 99ACB and 99ACD of the Act.</w:t>
      </w:r>
    </w:p>
    <w:p w14:paraId="44A3EF76" w14:textId="598FF31A" w:rsidR="0065093A" w:rsidRPr="0065093A" w:rsidRDefault="0065093A" w:rsidP="00FB482C">
      <w:pPr>
        <w:pStyle w:val="legalDefinition"/>
        <w:numPr>
          <w:ilvl w:val="0"/>
          <w:numId w:val="0"/>
        </w:numPr>
        <w:ind w:left="851"/>
      </w:pPr>
      <w:r>
        <w:rPr>
          <w:b/>
          <w:bCs/>
        </w:rPr>
        <w:t>Floor Price</w:t>
      </w:r>
      <w:r>
        <w:t xml:space="preserve"> has the meaning given in clause</w:t>
      </w:r>
      <w:r w:rsidR="00B353A9">
        <w:t xml:space="preserve"> </w:t>
      </w:r>
      <w:r w:rsidR="00B353A9">
        <w:fldChar w:fldCharType="begin"/>
      </w:r>
      <w:r w:rsidR="00B353A9">
        <w:instrText xml:space="preserve"> REF _Ref68606954 \r \h </w:instrText>
      </w:r>
      <w:r w:rsidR="00B353A9">
        <w:fldChar w:fldCharType="separate"/>
      </w:r>
      <w:r w:rsidR="00F5458C">
        <w:t>3.5</w:t>
      </w:r>
      <w:r w:rsidR="00B353A9">
        <w:fldChar w:fldCharType="end"/>
      </w:r>
      <w:r>
        <w:t>.</w:t>
      </w:r>
    </w:p>
    <w:p w14:paraId="05FFCEC5" w14:textId="5643BE87" w:rsidR="00F87D9A" w:rsidRDefault="00252AF6" w:rsidP="006844FF">
      <w:pPr>
        <w:pStyle w:val="legalDefinition"/>
        <w:numPr>
          <w:ilvl w:val="0"/>
          <w:numId w:val="0"/>
        </w:numPr>
        <w:ind w:left="851"/>
        <w:rPr>
          <w:bCs/>
        </w:rPr>
      </w:pPr>
      <w:r>
        <w:rPr>
          <w:b/>
          <w:bCs/>
        </w:rPr>
        <w:t>Joint Oversight Committee</w:t>
      </w:r>
      <w:r>
        <w:rPr>
          <w:bCs/>
        </w:rPr>
        <w:t xml:space="preserve"> means the committee described in clause </w:t>
      </w:r>
      <w:r w:rsidR="00F704E2">
        <w:rPr>
          <w:bCs/>
        </w:rPr>
        <w:fldChar w:fldCharType="begin"/>
      </w:r>
      <w:r w:rsidR="00F704E2">
        <w:rPr>
          <w:bCs/>
        </w:rPr>
        <w:instrText xml:space="preserve"> REF _Ref66916082 \r \h </w:instrText>
      </w:r>
      <w:r w:rsidR="00F704E2">
        <w:rPr>
          <w:bCs/>
        </w:rPr>
      </w:r>
      <w:r w:rsidR="00F704E2">
        <w:rPr>
          <w:bCs/>
        </w:rPr>
        <w:fldChar w:fldCharType="separate"/>
      </w:r>
      <w:r w:rsidR="00F5458C">
        <w:rPr>
          <w:bCs/>
        </w:rPr>
        <w:t>5</w:t>
      </w:r>
      <w:r w:rsidR="00F704E2">
        <w:rPr>
          <w:bCs/>
        </w:rPr>
        <w:fldChar w:fldCharType="end"/>
      </w:r>
      <w:r>
        <w:rPr>
          <w:bCs/>
        </w:rPr>
        <w:t>.</w:t>
      </w:r>
    </w:p>
    <w:p w14:paraId="7135FC07" w14:textId="31A0EF0F" w:rsidR="003A3837" w:rsidRPr="003A3837" w:rsidRDefault="003A3837" w:rsidP="006844FF">
      <w:pPr>
        <w:pStyle w:val="legalDefinition"/>
        <w:numPr>
          <w:ilvl w:val="0"/>
          <w:numId w:val="0"/>
        </w:numPr>
        <w:ind w:left="851"/>
      </w:pPr>
      <w:r>
        <w:rPr>
          <w:b/>
          <w:bCs/>
        </w:rPr>
        <w:t>Listed Brand</w:t>
      </w:r>
      <w:r>
        <w:t xml:space="preserve"> has the meaning given to the term ‘listed brand’ in subsection 84(1) of the Act.</w:t>
      </w:r>
    </w:p>
    <w:p w14:paraId="3F128F74" w14:textId="77777777" w:rsidR="00CC6D67" w:rsidRPr="00CC6D67" w:rsidRDefault="00CC6D67" w:rsidP="006844FF">
      <w:pPr>
        <w:pStyle w:val="legalDefinition"/>
        <w:numPr>
          <w:ilvl w:val="0"/>
          <w:numId w:val="0"/>
        </w:numPr>
        <w:ind w:left="851"/>
      </w:pPr>
      <w:r>
        <w:rPr>
          <w:b/>
          <w:bCs/>
        </w:rPr>
        <w:t>Listed Drug</w:t>
      </w:r>
      <w:r>
        <w:t xml:space="preserve"> has the meaning given to the term ‘listed drug’ in subsection 84(1) of the Act.</w:t>
      </w:r>
    </w:p>
    <w:p w14:paraId="2A5352A7" w14:textId="77777777" w:rsidR="00A73626" w:rsidRDefault="00A73626" w:rsidP="006844FF">
      <w:pPr>
        <w:pStyle w:val="legalDefinition"/>
        <w:numPr>
          <w:ilvl w:val="0"/>
          <w:numId w:val="0"/>
        </w:numPr>
        <w:ind w:left="851"/>
      </w:pPr>
      <w:r w:rsidRPr="00A73626">
        <w:rPr>
          <w:b/>
          <w:bCs/>
        </w:rPr>
        <w:t xml:space="preserve">Minister </w:t>
      </w:r>
      <w:r w:rsidRPr="00A73626">
        <w:t>means the Minister who administers the Act.</w:t>
      </w:r>
    </w:p>
    <w:p w14:paraId="03155A8B" w14:textId="6ECF265F" w:rsidR="00FB482C" w:rsidRPr="004E6B48" w:rsidRDefault="00FB482C" w:rsidP="00FB482C">
      <w:pPr>
        <w:spacing w:before="240"/>
        <w:ind w:left="851"/>
        <w:rPr>
          <w:lang w:eastAsia="en-US"/>
        </w:rPr>
      </w:pPr>
      <w:r w:rsidRPr="004E6B48">
        <w:rPr>
          <w:b/>
          <w:bCs/>
          <w:lang w:eastAsia="en-US"/>
        </w:rPr>
        <w:t>Multi-branded Drug</w:t>
      </w:r>
      <w:r w:rsidRPr="004E6B48">
        <w:rPr>
          <w:lang w:eastAsia="en-US"/>
        </w:rPr>
        <w:t xml:space="preserve"> means a drug or medicinal preparation with more than one Listed Brand for which the Responsible Person is not the same as, or is not a Related Body Corporate of, the Responsible Person for another Listed Brand of </w:t>
      </w:r>
      <w:r w:rsidR="000D607F">
        <w:rPr>
          <w:lang w:eastAsia="en-US"/>
        </w:rPr>
        <w:t xml:space="preserve">a Pharmaceutical Item that includes </w:t>
      </w:r>
      <w:r w:rsidRPr="004E6B48">
        <w:rPr>
          <w:lang w:eastAsia="en-US"/>
        </w:rPr>
        <w:t>that drug or medicinal preparation.</w:t>
      </w:r>
    </w:p>
    <w:p w14:paraId="653F2CC8" w14:textId="77777777" w:rsidR="00FB482C" w:rsidRPr="004E6B48" w:rsidRDefault="00FB482C" w:rsidP="00FB482C">
      <w:pPr>
        <w:spacing w:before="240"/>
        <w:ind w:left="851"/>
        <w:rPr>
          <w:lang w:eastAsia="en-US"/>
        </w:rPr>
      </w:pPr>
      <w:r w:rsidRPr="004E6B48">
        <w:rPr>
          <w:b/>
          <w:bCs/>
          <w:lang w:eastAsia="en-US"/>
        </w:rPr>
        <w:t>Originator Brand</w:t>
      </w:r>
      <w:r w:rsidRPr="004E6B48">
        <w:rPr>
          <w:lang w:eastAsia="en-US"/>
        </w:rPr>
        <w:t xml:space="preserve"> has the meaning given to the term ‘originator brand’ in section 99ADB of the Act.</w:t>
      </w:r>
    </w:p>
    <w:p w14:paraId="4FA430A0" w14:textId="77777777" w:rsidR="004021D5" w:rsidRPr="00A73626" w:rsidRDefault="004021D5" w:rsidP="004021D5">
      <w:pPr>
        <w:spacing w:before="240"/>
        <w:ind w:left="851"/>
        <w:rPr>
          <w:rFonts w:cs="Arial"/>
        </w:rPr>
      </w:pPr>
      <w:r w:rsidRPr="00A73626">
        <w:rPr>
          <w:rFonts w:cs="Arial"/>
          <w:b/>
        </w:rPr>
        <w:t>PBS</w:t>
      </w:r>
      <w:r w:rsidRPr="00A73626">
        <w:rPr>
          <w:rFonts w:cs="Arial"/>
        </w:rPr>
        <w:t xml:space="preserve"> means the Pharmaceutical Benefits Scheme established under Part VII of the Act.</w:t>
      </w:r>
    </w:p>
    <w:p w14:paraId="7B3A2524" w14:textId="77777777" w:rsidR="008131CA" w:rsidRDefault="008131CA" w:rsidP="008131CA">
      <w:pPr>
        <w:spacing w:before="240"/>
        <w:ind w:left="851"/>
        <w:rPr>
          <w:rFonts w:cs="Arial"/>
        </w:rPr>
      </w:pPr>
      <w:r w:rsidRPr="004021D5">
        <w:rPr>
          <w:rFonts w:cs="Arial"/>
          <w:b/>
        </w:rPr>
        <w:t xml:space="preserve">Pharmaceutical Benefit </w:t>
      </w:r>
      <w:r w:rsidRPr="004021D5">
        <w:rPr>
          <w:rFonts w:cs="Arial"/>
        </w:rPr>
        <w:t>has the meaning given to the term ‘pharmaceutical benefit’ in subsection 84(1) of the Act.</w:t>
      </w:r>
    </w:p>
    <w:p w14:paraId="68EA3A12" w14:textId="77777777" w:rsidR="00A73626" w:rsidRPr="00A73626" w:rsidRDefault="00A73626" w:rsidP="00A73626">
      <w:pPr>
        <w:spacing w:before="240"/>
        <w:ind w:left="851"/>
        <w:rPr>
          <w:rFonts w:cs="Arial"/>
        </w:rPr>
      </w:pPr>
      <w:r w:rsidRPr="00663758">
        <w:rPr>
          <w:rFonts w:cs="Arial"/>
          <w:b/>
          <w:bCs/>
        </w:rPr>
        <w:t>Pharmaceutical Benefits Advisory Committee</w:t>
      </w:r>
      <w:r w:rsidRPr="00A73626">
        <w:rPr>
          <w:rFonts w:cs="Arial"/>
        </w:rPr>
        <w:t xml:space="preserve"> </w:t>
      </w:r>
      <w:r w:rsidR="00663758">
        <w:rPr>
          <w:rFonts w:cs="Arial"/>
        </w:rPr>
        <w:t xml:space="preserve">or </w:t>
      </w:r>
      <w:r w:rsidR="00663758" w:rsidRPr="00663758">
        <w:rPr>
          <w:rFonts w:cs="Arial"/>
          <w:b/>
          <w:bCs/>
        </w:rPr>
        <w:t xml:space="preserve">PBAC </w:t>
      </w:r>
      <w:r w:rsidR="00663758">
        <w:rPr>
          <w:rFonts w:cs="Arial"/>
        </w:rPr>
        <w:t xml:space="preserve">means the Committee </w:t>
      </w:r>
      <w:r w:rsidRPr="00663758">
        <w:rPr>
          <w:rFonts w:cs="Arial"/>
        </w:rPr>
        <w:t>established</w:t>
      </w:r>
      <w:r w:rsidRPr="00A73626">
        <w:rPr>
          <w:rFonts w:cs="Arial"/>
        </w:rPr>
        <w:t xml:space="preserve"> under section 100A of the Act.</w:t>
      </w:r>
    </w:p>
    <w:p w14:paraId="55EBAB3D" w14:textId="3D7BF549" w:rsidR="007D6C0B" w:rsidRPr="007D6C0B" w:rsidRDefault="007D6C0B" w:rsidP="007D6C0B">
      <w:pPr>
        <w:spacing w:before="240"/>
        <w:ind w:left="851"/>
        <w:rPr>
          <w:rFonts w:cs="Arial"/>
          <w:bCs/>
        </w:rPr>
      </w:pPr>
      <w:r>
        <w:rPr>
          <w:rFonts w:cs="Arial"/>
          <w:b/>
        </w:rPr>
        <w:t>Pharmaceutical Item</w:t>
      </w:r>
      <w:r>
        <w:rPr>
          <w:rFonts w:cs="Arial"/>
          <w:bCs/>
        </w:rPr>
        <w:t xml:space="preserve"> has the meaning given </w:t>
      </w:r>
      <w:r w:rsidR="003A3837">
        <w:rPr>
          <w:rFonts w:cs="Arial"/>
          <w:bCs/>
        </w:rPr>
        <w:t xml:space="preserve">to the term ‘pharmaceutical item’ </w:t>
      </w:r>
      <w:r>
        <w:rPr>
          <w:rFonts w:cs="Arial"/>
          <w:bCs/>
        </w:rPr>
        <w:t xml:space="preserve">in </w:t>
      </w:r>
      <w:r w:rsidR="003A3837">
        <w:rPr>
          <w:rFonts w:cs="Arial"/>
          <w:bCs/>
        </w:rPr>
        <w:t>subsection</w:t>
      </w:r>
      <w:r w:rsidR="00193DBD">
        <w:rPr>
          <w:rFonts w:cs="Arial"/>
          <w:bCs/>
        </w:rPr>
        <w:t> </w:t>
      </w:r>
      <w:r w:rsidR="003A3837">
        <w:rPr>
          <w:rFonts w:cs="Arial"/>
          <w:bCs/>
        </w:rPr>
        <w:t xml:space="preserve">84(1) </w:t>
      </w:r>
      <w:r>
        <w:rPr>
          <w:rFonts w:cs="Arial"/>
          <w:bCs/>
        </w:rPr>
        <w:t>of the Act.</w:t>
      </w:r>
    </w:p>
    <w:p w14:paraId="72A99C5A" w14:textId="07D053CF" w:rsidR="00900322" w:rsidRPr="00900322" w:rsidRDefault="00900322" w:rsidP="00FB482C">
      <w:pPr>
        <w:spacing w:before="240"/>
        <w:ind w:left="851"/>
        <w:rPr>
          <w:rFonts w:cs="Arial"/>
          <w:bCs/>
        </w:rPr>
      </w:pPr>
      <w:r>
        <w:rPr>
          <w:rFonts w:cs="Arial"/>
          <w:b/>
        </w:rPr>
        <w:t>Poisons Standard</w:t>
      </w:r>
      <w:r>
        <w:rPr>
          <w:rFonts w:cs="Arial"/>
          <w:bCs/>
        </w:rPr>
        <w:t xml:space="preserve"> means the instrument made under </w:t>
      </w:r>
      <w:r w:rsidRPr="00900322">
        <w:rPr>
          <w:rFonts w:cs="Arial"/>
          <w:bCs/>
        </w:rPr>
        <w:t xml:space="preserve">paragraph 52D(2)(b) of the </w:t>
      </w:r>
      <w:r w:rsidRPr="00900322">
        <w:rPr>
          <w:rFonts w:cs="Arial"/>
          <w:bCs/>
          <w:i/>
          <w:iCs/>
        </w:rPr>
        <w:t>Therapeutic Goods Act 1989</w:t>
      </w:r>
      <w:r>
        <w:rPr>
          <w:rFonts w:cs="Arial"/>
          <w:bCs/>
        </w:rPr>
        <w:t xml:space="preserve"> (Cth)</w:t>
      </w:r>
      <w:r w:rsidRPr="00900322">
        <w:rPr>
          <w:rFonts w:cs="Arial"/>
          <w:bCs/>
        </w:rPr>
        <w:t>.</w:t>
      </w:r>
    </w:p>
    <w:p w14:paraId="71D8972E" w14:textId="5F985960" w:rsidR="00FB482C" w:rsidRPr="004E6B48" w:rsidRDefault="00FB482C" w:rsidP="00FB482C">
      <w:pPr>
        <w:spacing w:before="240"/>
        <w:ind w:left="851"/>
        <w:rPr>
          <w:rFonts w:cs="Arial"/>
          <w:bCs/>
        </w:rPr>
      </w:pPr>
      <w:r w:rsidRPr="004E6B48">
        <w:rPr>
          <w:rFonts w:cs="Arial"/>
          <w:b/>
        </w:rPr>
        <w:t>Price Disclosure</w:t>
      </w:r>
      <w:r w:rsidRPr="004E6B48">
        <w:rPr>
          <w:rFonts w:cs="Arial"/>
          <w:bCs/>
        </w:rPr>
        <w:t xml:space="preserve"> means the price disclosure arrangements in Division 3B of Part VII of the Act, and any related arrangements in </w:t>
      </w:r>
      <w:r w:rsidR="004F383E">
        <w:rPr>
          <w:rFonts w:cs="Arial"/>
          <w:bCs/>
        </w:rPr>
        <w:t xml:space="preserve">the </w:t>
      </w:r>
      <w:r w:rsidRPr="004E6B48">
        <w:rPr>
          <w:rFonts w:cs="Arial"/>
          <w:bCs/>
        </w:rPr>
        <w:t>Regulations.</w:t>
      </w:r>
    </w:p>
    <w:p w14:paraId="1D2CA730" w14:textId="77777777" w:rsidR="00FB482C" w:rsidRPr="004E6B48" w:rsidRDefault="00FB482C" w:rsidP="00FB482C">
      <w:pPr>
        <w:spacing w:before="240"/>
        <w:ind w:left="851"/>
        <w:rPr>
          <w:rFonts w:cs="Arial"/>
          <w:bCs/>
        </w:rPr>
      </w:pPr>
      <w:r w:rsidRPr="004E6B48">
        <w:rPr>
          <w:rFonts w:cs="Arial"/>
          <w:b/>
        </w:rPr>
        <w:t>Price Disclosure Cycle</w:t>
      </w:r>
      <w:r w:rsidRPr="004E6B48">
        <w:rPr>
          <w:rFonts w:cs="Arial"/>
          <w:bCs/>
        </w:rPr>
        <w:t xml:space="preserve"> means a Data Collection Period plus its associated calculation period resulting in the Minister making a determination of a Weighted Average Disclosed Price under subsection 99ADB(4) of the Act.</w:t>
      </w:r>
    </w:p>
    <w:p w14:paraId="627B5D8D" w14:textId="77777777" w:rsidR="00276263" w:rsidRDefault="00276263" w:rsidP="00BE1BEE">
      <w:pPr>
        <w:keepNext/>
        <w:keepLines/>
        <w:spacing w:before="240"/>
        <w:ind w:left="851"/>
        <w:rPr>
          <w:rFonts w:cs="Arial"/>
          <w:bCs/>
        </w:rPr>
      </w:pPr>
      <w:r>
        <w:rPr>
          <w:rFonts w:cs="Arial"/>
          <w:b/>
        </w:rPr>
        <w:t>Price Reduction</w:t>
      </w:r>
      <w:r>
        <w:rPr>
          <w:rFonts w:cs="Arial"/>
          <w:bCs/>
        </w:rPr>
        <w:t xml:space="preserve"> means a reduction </w:t>
      </w:r>
      <w:r w:rsidRPr="001D0985">
        <w:rPr>
          <w:rFonts w:cs="Arial"/>
        </w:rPr>
        <w:t>(including Statutory Price Reductions or price reductions that occur administratively)</w:t>
      </w:r>
      <w:r>
        <w:rPr>
          <w:rFonts w:cs="Arial"/>
          <w:bCs/>
        </w:rPr>
        <w:t>:</w:t>
      </w:r>
    </w:p>
    <w:p w14:paraId="31C0D226" w14:textId="0F7DD574" w:rsidR="00276263" w:rsidRDefault="00276263" w:rsidP="00BE1BEE">
      <w:pPr>
        <w:pStyle w:val="legalDefinition"/>
        <w:keepNext/>
        <w:keepLines/>
        <w:numPr>
          <w:ilvl w:val="0"/>
          <w:numId w:val="13"/>
        </w:numPr>
        <w:rPr>
          <w:lang w:eastAsia="en-AU"/>
        </w:rPr>
      </w:pPr>
      <w:r>
        <w:rPr>
          <w:lang w:eastAsia="en-AU"/>
        </w:rPr>
        <w:t xml:space="preserve">where the </w:t>
      </w:r>
      <w:r w:rsidR="003A3837">
        <w:rPr>
          <w:lang w:eastAsia="en-AU"/>
        </w:rPr>
        <w:t>Li</w:t>
      </w:r>
      <w:r>
        <w:rPr>
          <w:lang w:eastAsia="en-AU"/>
        </w:rPr>
        <w:t xml:space="preserve">sted </w:t>
      </w:r>
      <w:r w:rsidR="003A3837">
        <w:rPr>
          <w:lang w:eastAsia="en-AU"/>
        </w:rPr>
        <w:t>B</w:t>
      </w:r>
      <w:r>
        <w:rPr>
          <w:lang w:eastAsia="en-AU"/>
        </w:rPr>
        <w:t>rand has an Effective Price</w:t>
      </w:r>
      <w:r w:rsidR="00F704E2">
        <w:rPr>
          <w:lang w:eastAsia="en-AU"/>
        </w:rPr>
        <w:t xml:space="preserve"> at the relevant time</w:t>
      </w:r>
      <w:r>
        <w:rPr>
          <w:lang w:eastAsia="en-AU"/>
        </w:rPr>
        <w:t xml:space="preserve">, to the Effective Price of the </w:t>
      </w:r>
      <w:r w:rsidR="002A7B52">
        <w:rPr>
          <w:lang w:eastAsia="en-AU"/>
        </w:rPr>
        <w:t>L</w:t>
      </w:r>
      <w:r>
        <w:rPr>
          <w:lang w:eastAsia="en-AU"/>
        </w:rPr>
        <w:t xml:space="preserve">isted </w:t>
      </w:r>
      <w:r w:rsidR="002A7B52">
        <w:rPr>
          <w:lang w:eastAsia="en-AU"/>
        </w:rPr>
        <w:t>B</w:t>
      </w:r>
      <w:r>
        <w:rPr>
          <w:lang w:eastAsia="en-AU"/>
        </w:rPr>
        <w:t>rand; or</w:t>
      </w:r>
    </w:p>
    <w:p w14:paraId="4D4AD32C" w14:textId="6A3DAE40" w:rsidR="00276263" w:rsidRPr="00276263" w:rsidRDefault="00276263" w:rsidP="00BE1BEE">
      <w:pPr>
        <w:pStyle w:val="legalDefinition"/>
        <w:keepNext/>
        <w:keepLines/>
        <w:numPr>
          <w:ilvl w:val="0"/>
          <w:numId w:val="13"/>
        </w:numPr>
        <w:rPr>
          <w:lang w:eastAsia="en-AU"/>
        </w:rPr>
      </w:pPr>
      <w:r>
        <w:rPr>
          <w:lang w:eastAsia="en-AU"/>
        </w:rPr>
        <w:t>where the Listed Brand does not have an Effective Price</w:t>
      </w:r>
      <w:r w:rsidR="000D607F">
        <w:rPr>
          <w:lang w:eastAsia="en-AU"/>
        </w:rPr>
        <w:t xml:space="preserve"> at the relevant time</w:t>
      </w:r>
      <w:r>
        <w:rPr>
          <w:lang w:eastAsia="en-AU"/>
        </w:rPr>
        <w:t xml:space="preserve">, to the Approved Ex-Manufacturer Price of the </w:t>
      </w:r>
      <w:r w:rsidR="002A7B52">
        <w:rPr>
          <w:lang w:eastAsia="en-AU"/>
        </w:rPr>
        <w:t>L</w:t>
      </w:r>
      <w:r>
        <w:rPr>
          <w:lang w:eastAsia="en-AU"/>
        </w:rPr>
        <w:t xml:space="preserve">isted </w:t>
      </w:r>
      <w:r w:rsidR="002A7B52">
        <w:rPr>
          <w:lang w:eastAsia="en-AU"/>
        </w:rPr>
        <w:t>B</w:t>
      </w:r>
      <w:r>
        <w:rPr>
          <w:lang w:eastAsia="en-AU"/>
        </w:rPr>
        <w:t>rand.</w:t>
      </w:r>
    </w:p>
    <w:p w14:paraId="4A9410E1" w14:textId="77777777" w:rsidR="00FB482C" w:rsidRPr="00FB482C" w:rsidRDefault="00FB482C" w:rsidP="00FB482C">
      <w:pPr>
        <w:pStyle w:val="legalDefinition"/>
        <w:numPr>
          <w:ilvl w:val="0"/>
          <w:numId w:val="0"/>
        </w:numPr>
        <w:ind w:left="851"/>
        <w:rPr>
          <w:rFonts w:cs="Arial"/>
        </w:rPr>
      </w:pPr>
      <w:r w:rsidRPr="00FB482C">
        <w:rPr>
          <w:rFonts w:cs="Arial"/>
          <w:b/>
        </w:rPr>
        <w:t>Reference Pricing Policy</w:t>
      </w:r>
      <w:r w:rsidRPr="00FB482C">
        <w:rPr>
          <w:rFonts w:cs="Arial"/>
        </w:rPr>
        <w:t xml:space="preserve"> means the policy that links the prices of drugs in the F1 formulary, or on the single brand combination drug list, that the PBAC advises to be of similar safety and efficacy. </w:t>
      </w:r>
    </w:p>
    <w:p w14:paraId="2D587609" w14:textId="2BC2C872" w:rsidR="00D42CB1" w:rsidRPr="00D42CB1" w:rsidRDefault="00D42CB1" w:rsidP="001D0985">
      <w:pPr>
        <w:spacing w:before="240"/>
        <w:ind w:left="851"/>
        <w:rPr>
          <w:rFonts w:cs="Arial"/>
          <w:bCs/>
        </w:rPr>
      </w:pPr>
      <w:r>
        <w:rPr>
          <w:rFonts w:cs="Arial"/>
          <w:b/>
        </w:rPr>
        <w:t>Regulations</w:t>
      </w:r>
      <w:r>
        <w:rPr>
          <w:rFonts w:cs="Arial"/>
          <w:bCs/>
        </w:rPr>
        <w:t xml:space="preserve"> means the </w:t>
      </w:r>
      <w:r w:rsidRPr="00D56182">
        <w:rPr>
          <w:rFonts w:cs="Arial"/>
          <w:bCs/>
          <w:i/>
          <w:iCs/>
        </w:rPr>
        <w:t>National Health (Pharmaceutical Benefits) Regulations 2017</w:t>
      </w:r>
      <w:r w:rsidR="00D56182">
        <w:rPr>
          <w:rFonts w:cs="Arial"/>
          <w:bCs/>
        </w:rPr>
        <w:t xml:space="preserve"> (Cth)</w:t>
      </w:r>
      <w:r>
        <w:rPr>
          <w:rFonts w:cs="Arial"/>
          <w:bCs/>
        </w:rPr>
        <w:t>.</w:t>
      </w:r>
    </w:p>
    <w:p w14:paraId="35B4F922" w14:textId="77777777" w:rsidR="00CA58FC" w:rsidRPr="00CA58FC" w:rsidRDefault="00CA58FC" w:rsidP="001D0985">
      <w:pPr>
        <w:spacing w:before="240"/>
        <w:ind w:left="851"/>
        <w:rPr>
          <w:rFonts w:cs="Arial"/>
          <w:bCs/>
        </w:rPr>
      </w:pPr>
      <w:r>
        <w:rPr>
          <w:rFonts w:cs="Arial"/>
          <w:b/>
        </w:rPr>
        <w:t xml:space="preserve">Related </w:t>
      </w:r>
      <w:r w:rsidR="00AB13D3">
        <w:rPr>
          <w:rFonts w:cs="Arial"/>
          <w:b/>
        </w:rPr>
        <w:t>Bodies Corporate</w:t>
      </w:r>
      <w:r>
        <w:rPr>
          <w:rFonts w:cs="Arial"/>
          <w:b/>
        </w:rPr>
        <w:t xml:space="preserve"> </w:t>
      </w:r>
      <w:r>
        <w:rPr>
          <w:rFonts w:cs="Arial"/>
          <w:bCs/>
        </w:rPr>
        <w:t xml:space="preserve">has the meaning given to the term ‘related </w:t>
      </w:r>
      <w:r w:rsidR="00AB13D3">
        <w:rPr>
          <w:rFonts w:cs="Arial"/>
          <w:bCs/>
        </w:rPr>
        <w:t>bodies corporate</w:t>
      </w:r>
      <w:r>
        <w:rPr>
          <w:rFonts w:cs="Arial"/>
          <w:bCs/>
        </w:rPr>
        <w:t xml:space="preserve">’ in section </w:t>
      </w:r>
      <w:r w:rsidR="00CA7422">
        <w:rPr>
          <w:rFonts w:cs="Arial"/>
          <w:bCs/>
        </w:rPr>
        <w:t>50</w:t>
      </w:r>
      <w:r>
        <w:rPr>
          <w:rFonts w:cs="Arial"/>
          <w:bCs/>
        </w:rPr>
        <w:t xml:space="preserve"> of the </w:t>
      </w:r>
      <w:r w:rsidRPr="00CA58FC">
        <w:rPr>
          <w:rFonts w:cs="Arial"/>
          <w:bCs/>
          <w:i/>
          <w:iCs/>
        </w:rPr>
        <w:t>Corporations Act 2001</w:t>
      </w:r>
      <w:r>
        <w:rPr>
          <w:rFonts w:cs="Arial"/>
          <w:bCs/>
        </w:rPr>
        <w:t xml:space="preserve"> (Cth)</w:t>
      </w:r>
      <w:r w:rsidR="0034395B">
        <w:rPr>
          <w:rFonts w:cs="Arial"/>
          <w:bCs/>
        </w:rPr>
        <w:t xml:space="preserve"> and </w:t>
      </w:r>
      <w:r w:rsidR="0034395B" w:rsidRPr="0034395B">
        <w:rPr>
          <w:rFonts w:cs="Arial"/>
          <w:b/>
        </w:rPr>
        <w:t>Related Body Corporate</w:t>
      </w:r>
      <w:r w:rsidR="0034395B">
        <w:rPr>
          <w:rFonts w:cs="Arial"/>
          <w:bCs/>
        </w:rPr>
        <w:t xml:space="preserve"> has a corresponding meaning</w:t>
      </w:r>
      <w:r>
        <w:rPr>
          <w:rFonts w:cs="Arial"/>
          <w:bCs/>
        </w:rPr>
        <w:t>.</w:t>
      </w:r>
    </w:p>
    <w:p w14:paraId="7AC65A3A" w14:textId="77777777" w:rsidR="000B1113" w:rsidRPr="000B1113" w:rsidRDefault="000B1113" w:rsidP="00DE2BC7">
      <w:pPr>
        <w:pStyle w:val="BodyIndent1"/>
      </w:pPr>
      <w:r>
        <w:rPr>
          <w:b/>
          <w:bCs/>
        </w:rPr>
        <w:t xml:space="preserve">Responsible Person </w:t>
      </w:r>
      <w:r>
        <w:t xml:space="preserve">has the meaning given to the term ‘responsible person’ in subsection 84(1) of the </w:t>
      </w:r>
      <w:r w:rsidRPr="00F704E2">
        <w:t>Act.</w:t>
      </w:r>
    </w:p>
    <w:p w14:paraId="26804AD9" w14:textId="372D5521" w:rsidR="000C2DD2" w:rsidRPr="000C2DD2" w:rsidRDefault="000C2DD2" w:rsidP="00DE2BC7">
      <w:pPr>
        <w:pStyle w:val="BodyIndent1"/>
      </w:pPr>
      <w:r>
        <w:rPr>
          <w:b/>
          <w:bCs/>
        </w:rPr>
        <w:t>Single Branded Drug</w:t>
      </w:r>
      <w:r>
        <w:t xml:space="preserve"> means a </w:t>
      </w:r>
      <w:r w:rsidRPr="000C2DD2">
        <w:t>drug or medicinal preparation</w:t>
      </w:r>
      <w:r>
        <w:t xml:space="preserve"> that is not a Multi-branded Drug.</w:t>
      </w:r>
    </w:p>
    <w:p w14:paraId="22C43057" w14:textId="47A30A47" w:rsidR="00DE2BC7" w:rsidRDefault="00A73626" w:rsidP="00DE2BC7">
      <w:pPr>
        <w:pStyle w:val="BodyIndent1"/>
      </w:pPr>
      <w:r>
        <w:rPr>
          <w:b/>
          <w:bCs/>
        </w:rPr>
        <w:t>Statutory Price Reduction</w:t>
      </w:r>
      <w:r>
        <w:t xml:space="preserve"> </w:t>
      </w:r>
      <w:r w:rsidR="00AC4A8A">
        <w:t xml:space="preserve">or </w:t>
      </w:r>
      <w:r w:rsidR="00AC4A8A">
        <w:rPr>
          <w:b/>
          <w:bCs/>
        </w:rPr>
        <w:t xml:space="preserve">SPR </w:t>
      </w:r>
      <w:r>
        <w:t xml:space="preserve">means a price reduction </w:t>
      </w:r>
      <w:r w:rsidR="007D6C0B">
        <w:t>applying to a</w:t>
      </w:r>
      <w:r w:rsidR="00D17A9E">
        <w:t xml:space="preserve"> Listed Brand of a</w:t>
      </w:r>
      <w:r w:rsidR="007D6C0B">
        <w:t xml:space="preserve"> </w:t>
      </w:r>
      <w:r w:rsidR="007D6C0B" w:rsidRPr="008151E1">
        <w:t>Pharmaceutical Item</w:t>
      </w:r>
      <w:r w:rsidR="007D6C0B">
        <w:t xml:space="preserve"> under Division 3A of Part VII of the Act.</w:t>
      </w:r>
    </w:p>
    <w:p w14:paraId="5B7F3459" w14:textId="63DFC7E4" w:rsidR="00E0183B" w:rsidRDefault="00E0183B" w:rsidP="00DE2BC7">
      <w:pPr>
        <w:pStyle w:val="BodyIndent1"/>
      </w:pPr>
      <w:r w:rsidRPr="00E0183B">
        <w:rPr>
          <w:b/>
          <w:bCs/>
        </w:rPr>
        <w:t xml:space="preserve">Term </w:t>
      </w:r>
      <w:r w:rsidRPr="00E0183B">
        <w:t>means the term of this Agreement as set out in clause</w:t>
      </w:r>
      <w:r>
        <w:t xml:space="preserve"> </w:t>
      </w:r>
      <w:r>
        <w:fldChar w:fldCharType="begin"/>
      </w:r>
      <w:r>
        <w:instrText xml:space="preserve"> REF _Ref418233821 \r \h </w:instrText>
      </w:r>
      <w:r>
        <w:fldChar w:fldCharType="separate"/>
      </w:r>
      <w:r w:rsidR="00F5458C">
        <w:t>2</w:t>
      </w:r>
      <w:r>
        <w:fldChar w:fldCharType="end"/>
      </w:r>
      <w:r w:rsidRPr="00E0183B">
        <w:t>.</w:t>
      </w:r>
    </w:p>
    <w:p w14:paraId="3A0823C2" w14:textId="77777777" w:rsidR="00E02A9B" w:rsidRPr="00B108C3" w:rsidRDefault="004906E9" w:rsidP="00DE2BC7">
      <w:pPr>
        <w:pStyle w:val="BodyIndent1"/>
      </w:pPr>
      <w:r w:rsidRPr="004906E9">
        <w:rPr>
          <w:b/>
          <w:bCs/>
        </w:rPr>
        <w:t>Weighted Average Disclosed Price</w:t>
      </w:r>
      <w:r>
        <w:t xml:space="preserve"> </w:t>
      </w:r>
      <w:r w:rsidR="003C46AC">
        <w:t xml:space="preserve">or </w:t>
      </w:r>
      <w:r w:rsidR="003C46AC" w:rsidRPr="003C46AC">
        <w:rPr>
          <w:b/>
          <w:bCs/>
        </w:rPr>
        <w:t>WADP</w:t>
      </w:r>
      <w:r w:rsidR="003C46AC" w:rsidRPr="003C46AC">
        <w:t xml:space="preserve"> </w:t>
      </w:r>
      <w:r w:rsidRPr="003C46AC">
        <w:t>has</w:t>
      </w:r>
      <w:r>
        <w:t xml:space="preserve"> the meaning given to the term ‘weighted average disclosed price’ in subsection 99ADB(1) of the Act.</w:t>
      </w:r>
    </w:p>
    <w:p w14:paraId="655092C1" w14:textId="7A90AD1E" w:rsidR="00193DBD" w:rsidRDefault="00DE2BC7" w:rsidP="00DE2BC7">
      <w:pPr>
        <w:pStyle w:val="Headingpara2"/>
      </w:pPr>
      <w:r w:rsidRPr="00DE2BC7">
        <w:t>Unless otherwise defined in this Agreement, a term (including a term that is not capitalised) that is given a particular meaning in Part VII of the Act has the same meaning in this Agreement as it has in Part VII of the Act.</w:t>
      </w:r>
      <w:r w:rsidR="00193DBD">
        <w:br w:type="page"/>
      </w:r>
    </w:p>
    <w:p w14:paraId="5F1AE8AD" w14:textId="77777777" w:rsidR="008151E1" w:rsidRPr="00A33945" w:rsidRDefault="008151E1" w:rsidP="008151E1">
      <w:pPr>
        <w:pStyle w:val="Heading1"/>
      </w:pPr>
      <w:bookmarkStart w:id="6" w:name="_Ref418233821"/>
      <w:bookmarkStart w:id="7" w:name="_Toc421290194"/>
      <w:bookmarkStart w:id="8" w:name="_Toc421714176"/>
      <w:bookmarkStart w:id="9" w:name="_Toc481060430"/>
      <w:bookmarkStart w:id="10" w:name="_Toc79567152"/>
      <w:r w:rsidRPr="00A33945">
        <w:t>Term</w:t>
      </w:r>
      <w:bookmarkEnd w:id="6"/>
      <w:bookmarkEnd w:id="7"/>
      <w:bookmarkEnd w:id="8"/>
      <w:bookmarkEnd w:id="9"/>
      <w:bookmarkEnd w:id="10"/>
    </w:p>
    <w:p w14:paraId="265D2AA3" w14:textId="77777777" w:rsidR="008151E1" w:rsidRPr="00A33945" w:rsidRDefault="008151E1" w:rsidP="008151E1">
      <w:pPr>
        <w:pStyle w:val="Heading2"/>
      </w:pPr>
      <w:bookmarkStart w:id="11" w:name="_Toc419654684"/>
      <w:bookmarkStart w:id="12" w:name="_Ref418772968"/>
      <w:bookmarkStart w:id="13" w:name="_Toc421290195"/>
      <w:bookmarkStart w:id="14" w:name="_Toc421714177"/>
      <w:bookmarkStart w:id="15" w:name="_Toc481060431"/>
      <w:bookmarkStart w:id="16" w:name="_Ref63333847"/>
      <w:bookmarkStart w:id="17" w:name="_Toc79567153"/>
      <w:r w:rsidRPr="00A33945">
        <w:t>Term of Agreement</w:t>
      </w:r>
      <w:bookmarkEnd w:id="11"/>
      <w:bookmarkEnd w:id="12"/>
      <w:bookmarkEnd w:id="13"/>
      <w:bookmarkEnd w:id="14"/>
      <w:bookmarkEnd w:id="15"/>
      <w:bookmarkEnd w:id="16"/>
      <w:bookmarkEnd w:id="17"/>
    </w:p>
    <w:p w14:paraId="5F39775F" w14:textId="104B9AF8" w:rsidR="008151E1" w:rsidRPr="00A33945" w:rsidRDefault="0091543D" w:rsidP="00AD2A8A">
      <w:pPr>
        <w:pStyle w:val="BodyIndent1"/>
        <w:keepNext/>
      </w:pPr>
      <w:r>
        <w:t>T</w:t>
      </w:r>
      <w:r w:rsidR="00F54445">
        <w:t>his Agreement commence</w:t>
      </w:r>
      <w:r w:rsidR="00A73850">
        <w:t>s</w:t>
      </w:r>
      <w:r w:rsidR="00F54445">
        <w:t xml:space="preserve"> on </w:t>
      </w:r>
      <w:r w:rsidR="00AD2A8A">
        <w:t>the date of this Agreement and</w:t>
      </w:r>
      <w:r>
        <w:t>,</w:t>
      </w:r>
      <w:r w:rsidRPr="0091543D">
        <w:t xml:space="preserve"> </w:t>
      </w:r>
      <w:r>
        <w:t>s</w:t>
      </w:r>
      <w:r w:rsidRPr="00A33945">
        <w:t>ubject to clause</w:t>
      </w:r>
      <w:r w:rsidR="00CF18DD">
        <w:t xml:space="preserve"> </w:t>
      </w:r>
      <w:r w:rsidR="00CF18DD">
        <w:fldChar w:fldCharType="begin"/>
      </w:r>
      <w:r w:rsidR="00CF18DD">
        <w:instrText xml:space="preserve"> REF _Ref75521287 \w \h </w:instrText>
      </w:r>
      <w:r w:rsidR="00CF18DD">
        <w:fldChar w:fldCharType="separate"/>
      </w:r>
      <w:r w:rsidR="00F5458C">
        <w:t>2.2</w:t>
      </w:r>
      <w:r w:rsidR="00CF18DD">
        <w:fldChar w:fldCharType="end"/>
      </w:r>
      <w:r>
        <w:t>,</w:t>
      </w:r>
      <w:r w:rsidR="00AD2A8A">
        <w:t xml:space="preserve"> </w:t>
      </w:r>
      <w:r w:rsidR="00F54445">
        <w:t>will expire</w:t>
      </w:r>
      <w:r w:rsidR="008151E1" w:rsidRPr="00A33945">
        <w:t xml:space="preserve"> on 30 June 202</w:t>
      </w:r>
      <w:r w:rsidR="008151E1">
        <w:t>7</w:t>
      </w:r>
      <w:r w:rsidR="008151E1" w:rsidRPr="00A33945">
        <w:t>.</w:t>
      </w:r>
    </w:p>
    <w:p w14:paraId="44E7B2DF" w14:textId="6127AFD3" w:rsidR="00F704E2" w:rsidRPr="0022399C" w:rsidRDefault="00F704E2" w:rsidP="00F704E2">
      <w:pPr>
        <w:pStyle w:val="Heading2"/>
      </w:pPr>
      <w:bookmarkStart w:id="18" w:name="_Toc69856667"/>
      <w:bookmarkStart w:id="19" w:name="_Toc74731112"/>
      <w:bookmarkStart w:id="20" w:name="_Ref75521287"/>
      <w:bookmarkStart w:id="21" w:name="_Toc79567154"/>
      <w:r w:rsidRPr="0022399C">
        <w:t>Condition precedent to commencement of Agreement</w:t>
      </w:r>
      <w:bookmarkEnd w:id="18"/>
      <w:bookmarkEnd w:id="19"/>
      <w:bookmarkEnd w:id="20"/>
      <w:bookmarkEnd w:id="21"/>
    </w:p>
    <w:p w14:paraId="07C5E32A" w14:textId="2121BA74" w:rsidR="00F704E2" w:rsidRPr="0022399C" w:rsidRDefault="00F704E2" w:rsidP="00F704E2">
      <w:pPr>
        <w:pStyle w:val="Heading3"/>
      </w:pPr>
      <w:bookmarkStart w:id="22" w:name="_Ref419644673"/>
      <w:bookmarkStart w:id="23" w:name="_Ref419890095"/>
      <w:bookmarkStart w:id="24" w:name="_Ref480025586"/>
      <w:r w:rsidRPr="0022399C">
        <w:t xml:space="preserve">The measures described in this Agreement that require amendments to the Act </w:t>
      </w:r>
      <w:r>
        <w:t xml:space="preserve">or other legislation </w:t>
      </w:r>
      <w:r w:rsidRPr="0022399C">
        <w:t>will not commence until</w:t>
      </w:r>
      <w:bookmarkEnd w:id="22"/>
      <w:r w:rsidRPr="0022399C">
        <w:t xml:space="preserve"> </w:t>
      </w:r>
      <w:r w:rsidRPr="0022399C">
        <w:rPr>
          <w:bCs/>
        </w:rPr>
        <w:t xml:space="preserve">the passage of the Bill through the Australian Parliament in the form required to implement them in full, unless this condition is waived (in whole or in part) by the Commonwealth following </w:t>
      </w:r>
      <w:r>
        <w:rPr>
          <w:bCs/>
        </w:rPr>
        <w:t>consultation</w:t>
      </w:r>
      <w:r w:rsidRPr="0022399C">
        <w:rPr>
          <w:bCs/>
        </w:rPr>
        <w:t xml:space="preserve"> with </w:t>
      </w:r>
      <w:r>
        <w:rPr>
          <w:bCs/>
        </w:rPr>
        <w:t>GBMA</w:t>
      </w:r>
      <w:r w:rsidRPr="0022399C">
        <w:rPr>
          <w:bCs/>
        </w:rPr>
        <w:t>.</w:t>
      </w:r>
      <w:bookmarkEnd w:id="23"/>
      <w:bookmarkEnd w:id="24"/>
    </w:p>
    <w:p w14:paraId="4DA8870B" w14:textId="756788D1" w:rsidR="00F704E2" w:rsidRPr="0022399C" w:rsidRDefault="00F704E2" w:rsidP="00F704E2">
      <w:pPr>
        <w:pStyle w:val="Heading3"/>
      </w:pPr>
      <w:r w:rsidRPr="0022399C">
        <w:t xml:space="preserve">The Commonwealth and </w:t>
      </w:r>
      <w:r>
        <w:t>GBMA</w:t>
      </w:r>
      <w:r w:rsidRPr="0022399C">
        <w:t xml:space="preserve"> agree to use their respective best endeavours to ensure the passage of the Bill through the Australian Parliament.</w:t>
      </w:r>
    </w:p>
    <w:p w14:paraId="55518118" w14:textId="64193159" w:rsidR="00F704E2" w:rsidRPr="0022399C" w:rsidRDefault="00F704E2" w:rsidP="00F704E2">
      <w:pPr>
        <w:pStyle w:val="Heading3"/>
      </w:pPr>
      <w:r w:rsidRPr="0022399C">
        <w:t>If, at any time, the parties consider that the Bill is unlikely to pass the Australian Parliament in the form required to satisfy the condition in clause</w:t>
      </w:r>
      <w:r>
        <w:t xml:space="preserve"> </w:t>
      </w:r>
      <w:r>
        <w:fldChar w:fldCharType="begin"/>
      </w:r>
      <w:r>
        <w:instrText xml:space="preserve"> REF _Ref419890095 \r \h </w:instrText>
      </w:r>
      <w:r>
        <w:fldChar w:fldCharType="separate"/>
      </w:r>
      <w:r w:rsidR="00F5458C">
        <w:t>2.2.1</w:t>
      </w:r>
      <w:r>
        <w:fldChar w:fldCharType="end"/>
      </w:r>
      <w:r w:rsidRPr="0022399C">
        <w:t>, the parties will consult with each other in relation to alternative arrangements aimed at achieving the outcomes intended by the measures that have not commenced.</w:t>
      </w:r>
    </w:p>
    <w:p w14:paraId="32D2563A" w14:textId="1A712735" w:rsidR="00F704E2" w:rsidRPr="0022399C" w:rsidRDefault="00F704E2" w:rsidP="00F704E2">
      <w:pPr>
        <w:pStyle w:val="Heading3"/>
      </w:pPr>
      <w:r w:rsidRPr="0022399C">
        <w:t>If the condition in clause </w:t>
      </w:r>
      <w:r>
        <w:fldChar w:fldCharType="begin"/>
      </w:r>
      <w:r>
        <w:instrText xml:space="preserve"> REF _Ref419890095 \r \h </w:instrText>
      </w:r>
      <w:r>
        <w:fldChar w:fldCharType="separate"/>
      </w:r>
      <w:r w:rsidR="00F5458C">
        <w:t>2.2.1</w:t>
      </w:r>
      <w:r>
        <w:fldChar w:fldCharType="end"/>
      </w:r>
      <w:r w:rsidRPr="0022399C">
        <w:t xml:space="preserve"> is not satisfied or waived by the Commonwealth in whole or in part, this Agreement ceases except where the parties agree otherwise in writing. </w:t>
      </w:r>
    </w:p>
    <w:p w14:paraId="40EB728E" w14:textId="6707D196" w:rsidR="00F704E2" w:rsidRDefault="00F704E2" w:rsidP="00D853B2">
      <w:pPr>
        <w:pStyle w:val="Heading3"/>
      </w:pPr>
      <w:r w:rsidRPr="0022399C">
        <w:t xml:space="preserve">If the condition in clause </w:t>
      </w:r>
      <w:r>
        <w:fldChar w:fldCharType="begin"/>
      </w:r>
      <w:r>
        <w:instrText xml:space="preserve"> REF _Ref419890095 \r \h </w:instrText>
      </w:r>
      <w:r>
        <w:fldChar w:fldCharType="separate"/>
      </w:r>
      <w:r w:rsidR="00F5458C">
        <w:t>2.2.1</w:t>
      </w:r>
      <w:r>
        <w:fldChar w:fldCharType="end"/>
      </w:r>
      <w:r>
        <w:t xml:space="preserve"> </w:t>
      </w:r>
      <w:r w:rsidRPr="0022399C">
        <w:t>is waived in whole or in part, any subsequent satisfaction of the condition does not operate to extend the Term, unless the parties agree otherwise in writing.</w:t>
      </w:r>
    </w:p>
    <w:p w14:paraId="3D84710C" w14:textId="45FAC885" w:rsidR="00AD2A8A" w:rsidRDefault="00AD2A8A" w:rsidP="00AD2A8A">
      <w:pPr>
        <w:pStyle w:val="Heading2"/>
      </w:pPr>
      <w:bookmarkStart w:id="25" w:name="_Toc79567155"/>
      <w:r>
        <w:t>End of last Agreement</w:t>
      </w:r>
      <w:bookmarkEnd w:id="25"/>
    </w:p>
    <w:p w14:paraId="1CF1A62A" w14:textId="77777777" w:rsidR="00AD2A8A" w:rsidRPr="00AD2A8A" w:rsidRDefault="00AD2A8A" w:rsidP="00AD2A8A">
      <w:pPr>
        <w:pStyle w:val="BodyIndent1"/>
      </w:pPr>
      <w:r>
        <w:t>The Strategic Agreement between the parties dated 24 May 2015 (as extended) will end on the date of this Agreement.</w:t>
      </w:r>
    </w:p>
    <w:p w14:paraId="7D8053B3" w14:textId="164AA255" w:rsidR="00F22A95" w:rsidRDefault="00491DC8" w:rsidP="00CD7D8A">
      <w:pPr>
        <w:pStyle w:val="Heading1"/>
      </w:pPr>
      <w:bookmarkStart w:id="26" w:name="_Ref66365756"/>
      <w:bookmarkStart w:id="27" w:name="_Ref66365800"/>
      <w:bookmarkStart w:id="28" w:name="_Ref71033199"/>
      <w:bookmarkStart w:id="29" w:name="_Ref71035085"/>
      <w:bookmarkStart w:id="30" w:name="_Toc79567156"/>
      <w:r>
        <w:t>Measures</w:t>
      </w:r>
      <w:bookmarkEnd w:id="26"/>
      <w:bookmarkEnd w:id="27"/>
      <w:r w:rsidR="0062503F">
        <w:t xml:space="preserve"> to support </w:t>
      </w:r>
      <w:r w:rsidR="00252AF6">
        <w:t>patient access</w:t>
      </w:r>
      <w:r w:rsidR="0062503F">
        <w:t xml:space="preserve"> and sustainability</w:t>
      </w:r>
      <w:bookmarkEnd w:id="28"/>
      <w:bookmarkEnd w:id="29"/>
      <w:bookmarkEnd w:id="30"/>
    </w:p>
    <w:p w14:paraId="3F17EDF1" w14:textId="484250B9" w:rsidR="00491DC8" w:rsidRDefault="00534C7A" w:rsidP="006D3A28">
      <w:pPr>
        <w:pStyle w:val="Heading2"/>
      </w:pPr>
      <w:bookmarkStart w:id="31" w:name="_Toc79567157"/>
      <w:bookmarkStart w:id="32" w:name="_Ref63340690"/>
      <w:r>
        <w:t>Overview</w:t>
      </w:r>
      <w:r w:rsidR="00A21991">
        <w:t xml:space="preserve"> of implementation of measures</w:t>
      </w:r>
      <w:bookmarkEnd w:id="31"/>
    </w:p>
    <w:p w14:paraId="47519E00" w14:textId="4EE64277" w:rsidR="00045444" w:rsidRDefault="000C5C8D" w:rsidP="00045444">
      <w:pPr>
        <w:pStyle w:val="Heading3"/>
        <w:keepNext/>
      </w:pPr>
      <w:r>
        <w:t>Where necessary, t</w:t>
      </w:r>
      <w:r w:rsidR="000F4180">
        <w:t>he</w:t>
      </w:r>
      <w:r w:rsidR="00700893">
        <w:t xml:space="preserve"> Commonwealth will seek amendments to the Act and the Regulations</w:t>
      </w:r>
      <w:r w:rsidR="00D67B64">
        <w:t xml:space="preserve"> </w:t>
      </w:r>
      <w:r w:rsidR="00700893">
        <w:t xml:space="preserve">to </w:t>
      </w:r>
      <w:r w:rsidR="000F4180">
        <w:t>implement the measures described in</w:t>
      </w:r>
      <w:r>
        <w:t xml:space="preserve"> this clause </w:t>
      </w:r>
      <w:r>
        <w:fldChar w:fldCharType="begin"/>
      </w:r>
      <w:r>
        <w:instrText xml:space="preserve"> REF _Ref71033199 \r \h </w:instrText>
      </w:r>
      <w:r>
        <w:fldChar w:fldCharType="separate"/>
      </w:r>
      <w:r w:rsidR="00BE1BEE">
        <w:t>3</w:t>
      </w:r>
      <w:r>
        <w:fldChar w:fldCharType="end"/>
      </w:r>
      <w:r>
        <w:t xml:space="preserve"> from 1 July 2022.</w:t>
      </w:r>
    </w:p>
    <w:p w14:paraId="1689EC57" w14:textId="31CCF38F" w:rsidR="00670500" w:rsidRDefault="00670500" w:rsidP="000F4180">
      <w:pPr>
        <w:pStyle w:val="Heading3"/>
      </w:pPr>
      <w:r>
        <w:t xml:space="preserve">The </w:t>
      </w:r>
      <w:r w:rsidR="000F03BE">
        <w:t xml:space="preserve">security of supply </w:t>
      </w:r>
      <w:r>
        <w:t xml:space="preserve">measures described in </w:t>
      </w:r>
      <w:r w:rsidR="00CC1740">
        <w:t xml:space="preserve">this </w:t>
      </w:r>
      <w:r w:rsidRPr="00CC1740">
        <w:t xml:space="preserve">clause </w:t>
      </w:r>
      <w:r w:rsidRPr="00CC1740">
        <w:fldChar w:fldCharType="begin"/>
      </w:r>
      <w:r w:rsidRPr="00CC1740">
        <w:instrText xml:space="preserve"> REF _Ref66365756 \r \h </w:instrText>
      </w:r>
      <w:r w:rsidR="0034296F" w:rsidRPr="00CC1740">
        <w:instrText xml:space="preserve"> \* MERGEFORMAT </w:instrText>
      </w:r>
      <w:r w:rsidRPr="00CC1740">
        <w:fldChar w:fldCharType="separate"/>
      </w:r>
      <w:r w:rsidR="00BE1BEE">
        <w:t>3</w:t>
      </w:r>
      <w:r w:rsidRPr="00CC1740">
        <w:fldChar w:fldCharType="end"/>
      </w:r>
      <w:r w:rsidR="00874EA2">
        <w:t xml:space="preserve"> reflect the parties</w:t>
      </w:r>
      <w:r w:rsidR="00CC1740">
        <w:t>’</w:t>
      </w:r>
      <w:r w:rsidR="00874EA2">
        <w:t xml:space="preserve"> intention to improve the operation of the PBS for the purposes of </w:t>
      </w:r>
      <w:r w:rsidR="00693CB2">
        <w:t xml:space="preserve">achieving </w:t>
      </w:r>
      <w:r w:rsidR="00874EA2">
        <w:t xml:space="preserve">reliable supply </w:t>
      </w:r>
      <w:r w:rsidR="00693CB2">
        <w:t xml:space="preserve">of medicines </w:t>
      </w:r>
      <w:r w:rsidR="00874EA2">
        <w:t xml:space="preserve">for </w:t>
      </w:r>
      <w:r w:rsidR="0034296F">
        <w:t xml:space="preserve">Australian </w:t>
      </w:r>
      <w:r w:rsidR="00874EA2">
        <w:t>patients. It is intended that</w:t>
      </w:r>
      <w:r w:rsidR="00CC1740">
        <w:t>,</w:t>
      </w:r>
      <w:r w:rsidR="00874EA2">
        <w:t xml:space="preserve"> on balance</w:t>
      </w:r>
      <w:r w:rsidR="00CC1740">
        <w:t>,</w:t>
      </w:r>
      <w:r w:rsidR="00874EA2">
        <w:t xml:space="preserve"> </w:t>
      </w:r>
      <w:r w:rsidR="00A459FC">
        <w:t xml:space="preserve">the cost of </w:t>
      </w:r>
      <w:r w:rsidR="00874EA2">
        <w:t>these</w:t>
      </w:r>
      <w:r w:rsidR="00A459FC">
        <w:t xml:space="preserve"> proposed</w:t>
      </w:r>
      <w:r w:rsidR="00874EA2">
        <w:t xml:space="preserve"> measures</w:t>
      </w:r>
      <w:r w:rsidR="000F03BE">
        <w:rPr>
          <w:rStyle w:val="FootnoteReference"/>
        </w:rPr>
        <w:footnoteReference w:id="3"/>
      </w:r>
      <w:r w:rsidR="00874EA2">
        <w:t xml:space="preserve"> will be </w:t>
      </w:r>
      <w:r w:rsidR="00A459FC">
        <w:t>no more tha</w:t>
      </w:r>
      <w:r w:rsidR="0075244D">
        <w:t>n what would have been</w:t>
      </w:r>
      <w:r w:rsidR="00A459FC">
        <w:t xml:space="preserve"> the cost</w:t>
      </w:r>
      <w:r w:rsidR="0075244D">
        <w:t xml:space="preserve"> of continuing</w:t>
      </w:r>
      <w:r w:rsidR="00A459FC">
        <w:t xml:space="preserve"> the </w:t>
      </w:r>
      <w:r w:rsidR="0075244D">
        <w:t xml:space="preserve">existing </w:t>
      </w:r>
      <w:r w:rsidR="00A459FC">
        <w:t xml:space="preserve">30% Price Disclosure threshold </w:t>
      </w:r>
      <w:r w:rsidR="00193DBD">
        <w:t xml:space="preserve">from </w:t>
      </w:r>
      <w:r w:rsidR="0075244D">
        <w:t>1 July 2022, when it would have otherwise ceased</w:t>
      </w:r>
      <w:r w:rsidR="00A459FC">
        <w:t xml:space="preserve">.  </w:t>
      </w:r>
    </w:p>
    <w:p w14:paraId="443C91A8" w14:textId="791A2DC9" w:rsidR="00FB482C" w:rsidRPr="003D752F" w:rsidRDefault="00AE0828" w:rsidP="00FB482C">
      <w:pPr>
        <w:pStyle w:val="Heading2"/>
      </w:pPr>
      <w:bookmarkStart w:id="33" w:name="_Toc79567158"/>
      <w:bookmarkStart w:id="34" w:name="_Toc66351124"/>
      <w:bookmarkStart w:id="35" w:name="_Ref66365422"/>
      <w:bookmarkStart w:id="36" w:name="_Toc66351122"/>
      <w:r>
        <w:t>P</w:t>
      </w:r>
      <w:r w:rsidR="00FB482C" w:rsidRPr="003D752F">
        <w:t>rice competition</w:t>
      </w:r>
      <w:bookmarkEnd w:id="33"/>
    </w:p>
    <w:p w14:paraId="62ACC1E1" w14:textId="77777777" w:rsidR="00FB482C" w:rsidRDefault="00FB482C" w:rsidP="00FB482C">
      <w:pPr>
        <w:pStyle w:val="Heading3"/>
        <w:keepNext/>
      </w:pPr>
      <w:bookmarkStart w:id="37" w:name="_Ref66917022"/>
      <w:r>
        <w:t>The Commonwealth is aware that:</w:t>
      </w:r>
      <w:bookmarkEnd w:id="37"/>
    </w:p>
    <w:p w14:paraId="1896CB81" w14:textId="20EC5D78" w:rsidR="00FB482C" w:rsidRDefault="00FB482C" w:rsidP="00FB482C">
      <w:pPr>
        <w:pStyle w:val="Heading4"/>
      </w:pPr>
      <w:r>
        <w:t xml:space="preserve">certain Single Branded Drugs </w:t>
      </w:r>
      <w:r w:rsidR="00F704E2">
        <w:t>that should be treated as</w:t>
      </w:r>
      <w:r>
        <w:t xml:space="preserve"> </w:t>
      </w:r>
      <w:r w:rsidR="00F704E2">
        <w:t>i</w:t>
      </w:r>
      <w:r>
        <w:t xml:space="preserve">nterchangeable </w:t>
      </w:r>
      <w:r w:rsidR="00F704E2">
        <w:t xml:space="preserve">(as </w:t>
      </w:r>
      <w:r w:rsidR="00CA6DA6">
        <w:t xml:space="preserve">specified </w:t>
      </w:r>
      <w:r>
        <w:t>by the PBAC</w:t>
      </w:r>
      <w:r w:rsidR="00F704E2">
        <w:t>)</w:t>
      </w:r>
      <w:r>
        <w:t xml:space="preserve"> with other drugs that are, or have become, Multi-branded Drugs may be sold at discounted prices below their AEMP</w:t>
      </w:r>
      <w:r w:rsidR="000C5C8D">
        <w:t>, or with incentives,</w:t>
      </w:r>
      <w:r>
        <w:t xml:space="preserve"> in competition with those Multi-branded Drugs; and</w:t>
      </w:r>
    </w:p>
    <w:p w14:paraId="6C09C384" w14:textId="26CA8243" w:rsidR="00FB482C" w:rsidRDefault="00FB482C" w:rsidP="00FB482C">
      <w:pPr>
        <w:pStyle w:val="Heading4"/>
      </w:pPr>
      <w:r>
        <w:t xml:space="preserve">any </w:t>
      </w:r>
      <w:r w:rsidRPr="00D72286">
        <w:t>dis</w:t>
      </w:r>
      <w:r>
        <w:t>counting below the AEMP</w:t>
      </w:r>
      <w:r w:rsidRPr="00D72286">
        <w:t xml:space="preserve"> </w:t>
      </w:r>
      <w:r w:rsidR="00CF18DD">
        <w:t xml:space="preserve">or provision of incentives </w:t>
      </w:r>
      <w:r>
        <w:t xml:space="preserve">where Single Branded Drugs </w:t>
      </w:r>
      <w:r w:rsidR="00F704E2">
        <w:t>should be treated as</w:t>
      </w:r>
      <w:r>
        <w:t xml:space="preserve"> </w:t>
      </w:r>
      <w:r w:rsidR="00F704E2">
        <w:t>i</w:t>
      </w:r>
      <w:r>
        <w:t xml:space="preserve">nterchangeable </w:t>
      </w:r>
      <w:r w:rsidR="00F704E2">
        <w:t xml:space="preserve">(as </w:t>
      </w:r>
      <w:r w:rsidR="00CA6DA6">
        <w:t xml:space="preserve">specified </w:t>
      </w:r>
      <w:r w:rsidR="00F704E2">
        <w:t xml:space="preserve">by the PBAC) </w:t>
      </w:r>
      <w:r>
        <w:t xml:space="preserve">with Multi-branded Drugs jeopardises supply of those Multi-branded Drugs. </w:t>
      </w:r>
    </w:p>
    <w:p w14:paraId="4D9E8CDF" w14:textId="089CB92F" w:rsidR="00FB482C" w:rsidRDefault="00FB482C" w:rsidP="00FB482C">
      <w:pPr>
        <w:pStyle w:val="Heading3"/>
        <w:keepNext/>
        <w:rPr>
          <w:lang w:eastAsia="zh-CN"/>
        </w:rPr>
      </w:pPr>
      <w:r>
        <w:t>Recognising the risk described in clause</w:t>
      </w:r>
      <w:r w:rsidR="003E7203">
        <w:t xml:space="preserve"> </w:t>
      </w:r>
      <w:r w:rsidR="003E7203">
        <w:fldChar w:fldCharType="begin"/>
      </w:r>
      <w:r w:rsidR="003E7203">
        <w:instrText xml:space="preserve"> REF _Ref66917022 \r \h </w:instrText>
      </w:r>
      <w:r w:rsidR="003E7203">
        <w:fldChar w:fldCharType="separate"/>
      </w:r>
      <w:r w:rsidR="00F5458C">
        <w:t>3.2.1</w:t>
      </w:r>
      <w:r w:rsidR="003E7203">
        <w:fldChar w:fldCharType="end"/>
      </w:r>
      <w:r>
        <w:t xml:space="preserve">, </w:t>
      </w:r>
      <w:r w:rsidR="003E7203">
        <w:t>GBMA</w:t>
      </w:r>
      <w:r>
        <w:t xml:space="preserve"> acknowledges and agrees that the Commonwealth will seek </w:t>
      </w:r>
      <w:r w:rsidR="000C5C8D">
        <w:t xml:space="preserve">to negotiate an outcome with the Responsible Person for the Single Branded Drug to address that risk. </w:t>
      </w:r>
    </w:p>
    <w:p w14:paraId="3A1FBDB8" w14:textId="466C2D1D" w:rsidR="000C5C8D" w:rsidRDefault="000F03BE" w:rsidP="00FB482C">
      <w:pPr>
        <w:pStyle w:val="Heading3"/>
        <w:keepNext/>
        <w:rPr>
          <w:lang w:eastAsia="zh-CN"/>
        </w:rPr>
      </w:pPr>
      <w:r w:rsidRPr="000F03BE">
        <w:t xml:space="preserve">To support the security of supply measures outlined in this Agreement and greater visibility of stockholdings and market practices in Australia, </w:t>
      </w:r>
      <w:r>
        <w:t>t</w:t>
      </w:r>
      <w:r w:rsidR="000C5C8D">
        <w:t>he parties agree that the Commonwealth will seek amendments to the Act and Regulations</w:t>
      </w:r>
      <w:r w:rsidR="00CA6DA6">
        <w:t xml:space="preserve"> from 1 July 2022</w:t>
      </w:r>
      <w:r w:rsidR="00CA6DA6" w:rsidRPr="00CA6DA6">
        <w:t xml:space="preserve"> </w:t>
      </w:r>
      <w:r w:rsidR="00CA6DA6">
        <w:t>so that, for Multi-branded Drugs, information with respect to supplies to public hospitals will be taken into account for the purposes of calculating the WADP after the 7</w:t>
      </w:r>
      <w:r w:rsidR="00CA6DA6" w:rsidRPr="00AE1D5F">
        <w:rPr>
          <w:vertAlign w:val="superscript"/>
        </w:rPr>
        <w:t>t</w:t>
      </w:r>
      <w:r w:rsidR="00CA6DA6">
        <w:rPr>
          <w:vertAlign w:val="superscript"/>
        </w:rPr>
        <w:t>h</w:t>
      </w:r>
      <w:r w:rsidR="00CA6DA6">
        <w:t xml:space="preserve"> Price Disclosure Cycle of the Multi-branded Drug.</w:t>
      </w:r>
      <w:r w:rsidR="00CA6DA6">
        <w:rPr>
          <w:rStyle w:val="FootnoteReference"/>
        </w:rPr>
        <w:footnoteReference w:id="4"/>
      </w:r>
    </w:p>
    <w:p w14:paraId="6BFCE2F2" w14:textId="77777777" w:rsidR="00DA22E0" w:rsidRPr="007E2C35" w:rsidRDefault="00DA22E0" w:rsidP="00DA22E0">
      <w:pPr>
        <w:pStyle w:val="Heading2"/>
      </w:pPr>
      <w:bookmarkStart w:id="38" w:name="_Toc76736589"/>
      <w:bookmarkStart w:id="39" w:name="_Toc76736590"/>
      <w:bookmarkStart w:id="40" w:name="_Toc76736591"/>
      <w:bookmarkStart w:id="41" w:name="_Ref66917109"/>
      <w:bookmarkStart w:id="42" w:name="_Toc79567159"/>
      <w:bookmarkStart w:id="43" w:name="_Ref66365563"/>
      <w:bookmarkEnd w:id="34"/>
      <w:bookmarkEnd w:id="35"/>
      <w:bookmarkEnd w:id="36"/>
      <w:bookmarkEnd w:id="38"/>
      <w:bookmarkEnd w:id="39"/>
      <w:bookmarkEnd w:id="40"/>
      <w:r w:rsidRPr="007E2C35">
        <w:t>Early remov</w:t>
      </w:r>
      <w:r>
        <w:t>al of O</w:t>
      </w:r>
      <w:r w:rsidRPr="007E2C35">
        <w:t>riginator</w:t>
      </w:r>
      <w:r>
        <w:t xml:space="preserve"> Brand</w:t>
      </w:r>
      <w:bookmarkEnd w:id="41"/>
      <w:bookmarkEnd w:id="42"/>
    </w:p>
    <w:p w14:paraId="5F9B4D55" w14:textId="752D4BDA" w:rsidR="00DA22E0" w:rsidRDefault="00DA22E0" w:rsidP="00DA22E0">
      <w:pPr>
        <w:pStyle w:val="Heading3"/>
      </w:pPr>
      <w:bookmarkStart w:id="44" w:name="_Ref66917091"/>
      <w:r>
        <w:t xml:space="preserve">The parties agree that the Commonwealth will seek amendments to the Act and Regulations </w:t>
      </w:r>
      <w:r w:rsidR="00BE367B">
        <w:t xml:space="preserve">from 1 July 2022 </w:t>
      </w:r>
      <w:r>
        <w:t xml:space="preserve">so that where there has been no </w:t>
      </w:r>
      <w:r w:rsidR="00886956">
        <w:t>p</w:t>
      </w:r>
      <w:r>
        <w:t xml:space="preserve">rice </w:t>
      </w:r>
      <w:r w:rsidR="00886956">
        <w:t>r</w:t>
      </w:r>
      <w:r>
        <w:t>eduction under Division 3B of Part</w:t>
      </w:r>
      <w:r w:rsidR="00822533">
        <w:t> </w:t>
      </w:r>
      <w:r>
        <w:t>VII of the Act during (or with respect to) the first three Price Disclosure Cycles for a Listed Drug with a particular manner of administration (</w:t>
      </w:r>
      <w:r w:rsidRPr="00845B7E">
        <w:rPr>
          <w:b/>
          <w:bCs/>
        </w:rPr>
        <w:t>Relevant Drug</w:t>
      </w:r>
      <w:r>
        <w:t>), the removal of Originator Brand information from the WADP calculation for the Relevant Drug will be brought forward to the 4</w:t>
      </w:r>
      <w:r w:rsidRPr="004906E9">
        <w:rPr>
          <w:vertAlign w:val="superscript"/>
        </w:rPr>
        <w:t>th</w:t>
      </w:r>
      <w:r>
        <w:t xml:space="preserve"> Price Disclosure Cycle of that Relevant Drug.</w:t>
      </w:r>
      <w:bookmarkEnd w:id="44"/>
      <w:r>
        <w:t xml:space="preserve"> </w:t>
      </w:r>
    </w:p>
    <w:p w14:paraId="63F2939D" w14:textId="77777777" w:rsidR="00DA22E0" w:rsidRDefault="00DA22E0" w:rsidP="00DA22E0">
      <w:pPr>
        <w:pStyle w:val="Heading3"/>
        <w:keepNext/>
      </w:pPr>
      <w:r>
        <w:t>For clarity:</w:t>
      </w:r>
    </w:p>
    <w:p w14:paraId="6C15D0CA" w14:textId="5E3E18BB" w:rsidR="00DA22E0" w:rsidRDefault="00DA22E0" w:rsidP="00DA22E0">
      <w:pPr>
        <w:pStyle w:val="Heading4"/>
        <w:keepNext/>
      </w:pPr>
      <w:r>
        <w:t>following the changes provided for in clause</w:t>
      </w:r>
      <w:r w:rsidR="006B778A">
        <w:t xml:space="preserve"> </w:t>
      </w:r>
      <w:r w:rsidR="006B778A">
        <w:fldChar w:fldCharType="begin"/>
      </w:r>
      <w:r w:rsidR="006B778A">
        <w:instrText xml:space="preserve"> REF _Ref66917091 \r \h </w:instrText>
      </w:r>
      <w:r w:rsidR="006B778A">
        <w:fldChar w:fldCharType="separate"/>
      </w:r>
      <w:r w:rsidR="00F5458C">
        <w:t>3.3.1</w:t>
      </w:r>
      <w:r w:rsidR="006B778A">
        <w:fldChar w:fldCharType="end"/>
      </w:r>
      <w:r>
        <w:t>, information provided about the Originator Brand will not be taken into account after 18 months (instead of after 30 months, as currently provided for in the Regulations); and</w:t>
      </w:r>
    </w:p>
    <w:p w14:paraId="1BF7BEA9" w14:textId="48B8D70D" w:rsidR="00DA22E0" w:rsidRDefault="00DA22E0" w:rsidP="00DA22E0">
      <w:pPr>
        <w:pStyle w:val="Heading4"/>
      </w:pPr>
      <w:r>
        <w:t xml:space="preserve">nothing in this clause </w:t>
      </w:r>
      <w:r w:rsidR="006B778A">
        <w:fldChar w:fldCharType="begin"/>
      </w:r>
      <w:r w:rsidR="006B778A">
        <w:instrText xml:space="preserve"> REF _Ref66917109 \r \h </w:instrText>
      </w:r>
      <w:r w:rsidR="006B778A">
        <w:fldChar w:fldCharType="separate"/>
      </w:r>
      <w:r w:rsidR="00F5458C">
        <w:t>3.3</w:t>
      </w:r>
      <w:r w:rsidR="006B778A">
        <w:fldChar w:fldCharType="end"/>
      </w:r>
      <w:r w:rsidR="006B778A">
        <w:t xml:space="preserve"> </w:t>
      </w:r>
      <w:r>
        <w:t>is intended to remove or limit the existing arrangements for removal of the Originator Brand information from the WADP calculation</w:t>
      </w:r>
      <w:r w:rsidRPr="00AF3B99">
        <w:t xml:space="preserve"> </w:t>
      </w:r>
      <w:r>
        <w:t xml:space="preserve">for the Relevant Drug after 30 months where there has been a </w:t>
      </w:r>
      <w:r w:rsidR="00CF18DD">
        <w:t>p</w:t>
      </w:r>
      <w:r>
        <w:t xml:space="preserve">rice </w:t>
      </w:r>
      <w:r w:rsidR="00CF18DD">
        <w:t>r</w:t>
      </w:r>
      <w:r>
        <w:t xml:space="preserve">eduction </w:t>
      </w:r>
      <w:r w:rsidR="00CF18DD">
        <w:t xml:space="preserve">for the Relevant Drug </w:t>
      </w:r>
      <w:r>
        <w:t>under Division 3B of Part VII of the Act during (or with respect to) the first three Price Disclosure Cycles for the Relevant Drug.</w:t>
      </w:r>
    </w:p>
    <w:p w14:paraId="17D6A493" w14:textId="77777777" w:rsidR="00DA22E0" w:rsidRDefault="00DA22E0" w:rsidP="00DA22E0">
      <w:pPr>
        <w:pStyle w:val="Heading2"/>
      </w:pPr>
      <w:bookmarkStart w:id="45" w:name="_Ref69891677"/>
      <w:bookmarkStart w:id="46" w:name="_Toc79567160"/>
      <w:r>
        <w:t>Security of supply</w:t>
      </w:r>
      <w:bookmarkEnd w:id="45"/>
      <w:bookmarkEnd w:id="46"/>
    </w:p>
    <w:p w14:paraId="2074680E" w14:textId="4E707D7D" w:rsidR="00DA22E0" w:rsidRDefault="00DA22E0" w:rsidP="00E1197E">
      <w:pPr>
        <w:pStyle w:val="Heading3"/>
      </w:pPr>
      <w:r>
        <w:t xml:space="preserve">Recognising the significant impact on patients where </w:t>
      </w:r>
      <w:r w:rsidR="000621C8">
        <w:t xml:space="preserve">multi-branded </w:t>
      </w:r>
      <w:r>
        <w:t>medicines are unavailable, GBMA acknowledges and agrees that the Commonwealth will</w:t>
      </w:r>
      <w:r w:rsidR="00CF18DD">
        <w:t xml:space="preserve"> </w:t>
      </w:r>
      <w:r>
        <w:t>implement arrangements (including, where necessary, by amending the Act</w:t>
      </w:r>
      <w:r w:rsidR="00213CDA">
        <w:rPr>
          <w:rStyle w:val="FootnoteReference"/>
        </w:rPr>
        <w:footnoteReference w:id="5"/>
      </w:r>
      <w:r>
        <w:t xml:space="preserve"> and Regulations) under which:</w:t>
      </w:r>
    </w:p>
    <w:p w14:paraId="0AC44503" w14:textId="21A1C3DB" w:rsidR="00EF758F" w:rsidRDefault="00EF758F" w:rsidP="00E1197E">
      <w:pPr>
        <w:pStyle w:val="Heading4"/>
      </w:pPr>
      <w:proofErr w:type="gramStart"/>
      <w:r>
        <w:t>a</w:t>
      </w:r>
      <w:proofErr w:type="gramEnd"/>
      <w:r>
        <w:t xml:space="preserve"> modified version of the 30% </w:t>
      </w:r>
      <w:r w:rsidR="00AC100E">
        <w:t xml:space="preserve">Price Disclosure </w:t>
      </w:r>
      <w:r>
        <w:t xml:space="preserve">threshold </w:t>
      </w:r>
      <w:r w:rsidR="00F27B49">
        <w:t>as set out in clause</w:t>
      </w:r>
      <w:r w:rsidR="00193DBD">
        <w:t> </w:t>
      </w:r>
      <w:r w:rsidR="00F704E2">
        <w:fldChar w:fldCharType="begin"/>
      </w:r>
      <w:r w:rsidR="00F704E2">
        <w:instrText xml:space="preserve"> REF _Ref68606954 \r \h </w:instrText>
      </w:r>
      <w:r w:rsidR="00F704E2">
        <w:fldChar w:fldCharType="separate"/>
      </w:r>
      <w:r w:rsidR="00F5458C">
        <w:t>3.5</w:t>
      </w:r>
      <w:r w:rsidR="00F704E2">
        <w:fldChar w:fldCharType="end"/>
      </w:r>
      <w:r w:rsidR="00F27B49">
        <w:t xml:space="preserve"> </w:t>
      </w:r>
      <w:r>
        <w:t xml:space="preserve">is continued </w:t>
      </w:r>
      <w:r w:rsidR="00193DBD">
        <w:t xml:space="preserve">from </w:t>
      </w:r>
      <w:r>
        <w:t>1 July 2022;</w:t>
      </w:r>
      <w:r>
        <w:rPr>
          <w:rStyle w:val="FootnoteReference"/>
        </w:rPr>
        <w:footnoteReference w:id="6"/>
      </w:r>
    </w:p>
    <w:p w14:paraId="2CC8B3F5" w14:textId="6978022F" w:rsidR="00DA22E0" w:rsidRDefault="00DA22E0" w:rsidP="00E1197E">
      <w:pPr>
        <w:pStyle w:val="Heading4"/>
      </w:pPr>
      <w:r>
        <w:t xml:space="preserve">a </w:t>
      </w:r>
      <w:r w:rsidRPr="00B353A9">
        <w:rPr>
          <w:bCs/>
        </w:rPr>
        <w:t>Floor Price</w:t>
      </w:r>
      <w:r>
        <w:t xml:space="preserve"> is established for certain F2 medicines listed on the PBS</w:t>
      </w:r>
      <w:r w:rsidR="00F704E2">
        <w:t xml:space="preserve"> </w:t>
      </w:r>
      <w:r w:rsidR="00B353A9">
        <w:t xml:space="preserve">on the basis </w:t>
      </w:r>
      <w:r w:rsidR="00F704E2">
        <w:t xml:space="preserve">set out in clause </w:t>
      </w:r>
      <w:r w:rsidR="00F704E2">
        <w:fldChar w:fldCharType="begin"/>
      </w:r>
      <w:r w:rsidR="00F704E2">
        <w:instrText xml:space="preserve"> REF _Ref68606954 \r \h </w:instrText>
      </w:r>
      <w:r w:rsidR="00F704E2">
        <w:fldChar w:fldCharType="separate"/>
      </w:r>
      <w:r w:rsidR="00F5458C">
        <w:t>3.5</w:t>
      </w:r>
      <w:r w:rsidR="00F704E2">
        <w:fldChar w:fldCharType="end"/>
      </w:r>
      <w:r>
        <w:t>; and</w:t>
      </w:r>
    </w:p>
    <w:p w14:paraId="2AAC93CC" w14:textId="5061D5B9" w:rsidR="00DA22E0" w:rsidRDefault="00DA22E0" w:rsidP="00E1197E">
      <w:pPr>
        <w:pStyle w:val="Heading4"/>
      </w:pPr>
      <w:bookmarkStart w:id="47" w:name="_Ref71033663"/>
      <w:r>
        <w:t xml:space="preserve">Responsible Persons for medicines with a Floor Price are </w:t>
      </w:r>
      <w:r w:rsidR="00D21D29">
        <w:t xml:space="preserve">required </w:t>
      </w:r>
      <w:r>
        <w:t xml:space="preserve">to hold a minimum level of stock of those medicines in Australia </w:t>
      </w:r>
      <w:r w:rsidR="004D792A">
        <w:t xml:space="preserve">(as set out in clause </w:t>
      </w:r>
      <w:r w:rsidR="004D792A">
        <w:fldChar w:fldCharType="begin"/>
      </w:r>
      <w:r w:rsidR="004D792A">
        <w:instrText xml:space="preserve"> REF _Ref71040951 \w \h </w:instrText>
      </w:r>
      <w:r w:rsidR="004D792A">
        <w:fldChar w:fldCharType="separate"/>
      </w:r>
      <w:r w:rsidR="00F5458C">
        <w:t>3.6</w:t>
      </w:r>
      <w:r w:rsidR="004D792A">
        <w:fldChar w:fldCharType="end"/>
      </w:r>
      <w:r w:rsidR="004D792A">
        <w:t xml:space="preserve">) </w:t>
      </w:r>
      <w:r>
        <w:t xml:space="preserve">and provide details of stock holdings of those medicines </w:t>
      </w:r>
      <w:r w:rsidR="00F27B49">
        <w:t xml:space="preserve">(including the level of such stockholdings) </w:t>
      </w:r>
      <w:r>
        <w:t>when providing information for Price Disclosure</w:t>
      </w:r>
      <w:r w:rsidR="00FA007E">
        <w:t xml:space="preserve"> for each month of the </w:t>
      </w:r>
      <w:r w:rsidR="00F704E2">
        <w:t>D</w:t>
      </w:r>
      <w:r w:rsidR="00FA007E">
        <w:t xml:space="preserve">ata </w:t>
      </w:r>
      <w:r w:rsidR="00F704E2">
        <w:t>C</w:t>
      </w:r>
      <w:r w:rsidR="00FA007E">
        <w:t xml:space="preserve">ollection </w:t>
      </w:r>
      <w:r w:rsidR="00F704E2">
        <w:t>Period</w:t>
      </w:r>
      <w:r>
        <w:t>.</w:t>
      </w:r>
      <w:bookmarkEnd w:id="47"/>
      <w:r w:rsidR="00FE1140" w:rsidDel="00FE1140">
        <w:t xml:space="preserve"> </w:t>
      </w:r>
    </w:p>
    <w:p w14:paraId="73891447" w14:textId="4987E406" w:rsidR="00E1197E" w:rsidRDefault="00E1197E" w:rsidP="00E1197E">
      <w:pPr>
        <w:pStyle w:val="Heading3"/>
      </w:pPr>
      <w:r>
        <w:t xml:space="preserve">The measures in clauses </w:t>
      </w:r>
      <w:r>
        <w:fldChar w:fldCharType="begin"/>
      </w:r>
      <w:r>
        <w:instrText xml:space="preserve"> REF _Ref76715539 \r \h </w:instrText>
      </w:r>
      <w:r>
        <w:fldChar w:fldCharType="separate"/>
      </w:r>
      <w:r w:rsidR="00F5458C">
        <w:t>3.5.3</w:t>
      </w:r>
      <w:r>
        <w:fldChar w:fldCharType="end"/>
      </w:r>
      <w:r>
        <w:t xml:space="preserve"> to </w:t>
      </w:r>
      <w:r>
        <w:fldChar w:fldCharType="begin"/>
      </w:r>
      <w:r>
        <w:instrText xml:space="preserve"> REF _Ref76715575 \r \h </w:instrText>
      </w:r>
      <w:r>
        <w:fldChar w:fldCharType="separate"/>
      </w:r>
      <w:r w:rsidR="00F5458C">
        <w:t>3.5.6</w:t>
      </w:r>
      <w:r>
        <w:fldChar w:fldCharType="end"/>
      </w:r>
      <w:r>
        <w:t xml:space="preserve"> (inclusive) and in clause </w:t>
      </w:r>
      <w:r>
        <w:fldChar w:fldCharType="begin"/>
      </w:r>
      <w:r>
        <w:instrText xml:space="preserve"> REF _Ref76715595 \r \h </w:instrText>
      </w:r>
      <w:r>
        <w:fldChar w:fldCharType="separate"/>
      </w:r>
      <w:r w:rsidR="00F5458C">
        <w:t>3.6</w:t>
      </w:r>
      <w:r>
        <w:fldChar w:fldCharType="end"/>
      </w:r>
      <w:r>
        <w:t xml:space="preserve"> </w:t>
      </w:r>
      <w:r w:rsidR="00D915E4">
        <w:t>are</w:t>
      </w:r>
      <w:r>
        <w:t xml:space="preserve"> not </w:t>
      </w:r>
      <w:r w:rsidR="00D915E4">
        <w:t xml:space="preserve">intended to </w:t>
      </w:r>
      <w:r>
        <w:t xml:space="preserve">apply to </w:t>
      </w:r>
      <w:r w:rsidR="0028041D">
        <w:t>PBS medicines that are</w:t>
      </w:r>
      <w:r>
        <w:t xml:space="preserve"> </w:t>
      </w:r>
      <w:r w:rsidR="00C5432D">
        <w:t xml:space="preserve">listed </w:t>
      </w:r>
      <w:r>
        <w:t xml:space="preserve">in </w:t>
      </w:r>
      <w:r w:rsidR="00C5432D">
        <w:t>S</w:t>
      </w:r>
      <w:r>
        <w:t>chedule 2 of the Poisons Standard.</w:t>
      </w:r>
    </w:p>
    <w:p w14:paraId="2C449B83" w14:textId="236C66AB" w:rsidR="005315E9" w:rsidRPr="00243C62" w:rsidRDefault="005315E9" w:rsidP="000E5633">
      <w:pPr>
        <w:pStyle w:val="Heading2"/>
      </w:pPr>
      <w:bookmarkStart w:id="48" w:name="_Ref68606954"/>
      <w:bookmarkStart w:id="49" w:name="_Toc68702626"/>
      <w:bookmarkStart w:id="50" w:name="_Toc79567161"/>
      <w:r w:rsidRPr="00243C62">
        <w:t>Floor Price</w:t>
      </w:r>
      <w:r>
        <w:t xml:space="preserve"> and </w:t>
      </w:r>
      <w:r w:rsidRPr="00243C62">
        <w:t xml:space="preserve">30% </w:t>
      </w:r>
      <w:r w:rsidR="00AC100E">
        <w:t xml:space="preserve">Price Disclosure </w:t>
      </w:r>
      <w:r w:rsidRPr="00243C62">
        <w:t>threshold</w:t>
      </w:r>
      <w:bookmarkEnd w:id="48"/>
      <w:bookmarkEnd w:id="49"/>
      <w:bookmarkEnd w:id="50"/>
    </w:p>
    <w:p w14:paraId="5F0ECC13" w14:textId="4CD44535" w:rsidR="005315E9" w:rsidRPr="00243C62" w:rsidRDefault="00DD03CE" w:rsidP="000E5633">
      <w:pPr>
        <w:pStyle w:val="Heading3"/>
        <w:keepNext/>
      </w:pPr>
      <w:r>
        <w:t>GBMA</w:t>
      </w:r>
      <w:r w:rsidR="005315E9" w:rsidRPr="00243C62">
        <w:t xml:space="preserve"> acknowledges and agrees that the Commonwealth will seek amendments to the Act and Regulations to continue a modified version of the 30% </w:t>
      </w:r>
      <w:r w:rsidR="005315E9">
        <w:t>P</w:t>
      </w:r>
      <w:r w:rsidR="005315E9" w:rsidRPr="00243C62">
        <w:t xml:space="preserve">rice </w:t>
      </w:r>
      <w:r w:rsidR="005315E9">
        <w:t>D</w:t>
      </w:r>
      <w:r w:rsidR="005315E9" w:rsidRPr="00243C62">
        <w:t>isclosure threshold</w:t>
      </w:r>
      <w:r w:rsidR="005315E9">
        <w:t xml:space="preserve"> on the following basis</w:t>
      </w:r>
      <w:r w:rsidR="005315E9" w:rsidRPr="00243C62">
        <w:t xml:space="preserve">: </w:t>
      </w:r>
    </w:p>
    <w:p w14:paraId="3BF7A5F6" w14:textId="4C8B0BCD" w:rsidR="00F27B49" w:rsidRDefault="005315E9" w:rsidP="000E5633">
      <w:pPr>
        <w:pStyle w:val="Heading4"/>
        <w:keepNext/>
      </w:pPr>
      <w:r>
        <w:t>t</w:t>
      </w:r>
      <w:r w:rsidRPr="00243C62">
        <w:t xml:space="preserve">he 30% </w:t>
      </w:r>
      <w:r>
        <w:t>P</w:t>
      </w:r>
      <w:r w:rsidRPr="00243C62">
        <w:t xml:space="preserve">rice </w:t>
      </w:r>
      <w:r>
        <w:t>D</w:t>
      </w:r>
      <w:r w:rsidRPr="00243C62">
        <w:t xml:space="preserve">isclosure threshold will </w:t>
      </w:r>
      <w:r w:rsidRPr="006445F3">
        <w:t xml:space="preserve">be reached </w:t>
      </w:r>
      <w:r w:rsidR="005C2C58" w:rsidRPr="006445F3">
        <w:t xml:space="preserve">after </w:t>
      </w:r>
      <w:r w:rsidR="00F27B49" w:rsidRPr="006445F3">
        <w:t>the</w:t>
      </w:r>
      <w:r w:rsidR="00F27B49">
        <w:t xml:space="preserve"> later of:</w:t>
      </w:r>
    </w:p>
    <w:p w14:paraId="22942EB5" w14:textId="0E151988" w:rsidR="00F27B49" w:rsidRDefault="00F27B49" w:rsidP="00B835C7">
      <w:pPr>
        <w:pStyle w:val="Heading5"/>
        <w:keepNext/>
      </w:pPr>
      <w:r>
        <w:t xml:space="preserve">7 Price Disclosure Cycles after the </w:t>
      </w:r>
      <w:r w:rsidR="00736615">
        <w:t>Drug is on F2; and</w:t>
      </w:r>
    </w:p>
    <w:p w14:paraId="55B7ECC9" w14:textId="12093DAB" w:rsidR="005315E9" w:rsidRPr="00243C62" w:rsidRDefault="00F27B49" w:rsidP="00F27B49">
      <w:pPr>
        <w:pStyle w:val="Heading5"/>
      </w:pPr>
      <w:r>
        <w:t>5</w:t>
      </w:r>
      <w:r w:rsidR="005315E9" w:rsidRPr="00243C62">
        <w:t xml:space="preserve"> </w:t>
      </w:r>
      <w:r w:rsidR="005315E9">
        <w:t>Price Disclosure C</w:t>
      </w:r>
      <w:r w:rsidR="005315E9" w:rsidRPr="00243C62">
        <w:t xml:space="preserve">ycles after the first </w:t>
      </w:r>
      <w:r w:rsidR="005315E9">
        <w:t>P</w:t>
      </w:r>
      <w:r w:rsidR="005315E9" w:rsidRPr="00243C62">
        <w:t xml:space="preserve">rice </w:t>
      </w:r>
      <w:r w:rsidR="005315E9">
        <w:t>D</w:t>
      </w:r>
      <w:r w:rsidR="005315E9" w:rsidRPr="00243C62">
        <w:t>isclosure reduction</w:t>
      </w:r>
      <w:r w:rsidR="005315E9">
        <w:t>;</w:t>
      </w:r>
    </w:p>
    <w:p w14:paraId="0C03CCD7" w14:textId="3D656227" w:rsidR="005315E9" w:rsidRPr="00243C62" w:rsidRDefault="00B353A9" w:rsidP="0065093A">
      <w:pPr>
        <w:pStyle w:val="Heading4"/>
        <w:keepNext/>
      </w:pPr>
      <w:r>
        <w:t>a minimum AEMP (</w:t>
      </w:r>
      <w:r w:rsidR="005315E9" w:rsidRPr="00B353A9">
        <w:rPr>
          <w:b/>
          <w:bCs/>
        </w:rPr>
        <w:t>Floor Price</w:t>
      </w:r>
      <w:r>
        <w:t>)</w:t>
      </w:r>
      <w:r w:rsidR="005315E9" w:rsidRPr="00243C62">
        <w:t xml:space="preserve"> would be set at: </w:t>
      </w:r>
    </w:p>
    <w:p w14:paraId="08D60437" w14:textId="0D509B81" w:rsidR="005315E9" w:rsidRPr="006445F3" w:rsidRDefault="005315E9" w:rsidP="0065093A">
      <w:pPr>
        <w:pStyle w:val="Heading5"/>
        <w:keepNext/>
      </w:pPr>
      <w:r>
        <w:t>f</w:t>
      </w:r>
      <w:r w:rsidRPr="00243C62">
        <w:t xml:space="preserve">or </w:t>
      </w:r>
      <w:r w:rsidR="00DD51FA">
        <w:t xml:space="preserve">Listed Brands </w:t>
      </w:r>
      <w:r w:rsidRPr="00243C62">
        <w:t xml:space="preserve">with </w:t>
      </w:r>
      <w:r w:rsidRPr="006445F3">
        <w:t xml:space="preserve">an AEMP on 1 </w:t>
      </w:r>
      <w:r w:rsidR="005C2C58" w:rsidRPr="006445F3">
        <w:t xml:space="preserve">August </w:t>
      </w:r>
      <w:r w:rsidRPr="006445F3">
        <w:t>2022 of $4</w:t>
      </w:r>
      <w:r w:rsidR="00B353A9" w:rsidRPr="006445F3">
        <w:t xml:space="preserve"> or less</w:t>
      </w:r>
      <w:r w:rsidRPr="006445F3">
        <w:t>, the AEMP:</w:t>
      </w:r>
    </w:p>
    <w:p w14:paraId="156C56A0" w14:textId="686A6A25" w:rsidR="005315E9" w:rsidRPr="006445F3" w:rsidRDefault="005315E9" w:rsidP="000621C8">
      <w:pPr>
        <w:pStyle w:val="Heading5"/>
        <w:numPr>
          <w:ilvl w:val="5"/>
          <w:numId w:val="2"/>
        </w:numPr>
        <w:tabs>
          <w:tab w:val="left" w:pos="2835"/>
          <w:tab w:val="left" w:pos="3402"/>
        </w:tabs>
        <w:ind w:left="3402" w:hanging="567"/>
      </w:pPr>
      <w:r w:rsidRPr="006445F3">
        <w:t>A)</w:t>
      </w:r>
      <w:r w:rsidRPr="006445F3">
        <w:tab/>
        <w:t xml:space="preserve">on 1 </w:t>
      </w:r>
      <w:r w:rsidR="005C2C58" w:rsidRPr="006445F3">
        <w:t xml:space="preserve">August </w:t>
      </w:r>
      <w:r w:rsidRPr="006445F3">
        <w:t xml:space="preserve">2022; or </w:t>
      </w:r>
    </w:p>
    <w:p w14:paraId="7843E4C7" w14:textId="77777777" w:rsidR="005315E9" w:rsidRPr="00243C62" w:rsidRDefault="005315E9" w:rsidP="000621C8">
      <w:pPr>
        <w:pStyle w:val="Heading5"/>
        <w:numPr>
          <w:ilvl w:val="5"/>
          <w:numId w:val="2"/>
        </w:numPr>
        <w:tabs>
          <w:tab w:val="left" w:pos="2835"/>
          <w:tab w:val="left" w:pos="3402"/>
        </w:tabs>
        <w:ind w:left="3402" w:hanging="567"/>
      </w:pPr>
      <w:r>
        <w:t>B)</w:t>
      </w:r>
      <w:r>
        <w:tab/>
      </w:r>
      <w:r w:rsidRPr="00243C62">
        <w:t>after any subsequent price increase</w:t>
      </w:r>
      <w:r>
        <w:t>; or</w:t>
      </w:r>
    </w:p>
    <w:p w14:paraId="5FACB062" w14:textId="078F8B36" w:rsidR="005315E9" w:rsidRPr="00243C62" w:rsidRDefault="005315E9" w:rsidP="005315E9">
      <w:pPr>
        <w:pStyle w:val="Heading5"/>
        <w:keepNext/>
        <w:tabs>
          <w:tab w:val="left" w:pos="2268"/>
        </w:tabs>
      </w:pPr>
      <w:r>
        <w:t>f</w:t>
      </w:r>
      <w:r w:rsidRPr="00243C62">
        <w:t xml:space="preserve">or </w:t>
      </w:r>
      <w:r w:rsidR="00DD51FA">
        <w:t>Listed Brands with an</w:t>
      </w:r>
      <w:r w:rsidRPr="00243C62">
        <w:t xml:space="preserve"> </w:t>
      </w:r>
      <w:r w:rsidRPr="006445F3">
        <w:t xml:space="preserve">AEMP on 1 </w:t>
      </w:r>
      <w:r w:rsidR="005C2C58" w:rsidRPr="006445F3">
        <w:t xml:space="preserve">August </w:t>
      </w:r>
      <w:r w:rsidRPr="006445F3">
        <w:t>2022</w:t>
      </w:r>
      <w:r>
        <w:t xml:space="preserve"> </w:t>
      </w:r>
      <w:r w:rsidRPr="00243C62">
        <w:t>of more than $4</w:t>
      </w:r>
      <w:r w:rsidR="003E1DD6">
        <w:t xml:space="preserve"> for which the 30% Price Disclosure </w:t>
      </w:r>
      <w:r w:rsidR="00F8775A">
        <w:t>t</w:t>
      </w:r>
      <w:r w:rsidR="003E1DD6">
        <w:t>hreshold has commenced</w:t>
      </w:r>
      <w:r w:rsidRPr="00243C62">
        <w:t xml:space="preserve">, </w:t>
      </w:r>
      <w:r w:rsidR="00E734CF">
        <w:t>t</w:t>
      </w:r>
      <w:r w:rsidR="00E734CF" w:rsidRPr="006935BC">
        <w:t xml:space="preserve">he AEMP of </w:t>
      </w:r>
      <w:r w:rsidR="00E734CF">
        <w:t>the</w:t>
      </w:r>
      <w:r w:rsidR="00E734CF" w:rsidRPr="006935BC">
        <w:t xml:space="preserve"> </w:t>
      </w:r>
      <w:r w:rsidR="00E734CF">
        <w:t>L</w:t>
      </w:r>
      <w:r w:rsidR="00E734CF" w:rsidRPr="006935BC">
        <w:t xml:space="preserve">isted </w:t>
      </w:r>
      <w:r w:rsidR="00E734CF">
        <w:t>B</w:t>
      </w:r>
      <w:r w:rsidR="00E734CF" w:rsidRPr="006935BC">
        <w:t xml:space="preserve">rand once the 30% </w:t>
      </w:r>
      <w:r w:rsidR="00E734CF">
        <w:t xml:space="preserve">Price Disclosure </w:t>
      </w:r>
      <w:r w:rsidR="00E734CF" w:rsidRPr="006935BC">
        <w:t xml:space="preserve">threshold </w:t>
      </w:r>
      <w:r w:rsidR="003E1DD6">
        <w:t xml:space="preserve">for that Listed Brand </w:t>
      </w:r>
      <w:r w:rsidR="00E734CF" w:rsidRPr="006935BC">
        <w:t>commence</w:t>
      </w:r>
      <w:r w:rsidR="00F614D1">
        <w:t>d</w:t>
      </w:r>
      <w:r w:rsidR="00E734CF" w:rsidRPr="006935BC">
        <w:t>.</w:t>
      </w:r>
      <w:r w:rsidR="00E734CF">
        <w:t xml:space="preserve"> </w:t>
      </w:r>
      <w:r w:rsidRPr="00243C62">
        <w:t xml:space="preserve"> </w:t>
      </w:r>
    </w:p>
    <w:p w14:paraId="66EC78E2" w14:textId="77777777" w:rsidR="005315E9" w:rsidRDefault="005315E9" w:rsidP="005315E9">
      <w:pPr>
        <w:pStyle w:val="Heading3"/>
      </w:pPr>
      <w:r>
        <w:t xml:space="preserve">It is intended that </w:t>
      </w:r>
      <w:r w:rsidRPr="00243C62">
        <w:t>Listed Brands</w:t>
      </w:r>
      <w:r>
        <w:t xml:space="preserve"> with a Floor Price:</w:t>
      </w:r>
    </w:p>
    <w:p w14:paraId="18E6721C" w14:textId="7B624DBB" w:rsidR="005315E9" w:rsidRPr="00243C62" w:rsidRDefault="00B353A9" w:rsidP="005315E9">
      <w:pPr>
        <w:pStyle w:val="Heading4"/>
      </w:pPr>
      <w:r>
        <w:t>of</w:t>
      </w:r>
      <w:r w:rsidR="005315E9" w:rsidRPr="00243C62">
        <w:t xml:space="preserve"> $4</w:t>
      </w:r>
      <w:r>
        <w:t xml:space="preserve"> or less</w:t>
      </w:r>
      <w:r w:rsidR="005315E9">
        <w:t>,</w:t>
      </w:r>
      <w:r w:rsidR="005315E9" w:rsidRPr="00243C62">
        <w:t xml:space="preserve"> will not be subject to Price Disclosure reductions</w:t>
      </w:r>
      <w:r w:rsidR="005315E9">
        <w:t>;</w:t>
      </w:r>
      <w:r w:rsidR="005315E9" w:rsidRPr="00243C62">
        <w:t xml:space="preserve"> </w:t>
      </w:r>
      <w:r w:rsidR="005315E9">
        <w:t>and</w:t>
      </w:r>
    </w:p>
    <w:p w14:paraId="3C209B7D" w14:textId="57A08918" w:rsidR="00B353A9" w:rsidRDefault="00B353A9" w:rsidP="005315E9">
      <w:pPr>
        <w:pStyle w:val="Heading4"/>
      </w:pPr>
      <w:r>
        <w:t xml:space="preserve">of more than </w:t>
      </w:r>
      <w:r w:rsidR="005315E9" w:rsidRPr="00243C62">
        <w:t>$4</w:t>
      </w:r>
      <w:r w:rsidR="005315E9">
        <w:t>,</w:t>
      </w:r>
      <w:r w:rsidR="005315E9" w:rsidRPr="00243C62">
        <w:t xml:space="preserve"> will not be subject to Price Disclosure reductions unless there is discounting</w:t>
      </w:r>
      <w:r w:rsidR="00066353">
        <w:t xml:space="preserve"> equal to or greater than</w:t>
      </w:r>
      <w:r>
        <w:t>:</w:t>
      </w:r>
    </w:p>
    <w:p w14:paraId="77F621A4" w14:textId="7612B164" w:rsidR="00B353A9" w:rsidRDefault="005315E9" w:rsidP="00B353A9">
      <w:pPr>
        <w:pStyle w:val="Heading5"/>
      </w:pPr>
      <w:r w:rsidRPr="00243C62">
        <w:t xml:space="preserve">30% in any </w:t>
      </w:r>
      <w:r>
        <w:t>P</w:t>
      </w:r>
      <w:r w:rsidRPr="00243C62">
        <w:t xml:space="preserve">rice </w:t>
      </w:r>
      <w:r>
        <w:t>D</w:t>
      </w:r>
      <w:r w:rsidRPr="00243C62">
        <w:t xml:space="preserve">isclosure </w:t>
      </w:r>
      <w:r>
        <w:t>C</w:t>
      </w:r>
      <w:r w:rsidRPr="00243C62">
        <w:t>ycle</w:t>
      </w:r>
      <w:r w:rsidR="00B353A9">
        <w:t>;</w:t>
      </w:r>
      <w:r w:rsidRPr="00243C62">
        <w:t xml:space="preserve"> or </w:t>
      </w:r>
    </w:p>
    <w:p w14:paraId="5BB46740" w14:textId="054AA69F" w:rsidR="005315E9" w:rsidRPr="00243C62" w:rsidRDefault="00FD533D" w:rsidP="00B353A9">
      <w:pPr>
        <w:pStyle w:val="Heading5"/>
      </w:pPr>
      <w:r>
        <w:t>12.5%, on average, over 3</w:t>
      </w:r>
      <w:r w:rsidR="005315E9" w:rsidRPr="00066353">
        <w:t xml:space="preserve"> successive</w:t>
      </w:r>
      <w:r w:rsidR="005315E9" w:rsidRPr="00243C62">
        <w:t xml:space="preserve"> Price Disclosure </w:t>
      </w:r>
      <w:r w:rsidR="005315E9">
        <w:t>C</w:t>
      </w:r>
      <w:r w:rsidR="005315E9" w:rsidRPr="00243C62">
        <w:t>ycles</w:t>
      </w:r>
      <w:r w:rsidR="00BE367B">
        <w:t xml:space="preserve"> without Price Disclosure reduction</w:t>
      </w:r>
      <w:r w:rsidR="005315E9">
        <w:t>.</w:t>
      </w:r>
    </w:p>
    <w:p w14:paraId="50B2EFC5" w14:textId="41048B32" w:rsidR="005315E9" w:rsidRDefault="00FA3BC4" w:rsidP="00D853B2">
      <w:pPr>
        <w:pStyle w:val="Heading3"/>
      </w:pPr>
      <w:bookmarkStart w:id="51" w:name="_Ref76715539"/>
      <w:r>
        <w:t>From the commencement of the Floor Prices</w:t>
      </w:r>
      <w:r w:rsidR="00F614D1">
        <w:t xml:space="preserve"> (on or about 1 </w:t>
      </w:r>
      <w:r w:rsidR="006445F3">
        <w:t xml:space="preserve">October </w:t>
      </w:r>
      <w:r w:rsidR="00F614D1">
        <w:t>2022)</w:t>
      </w:r>
      <w:r>
        <w:t>, i</w:t>
      </w:r>
      <w:r w:rsidR="005315E9">
        <w:t xml:space="preserve">t is also intended that </w:t>
      </w:r>
      <w:r w:rsidR="00B353A9">
        <w:t xml:space="preserve">for Price Disclosure purposes, any discounts </w:t>
      </w:r>
      <w:r w:rsidR="000D0919">
        <w:t xml:space="preserve">and </w:t>
      </w:r>
      <w:r w:rsidR="00B353A9">
        <w:t xml:space="preserve">incentives </w:t>
      </w:r>
      <w:r w:rsidR="005315E9">
        <w:t>for any Listed Brand</w:t>
      </w:r>
      <w:r w:rsidR="009B07E9">
        <w:t xml:space="preserve"> </w:t>
      </w:r>
      <w:r>
        <w:t xml:space="preserve">of a Responsible Person </w:t>
      </w:r>
      <w:r w:rsidR="007B2F47">
        <w:t>(</w:t>
      </w:r>
      <w:r w:rsidR="007B2F47" w:rsidRPr="007B2F47">
        <w:rPr>
          <w:b/>
          <w:bCs/>
        </w:rPr>
        <w:t>Relevant Responsible Person</w:t>
      </w:r>
      <w:r w:rsidR="007B2F47">
        <w:t xml:space="preserve">) </w:t>
      </w:r>
      <w:r w:rsidR="005315E9">
        <w:t>with</w:t>
      </w:r>
      <w:r>
        <w:t xml:space="preserve"> an</w:t>
      </w:r>
      <w:r w:rsidR="005315E9">
        <w:t xml:space="preserve"> </w:t>
      </w:r>
      <w:r>
        <w:t xml:space="preserve">AEMP </w:t>
      </w:r>
      <w:r w:rsidR="00B353A9">
        <w:t>of</w:t>
      </w:r>
      <w:r w:rsidR="005315E9" w:rsidRPr="00243C62">
        <w:t xml:space="preserve"> $4</w:t>
      </w:r>
      <w:r w:rsidR="009B07E9">
        <w:t xml:space="preserve"> </w:t>
      </w:r>
      <w:r w:rsidR="00B353A9">
        <w:t xml:space="preserve">or less </w:t>
      </w:r>
      <w:r w:rsidR="009B07E9">
        <w:t>will be apportion</w:t>
      </w:r>
      <w:r>
        <w:t>ed</w:t>
      </w:r>
      <w:r w:rsidR="009B07E9">
        <w:t xml:space="preserve"> </w:t>
      </w:r>
      <w:r>
        <w:t xml:space="preserve">instead to the AEMPs of any Listed Brands of </w:t>
      </w:r>
      <w:r w:rsidR="007B2F47">
        <w:t>the Relevant</w:t>
      </w:r>
      <w:r>
        <w:t xml:space="preserve"> Responsible Perso</w:t>
      </w:r>
      <w:r w:rsidR="007B2F47">
        <w:t>n</w:t>
      </w:r>
      <w:r>
        <w:t xml:space="preserve"> </w:t>
      </w:r>
      <w:r w:rsidR="007B2F47">
        <w:t>with an</w:t>
      </w:r>
      <w:r>
        <w:t xml:space="preserve"> AEMP </w:t>
      </w:r>
      <w:r w:rsidR="007B2F47">
        <w:t>of</w:t>
      </w:r>
      <w:r>
        <w:t xml:space="preserve"> </w:t>
      </w:r>
      <w:r w:rsidR="00D44DF7">
        <w:t xml:space="preserve">more than </w:t>
      </w:r>
      <w:r w:rsidR="009B07E9">
        <w:t xml:space="preserve">$4. </w:t>
      </w:r>
      <w:r w:rsidR="005315E9" w:rsidRPr="00243C62">
        <w:t xml:space="preserve"> </w:t>
      </w:r>
      <w:r w:rsidR="007B2F47">
        <w:t xml:space="preserve">If the </w:t>
      </w:r>
      <w:r w:rsidR="007B2F47" w:rsidRPr="007B2F47">
        <w:t xml:space="preserve">Relevant Responsible Person does not have any Listed Brands with an AEMP of </w:t>
      </w:r>
      <w:r w:rsidR="00D44DF7">
        <w:t>more than</w:t>
      </w:r>
      <w:r w:rsidR="00D44DF7" w:rsidRPr="007B2F47">
        <w:t xml:space="preserve"> </w:t>
      </w:r>
      <w:r w:rsidR="007B2F47" w:rsidRPr="007B2F47">
        <w:t xml:space="preserve">$4, the </w:t>
      </w:r>
      <w:r w:rsidR="00FD533D">
        <w:t xml:space="preserve">Commonwealth may instead apportion the </w:t>
      </w:r>
      <w:r w:rsidR="007B2F47" w:rsidRPr="007B2F47">
        <w:t xml:space="preserve">incentives or discounts </w:t>
      </w:r>
      <w:r w:rsidR="000D0919">
        <w:t xml:space="preserve">(or both) </w:t>
      </w:r>
      <w:r w:rsidR="007B2F47" w:rsidRPr="007B2F47">
        <w:t xml:space="preserve">to the Listed Brands with an AEMP of </w:t>
      </w:r>
      <w:r w:rsidR="00D44DF7">
        <w:t>more than</w:t>
      </w:r>
      <w:r w:rsidR="00D44DF7" w:rsidRPr="007B2F47">
        <w:t xml:space="preserve"> </w:t>
      </w:r>
      <w:r w:rsidR="007B2F47" w:rsidRPr="007B2F47">
        <w:t>$4 of any Responsible Person that is</w:t>
      </w:r>
      <w:r w:rsidR="007B2F47">
        <w:t xml:space="preserve"> </w:t>
      </w:r>
      <w:r w:rsidR="007B2F47" w:rsidRPr="007B2F47">
        <w:t xml:space="preserve">a Related Body Corporate of </w:t>
      </w:r>
      <w:r w:rsidR="007B2F47">
        <w:t>the Relevant</w:t>
      </w:r>
      <w:r w:rsidR="007B2F47" w:rsidRPr="007B2F47">
        <w:t xml:space="preserve"> Responsible Person</w:t>
      </w:r>
      <w:r w:rsidR="00204BF6">
        <w:t xml:space="preserve">, </w:t>
      </w:r>
      <w:r w:rsidR="00FD533D">
        <w:t xml:space="preserve">or </w:t>
      </w:r>
      <w:r w:rsidR="00204BF6">
        <w:t xml:space="preserve">where that is not possible, such incentives or discounts </w:t>
      </w:r>
      <w:r w:rsidR="000D0919">
        <w:t xml:space="preserve">(or both) </w:t>
      </w:r>
      <w:r w:rsidR="00FD533D">
        <w:t xml:space="preserve">may </w:t>
      </w:r>
      <w:r w:rsidR="00204BF6">
        <w:t xml:space="preserve">be apportioned to the Listed Brands with an AEMP of </w:t>
      </w:r>
      <w:r w:rsidR="00D44DF7">
        <w:t xml:space="preserve">more than </w:t>
      </w:r>
      <w:r w:rsidR="00204BF6">
        <w:t>$4 of any Responsible Person who is under the same Control as the Relevant Responsible Person</w:t>
      </w:r>
      <w:r w:rsidR="0005414C">
        <w:t xml:space="preserve"> (if any)</w:t>
      </w:r>
      <w:r w:rsidR="00204BF6">
        <w:t>.</w:t>
      </w:r>
      <w:bookmarkEnd w:id="51"/>
    </w:p>
    <w:p w14:paraId="46310003" w14:textId="665CC757" w:rsidR="00FD533D" w:rsidRDefault="009F3EA3" w:rsidP="005315E9">
      <w:pPr>
        <w:pStyle w:val="Heading3"/>
      </w:pPr>
      <w:bookmarkStart w:id="52" w:name="_Ref71036448"/>
      <w:r>
        <w:t>It is intended that o</w:t>
      </w:r>
      <w:r w:rsidR="00A93025">
        <w:t xml:space="preserve">n 1 </w:t>
      </w:r>
      <w:r w:rsidR="006445F3">
        <w:t xml:space="preserve">October </w:t>
      </w:r>
      <w:r w:rsidR="00A93025">
        <w:t xml:space="preserve">2022, </w:t>
      </w:r>
      <w:r w:rsidR="005315E9" w:rsidRPr="00243C62">
        <w:t>Listed Brands</w:t>
      </w:r>
      <w:r w:rsidR="00A93025">
        <w:t xml:space="preserve"> that have an AEMP</w:t>
      </w:r>
      <w:r w:rsidR="00FD533D">
        <w:t>:</w:t>
      </w:r>
    </w:p>
    <w:p w14:paraId="73D956E9" w14:textId="768E4A20" w:rsidR="00FD533D" w:rsidRDefault="00A93025" w:rsidP="00FD533D">
      <w:pPr>
        <w:pStyle w:val="Heading4"/>
      </w:pPr>
      <w:r>
        <w:t>below $</w:t>
      </w:r>
      <w:r w:rsidR="00FD533D">
        <w:t xml:space="preserve">2 </w:t>
      </w:r>
      <w:r>
        <w:t xml:space="preserve">as at that day will </w:t>
      </w:r>
      <w:r w:rsidR="00FD533D">
        <w:t xml:space="preserve">have their AEMP </w:t>
      </w:r>
      <w:r>
        <w:t>increased</w:t>
      </w:r>
      <w:r w:rsidR="009B07E9">
        <w:t xml:space="preserve"> </w:t>
      </w:r>
      <w:r w:rsidR="00FD533D">
        <w:t xml:space="preserve">to $2.50; </w:t>
      </w:r>
      <w:r w:rsidR="00620954">
        <w:t>or</w:t>
      </w:r>
    </w:p>
    <w:p w14:paraId="0C6FED5E" w14:textId="6663A10C" w:rsidR="005315E9" w:rsidRDefault="00620954" w:rsidP="00FD533D">
      <w:pPr>
        <w:pStyle w:val="Heading4"/>
      </w:pPr>
      <w:r>
        <w:t>b</w:t>
      </w:r>
      <w:r w:rsidR="00FD533D">
        <w:t>etween $2 and $3.50 as at that day will have their AEMPs increased by $0.50 up to a maximum AEMP of $3.50</w:t>
      </w:r>
      <w:r w:rsidR="005315E9" w:rsidRPr="00066353">
        <w:t>.</w:t>
      </w:r>
      <w:bookmarkEnd w:id="52"/>
      <w:r w:rsidR="005315E9" w:rsidRPr="00243C62">
        <w:t xml:space="preserve"> </w:t>
      </w:r>
    </w:p>
    <w:p w14:paraId="278F1079" w14:textId="30DE1A58" w:rsidR="00796C21" w:rsidRDefault="00115121" w:rsidP="00F87D9A">
      <w:pPr>
        <w:pStyle w:val="Heading3"/>
      </w:pPr>
      <w:bookmarkStart w:id="53" w:name="_Ref75502961"/>
      <w:r>
        <w:t>The</w:t>
      </w:r>
      <w:r w:rsidR="00796C21">
        <w:t xml:space="preserve"> Minister </w:t>
      </w:r>
      <w:r>
        <w:t xml:space="preserve">may from time to time </w:t>
      </w:r>
      <w:r w:rsidR="00796C21">
        <w:t xml:space="preserve">agree to increase the price of </w:t>
      </w:r>
      <w:r>
        <w:t xml:space="preserve">a </w:t>
      </w:r>
      <w:r w:rsidR="00796C21">
        <w:t xml:space="preserve">Listed Brand that </w:t>
      </w:r>
      <w:r>
        <w:t>i</w:t>
      </w:r>
      <w:r w:rsidR="00FE1140">
        <w:t xml:space="preserve">s </w:t>
      </w:r>
      <w:r>
        <w:t>not covered by clause</w:t>
      </w:r>
      <w:r w:rsidR="00796C21">
        <w:t xml:space="preserve"> </w:t>
      </w:r>
      <w:r w:rsidR="00796C21">
        <w:fldChar w:fldCharType="begin"/>
      </w:r>
      <w:r w:rsidR="00796C21">
        <w:instrText xml:space="preserve"> REF _Ref71036448 \w \h </w:instrText>
      </w:r>
      <w:r w:rsidR="00796C21">
        <w:fldChar w:fldCharType="separate"/>
      </w:r>
      <w:r w:rsidR="00F5458C">
        <w:t>3.5.4</w:t>
      </w:r>
      <w:r w:rsidR="00796C21">
        <w:fldChar w:fldCharType="end"/>
      </w:r>
      <w:r w:rsidR="00FE1140">
        <w:t>, and</w:t>
      </w:r>
      <w:r w:rsidR="00796C21">
        <w:t xml:space="preserve"> those Listed Brands will be subject to the 6 month stockholding requirement in clause</w:t>
      </w:r>
      <w:r w:rsidR="00204BF6">
        <w:t xml:space="preserve"> </w:t>
      </w:r>
      <w:r w:rsidR="00204BF6">
        <w:fldChar w:fldCharType="begin"/>
      </w:r>
      <w:r w:rsidR="00204BF6">
        <w:instrText xml:space="preserve"> REF _Ref75497450 \r \h </w:instrText>
      </w:r>
      <w:r w:rsidR="00204BF6">
        <w:fldChar w:fldCharType="separate"/>
      </w:r>
      <w:r w:rsidR="00F5458C">
        <w:t>3.6</w:t>
      </w:r>
      <w:r w:rsidR="00204BF6">
        <w:fldChar w:fldCharType="end"/>
      </w:r>
      <w:r w:rsidR="00796C21">
        <w:t xml:space="preserve"> unless otherwise determined by the Minister.</w:t>
      </w:r>
      <w:bookmarkEnd w:id="53"/>
    </w:p>
    <w:p w14:paraId="1F1312FE" w14:textId="0B60EA58" w:rsidR="007615FB" w:rsidRPr="00243C62" w:rsidRDefault="007615FB" w:rsidP="00F87D9A">
      <w:pPr>
        <w:pStyle w:val="Heading3"/>
      </w:pPr>
      <w:bookmarkStart w:id="54" w:name="_Ref76715575"/>
      <w:r>
        <w:t xml:space="preserve">Where AEMPs are increased under the measures set out in </w:t>
      </w:r>
      <w:r w:rsidR="00294714" w:rsidRPr="0045464E">
        <w:t>this</w:t>
      </w:r>
      <w:r w:rsidR="00294714">
        <w:t xml:space="preserve"> </w:t>
      </w:r>
      <w:r>
        <w:t xml:space="preserve">clause </w:t>
      </w:r>
      <w:r>
        <w:fldChar w:fldCharType="begin"/>
      </w:r>
      <w:r>
        <w:instrText xml:space="preserve"> REF _Ref68606954 \r \h </w:instrText>
      </w:r>
      <w:r>
        <w:fldChar w:fldCharType="separate"/>
      </w:r>
      <w:r w:rsidR="00F5458C">
        <w:t>3.5</w:t>
      </w:r>
      <w:r>
        <w:fldChar w:fldCharType="end"/>
      </w:r>
      <w:r>
        <w:t xml:space="preserve"> for Listed Brands that have a special patient contribution, </w:t>
      </w:r>
      <w:r w:rsidR="009F3EA3">
        <w:t xml:space="preserve">the Commonwealth will seek amendments to the Act such that </w:t>
      </w:r>
      <w:r>
        <w:t>claimed prices for those Listed Brands will not be increased</w:t>
      </w:r>
      <w:r w:rsidR="00886956">
        <w:t xml:space="preserve"> as a result of the once off measure described in clause </w:t>
      </w:r>
      <w:r w:rsidR="00886956">
        <w:fldChar w:fldCharType="begin"/>
      </w:r>
      <w:r w:rsidR="00886956">
        <w:instrText xml:space="preserve"> REF _Ref71036448 \w \h </w:instrText>
      </w:r>
      <w:r w:rsidR="00886956">
        <w:fldChar w:fldCharType="separate"/>
      </w:r>
      <w:r w:rsidR="00F5458C">
        <w:t>3.5.4</w:t>
      </w:r>
      <w:r w:rsidR="00886956">
        <w:fldChar w:fldCharType="end"/>
      </w:r>
      <w:r>
        <w:t>, with the result that the special patient contribution for such Listed Brands will reduce accordingly.</w:t>
      </w:r>
      <w:r w:rsidR="00886956">
        <w:t xml:space="preserve">  This</w:t>
      </w:r>
      <w:r w:rsidR="004F383E">
        <w:t xml:space="preserve"> may</w:t>
      </w:r>
      <w:r w:rsidR="00886956">
        <w:t xml:space="preserve"> also be considered by the Minister if there are subsequent price increases of the kind contemplated in clause </w:t>
      </w:r>
      <w:r w:rsidR="00886956">
        <w:fldChar w:fldCharType="begin"/>
      </w:r>
      <w:r w:rsidR="00886956">
        <w:instrText xml:space="preserve"> REF _Ref75502961 \w \h </w:instrText>
      </w:r>
      <w:r w:rsidR="00886956">
        <w:fldChar w:fldCharType="separate"/>
      </w:r>
      <w:r w:rsidR="00F5458C">
        <w:t>3.5.5</w:t>
      </w:r>
      <w:r w:rsidR="00886956">
        <w:fldChar w:fldCharType="end"/>
      </w:r>
      <w:r w:rsidR="00886956">
        <w:t>.</w:t>
      </w:r>
      <w:bookmarkEnd w:id="54"/>
    </w:p>
    <w:p w14:paraId="7BC60952" w14:textId="77777777" w:rsidR="007D46F4" w:rsidRDefault="007D46F4" w:rsidP="007D46F4">
      <w:pPr>
        <w:pStyle w:val="Heading2"/>
      </w:pPr>
      <w:bookmarkStart w:id="55" w:name="_Toc68702627"/>
      <w:bookmarkStart w:id="56" w:name="_Ref69891683"/>
      <w:bookmarkStart w:id="57" w:name="_Ref71040951"/>
      <w:bookmarkStart w:id="58" w:name="_Ref75497450"/>
      <w:bookmarkStart w:id="59" w:name="_Ref75501721"/>
      <w:bookmarkStart w:id="60" w:name="_Ref76715595"/>
      <w:bookmarkStart w:id="61" w:name="_Toc79567162"/>
      <w:r w:rsidRPr="00E324A1">
        <w:t>Stockholding requirement</w:t>
      </w:r>
      <w:bookmarkEnd w:id="55"/>
      <w:bookmarkEnd w:id="56"/>
      <w:bookmarkEnd w:id="57"/>
      <w:bookmarkEnd w:id="58"/>
      <w:bookmarkEnd w:id="59"/>
      <w:bookmarkEnd w:id="60"/>
      <w:bookmarkEnd w:id="61"/>
    </w:p>
    <w:p w14:paraId="0AFBAB68" w14:textId="23DF784C" w:rsidR="00FE1140" w:rsidRDefault="00FE1140" w:rsidP="00FE1140">
      <w:pPr>
        <w:pStyle w:val="Heading3"/>
      </w:pPr>
      <w:bookmarkStart w:id="62" w:name="_Ref75498123"/>
      <w:r w:rsidRPr="00D220C6">
        <w:t xml:space="preserve">By </w:t>
      </w:r>
      <w:r w:rsidR="00204BF6">
        <w:t>1 July 2023</w:t>
      </w:r>
      <w:r w:rsidRPr="00D220C6">
        <w:t>, Responsible Persons for Listed Brands</w:t>
      </w:r>
      <w:r>
        <w:t xml:space="preserve"> that have</w:t>
      </w:r>
      <w:r w:rsidRPr="00A03353">
        <w:t xml:space="preserve"> </w:t>
      </w:r>
      <w:r w:rsidRPr="00D220C6">
        <w:t>a Floor Price</w:t>
      </w:r>
      <w:r>
        <w:t xml:space="preserve">, </w:t>
      </w:r>
      <w:r w:rsidRPr="00D220C6" w:rsidDel="00A03353">
        <w:t xml:space="preserve">will be required to hold a default minimum </w:t>
      </w:r>
      <w:r>
        <w:t>amount</w:t>
      </w:r>
      <w:r w:rsidRPr="00D220C6" w:rsidDel="00A03353">
        <w:t xml:space="preserve"> of </w:t>
      </w:r>
      <w:r w:rsidDel="00A03353">
        <w:t xml:space="preserve">stock of that Listed Brand in Australia, calculated by reference to the </w:t>
      </w:r>
      <w:r w:rsidRPr="00D220C6" w:rsidDel="00A03353">
        <w:t xml:space="preserve">usual demand </w:t>
      </w:r>
      <w:r w:rsidDel="00A03353">
        <w:t xml:space="preserve">for the Listed Brand, </w:t>
      </w:r>
      <w:r>
        <w:t>as follows:</w:t>
      </w:r>
      <w:bookmarkEnd w:id="62"/>
    </w:p>
    <w:p w14:paraId="73EB6B07" w14:textId="0867F6F8" w:rsidR="00FE1140" w:rsidRDefault="00FE1140" w:rsidP="00FE1140">
      <w:pPr>
        <w:pStyle w:val="Heading4"/>
      </w:pPr>
      <w:r>
        <w:t xml:space="preserve">where the Listed Brand has a drug and manner of administration that </w:t>
      </w:r>
      <w:r w:rsidR="00204BF6">
        <w:t xml:space="preserve">satisfies </w:t>
      </w:r>
      <w:r>
        <w:t xml:space="preserve">the </w:t>
      </w:r>
      <w:r w:rsidR="00204BF6">
        <w:t xml:space="preserve">requirements for the </w:t>
      </w:r>
      <w:r>
        <w:t>30</w:t>
      </w:r>
      <w:r w:rsidR="001A7CE7">
        <w:t>% Price Disclosure</w:t>
      </w:r>
      <w:r>
        <w:t xml:space="preserve"> threshold, 4 months stockholding; or</w:t>
      </w:r>
    </w:p>
    <w:p w14:paraId="2975D8DD" w14:textId="26F3BA13" w:rsidR="00FE1140" w:rsidRDefault="00FE1140" w:rsidP="00E734CF">
      <w:pPr>
        <w:pStyle w:val="Heading4"/>
        <w:keepNext/>
      </w:pPr>
      <w:proofErr w:type="gramStart"/>
      <w:r>
        <w:t>where</w:t>
      </w:r>
      <w:proofErr w:type="gramEnd"/>
      <w:r>
        <w:t xml:space="preserve"> the Listed Brand ha</w:t>
      </w:r>
      <w:r w:rsidRPr="0045464E">
        <w:t>s received</w:t>
      </w:r>
      <w:r>
        <w:t xml:space="preserve"> a price increase </w:t>
      </w:r>
      <w:r w:rsidR="0085625F">
        <w:t xml:space="preserve">of the kind described in clause </w:t>
      </w:r>
      <w:r w:rsidR="0085625F">
        <w:fldChar w:fldCharType="begin"/>
      </w:r>
      <w:r w:rsidR="0085625F">
        <w:instrText xml:space="preserve"> REF _Ref68606954 \r \h </w:instrText>
      </w:r>
      <w:r w:rsidR="0085625F">
        <w:fldChar w:fldCharType="separate"/>
      </w:r>
      <w:r w:rsidR="00F5458C">
        <w:t>3.5</w:t>
      </w:r>
      <w:r w:rsidR="0085625F">
        <w:fldChar w:fldCharType="end"/>
      </w:r>
      <w:r>
        <w:t>, 6 months stockholding,</w:t>
      </w:r>
    </w:p>
    <w:p w14:paraId="290D70BA" w14:textId="2B974C69" w:rsidR="00FE1140" w:rsidRDefault="00FE1140" w:rsidP="00E734CF">
      <w:pPr>
        <w:pStyle w:val="Heading3"/>
        <w:keepNext/>
        <w:numPr>
          <w:ilvl w:val="0"/>
          <w:numId w:val="0"/>
        </w:numPr>
        <w:ind w:left="1701"/>
      </w:pPr>
      <w:r w:rsidRPr="00D220C6" w:rsidDel="00A03353">
        <w:t xml:space="preserve">unless a different amount is determined </w:t>
      </w:r>
      <w:r w:rsidDel="00A03353">
        <w:t xml:space="preserve">by the Minister </w:t>
      </w:r>
      <w:r w:rsidRPr="00D220C6" w:rsidDel="00A03353">
        <w:t xml:space="preserve">for </w:t>
      </w:r>
      <w:r w:rsidDel="00A03353">
        <w:t>the</w:t>
      </w:r>
      <w:r w:rsidRPr="00D220C6" w:rsidDel="00A03353">
        <w:t xml:space="preserve"> </w:t>
      </w:r>
      <w:r w:rsidDel="00A03353">
        <w:t>relevant Pharmaceutical Item</w:t>
      </w:r>
      <w:r w:rsidRPr="00D220C6" w:rsidDel="00A03353">
        <w:t xml:space="preserve"> </w:t>
      </w:r>
      <w:r>
        <w:t xml:space="preserve">(following consultation with the impacted Responsible Persons) </w:t>
      </w:r>
      <w:r w:rsidRPr="00D220C6" w:rsidDel="00A03353">
        <w:t xml:space="preserve">by reference to usual demand </w:t>
      </w:r>
      <w:r w:rsidDel="00A03353">
        <w:t xml:space="preserve">for the brands of that Pharmaceutical Item </w:t>
      </w:r>
      <w:r w:rsidRPr="00D220C6" w:rsidDel="00A03353">
        <w:t>over a time period.</w:t>
      </w:r>
    </w:p>
    <w:p w14:paraId="13A1535B" w14:textId="13CE50E0" w:rsidR="00BE367B" w:rsidRDefault="00BE367B" w:rsidP="00BE367B">
      <w:pPr>
        <w:pStyle w:val="Heading3"/>
      </w:pPr>
      <w:bookmarkStart w:id="63" w:name="_Ref76734557"/>
      <w:r w:rsidRPr="00B059D9">
        <w:t>It is intended that the additional investment provided by the Commonwealth for Listed Brands with an AEMP of $4 or less to manage supply chain risk (as set out in this clause</w:t>
      </w:r>
      <w:r>
        <w:t xml:space="preserve"> </w:t>
      </w:r>
      <w:r>
        <w:fldChar w:fldCharType="begin"/>
      </w:r>
      <w:r>
        <w:instrText xml:space="preserve"> REF _Ref71033199 \r \h </w:instrText>
      </w:r>
      <w:r>
        <w:fldChar w:fldCharType="separate"/>
      </w:r>
      <w:r w:rsidR="00F5458C">
        <w:t>3</w:t>
      </w:r>
      <w:r>
        <w:fldChar w:fldCharType="end"/>
      </w:r>
      <w:r w:rsidRPr="00B059D9">
        <w:t xml:space="preserve">) will </w:t>
      </w:r>
      <w:r w:rsidR="00A60DFD">
        <w:t xml:space="preserve">be used as such, and </w:t>
      </w:r>
      <w:r w:rsidRPr="00B059D9">
        <w:t xml:space="preserve">not be passed on by Responsible Persons as discounts </w:t>
      </w:r>
      <w:r w:rsidR="00CC0F0E">
        <w:t>and</w:t>
      </w:r>
      <w:r w:rsidRPr="00B059D9">
        <w:t xml:space="preserve"> incentives.  </w:t>
      </w:r>
      <w:r w:rsidR="00A60DFD" w:rsidRPr="00A60DFD">
        <w:t xml:space="preserve">Accordingly, from 1 October 2022, any discounts </w:t>
      </w:r>
      <w:r w:rsidR="00CC0F0E">
        <w:t xml:space="preserve">and </w:t>
      </w:r>
      <w:r w:rsidR="00A60DFD" w:rsidRPr="00A60DFD">
        <w:t xml:space="preserve">incentives provided for Listed Brands with an AEMP of $4 or less, as observed through Price Disclosure requirements, will become relevant to </w:t>
      </w:r>
      <w:r w:rsidR="00A60DFD">
        <w:t xml:space="preserve">the </w:t>
      </w:r>
      <w:r w:rsidR="00A60DFD" w:rsidRPr="00A60DFD">
        <w:t xml:space="preserve">exercise of the Minister’s powers to list, or revoke PBS listings, for Responsible Persons who offer such discounts </w:t>
      </w:r>
      <w:r w:rsidR="00A60DFD">
        <w:t xml:space="preserve">or incentives (or both) on the basis set out in clauses </w:t>
      </w:r>
      <w:r w:rsidR="00CE7320">
        <w:fldChar w:fldCharType="begin"/>
      </w:r>
      <w:r w:rsidR="00CE7320">
        <w:instrText xml:space="preserve"> REF _Ref76734461 \r \h </w:instrText>
      </w:r>
      <w:r w:rsidR="00CE7320">
        <w:fldChar w:fldCharType="separate"/>
      </w:r>
      <w:r w:rsidR="00F5458C">
        <w:t>3.6.6</w:t>
      </w:r>
      <w:r w:rsidR="00CE7320">
        <w:fldChar w:fldCharType="end"/>
      </w:r>
      <w:r w:rsidR="00A60DFD">
        <w:t xml:space="preserve"> and</w:t>
      </w:r>
      <w:r w:rsidR="00CE7320">
        <w:t xml:space="preserve"> </w:t>
      </w:r>
      <w:r w:rsidR="00CE7320">
        <w:fldChar w:fldCharType="begin"/>
      </w:r>
      <w:r w:rsidR="00CE7320">
        <w:instrText xml:space="preserve"> REF _Ref76734466 \r \h </w:instrText>
      </w:r>
      <w:r w:rsidR="00CE7320">
        <w:fldChar w:fldCharType="separate"/>
      </w:r>
      <w:r w:rsidR="00F5458C">
        <w:t>3.6.7</w:t>
      </w:r>
      <w:r w:rsidR="00CE7320">
        <w:fldChar w:fldCharType="end"/>
      </w:r>
      <w:r w:rsidR="00A60DFD" w:rsidRPr="00A60DFD">
        <w:t>.</w:t>
      </w:r>
      <w:bookmarkEnd w:id="63"/>
      <w:r w:rsidR="00A60DFD" w:rsidRPr="00A60DFD">
        <w:t xml:space="preserve">   </w:t>
      </w:r>
    </w:p>
    <w:p w14:paraId="61AE8062" w14:textId="5E908084" w:rsidR="00A60DFD" w:rsidRDefault="00A60DFD" w:rsidP="00BE367B">
      <w:pPr>
        <w:pStyle w:val="Heading3"/>
      </w:pPr>
      <w:r w:rsidRPr="00A60DFD">
        <w:t>The parties will work together (including through the Joint Oversight Committee) to ensure the intended operation of clause</w:t>
      </w:r>
      <w:r>
        <w:t>s</w:t>
      </w:r>
      <w:r w:rsidRPr="00A60DFD">
        <w:t xml:space="preserve"> </w:t>
      </w:r>
      <w:r>
        <w:fldChar w:fldCharType="begin"/>
      </w:r>
      <w:r>
        <w:instrText xml:space="preserve"> REF _Ref76734557 \r \h </w:instrText>
      </w:r>
      <w:r>
        <w:fldChar w:fldCharType="separate"/>
      </w:r>
      <w:r w:rsidR="00F5458C">
        <w:t>3.6.2</w:t>
      </w:r>
      <w:r>
        <w:fldChar w:fldCharType="end"/>
      </w:r>
      <w:r>
        <w:t xml:space="preserve">, </w:t>
      </w:r>
      <w:r w:rsidR="00CE7320">
        <w:fldChar w:fldCharType="begin"/>
      </w:r>
      <w:r w:rsidR="00CE7320">
        <w:instrText xml:space="preserve"> REF _Ref76734461 \r \h </w:instrText>
      </w:r>
      <w:r w:rsidR="00CE7320">
        <w:fldChar w:fldCharType="separate"/>
      </w:r>
      <w:r w:rsidR="00F5458C">
        <w:t>3.6.6</w:t>
      </w:r>
      <w:r w:rsidR="00CE7320">
        <w:fldChar w:fldCharType="end"/>
      </w:r>
      <w:r w:rsidR="00CE7320">
        <w:t xml:space="preserve"> </w:t>
      </w:r>
      <w:r>
        <w:t xml:space="preserve">and </w:t>
      </w:r>
      <w:r w:rsidR="00CE7320">
        <w:fldChar w:fldCharType="begin"/>
      </w:r>
      <w:r w:rsidR="00CE7320">
        <w:instrText xml:space="preserve"> REF _Ref76734466 \r \h </w:instrText>
      </w:r>
      <w:r w:rsidR="00CE7320">
        <w:fldChar w:fldCharType="separate"/>
      </w:r>
      <w:r w:rsidR="00F5458C">
        <w:t>3.6.7</w:t>
      </w:r>
      <w:r w:rsidR="00CE7320">
        <w:fldChar w:fldCharType="end"/>
      </w:r>
      <w:r>
        <w:t xml:space="preserve"> i</w:t>
      </w:r>
      <w:r w:rsidRPr="00A60DFD">
        <w:t>s communicated to the sector.</w:t>
      </w:r>
    </w:p>
    <w:p w14:paraId="373C8520" w14:textId="404707B9" w:rsidR="00FE1140" w:rsidRDefault="00FE1140" w:rsidP="00FE1140">
      <w:pPr>
        <w:pStyle w:val="Heading3"/>
      </w:pPr>
      <w:r>
        <w:t>T</w:t>
      </w:r>
      <w:r w:rsidRPr="00D220C6">
        <w:t xml:space="preserve">he Commonwealth will </w:t>
      </w:r>
      <w:r>
        <w:t>consult</w:t>
      </w:r>
      <w:r w:rsidRPr="00D220C6">
        <w:t xml:space="preserve"> the medicines industry</w:t>
      </w:r>
      <w:r>
        <w:t xml:space="preserve"> prior to </w:t>
      </w:r>
      <w:r w:rsidR="0085625F">
        <w:t>1 July 2023</w:t>
      </w:r>
      <w:r>
        <w:t>, and thereafter as considered necessary by the Commonwealth,</w:t>
      </w:r>
      <w:r w:rsidRPr="00D220C6">
        <w:t xml:space="preserve"> </w:t>
      </w:r>
      <w:r>
        <w:t>regarding</w:t>
      </w:r>
      <w:r w:rsidRPr="00D220C6">
        <w:t xml:space="preserve"> </w:t>
      </w:r>
      <w:r>
        <w:t xml:space="preserve">alternative </w:t>
      </w:r>
      <w:r w:rsidRPr="00D220C6">
        <w:t xml:space="preserve">appropriate stockholding amounts </w:t>
      </w:r>
      <w:r>
        <w:t>that may be suitable should the Minister wish to make a determination of the kind described in clause</w:t>
      </w:r>
      <w:r w:rsidR="0085625F">
        <w:t xml:space="preserve"> </w:t>
      </w:r>
      <w:r w:rsidR="0085625F">
        <w:fldChar w:fldCharType="begin"/>
      </w:r>
      <w:r w:rsidR="0085625F">
        <w:instrText xml:space="preserve"> REF _Ref75498123 \r \h </w:instrText>
      </w:r>
      <w:r w:rsidR="0085625F">
        <w:fldChar w:fldCharType="separate"/>
      </w:r>
      <w:r w:rsidR="00F5458C">
        <w:t>3.6.1</w:t>
      </w:r>
      <w:r w:rsidR="0085625F">
        <w:fldChar w:fldCharType="end"/>
      </w:r>
      <w:r>
        <w:t>.</w:t>
      </w:r>
    </w:p>
    <w:p w14:paraId="27CBEDD9" w14:textId="1EDB4C0D" w:rsidR="00FE1140" w:rsidRDefault="00FE1140" w:rsidP="00FE1140">
      <w:pPr>
        <w:pStyle w:val="Heading3"/>
      </w:pPr>
      <w:bookmarkStart w:id="64" w:name="_Ref75521618"/>
      <w:r>
        <w:t xml:space="preserve">Medicines that are intended for the Australia market will be counted for the purposes of the stockholding requirement </w:t>
      </w:r>
      <w:r w:rsidR="0085625F">
        <w:t xml:space="preserve">described </w:t>
      </w:r>
      <w:r>
        <w:t xml:space="preserve">in clause </w:t>
      </w:r>
      <w:r w:rsidR="0085625F">
        <w:fldChar w:fldCharType="begin"/>
      </w:r>
      <w:r w:rsidR="0085625F">
        <w:instrText xml:space="preserve"> REF _Ref75498123 \r \h </w:instrText>
      </w:r>
      <w:r w:rsidR="0085625F">
        <w:fldChar w:fldCharType="separate"/>
      </w:r>
      <w:r w:rsidR="00F5458C">
        <w:t>3.6.1</w:t>
      </w:r>
      <w:r w:rsidR="0085625F">
        <w:fldChar w:fldCharType="end"/>
      </w:r>
      <w:r w:rsidR="0085625F">
        <w:t xml:space="preserve"> </w:t>
      </w:r>
      <w:r>
        <w:t>when:</w:t>
      </w:r>
      <w:bookmarkEnd w:id="64"/>
    </w:p>
    <w:p w14:paraId="557073C6" w14:textId="7A43B9C0" w:rsidR="00FE1140" w:rsidRDefault="00FE1140" w:rsidP="00FE1140">
      <w:pPr>
        <w:pStyle w:val="Heading4"/>
      </w:pPr>
      <w:r>
        <w:t xml:space="preserve">the Responsible Person </w:t>
      </w:r>
      <w:r w:rsidR="0005414C">
        <w:t xml:space="preserve">holds </w:t>
      </w:r>
      <w:r>
        <w:t>title to the stock; and</w:t>
      </w:r>
    </w:p>
    <w:p w14:paraId="1E95D50F" w14:textId="1339F3D6" w:rsidR="00FE1140" w:rsidRDefault="00FE1140" w:rsidP="00FE1140">
      <w:pPr>
        <w:pStyle w:val="Heading4"/>
      </w:pPr>
      <w:r>
        <w:t xml:space="preserve">where the stock is manufactured outside of Australia, the stock </w:t>
      </w:r>
      <w:r w:rsidR="0085625F">
        <w:t>is in Australia.</w:t>
      </w:r>
    </w:p>
    <w:p w14:paraId="77607ECE" w14:textId="69726FD8" w:rsidR="007D46F4" w:rsidRDefault="007D46F4" w:rsidP="000E5633">
      <w:pPr>
        <w:pStyle w:val="Heading3"/>
        <w:keepNext/>
      </w:pPr>
      <w:bookmarkStart w:id="65" w:name="_Ref76734461"/>
      <w:r>
        <w:t>The parties agree that the Commonwealth will seek amendments to the Act to make Listed Brands with a Floor Price subject to the</w:t>
      </w:r>
      <w:r w:rsidR="003B4EA1">
        <w:t xml:space="preserve"> following requirements:</w:t>
      </w:r>
      <w:bookmarkEnd w:id="65"/>
    </w:p>
    <w:p w14:paraId="4BED93F4" w14:textId="77777777" w:rsidR="007D46F4" w:rsidRDefault="007D46F4" w:rsidP="000E5633">
      <w:pPr>
        <w:pStyle w:val="Heading4"/>
        <w:keepNext/>
      </w:pPr>
      <w:r>
        <w:t>a requirement that the Responsible Person for a Listed Brand with a Floor Price to:</w:t>
      </w:r>
    </w:p>
    <w:p w14:paraId="7451DFDD" w14:textId="77777777" w:rsidR="007D46F4" w:rsidRDefault="007D46F4" w:rsidP="000E5633">
      <w:pPr>
        <w:pStyle w:val="Heading5"/>
        <w:keepNext/>
      </w:pPr>
      <w:r>
        <w:t>notify the Minister if:</w:t>
      </w:r>
    </w:p>
    <w:p w14:paraId="04061487" w14:textId="615E270A" w:rsidR="007D46F4" w:rsidRDefault="007D46F4" w:rsidP="00FE1140">
      <w:pPr>
        <w:pStyle w:val="Heading5"/>
        <w:numPr>
          <w:ilvl w:val="5"/>
          <w:numId w:val="2"/>
        </w:numPr>
        <w:tabs>
          <w:tab w:val="left" w:pos="2835"/>
          <w:tab w:val="left" w:pos="3402"/>
        </w:tabs>
        <w:ind w:left="3402" w:hanging="567"/>
      </w:pPr>
      <w:r>
        <w:t>A)</w:t>
      </w:r>
      <w:r>
        <w:tab/>
        <w:t xml:space="preserve">stock levels of that Listed Brand have fallen below the </w:t>
      </w:r>
      <w:r w:rsidR="001A7CE7">
        <w:t xml:space="preserve">applicable </w:t>
      </w:r>
      <w:r>
        <w:t>stockholding requirement; or</w:t>
      </w:r>
    </w:p>
    <w:p w14:paraId="784E409A" w14:textId="1CE5BE27" w:rsidR="007D46F4" w:rsidRDefault="007D46F4" w:rsidP="00FE1140">
      <w:pPr>
        <w:pStyle w:val="Heading5"/>
        <w:numPr>
          <w:ilvl w:val="5"/>
          <w:numId w:val="2"/>
        </w:numPr>
        <w:tabs>
          <w:tab w:val="left" w:pos="2835"/>
          <w:tab w:val="left" w:pos="3402"/>
        </w:tabs>
        <w:ind w:left="3402" w:hanging="567"/>
      </w:pPr>
      <w:r>
        <w:t>B)</w:t>
      </w:r>
      <w:r>
        <w:tab/>
        <w:t xml:space="preserve">it believes stock levels may fall below the </w:t>
      </w:r>
      <w:r w:rsidR="001A7CE7">
        <w:t xml:space="preserve">applicable </w:t>
      </w:r>
      <w:r>
        <w:t>stockholding requirement; and</w:t>
      </w:r>
    </w:p>
    <w:p w14:paraId="6D1151AC" w14:textId="4A903D02" w:rsidR="007D46F4" w:rsidRDefault="007D46F4" w:rsidP="007D46F4">
      <w:pPr>
        <w:pStyle w:val="Heading5"/>
        <w:keepNext/>
        <w:tabs>
          <w:tab w:val="left" w:pos="2835"/>
        </w:tabs>
      </w:pPr>
      <w:r>
        <w:t xml:space="preserve">provide written reasons for the stock levels falling below the </w:t>
      </w:r>
      <w:r w:rsidR="001A7CE7">
        <w:t xml:space="preserve">applicable </w:t>
      </w:r>
      <w:r>
        <w:t>stockholding requirement; and</w:t>
      </w:r>
    </w:p>
    <w:p w14:paraId="4C772BE5" w14:textId="4765C590" w:rsidR="007D46F4" w:rsidRDefault="007D46F4" w:rsidP="00516909">
      <w:pPr>
        <w:pStyle w:val="Heading4"/>
        <w:keepNext/>
      </w:pPr>
      <w:bookmarkStart w:id="66" w:name="_Ref68605967"/>
      <w:r>
        <w:t xml:space="preserve">extension of existing consequences of failing to supply under Division 3C of Part VII of the Act to Listed Brands with a Floor Price where the </w:t>
      </w:r>
      <w:r w:rsidR="001A7CE7">
        <w:t xml:space="preserve">applicable </w:t>
      </w:r>
      <w:r>
        <w:t>stockholding requirement is not met</w:t>
      </w:r>
      <w:r w:rsidR="002D5F01" w:rsidRPr="002D5F01">
        <w:t xml:space="preserve"> </w:t>
      </w:r>
      <w:r w:rsidR="002D5F01">
        <w:t>and to Listed Brands with an AEMP of $4 or less where the Responsible Person for that Listed Brand is offering discounts or incentives (</w:t>
      </w:r>
      <w:r w:rsidR="00CC0F0E">
        <w:t xml:space="preserve">or both) </w:t>
      </w:r>
      <w:r w:rsidR="002D5F01">
        <w:t>below its AEMP in respect of that Listed Brand</w:t>
      </w:r>
      <w:r>
        <w:t xml:space="preserve">.  That is, in circumstances where Responsible Persons do not comply with </w:t>
      </w:r>
      <w:r w:rsidR="001A7CE7">
        <w:t xml:space="preserve">applicable </w:t>
      </w:r>
      <w:r>
        <w:t>stockholding requirements</w:t>
      </w:r>
      <w:r w:rsidR="002D5F01" w:rsidRPr="002D5F01">
        <w:t xml:space="preserve"> </w:t>
      </w:r>
      <w:r w:rsidR="002D5F01">
        <w:t>or offer discounts or incentives (</w:t>
      </w:r>
      <w:r w:rsidR="00CC0F0E">
        <w:t xml:space="preserve">or both) </w:t>
      </w:r>
      <w:r w:rsidR="002D5F01">
        <w:t>below the AEMP</w:t>
      </w:r>
      <w:r>
        <w:t xml:space="preserve">, the Minister </w:t>
      </w:r>
      <w:r w:rsidR="003B4EA1">
        <w:t xml:space="preserve">would have the same powers as exist under </w:t>
      </w:r>
      <w:r w:rsidR="00CA6DA6">
        <w:t xml:space="preserve">section </w:t>
      </w:r>
      <w:r w:rsidR="003B4EA1">
        <w:t xml:space="preserve">99AEH of the Act for when a </w:t>
      </w:r>
      <w:r w:rsidR="00CF18DD">
        <w:t>R</w:t>
      </w:r>
      <w:r w:rsidR="003B4EA1">
        <w:t xml:space="preserve">esponsible </w:t>
      </w:r>
      <w:r w:rsidR="00CF18DD">
        <w:t>P</w:t>
      </w:r>
      <w:r w:rsidR="003B4EA1">
        <w:t>erson fails to supply, including to:</w:t>
      </w:r>
      <w:bookmarkEnd w:id="66"/>
    </w:p>
    <w:p w14:paraId="12DBC623" w14:textId="372D606F" w:rsidR="007D46F4" w:rsidRDefault="007D46F4" w:rsidP="00516909">
      <w:pPr>
        <w:pStyle w:val="Heading5"/>
        <w:keepNext/>
      </w:pPr>
      <w:r>
        <w:t>revoke the listing for the brand subject to the requirement;</w:t>
      </w:r>
    </w:p>
    <w:p w14:paraId="144CED4E" w14:textId="77777777" w:rsidR="007D46F4" w:rsidRDefault="007D46F4" w:rsidP="007D46F4">
      <w:pPr>
        <w:pStyle w:val="Heading5"/>
      </w:pPr>
      <w:r>
        <w:t>revoke the listing for any brand supplied by the Responsible Person; and</w:t>
      </w:r>
    </w:p>
    <w:p w14:paraId="663892D7" w14:textId="180D2B7A" w:rsidR="007D46F4" w:rsidRDefault="007D46F4" w:rsidP="007D46F4">
      <w:pPr>
        <w:pStyle w:val="Heading5"/>
      </w:pPr>
      <w:r>
        <w:t>refuse any request to list a brand made by the Responsible Person</w:t>
      </w:r>
      <w:r w:rsidR="001A7CE7">
        <w:t>.</w:t>
      </w:r>
      <w:r>
        <w:t xml:space="preserve"> </w:t>
      </w:r>
    </w:p>
    <w:p w14:paraId="23662337" w14:textId="4DE8C790" w:rsidR="007D46F4" w:rsidRDefault="009F3EA3" w:rsidP="002D5F01">
      <w:pPr>
        <w:pStyle w:val="Heading3"/>
      </w:pPr>
      <w:bookmarkStart w:id="67" w:name="_Ref76734466"/>
      <w:r>
        <w:t>A</w:t>
      </w:r>
      <w:r w:rsidR="00BB6466">
        <w:t xml:space="preserve">mendments </w:t>
      </w:r>
      <w:r w:rsidR="00FE1140">
        <w:t xml:space="preserve">to the Act </w:t>
      </w:r>
      <w:r>
        <w:t xml:space="preserve">sought (as described in this clause </w:t>
      </w:r>
      <w:r>
        <w:fldChar w:fldCharType="begin"/>
      </w:r>
      <w:r>
        <w:instrText xml:space="preserve"> REF _Ref75501721 \w \h </w:instrText>
      </w:r>
      <w:r>
        <w:fldChar w:fldCharType="separate"/>
      </w:r>
      <w:r w:rsidR="00F5458C">
        <w:t>3.6</w:t>
      </w:r>
      <w:r>
        <w:fldChar w:fldCharType="end"/>
      </w:r>
      <w:r>
        <w:t xml:space="preserve">) </w:t>
      </w:r>
      <w:r w:rsidR="00AE0828">
        <w:t>will include</w:t>
      </w:r>
      <w:r w:rsidR="00BB6466">
        <w:t xml:space="preserve"> that where</w:t>
      </w:r>
      <w:r w:rsidR="007D46F4">
        <w:t xml:space="preserve"> the powers </w:t>
      </w:r>
      <w:r w:rsidR="003B4EA1">
        <w:t xml:space="preserve">referred to </w:t>
      </w:r>
      <w:r w:rsidR="007D46F4">
        <w:t xml:space="preserve">in clause </w:t>
      </w:r>
      <w:r w:rsidR="007D46F4">
        <w:fldChar w:fldCharType="begin"/>
      </w:r>
      <w:r w:rsidR="007D46F4">
        <w:instrText xml:space="preserve"> REF _Ref68605967 \w \h </w:instrText>
      </w:r>
      <w:r w:rsidR="007D46F4">
        <w:fldChar w:fldCharType="separate"/>
      </w:r>
      <w:r w:rsidR="00F5458C">
        <w:t>3.6.6(b)</w:t>
      </w:r>
      <w:r w:rsidR="007D46F4">
        <w:fldChar w:fldCharType="end"/>
      </w:r>
      <w:r w:rsidR="00BB6466">
        <w:t xml:space="preserve"> are exercised</w:t>
      </w:r>
      <w:r w:rsidR="007D46F4">
        <w:t xml:space="preserve">, </w:t>
      </w:r>
      <w:r w:rsidR="00BB6466">
        <w:t xml:space="preserve">the Minister </w:t>
      </w:r>
      <w:r w:rsidR="00FE1140">
        <w:t>is to</w:t>
      </w:r>
      <w:r w:rsidR="00BB6466">
        <w:t xml:space="preserve"> take into account whether</w:t>
      </w:r>
      <w:r w:rsidR="007D46F4">
        <w:t>:</w:t>
      </w:r>
      <w:bookmarkEnd w:id="67"/>
      <w:r w:rsidR="007D46F4">
        <w:t xml:space="preserve"> </w:t>
      </w:r>
    </w:p>
    <w:p w14:paraId="6ADBD3E9" w14:textId="77777777" w:rsidR="00B02CAC" w:rsidRDefault="007D46F4" w:rsidP="007D46F4">
      <w:pPr>
        <w:pStyle w:val="Heading4"/>
      </w:pPr>
      <w:r>
        <w:t>a Responsible Person is consistently holding fewer stocks of Listed Brands than the required level;</w:t>
      </w:r>
    </w:p>
    <w:p w14:paraId="2061B80B" w14:textId="6969C1EE" w:rsidR="007D46F4" w:rsidRDefault="00B02CAC" w:rsidP="007D46F4">
      <w:pPr>
        <w:pStyle w:val="Heading4"/>
      </w:pPr>
      <w:r>
        <w:t>the Responsible</w:t>
      </w:r>
      <w:r w:rsidR="00CF18DD">
        <w:t xml:space="preserve"> Person</w:t>
      </w:r>
      <w:r>
        <w:t xml:space="preserve"> is offering discounts or incentives </w:t>
      </w:r>
      <w:r w:rsidR="00CC0F0E">
        <w:t xml:space="preserve">(or both) </w:t>
      </w:r>
      <w:r>
        <w:t xml:space="preserve">in respect of such </w:t>
      </w:r>
      <w:r w:rsidR="001A7CE7">
        <w:t>L</w:t>
      </w:r>
      <w:r>
        <w:t xml:space="preserve">isted </w:t>
      </w:r>
      <w:r w:rsidR="001A7CE7">
        <w:t>B</w:t>
      </w:r>
      <w:r>
        <w:t>rands</w:t>
      </w:r>
      <w:r w:rsidR="00E338C6">
        <w:t>;</w:t>
      </w:r>
      <w:r w:rsidR="007D46F4">
        <w:t xml:space="preserve"> </w:t>
      </w:r>
    </w:p>
    <w:p w14:paraId="5FDE4746" w14:textId="07A9E4B2" w:rsidR="007D46F4" w:rsidRDefault="007D46F4" w:rsidP="007D46F4">
      <w:pPr>
        <w:pStyle w:val="Heading4"/>
      </w:pPr>
      <w:r>
        <w:t xml:space="preserve">other Responsible Persons for other Listed Brands of the same Pharmaceutical Item are maintaining required levels; </w:t>
      </w:r>
    </w:p>
    <w:p w14:paraId="6D613AFE" w14:textId="1A9F5BA3" w:rsidR="007D46F4" w:rsidRDefault="007D46F4" w:rsidP="007D46F4">
      <w:pPr>
        <w:pStyle w:val="Heading4"/>
      </w:pPr>
      <w:r>
        <w:t>the reasons provided by the Responsible Person satisfy the Minister that required stock levels will be consistently maintained in the future</w:t>
      </w:r>
      <w:r w:rsidR="00FE1140">
        <w:t>;</w:t>
      </w:r>
      <w:r w:rsidR="00FE1140" w:rsidRPr="00FE1140">
        <w:t xml:space="preserve"> </w:t>
      </w:r>
      <w:r w:rsidR="00FE1140">
        <w:t>and</w:t>
      </w:r>
    </w:p>
    <w:p w14:paraId="69B9600E" w14:textId="02CCF461" w:rsidR="00BB6466" w:rsidRPr="00E324A1" w:rsidRDefault="00FE1140" w:rsidP="007D46F4">
      <w:pPr>
        <w:pStyle w:val="Heading4"/>
      </w:pPr>
      <w:r>
        <w:t>a</w:t>
      </w:r>
      <w:r w:rsidR="00BB6466">
        <w:t xml:space="preserve">ny other matters relevant </w:t>
      </w:r>
      <w:r>
        <w:t xml:space="preserve">to </w:t>
      </w:r>
      <w:r w:rsidR="00BB6466">
        <w:t xml:space="preserve">maintaining supply of </w:t>
      </w:r>
      <w:r>
        <w:t xml:space="preserve">PBS </w:t>
      </w:r>
      <w:r w:rsidR="00BB6466">
        <w:t>medicine</w:t>
      </w:r>
      <w:r>
        <w:t>s that the Minister considers relevant.</w:t>
      </w:r>
    </w:p>
    <w:p w14:paraId="442E6547" w14:textId="3A399865" w:rsidR="0062503F" w:rsidRDefault="00620954" w:rsidP="0062503F">
      <w:pPr>
        <w:pStyle w:val="Heading2"/>
        <w:rPr>
          <w:lang w:eastAsia="zh-CN"/>
        </w:rPr>
      </w:pPr>
      <w:bookmarkStart w:id="68" w:name="_Ref75855891"/>
      <w:bookmarkStart w:id="69" w:name="_Toc79567163"/>
      <w:r>
        <w:t>Uptake of</w:t>
      </w:r>
      <w:r w:rsidR="0062503F">
        <w:t xml:space="preserve"> </w:t>
      </w:r>
      <w:r w:rsidR="0062503F" w:rsidRPr="00F833B0">
        <w:t>biosimilar</w:t>
      </w:r>
      <w:r>
        <w:t xml:space="preserve"> medicines</w:t>
      </w:r>
      <w:bookmarkEnd w:id="68"/>
      <w:bookmarkEnd w:id="69"/>
    </w:p>
    <w:p w14:paraId="1F4B6379" w14:textId="6198E7AB" w:rsidR="0001377D" w:rsidRPr="0001377D" w:rsidRDefault="0001377D" w:rsidP="0001377D">
      <w:pPr>
        <w:pStyle w:val="BodyIndent1"/>
      </w:pPr>
      <w:bookmarkStart w:id="70" w:name="_Hlk75799902"/>
      <w:r w:rsidRPr="0001377D">
        <w:t>Recognising that greater use of biosimilar medicines will be beneficial in supporting access to clinically and cost effective medicines for Australians, the Commonwealth and G</w:t>
      </w:r>
      <w:r w:rsidR="00392711">
        <w:t>B</w:t>
      </w:r>
      <w:r w:rsidRPr="0001377D">
        <w:t xml:space="preserve">MA will consult regularly during the Term regarding further uptake drivers that may be implemented </w:t>
      </w:r>
      <w:r>
        <w:t xml:space="preserve">by the Commonwealth </w:t>
      </w:r>
      <w:r w:rsidRPr="0001377D">
        <w:t>to increase the dispensing of Biosimilar Brands as more are included on the PBS.</w:t>
      </w:r>
    </w:p>
    <w:p w14:paraId="261DA06E" w14:textId="77777777" w:rsidR="00252AF6" w:rsidRDefault="00252AF6" w:rsidP="00252AF6">
      <w:pPr>
        <w:pStyle w:val="Heading2"/>
      </w:pPr>
      <w:bookmarkStart w:id="71" w:name="_Ref75855894"/>
      <w:bookmarkStart w:id="72" w:name="_Toc79567164"/>
      <w:bookmarkEnd w:id="70"/>
      <w:r>
        <w:t>Repurposing of medicines</w:t>
      </w:r>
      <w:bookmarkEnd w:id="71"/>
      <w:bookmarkEnd w:id="72"/>
    </w:p>
    <w:p w14:paraId="59A0538E" w14:textId="29968133" w:rsidR="00252AF6" w:rsidRDefault="00252AF6" w:rsidP="00252AF6">
      <w:pPr>
        <w:pStyle w:val="BodyIndent1"/>
      </w:pPr>
      <w:r>
        <w:t xml:space="preserve">GBMA acknowledges that the </w:t>
      </w:r>
      <w:r w:rsidR="0085625F">
        <w:t xml:space="preserve">Department </w:t>
      </w:r>
      <w:r>
        <w:t xml:space="preserve">is conducting a public consultation that seeks to understand potential obstacles and incentives to the repurposing of prescription medicines.  GBMA will, in good faith, work with the Commonwealth to advance, in a timely manner, potential regulatory and reimbursement policy options </w:t>
      </w:r>
      <w:r w:rsidR="0085625F">
        <w:rPr>
          <w:rStyle w:val="Heading3Char"/>
          <w:bCs/>
        </w:rPr>
        <w:t>to advance the availability of treatments in Australia.</w:t>
      </w:r>
    </w:p>
    <w:p w14:paraId="317EFA4C" w14:textId="77777777" w:rsidR="00F87D9A" w:rsidRPr="00F87D9A" w:rsidRDefault="00F87D9A" w:rsidP="00B835C7">
      <w:pPr>
        <w:pStyle w:val="Heading2"/>
      </w:pPr>
      <w:bookmarkStart w:id="73" w:name="_Ref75855895"/>
      <w:bookmarkStart w:id="74" w:name="_Toc79567165"/>
      <w:r w:rsidRPr="00F87D9A">
        <w:t xml:space="preserve">PBS listing of medicines approved under section 19A of </w:t>
      </w:r>
      <w:r w:rsidRPr="00F87D9A">
        <w:rPr>
          <w:i/>
          <w:iCs/>
        </w:rPr>
        <w:t>Therapeutic Goods Act 1989</w:t>
      </w:r>
      <w:bookmarkEnd w:id="73"/>
      <w:bookmarkEnd w:id="74"/>
    </w:p>
    <w:p w14:paraId="6F5506AE" w14:textId="7A0A4BC3" w:rsidR="00F87D9A" w:rsidRPr="00F87D9A" w:rsidRDefault="00F87D9A" w:rsidP="00B835C7">
      <w:pPr>
        <w:pStyle w:val="BodyIndent1"/>
        <w:keepNext/>
      </w:pPr>
      <w:r w:rsidRPr="00F87D9A">
        <w:t xml:space="preserve">The Commonwealth and </w:t>
      </w:r>
      <w:r>
        <w:t>GBMA</w:t>
      </w:r>
      <w:r w:rsidRPr="00F87D9A">
        <w:t xml:space="preserve"> recognise:</w:t>
      </w:r>
    </w:p>
    <w:p w14:paraId="2BEE2F95" w14:textId="77777777" w:rsidR="00F87D9A" w:rsidRPr="00F87D9A" w:rsidRDefault="00F87D9A" w:rsidP="00B835C7">
      <w:pPr>
        <w:pStyle w:val="Heading3"/>
        <w:keepNext/>
      </w:pPr>
      <w:r w:rsidRPr="00F87D9A">
        <w:t>the impacts on patients arising from medicines shortages; and</w:t>
      </w:r>
    </w:p>
    <w:p w14:paraId="6BA43008" w14:textId="7E9E8EBA" w:rsidR="00F87D9A" w:rsidRPr="00F87D9A" w:rsidRDefault="00F87D9A" w:rsidP="00E734CF">
      <w:pPr>
        <w:pStyle w:val="Heading3"/>
        <w:keepNext/>
      </w:pPr>
      <w:r w:rsidRPr="00F87D9A">
        <w:t>that when a shortage issue results in a PBS listed medicine being unavailable in Australia, sponsors of non-PBS listed brands may apply to temporarily list their brand on the PBS, if the brand has been approved under s</w:t>
      </w:r>
      <w:r w:rsidR="00CA6DA6">
        <w:t xml:space="preserve">ection </w:t>
      </w:r>
      <w:r w:rsidRPr="00F87D9A">
        <w:t xml:space="preserve">19A of the </w:t>
      </w:r>
      <w:r w:rsidRPr="00F87D9A">
        <w:rPr>
          <w:i/>
          <w:iCs/>
        </w:rPr>
        <w:t>Therapeutic Goods Act 1989</w:t>
      </w:r>
      <w:r w:rsidRPr="00F87D9A">
        <w:t xml:space="preserve"> (Cth) (</w:t>
      </w:r>
      <w:r w:rsidRPr="00F87D9A">
        <w:rPr>
          <w:b/>
          <w:bCs/>
        </w:rPr>
        <w:t>TG Act</w:t>
      </w:r>
      <w:r w:rsidRPr="00F87D9A">
        <w:t>),</w:t>
      </w:r>
    </w:p>
    <w:p w14:paraId="47DF5F04" w14:textId="69FB5076" w:rsidR="00F87D9A" w:rsidRPr="00A4356C" w:rsidRDefault="00F87D9A" w:rsidP="00E734CF">
      <w:pPr>
        <w:pStyle w:val="BodyIndent1"/>
        <w:keepNext/>
      </w:pPr>
      <w:r w:rsidRPr="00F87D9A">
        <w:t>and agree to work with other relevant stakeholders (including the PBAC) during the Term in the establishment of a streamlined process for listing medicines on the PBS that have been approved under section 19A of the TG Act</w:t>
      </w:r>
      <w:r w:rsidR="0085625F" w:rsidRPr="0085625F">
        <w:t xml:space="preserve"> </w:t>
      </w:r>
      <w:r w:rsidR="0085625F">
        <w:t>on the basis that, where the Minister determines that a medicine approved under section 19A of the TG Act will be listed on the PBS, the Minister may end such listing at or about the time the approval under section 19A of the TG Act ends</w:t>
      </w:r>
      <w:r w:rsidRPr="00F87D9A">
        <w:t>.</w:t>
      </w:r>
    </w:p>
    <w:p w14:paraId="7AFF9075" w14:textId="77777777" w:rsidR="00F64AC9" w:rsidRDefault="00F64AC9" w:rsidP="00F64AC9">
      <w:pPr>
        <w:pStyle w:val="Heading1"/>
      </w:pPr>
      <w:bookmarkStart w:id="75" w:name="_Ref66196358"/>
      <w:bookmarkStart w:id="76" w:name="_Toc79567166"/>
      <w:bookmarkStart w:id="77" w:name="_Ref480025403"/>
      <w:bookmarkStart w:id="78" w:name="_Toc481060465"/>
      <w:bookmarkEnd w:id="32"/>
      <w:bookmarkEnd w:id="43"/>
      <w:r>
        <w:t>Statutory Price Reductions</w:t>
      </w:r>
      <w:bookmarkEnd w:id="75"/>
      <w:bookmarkEnd w:id="76"/>
    </w:p>
    <w:p w14:paraId="3955C3CD" w14:textId="77777777" w:rsidR="00F64AC9" w:rsidRDefault="00F64AC9" w:rsidP="00F64AC9">
      <w:pPr>
        <w:pStyle w:val="Heading2"/>
      </w:pPr>
      <w:bookmarkStart w:id="79" w:name="_Toc79567167"/>
      <w:r>
        <w:t>Outline</w:t>
      </w:r>
      <w:bookmarkEnd w:id="79"/>
    </w:p>
    <w:p w14:paraId="2A456D82" w14:textId="77777777" w:rsidR="00F64AC9" w:rsidRDefault="00F64AC9" w:rsidP="00F64AC9">
      <w:pPr>
        <w:pStyle w:val="Heading3"/>
      </w:pPr>
      <w:r>
        <w:t>As at the date of this Agreement, Division 3A of Part VII of the Act provides for Statutory Price Reductions.</w:t>
      </w:r>
    </w:p>
    <w:p w14:paraId="4486EC7E" w14:textId="10C9E7BF" w:rsidR="00F64AC9" w:rsidRDefault="00F64AC9" w:rsidP="00F64AC9">
      <w:pPr>
        <w:pStyle w:val="Heading3"/>
        <w:keepNext/>
      </w:pPr>
      <w:r>
        <w:t xml:space="preserve">The parties agree that the </w:t>
      </w:r>
      <w:r w:rsidRPr="00F845DE">
        <w:t>Commonwealth</w:t>
      </w:r>
      <w:r>
        <w:t xml:space="preserve"> will seek amendments to the Act</w:t>
      </w:r>
      <w:r w:rsidR="008A0C80">
        <w:rPr>
          <w:rStyle w:val="FootnoteReference"/>
        </w:rPr>
        <w:footnoteReference w:id="7"/>
      </w:r>
      <w:r w:rsidR="008A0C80">
        <w:t xml:space="preserve"> </w:t>
      </w:r>
      <w:r>
        <w:t>to commence from 1 July 2022 to:</w:t>
      </w:r>
    </w:p>
    <w:p w14:paraId="072B7691" w14:textId="29A58230" w:rsidR="00F64AC9" w:rsidRPr="00846FBA" w:rsidRDefault="00F64AC9" w:rsidP="00F64AC9">
      <w:pPr>
        <w:pStyle w:val="Heading4"/>
        <w:keepNext/>
        <w:ind w:left="2552" w:hanging="851"/>
      </w:pPr>
      <w:proofErr w:type="gramStart"/>
      <w:r>
        <w:t>continue</w:t>
      </w:r>
      <w:proofErr w:type="gramEnd"/>
      <w:r>
        <w:t xml:space="preserve"> or modify (or both) Statutory Price Reductions on the basis set out in clauses</w:t>
      </w:r>
      <w:r w:rsidR="001A7CE7">
        <w:t xml:space="preserve"> </w:t>
      </w:r>
      <w:r w:rsidR="0085625F">
        <w:fldChar w:fldCharType="begin"/>
      </w:r>
      <w:r w:rsidR="0085625F">
        <w:instrText xml:space="preserve"> REF _Ref75498488 \r \h </w:instrText>
      </w:r>
      <w:r w:rsidR="0085625F">
        <w:fldChar w:fldCharType="separate"/>
      </w:r>
      <w:r w:rsidR="00F5458C">
        <w:t>4.2</w:t>
      </w:r>
      <w:r w:rsidR="0085625F">
        <w:fldChar w:fldCharType="end"/>
      </w:r>
      <w:r w:rsidRPr="00846FBA">
        <w:t xml:space="preserve">, </w:t>
      </w:r>
      <w:r w:rsidR="0085625F">
        <w:fldChar w:fldCharType="begin"/>
      </w:r>
      <w:r w:rsidR="0085625F">
        <w:instrText xml:space="preserve"> REF _Ref63340702 \r \h </w:instrText>
      </w:r>
      <w:r w:rsidR="0085625F">
        <w:fldChar w:fldCharType="separate"/>
      </w:r>
      <w:r w:rsidR="00F5458C">
        <w:t>4.3</w:t>
      </w:r>
      <w:r w:rsidR="0085625F">
        <w:fldChar w:fldCharType="end"/>
      </w:r>
      <w:r w:rsidR="0085625F">
        <w:t xml:space="preserve"> </w:t>
      </w:r>
      <w:r w:rsidRPr="00846FBA">
        <w:t xml:space="preserve">and </w:t>
      </w:r>
      <w:r w:rsidR="0000380A">
        <w:fldChar w:fldCharType="begin"/>
      </w:r>
      <w:r w:rsidR="0000380A">
        <w:instrText xml:space="preserve"> REF _Ref66918205 \w \h </w:instrText>
      </w:r>
      <w:r w:rsidR="0000380A">
        <w:fldChar w:fldCharType="separate"/>
      </w:r>
      <w:r w:rsidR="00F5458C">
        <w:t>4.4.1</w:t>
      </w:r>
      <w:r w:rsidR="0000380A">
        <w:fldChar w:fldCharType="end"/>
      </w:r>
      <w:r w:rsidRPr="00846FBA">
        <w:t xml:space="preserve">; </w:t>
      </w:r>
    </w:p>
    <w:p w14:paraId="29705585" w14:textId="020B06AC" w:rsidR="00F64AC9" w:rsidRDefault="00F64AC9" w:rsidP="00F64AC9">
      <w:pPr>
        <w:pStyle w:val="Heading4"/>
        <w:ind w:left="2552" w:hanging="851"/>
      </w:pPr>
      <w:proofErr w:type="gramStart"/>
      <w:r w:rsidRPr="00846FBA">
        <w:t>reflect</w:t>
      </w:r>
      <w:proofErr w:type="gramEnd"/>
      <w:r w:rsidRPr="00846FBA">
        <w:t xml:space="preserve"> the arrangements set out in clauses </w:t>
      </w:r>
      <w:r w:rsidR="0000380A">
        <w:fldChar w:fldCharType="begin"/>
      </w:r>
      <w:r w:rsidR="0000380A">
        <w:instrText xml:space="preserve"> REF _Ref63434324 \w \h </w:instrText>
      </w:r>
      <w:r w:rsidR="0000380A">
        <w:fldChar w:fldCharType="separate"/>
      </w:r>
      <w:r w:rsidR="00F5458C">
        <w:t>4.5</w:t>
      </w:r>
      <w:r w:rsidR="0000380A">
        <w:fldChar w:fldCharType="end"/>
      </w:r>
      <w:r w:rsidRPr="00846FBA">
        <w:t xml:space="preserve"> and </w:t>
      </w:r>
      <w:r w:rsidR="0000380A">
        <w:fldChar w:fldCharType="begin"/>
      </w:r>
      <w:r w:rsidR="0000380A">
        <w:instrText xml:space="preserve"> REF _Ref63434325 \w \h </w:instrText>
      </w:r>
      <w:r w:rsidR="0000380A">
        <w:fldChar w:fldCharType="separate"/>
      </w:r>
      <w:r w:rsidR="00F5458C">
        <w:t>4.6</w:t>
      </w:r>
      <w:r w:rsidR="0000380A">
        <w:fldChar w:fldCharType="end"/>
      </w:r>
      <w:r>
        <w:t>; and</w:t>
      </w:r>
    </w:p>
    <w:p w14:paraId="558D95AC" w14:textId="67510D5E" w:rsidR="00F64AC9" w:rsidRDefault="00F64AC9" w:rsidP="00F64AC9">
      <w:pPr>
        <w:pStyle w:val="Heading4"/>
        <w:ind w:left="2552" w:hanging="851"/>
      </w:pPr>
      <w:proofErr w:type="gramStart"/>
      <w:r>
        <w:t>make</w:t>
      </w:r>
      <w:proofErr w:type="gramEnd"/>
      <w:r>
        <w:t xml:space="preserve"> consequential changes to Divisions 3A and 3B of Part VII of the Act to implement the modified Statutory Price Reductions and other arrangements described in this clause </w:t>
      </w:r>
      <w:r w:rsidR="0000380A">
        <w:fldChar w:fldCharType="begin"/>
      </w:r>
      <w:r w:rsidR="0000380A">
        <w:instrText xml:space="preserve"> REF _Ref66196358 \w \h </w:instrText>
      </w:r>
      <w:r w:rsidR="0000380A">
        <w:fldChar w:fldCharType="separate"/>
      </w:r>
      <w:r w:rsidR="00F5458C">
        <w:t>4</w:t>
      </w:r>
      <w:r w:rsidR="0000380A">
        <w:fldChar w:fldCharType="end"/>
      </w:r>
      <w:r w:rsidRPr="00846FBA">
        <w:t>.</w:t>
      </w:r>
    </w:p>
    <w:p w14:paraId="33B3D6D4" w14:textId="77777777" w:rsidR="00F64AC9" w:rsidRDefault="00F64AC9" w:rsidP="00F64AC9">
      <w:pPr>
        <w:pStyle w:val="Heading2"/>
      </w:pPr>
      <w:bookmarkStart w:id="80" w:name="_Ref75498488"/>
      <w:bookmarkStart w:id="81" w:name="_Toc79567168"/>
      <w:r>
        <w:t>Amendments to Statutory Price Reductions</w:t>
      </w:r>
      <w:bookmarkEnd w:id="80"/>
      <w:bookmarkEnd w:id="81"/>
    </w:p>
    <w:p w14:paraId="154559B6" w14:textId="77777777" w:rsidR="00F64AC9" w:rsidRDefault="00F64AC9" w:rsidP="00F64AC9">
      <w:pPr>
        <w:pStyle w:val="Heading3"/>
      </w:pPr>
      <w:r>
        <w:t>The percentage reductions for the Statutory Price Reductions in Table 1 that applied prior to this Agreement will be modified as per the new percentage under this Agreement set out in Table 1 and will apply on the corresponding reduction days specified in Table 1 during the Term.</w:t>
      </w:r>
    </w:p>
    <w:p w14:paraId="208F54AA" w14:textId="77777777" w:rsidR="00F64AC9" w:rsidRPr="00F845DE" w:rsidRDefault="00F64AC9" w:rsidP="00F64AC9">
      <w:pPr>
        <w:pStyle w:val="Heading3"/>
      </w:pPr>
      <w:r w:rsidRPr="00F845DE">
        <w:t xml:space="preserve">The Statutory Price Reduction mechanisms described in this clause will apply until the end of the Term. </w:t>
      </w:r>
    </w:p>
    <w:p w14:paraId="35AFC46B" w14:textId="77777777" w:rsidR="00F64AC9" w:rsidRPr="003111EA" w:rsidRDefault="00F64AC9" w:rsidP="00F64AC9">
      <w:pPr>
        <w:pStyle w:val="BodyIndent1"/>
        <w:keepNext/>
        <w:rPr>
          <w:rFonts w:eastAsiaTheme="minorHAnsi"/>
          <w:noProof/>
        </w:rPr>
      </w:pPr>
      <w:r w:rsidRPr="006D3A28">
        <w:rPr>
          <w:rFonts w:eastAsiaTheme="minorHAnsi"/>
          <w:noProof/>
        </w:rPr>
        <w:t xml:space="preserve">Table 1: </w:t>
      </w:r>
      <w:r>
        <w:rPr>
          <w:rFonts w:eastAsiaTheme="minorHAnsi"/>
          <w:noProof/>
        </w:rPr>
        <w:t>Amendments to SPRs</w:t>
      </w:r>
    </w:p>
    <w:tbl>
      <w:tblPr>
        <w:tblStyle w:val="TableGrid1"/>
        <w:tblW w:w="8917" w:type="dxa"/>
        <w:tblInd w:w="846" w:type="dxa"/>
        <w:tblLook w:val="04A0" w:firstRow="1" w:lastRow="0" w:firstColumn="1" w:lastColumn="0" w:noHBand="0" w:noVBand="1"/>
        <w:tblDescription w:val="Table 1: Amendments to SPRs"/>
      </w:tblPr>
      <w:tblGrid>
        <w:gridCol w:w="1071"/>
        <w:gridCol w:w="2898"/>
        <w:gridCol w:w="1701"/>
        <w:gridCol w:w="1626"/>
        <w:gridCol w:w="1621"/>
      </w:tblGrid>
      <w:tr w:rsidR="00F64AC9" w:rsidRPr="009D3B53" w14:paraId="22E83EA6" w14:textId="77777777" w:rsidTr="00252AF6">
        <w:trPr>
          <w:tblHeader/>
        </w:trPr>
        <w:tc>
          <w:tcPr>
            <w:tcW w:w="1071" w:type="dxa"/>
            <w:shd w:val="clear" w:color="auto" w:fill="0070C0"/>
            <w:vAlign w:val="center"/>
          </w:tcPr>
          <w:p w14:paraId="330EFB5D" w14:textId="77777777" w:rsidR="00F64AC9" w:rsidRPr="006D3A28" w:rsidRDefault="00F64AC9" w:rsidP="00F64AC9">
            <w:pPr>
              <w:keepNext/>
              <w:spacing w:before="20" w:after="20"/>
              <w:rPr>
                <w:rFonts w:cs="Arial"/>
                <w:noProof/>
              </w:rPr>
            </w:pPr>
            <w:r>
              <w:rPr>
                <w:rFonts w:cs="Arial"/>
                <w:noProof/>
              </w:rPr>
              <w:t>Section</w:t>
            </w:r>
          </w:p>
        </w:tc>
        <w:tc>
          <w:tcPr>
            <w:tcW w:w="2898" w:type="dxa"/>
            <w:shd w:val="clear" w:color="auto" w:fill="0070C0"/>
            <w:vAlign w:val="center"/>
          </w:tcPr>
          <w:p w14:paraId="60CDE4FE" w14:textId="77777777" w:rsidR="00F64AC9" w:rsidRPr="006D3A28" w:rsidRDefault="00F64AC9" w:rsidP="00F64AC9">
            <w:pPr>
              <w:keepNext/>
              <w:spacing w:before="20" w:after="20"/>
              <w:rPr>
                <w:rFonts w:cs="Arial"/>
                <w:noProof/>
              </w:rPr>
            </w:pPr>
            <w:r>
              <w:rPr>
                <w:rFonts w:cs="Arial"/>
                <w:noProof/>
              </w:rPr>
              <w:t>Description</w:t>
            </w:r>
          </w:p>
        </w:tc>
        <w:tc>
          <w:tcPr>
            <w:tcW w:w="1701" w:type="dxa"/>
            <w:shd w:val="clear" w:color="auto" w:fill="0070C0"/>
          </w:tcPr>
          <w:p w14:paraId="55D6C5AE" w14:textId="77777777" w:rsidR="00F64AC9" w:rsidRPr="006D3A28" w:rsidRDefault="00F64AC9" w:rsidP="00F64AC9">
            <w:pPr>
              <w:keepNext/>
              <w:spacing w:before="20" w:after="20"/>
              <w:ind w:hanging="1"/>
              <w:rPr>
                <w:rFonts w:cs="Arial"/>
                <w:noProof/>
              </w:rPr>
            </w:pPr>
            <w:r>
              <w:rPr>
                <w:rFonts w:cs="Arial"/>
                <w:noProof/>
              </w:rPr>
              <w:t>Percentage prior to this Agreement</w:t>
            </w:r>
            <w:r>
              <w:rPr>
                <w:rStyle w:val="FootnoteReference"/>
                <w:rFonts w:cs="Arial"/>
                <w:noProof/>
              </w:rPr>
              <w:footnoteReference w:id="8"/>
            </w:r>
          </w:p>
        </w:tc>
        <w:tc>
          <w:tcPr>
            <w:tcW w:w="1626" w:type="dxa"/>
            <w:shd w:val="clear" w:color="auto" w:fill="0070C0"/>
            <w:vAlign w:val="center"/>
          </w:tcPr>
          <w:p w14:paraId="2B6A8326" w14:textId="77777777" w:rsidR="00F64AC9" w:rsidRPr="006D3A28" w:rsidRDefault="00F64AC9" w:rsidP="00F64AC9">
            <w:pPr>
              <w:keepNext/>
              <w:spacing w:before="20" w:after="20"/>
              <w:ind w:hanging="1"/>
              <w:rPr>
                <w:rFonts w:cs="Arial"/>
                <w:noProof/>
              </w:rPr>
            </w:pPr>
            <w:r>
              <w:rPr>
                <w:rFonts w:cs="Arial"/>
                <w:noProof/>
              </w:rPr>
              <w:t>New percentage under this Agreement</w:t>
            </w:r>
          </w:p>
        </w:tc>
        <w:tc>
          <w:tcPr>
            <w:tcW w:w="1621" w:type="dxa"/>
            <w:shd w:val="clear" w:color="auto" w:fill="0070C0"/>
            <w:vAlign w:val="center"/>
          </w:tcPr>
          <w:p w14:paraId="3036019A" w14:textId="77777777" w:rsidR="00F64AC9" w:rsidRPr="006D3A28" w:rsidRDefault="00F64AC9" w:rsidP="00F64AC9">
            <w:pPr>
              <w:keepNext/>
              <w:spacing w:before="20" w:after="20"/>
              <w:ind w:hanging="1"/>
              <w:rPr>
                <w:rFonts w:cs="Arial"/>
                <w:noProof/>
              </w:rPr>
            </w:pPr>
            <w:r>
              <w:rPr>
                <w:rFonts w:cs="Arial"/>
                <w:noProof/>
              </w:rPr>
              <w:t>Reduction day(s)</w:t>
            </w:r>
          </w:p>
        </w:tc>
      </w:tr>
      <w:tr w:rsidR="00F64AC9" w:rsidRPr="009D3B53" w14:paraId="43C7898F" w14:textId="77777777" w:rsidTr="00252AF6">
        <w:trPr>
          <w:trHeight w:val="340"/>
        </w:trPr>
        <w:tc>
          <w:tcPr>
            <w:tcW w:w="1071" w:type="dxa"/>
            <w:vAlign w:val="center"/>
          </w:tcPr>
          <w:p w14:paraId="42B827A4" w14:textId="77777777" w:rsidR="00F64AC9" w:rsidRPr="006D3A28" w:rsidRDefault="00F64AC9" w:rsidP="00252AF6">
            <w:pPr>
              <w:spacing w:before="20" w:after="20"/>
              <w:ind w:hanging="1"/>
              <w:rPr>
                <w:rFonts w:cs="Arial"/>
                <w:noProof/>
              </w:rPr>
            </w:pPr>
            <w:r>
              <w:rPr>
                <w:rFonts w:cs="Arial"/>
                <w:noProof/>
              </w:rPr>
              <w:t>99ACHA</w:t>
            </w:r>
          </w:p>
        </w:tc>
        <w:tc>
          <w:tcPr>
            <w:tcW w:w="2898" w:type="dxa"/>
            <w:vAlign w:val="center"/>
          </w:tcPr>
          <w:p w14:paraId="2DD5A767" w14:textId="77777777" w:rsidR="00F64AC9" w:rsidRPr="006D3A28" w:rsidRDefault="00F64AC9" w:rsidP="00252AF6">
            <w:pPr>
              <w:spacing w:before="20" w:after="20"/>
              <w:ind w:hanging="1"/>
              <w:rPr>
                <w:rFonts w:cs="Arial"/>
                <w:noProof/>
              </w:rPr>
            </w:pPr>
            <w:r>
              <w:rPr>
                <w:rFonts w:cs="Arial"/>
                <w:noProof/>
              </w:rPr>
              <w:t>One off price reduction on 5</w:t>
            </w:r>
            <w:r w:rsidRPr="00896838">
              <w:rPr>
                <w:rFonts w:cs="Arial"/>
                <w:noProof/>
                <w:vertAlign w:val="superscript"/>
              </w:rPr>
              <w:t>th</w:t>
            </w:r>
            <w:r>
              <w:rPr>
                <w:rFonts w:cs="Arial"/>
                <w:noProof/>
              </w:rPr>
              <w:t xml:space="preserve"> anniversary of the drug being a Listed Drug</w:t>
            </w:r>
          </w:p>
        </w:tc>
        <w:tc>
          <w:tcPr>
            <w:tcW w:w="1701" w:type="dxa"/>
            <w:vAlign w:val="center"/>
          </w:tcPr>
          <w:p w14:paraId="7883F8AD" w14:textId="77777777" w:rsidR="00F64AC9" w:rsidRPr="006D3A28" w:rsidRDefault="00F64AC9" w:rsidP="00252AF6">
            <w:pPr>
              <w:spacing w:before="20" w:after="20"/>
              <w:ind w:hanging="1"/>
              <w:rPr>
                <w:rFonts w:cs="Arial"/>
                <w:noProof/>
              </w:rPr>
            </w:pPr>
            <w:r>
              <w:rPr>
                <w:rFonts w:cs="Arial"/>
                <w:noProof/>
              </w:rPr>
              <w:t>5%</w:t>
            </w:r>
          </w:p>
        </w:tc>
        <w:tc>
          <w:tcPr>
            <w:tcW w:w="1626" w:type="dxa"/>
            <w:vAlign w:val="center"/>
          </w:tcPr>
          <w:p w14:paraId="79E7F204" w14:textId="77777777" w:rsidR="00F64AC9" w:rsidRPr="006D3A28" w:rsidRDefault="00F64AC9" w:rsidP="00252AF6">
            <w:pPr>
              <w:spacing w:before="20" w:after="20"/>
              <w:ind w:hanging="1"/>
              <w:rPr>
                <w:rFonts w:cs="Arial"/>
                <w:noProof/>
              </w:rPr>
            </w:pPr>
            <w:r>
              <w:rPr>
                <w:rFonts w:cs="Arial"/>
                <w:noProof/>
              </w:rPr>
              <w:t>5%</w:t>
            </w:r>
          </w:p>
        </w:tc>
        <w:tc>
          <w:tcPr>
            <w:tcW w:w="1621" w:type="dxa"/>
            <w:shd w:val="clear" w:color="auto" w:fill="auto"/>
            <w:vAlign w:val="center"/>
          </w:tcPr>
          <w:p w14:paraId="523C7651" w14:textId="77777777" w:rsidR="00F64AC9" w:rsidRDefault="00F64AC9" w:rsidP="00252AF6">
            <w:pPr>
              <w:spacing w:before="20" w:after="20"/>
              <w:ind w:hanging="1"/>
              <w:rPr>
                <w:rFonts w:cs="Arial"/>
                <w:noProof/>
              </w:rPr>
            </w:pPr>
            <w:r>
              <w:rPr>
                <w:rFonts w:cs="Arial"/>
                <w:noProof/>
              </w:rPr>
              <w:t>1 April 2023</w:t>
            </w:r>
          </w:p>
          <w:p w14:paraId="7493ECCC" w14:textId="77777777" w:rsidR="00F64AC9" w:rsidRDefault="00F64AC9" w:rsidP="00252AF6">
            <w:pPr>
              <w:spacing w:before="20" w:after="20"/>
              <w:ind w:hanging="1"/>
              <w:rPr>
                <w:rFonts w:cs="Arial"/>
                <w:noProof/>
              </w:rPr>
            </w:pPr>
            <w:r>
              <w:rPr>
                <w:rFonts w:cs="Arial"/>
                <w:noProof/>
              </w:rPr>
              <w:t>1 April 2024</w:t>
            </w:r>
          </w:p>
          <w:p w14:paraId="69F0331C" w14:textId="77777777" w:rsidR="00F64AC9" w:rsidRDefault="00F64AC9" w:rsidP="00252AF6">
            <w:pPr>
              <w:spacing w:before="20" w:after="20"/>
              <w:ind w:hanging="1"/>
              <w:rPr>
                <w:rFonts w:cs="Arial"/>
                <w:noProof/>
              </w:rPr>
            </w:pPr>
            <w:r>
              <w:rPr>
                <w:rFonts w:cs="Arial"/>
                <w:noProof/>
              </w:rPr>
              <w:t>1 April 2025</w:t>
            </w:r>
          </w:p>
          <w:p w14:paraId="3EE5B3AE" w14:textId="77777777" w:rsidR="00F64AC9" w:rsidRDefault="00F64AC9" w:rsidP="00252AF6">
            <w:pPr>
              <w:spacing w:before="20" w:after="20"/>
              <w:ind w:hanging="1"/>
              <w:rPr>
                <w:rFonts w:cs="Arial"/>
                <w:noProof/>
              </w:rPr>
            </w:pPr>
            <w:r>
              <w:rPr>
                <w:rFonts w:cs="Arial"/>
                <w:noProof/>
              </w:rPr>
              <w:t>1 April 2026</w:t>
            </w:r>
          </w:p>
          <w:p w14:paraId="0D2AF361" w14:textId="77777777" w:rsidR="00F64AC9" w:rsidRPr="006D3A28" w:rsidRDefault="00F64AC9" w:rsidP="00252AF6">
            <w:pPr>
              <w:spacing w:before="20" w:after="20"/>
              <w:ind w:hanging="1"/>
              <w:rPr>
                <w:rFonts w:cs="Arial"/>
                <w:noProof/>
              </w:rPr>
            </w:pPr>
            <w:r>
              <w:rPr>
                <w:rFonts w:cs="Arial"/>
                <w:noProof/>
              </w:rPr>
              <w:t>1 April 2027</w:t>
            </w:r>
          </w:p>
        </w:tc>
      </w:tr>
      <w:tr w:rsidR="00F64AC9" w:rsidRPr="009D3B53" w14:paraId="02CC2461" w14:textId="77777777" w:rsidTr="00252AF6">
        <w:trPr>
          <w:cantSplit/>
          <w:trHeight w:val="340"/>
        </w:trPr>
        <w:tc>
          <w:tcPr>
            <w:tcW w:w="1071" w:type="dxa"/>
            <w:vAlign w:val="center"/>
          </w:tcPr>
          <w:p w14:paraId="58F50B10" w14:textId="77777777" w:rsidR="00F64AC9" w:rsidRPr="006D3A28" w:rsidRDefault="00F64AC9" w:rsidP="00252AF6">
            <w:pPr>
              <w:spacing w:before="20" w:after="20"/>
              <w:ind w:hanging="1"/>
              <w:rPr>
                <w:rFonts w:cs="Arial"/>
                <w:noProof/>
              </w:rPr>
            </w:pPr>
            <w:r>
              <w:rPr>
                <w:rFonts w:cs="Arial"/>
                <w:noProof/>
              </w:rPr>
              <w:t>99ACJ</w:t>
            </w:r>
          </w:p>
        </w:tc>
        <w:tc>
          <w:tcPr>
            <w:tcW w:w="2898" w:type="dxa"/>
            <w:vAlign w:val="center"/>
          </w:tcPr>
          <w:p w14:paraId="4BB65607" w14:textId="77777777" w:rsidR="00F64AC9" w:rsidRPr="006D3A28" w:rsidRDefault="00F64AC9" w:rsidP="00252AF6">
            <w:pPr>
              <w:spacing w:before="20" w:after="20"/>
              <w:ind w:hanging="1"/>
              <w:rPr>
                <w:rFonts w:cs="Arial"/>
                <w:noProof/>
              </w:rPr>
            </w:pPr>
            <w:r>
              <w:rPr>
                <w:rFonts w:cs="Arial"/>
                <w:noProof/>
              </w:rPr>
              <w:t>One off price reduction on tenth anniversary of drug being a Listed Drug</w:t>
            </w:r>
          </w:p>
        </w:tc>
        <w:tc>
          <w:tcPr>
            <w:tcW w:w="1701" w:type="dxa"/>
            <w:vAlign w:val="center"/>
          </w:tcPr>
          <w:p w14:paraId="2D0F35FE" w14:textId="77777777" w:rsidR="00F64AC9" w:rsidRPr="006D3A28" w:rsidRDefault="00F64AC9" w:rsidP="00252AF6">
            <w:pPr>
              <w:spacing w:before="20" w:after="20"/>
              <w:ind w:hanging="1"/>
              <w:rPr>
                <w:rFonts w:cs="Arial"/>
                <w:noProof/>
              </w:rPr>
            </w:pPr>
            <w:r>
              <w:rPr>
                <w:rFonts w:cs="Arial"/>
                <w:noProof/>
              </w:rPr>
              <w:t>10%</w:t>
            </w:r>
          </w:p>
        </w:tc>
        <w:tc>
          <w:tcPr>
            <w:tcW w:w="1626" w:type="dxa"/>
            <w:vAlign w:val="center"/>
          </w:tcPr>
          <w:p w14:paraId="3B9716E2" w14:textId="77777777" w:rsidR="00F64AC9" w:rsidRPr="006D3A28" w:rsidRDefault="00F64AC9" w:rsidP="00252AF6">
            <w:pPr>
              <w:spacing w:before="20" w:after="20"/>
              <w:ind w:hanging="1"/>
              <w:rPr>
                <w:rFonts w:cs="Arial"/>
                <w:noProof/>
              </w:rPr>
            </w:pPr>
            <w:r>
              <w:rPr>
                <w:rFonts w:cs="Arial"/>
                <w:noProof/>
              </w:rPr>
              <w:t>5%</w:t>
            </w:r>
          </w:p>
        </w:tc>
        <w:tc>
          <w:tcPr>
            <w:tcW w:w="1621" w:type="dxa"/>
            <w:shd w:val="clear" w:color="auto" w:fill="auto"/>
            <w:vAlign w:val="center"/>
          </w:tcPr>
          <w:p w14:paraId="2E55AC20" w14:textId="77777777" w:rsidR="00F64AC9" w:rsidRDefault="00F64AC9" w:rsidP="00252AF6">
            <w:pPr>
              <w:spacing w:before="20" w:after="20"/>
              <w:ind w:hanging="1"/>
              <w:rPr>
                <w:rFonts w:cs="Arial"/>
                <w:noProof/>
              </w:rPr>
            </w:pPr>
            <w:r>
              <w:rPr>
                <w:rFonts w:cs="Arial"/>
                <w:noProof/>
              </w:rPr>
              <w:t>1 April 2023</w:t>
            </w:r>
          </w:p>
          <w:p w14:paraId="27B9212B" w14:textId="77777777" w:rsidR="00F64AC9" w:rsidRDefault="00F64AC9" w:rsidP="00252AF6">
            <w:pPr>
              <w:spacing w:before="20" w:after="20"/>
              <w:ind w:hanging="1"/>
              <w:rPr>
                <w:rFonts w:cs="Arial"/>
                <w:noProof/>
              </w:rPr>
            </w:pPr>
            <w:r>
              <w:rPr>
                <w:rFonts w:cs="Arial"/>
                <w:noProof/>
              </w:rPr>
              <w:t>1 April 2024</w:t>
            </w:r>
          </w:p>
          <w:p w14:paraId="043A246C" w14:textId="77777777" w:rsidR="00F64AC9" w:rsidRDefault="00F64AC9" w:rsidP="00252AF6">
            <w:pPr>
              <w:spacing w:before="20" w:after="20"/>
              <w:ind w:hanging="1"/>
              <w:rPr>
                <w:rFonts w:cs="Arial"/>
                <w:noProof/>
              </w:rPr>
            </w:pPr>
            <w:r>
              <w:rPr>
                <w:rFonts w:cs="Arial"/>
                <w:noProof/>
              </w:rPr>
              <w:t>1 April 2025</w:t>
            </w:r>
          </w:p>
          <w:p w14:paraId="459406BF" w14:textId="77777777" w:rsidR="00F64AC9" w:rsidRDefault="00F64AC9" w:rsidP="00252AF6">
            <w:pPr>
              <w:spacing w:before="20" w:after="20"/>
              <w:ind w:hanging="1"/>
              <w:rPr>
                <w:rFonts w:cs="Arial"/>
                <w:noProof/>
              </w:rPr>
            </w:pPr>
            <w:r>
              <w:rPr>
                <w:rFonts w:cs="Arial"/>
                <w:noProof/>
              </w:rPr>
              <w:t>1 April 2026</w:t>
            </w:r>
          </w:p>
          <w:p w14:paraId="5AD39A1D" w14:textId="77777777" w:rsidR="00F64AC9" w:rsidRPr="006D3A28" w:rsidRDefault="00F64AC9" w:rsidP="00252AF6">
            <w:pPr>
              <w:spacing w:before="20" w:after="20"/>
              <w:ind w:hanging="1"/>
              <w:rPr>
                <w:rFonts w:cs="Arial"/>
                <w:noProof/>
              </w:rPr>
            </w:pPr>
            <w:r>
              <w:rPr>
                <w:rFonts w:cs="Arial"/>
                <w:noProof/>
              </w:rPr>
              <w:t>1 April 2027</w:t>
            </w:r>
          </w:p>
        </w:tc>
      </w:tr>
      <w:tr w:rsidR="00F64AC9" w:rsidRPr="009D3B53" w14:paraId="136786F9" w14:textId="77777777" w:rsidTr="00252AF6">
        <w:trPr>
          <w:cantSplit/>
          <w:trHeight w:val="394"/>
        </w:trPr>
        <w:tc>
          <w:tcPr>
            <w:tcW w:w="1071" w:type="dxa"/>
            <w:vMerge w:val="restart"/>
            <w:vAlign w:val="center"/>
          </w:tcPr>
          <w:p w14:paraId="6C9C488B" w14:textId="77777777" w:rsidR="00F64AC9" w:rsidRPr="006D3A28" w:rsidRDefault="00F64AC9" w:rsidP="00252AF6">
            <w:pPr>
              <w:spacing w:before="20" w:after="20"/>
              <w:ind w:hanging="1"/>
              <w:rPr>
                <w:rFonts w:cs="Arial"/>
                <w:noProof/>
              </w:rPr>
            </w:pPr>
            <w:r>
              <w:rPr>
                <w:rFonts w:cs="Arial"/>
                <w:noProof/>
              </w:rPr>
              <w:t>99ACK</w:t>
            </w:r>
          </w:p>
        </w:tc>
        <w:tc>
          <w:tcPr>
            <w:tcW w:w="2898" w:type="dxa"/>
            <w:vMerge w:val="restart"/>
            <w:vAlign w:val="center"/>
          </w:tcPr>
          <w:p w14:paraId="4297FC40" w14:textId="77777777" w:rsidR="00F64AC9" w:rsidRPr="006D3A28" w:rsidRDefault="00F64AC9" w:rsidP="00252AF6">
            <w:pPr>
              <w:spacing w:before="20" w:after="20"/>
              <w:ind w:hanging="1"/>
              <w:rPr>
                <w:rFonts w:cs="Arial"/>
                <w:noProof/>
              </w:rPr>
            </w:pPr>
            <w:r>
              <w:rPr>
                <w:rFonts w:cs="Arial"/>
                <w:noProof/>
              </w:rPr>
              <w:t>One off price reduction on 15</w:t>
            </w:r>
            <w:r w:rsidRPr="00896838">
              <w:rPr>
                <w:rFonts w:cs="Arial"/>
                <w:noProof/>
                <w:vertAlign w:val="superscript"/>
              </w:rPr>
              <w:t>th</w:t>
            </w:r>
            <w:r>
              <w:rPr>
                <w:rFonts w:cs="Arial"/>
                <w:noProof/>
              </w:rPr>
              <w:t xml:space="preserve"> anniverary of drug being a Listed Drug (if before any first new brand price reduction)</w:t>
            </w:r>
          </w:p>
        </w:tc>
        <w:tc>
          <w:tcPr>
            <w:tcW w:w="1701" w:type="dxa"/>
            <w:vMerge w:val="restart"/>
            <w:vAlign w:val="center"/>
          </w:tcPr>
          <w:p w14:paraId="5BB5087A" w14:textId="77777777" w:rsidR="00F64AC9" w:rsidRPr="006D3A28" w:rsidRDefault="00F64AC9" w:rsidP="00252AF6">
            <w:pPr>
              <w:spacing w:before="20" w:after="20"/>
              <w:ind w:hanging="1"/>
              <w:rPr>
                <w:rFonts w:cs="Arial"/>
                <w:noProof/>
              </w:rPr>
            </w:pPr>
            <w:r>
              <w:rPr>
                <w:rFonts w:cs="Arial"/>
                <w:noProof/>
              </w:rPr>
              <w:t>5%</w:t>
            </w:r>
          </w:p>
        </w:tc>
        <w:tc>
          <w:tcPr>
            <w:tcW w:w="1626" w:type="dxa"/>
            <w:vAlign w:val="center"/>
          </w:tcPr>
          <w:p w14:paraId="4B13195F" w14:textId="77777777" w:rsidR="00F64AC9" w:rsidRPr="006D3A28" w:rsidRDefault="00F64AC9" w:rsidP="00252AF6">
            <w:pPr>
              <w:spacing w:before="20" w:after="20"/>
              <w:ind w:hanging="1"/>
              <w:rPr>
                <w:rFonts w:cs="Arial"/>
                <w:noProof/>
              </w:rPr>
            </w:pPr>
            <w:r>
              <w:rPr>
                <w:rFonts w:cs="Arial"/>
                <w:noProof/>
              </w:rPr>
              <w:t>26.1%</w:t>
            </w:r>
          </w:p>
        </w:tc>
        <w:tc>
          <w:tcPr>
            <w:tcW w:w="1621" w:type="dxa"/>
            <w:shd w:val="clear" w:color="auto" w:fill="auto"/>
            <w:vAlign w:val="center"/>
          </w:tcPr>
          <w:p w14:paraId="36C11E50" w14:textId="77777777" w:rsidR="00F64AC9" w:rsidRDefault="00F64AC9" w:rsidP="00252AF6">
            <w:pPr>
              <w:spacing w:before="20" w:after="20"/>
              <w:ind w:hanging="1"/>
              <w:rPr>
                <w:rFonts w:cs="Arial"/>
                <w:noProof/>
              </w:rPr>
            </w:pPr>
            <w:r>
              <w:rPr>
                <w:rFonts w:cs="Arial"/>
                <w:noProof/>
              </w:rPr>
              <w:t>1 April 2023</w:t>
            </w:r>
          </w:p>
          <w:p w14:paraId="29B4C3DF" w14:textId="77777777" w:rsidR="00F64AC9" w:rsidRDefault="00F64AC9" w:rsidP="00252AF6">
            <w:pPr>
              <w:spacing w:before="20" w:after="20"/>
              <w:ind w:hanging="1"/>
              <w:rPr>
                <w:rFonts w:cs="Arial"/>
                <w:noProof/>
              </w:rPr>
            </w:pPr>
            <w:r>
              <w:rPr>
                <w:rFonts w:cs="Arial"/>
                <w:noProof/>
              </w:rPr>
              <w:t>1 April 2024</w:t>
            </w:r>
          </w:p>
          <w:p w14:paraId="16CB0F91" w14:textId="77777777" w:rsidR="00F64AC9" w:rsidRDefault="00F64AC9" w:rsidP="00252AF6">
            <w:pPr>
              <w:spacing w:before="20" w:after="20"/>
              <w:ind w:hanging="1"/>
              <w:rPr>
                <w:rFonts w:cs="Arial"/>
                <w:noProof/>
              </w:rPr>
            </w:pPr>
            <w:r>
              <w:rPr>
                <w:rFonts w:cs="Arial"/>
                <w:noProof/>
              </w:rPr>
              <w:t>1 April 2025</w:t>
            </w:r>
          </w:p>
          <w:p w14:paraId="0720E115" w14:textId="77777777" w:rsidR="00F64AC9" w:rsidRPr="006D3A28" w:rsidRDefault="00F64AC9" w:rsidP="00252AF6">
            <w:pPr>
              <w:spacing w:before="20" w:after="20"/>
              <w:ind w:hanging="1"/>
              <w:rPr>
                <w:rFonts w:cs="Arial"/>
                <w:noProof/>
              </w:rPr>
            </w:pPr>
            <w:r>
              <w:rPr>
                <w:rFonts w:cs="Arial"/>
                <w:noProof/>
              </w:rPr>
              <w:t>1 April 2026</w:t>
            </w:r>
          </w:p>
        </w:tc>
      </w:tr>
      <w:tr w:rsidR="00F64AC9" w:rsidRPr="009D3B53" w14:paraId="1C8E01AF" w14:textId="77777777" w:rsidTr="00252AF6">
        <w:trPr>
          <w:cantSplit/>
          <w:trHeight w:val="395"/>
        </w:trPr>
        <w:tc>
          <w:tcPr>
            <w:tcW w:w="1071" w:type="dxa"/>
            <w:vMerge/>
            <w:vAlign w:val="center"/>
          </w:tcPr>
          <w:p w14:paraId="05B1B59C" w14:textId="77777777" w:rsidR="00F64AC9" w:rsidRDefault="00F64AC9" w:rsidP="00252AF6">
            <w:pPr>
              <w:spacing w:before="20" w:after="20"/>
              <w:ind w:hanging="1"/>
              <w:rPr>
                <w:rFonts w:cs="Arial"/>
                <w:noProof/>
              </w:rPr>
            </w:pPr>
          </w:p>
        </w:tc>
        <w:tc>
          <w:tcPr>
            <w:tcW w:w="2898" w:type="dxa"/>
            <w:vMerge/>
          </w:tcPr>
          <w:p w14:paraId="0D90C92A" w14:textId="77777777" w:rsidR="00F64AC9" w:rsidRDefault="00F64AC9" w:rsidP="00252AF6">
            <w:pPr>
              <w:spacing w:before="20" w:after="20"/>
              <w:ind w:hanging="1"/>
              <w:rPr>
                <w:rFonts w:cs="Arial"/>
                <w:noProof/>
              </w:rPr>
            </w:pPr>
          </w:p>
        </w:tc>
        <w:tc>
          <w:tcPr>
            <w:tcW w:w="1701" w:type="dxa"/>
            <w:vMerge/>
            <w:vAlign w:val="center"/>
          </w:tcPr>
          <w:p w14:paraId="0681F92C" w14:textId="77777777" w:rsidR="00F64AC9" w:rsidRDefault="00F64AC9" w:rsidP="00252AF6">
            <w:pPr>
              <w:spacing w:before="20" w:after="20"/>
              <w:ind w:hanging="1"/>
              <w:rPr>
                <w:rFonts w:cs="Arial"/>
                <w:noProof/>
              </w:rPr>
            </w:pPr>
          </w:p>
        </w:tc>
        <w:tc>
          <w:tcPr>
            <w:tcW w:w="1626" w:type="dxa"/>
            <w:vAlign w:val="center"/>
          </w:tcPr>
          <w:p w14:paraId="4340C734" w14:textId="77777777" w:rsidR="00F64AC9" w:rsidRDefault="00F64AC9" w:rsidP="00252AF6">
            <w:pPr>
              <w:spacing w:before="20" w:after="20"/>
              <w:ind w:hanging="1"/>
              <w:rPr>
                <w:rFonts w:cs="Arial"/>
                <w:noProof/>
              </w:rPr>
            </w:pPr>
            <w:r>
              <w:rPr>
                <w:rFonts w:cs="Arial"/>
                <w:noProof/>
              </w:rPr>
              <w:t>30%</w:t>
            </w:r>
          </w:p>
        </w:tc>
        <w:tc>
          <w:tcPr>
            <w:tcW w:w="1621" w:type="dxa"/>
            <w:shd w:val="clear" w:color="auto" w:fill="auto"/>
            <w:vAlign w:val="center"/>
          </w:tcPr>
          <w:p w14:paraId="2726F4E7" w14:textId="77777777" w:rsidR="00F64AC9" w:rsidRPr="006D3A28" w:rsidRDefault="00F64AC9" w:rsidP="00252AF6">
            <w:pPr>
              <w:spacing w:before="20" w:after="20"/>
              <w:ind w:hanging="1"/>
              <w:rPr>
                <w:rFonts w:cs="Arial"/>
                <w:noProof/>
              </w:rPr>
            </w:pPr>
            <w:r>
              <w:rPr>
                <w:rFonts w:cs="Arial"/>
                <w:noProof/>
              </w:rPr>
              <w:t>1 April 2027</w:t>
            </w:r>
          </w:p>
        </w:tc>
      </w:tr>
      <w:tr w:rsidR="00F64AC9" w:rsidRPr="009D3B53" w14:paraId="56ABB524" w14:textId="77777777" w:rsidTr="00252AF6">
        <w:trPr>
          <w:cantSplit/>
          <w:trHeight w:val="395"/>
        </w:trPr>
        <w:tc>
          <w:tcPr>
            <w:tcW w:w="1071" w:type="dxa"/>
          </w:tcPr>
          <w:p w14:paraId="0EE36028" w14:textId="77777777" w:rsidR="00F64AC9" w:rsidRDefault="00F64AC9" w:rsidP="00252AF6">
            <w:pPr>
              <w:spacing w:before="20" w:after="20"/>
              <w:ind w:hanging="1"/>
              <w:rPr>
                <w:rFonts w:cs="Arial"/>
                <w:noProof/>
              </w:rPr>
            </w:pPr>
            <w:r>
              <w:rPr>
                <w:rFonts w:cs="Arial"/>
                <w:noProof/>
              </w:rPr>
              <w:t>99ACB</w:t>
            </w:r>
          </w:p>
          <w:p w14:paraId="43ECA03E" w14:textId="77777777" w:rsidR="00F64AC9" w:rsidRDefault="00F64AC9" w:rsidP="00252AF6">
            <w:pPr>
              <w:spacing w:before="20" w:after="20"/>
              <w:ind w:hanging="1"/>
              <w:rPr>
                <w:rFonts w:cs="Arial"/>
                <w:noProof/>
              </w:rPr>
            </w:pPr>
            <w:r>
              <w:rPr>
                <w:rFonts w:cs="Arial"/>
                <w:noProof/>
              </w:rPr>
              <w:t>99ACD</w:t>
            </w:r>
          </w:p>
          <w:p w14:paraId="67CC4FD3" w14:textId="77777777" w:rsidR="00F64AC9" w:rsidRDefault="00F64AC9" w:rsidP="00252AF6">
            <w:pPr>
              <w:spacing w:before="20" w:after="20"/>
              <w:ind w:hanging="1"/>
              <w:rPr>
                <w:rFonts w:cs="Arial"/>
                <w:noProof/>
              </w:rPr>
            </w:pPr>
            <w:r>
              <w:rPr>
                <w:rFonts w:cs="Arial"/>
                <w:noProof/>
              </w:rPr>
              <w:t>99ACE</w:t>
            </w:r>
          </w:p>
          <w:p w14:paraId="241F41AC" w14:textId="77777777" w:rsidR="00F64AC9" w:rsidRDefault="00F64AC9" w:rsidP="00252AF6">
            <w:pPr>
              <w:spacing w:before="20" w:after="20"/>
              <w:ind w:hanging="1"/>
              <w:rPr>
                <w:rFonts w:cs="Arial"/>
                <w:noProof/>
              </w:rPr>
            </w:pPr>
            <w:r>
              <w:rPr>
                <w:rFonts w:cs="Arial"/>
                <w:noProof/>
              </w:rPr>
              <w:t>99ACF</w:t>
            </w:r>
          </w:p>
          <w:p w14:paraId="5E272C2A" w14:textId="77777777" w:rsidR="00F64AC9" w:rsidRDefault="00F64AC9" w:rsidP="00252AF6">
            <w:pPr>
              <w:spacing w:before="20" w:after="20"/>
              <w:ind w:hanging="1"/>
              <w:rPr>
                <w:rFonts w:cs="Arial"/>
                <w:noProof/>
              </w:rPr>
            </w:pPr>
            <w:r>
              <w:rPr>
                <w:rFonts w:cs="Arial"/>
                <w:noProof/>
              </w:rPr>
              <w:t>99ACH</w:t>
            </w:r>
          </w:p>
        </w:tc>
        <w:tc>
          <w:tcPr>
            <w:tcW w:w="2898" w:type="dxa"/>
          </w:tcPr>
          <w:p w14:paraId="1FD62871" w14:textId="77777777" w:rsidR="00F64AC9" w:rsidRDefault="00F64AC9" w:rsidP="00252AF6">
            <w:pPr>
              <w:spacing w:before="20" w:after="20"/>
              <w:ind w:hanging="1"/>
              <w:rPr>
                <w:rFonts w:cs="Arial"/>
                <w:noProof/>
              </w:rPr>
            </w:pPr>
            <w:r>
              <w:rPr>
                <w:rFonts w:cs="Arial"/>
                <w:noProof/>
              </w:rPr>
              <w:t>First new brand price reduction (if before 15</w:t>
            </w:r>
            <w:r w:rsidRPr="00FA226C">
              <w:rPr>
                <w:rFonts w:cs="Arial"/>
                <w:noProof/>
                <w:vertAlign w:val="superscript"/>
              </w:rPr>
              <w:t>th</w:t>
            </w:r>
            <w:r>
              <w:rPr>
                <w:rFonts w:cs="Arial"/>
                <w:noProof/>
              </w:rPr>
              <w:t xml:space="preserve"> anniversary of drug being a Listed Drug)</w:t>
            </w:r>
          </w:p>
        </w:tc>
        <w:tc>
          <w:tcPr>
            <w:tcW w:w="1701" w:type="dxa"/>
            <w:vAlign w:val="center"/>
          </w:tcPr>
          <w:p w14:paraId="75DA4114" w14:textId="23D6619F" w:rsidR="00F64AC9" w:rsidRDefault="00F64AC9" w:rsidP="00252AF6">
            <w:pPr>
              <w:spacing w:before="20" w:after="20"/>
              <w:rPr>
                <w:rFonts w:cs="Arial"/>
                <w:noProof/>
              </w:rPr>
            </w:pPr>
            <w:r>
              <w:rPr>
                <w:rFonts w:cs="Arial"/>
                <w:noProof/>
              </w:rPr>
              <w:t xml:space="preserve">25% </w:t>
            </w:r>
            <w:r w:rsidRPr="00F845DE">
              <w:rPr>
                <w:rFonts w:cs="Arial"/>
                <w:noProof/>
              </w:rPr>
              <w:t>up to a maximum of 40% of</w:t>
            </w:r>
            <w:r w:rsidR="00CA6DA6">
              <w:rPr>
                <w:rFonts w:cs="Arial"/>
                <w:noProof/>
              </w:rPr>
              <w:t>f</w:t>
            </w:r>
            <w:r w:rsidRPr="00F845DE">
              <w:rPr>
                <w:rFonts w:cs="Arial"/>
                <w:noProof/>
              </w:rPr>
              <w:t xml:space="preserve"> the</w:t>
            </w:r>
            <w:r w:rsidRPr="00AD3DA1">
              <w:rPr>
                <w:rFonts w:cs="Arial"/>
                <w:noProof/>
              </w:rPr>
              <w:t xml:space="preserve"> earliest of 1</w:t>
            </w:r>
            <w:r>
              <w:rPr>
                <w:rFonts w:cs="Arial"/>
                <w:noProof/>
              </w:rPr>
              <w:t> </w:t>
            </w:r>
            <w:r w:rsidRPr="00AD3DA1">
              <w:rPr>
                <w:rFonts w:cs="Arial"/>
                <w:noProof/>
              </w:rPr>
              <w:t>January 2016 or date of listing AEMP</w:t>
            </w:r>
            <w:r>
              <w:rPr>
                <w:rFonts w:cs="Arial"/>
                <w:noProof/>
              </w:rPr>
              <w:t xml:space="preserve"> until 30 June 2022.  16% thereafter </w:t>
            </w:r>
          </w:p>
        </w:tc>
        <w:tc>
          <w:tcPr>
            <w:tcW w:w="1626" w:type="dxa"/>
          </w:tcPr>
          <w:p w14:paraId="50FF87C9" w14:textId="25195840" w:rsidR="00F64AC9" w:rsidRDefault="00F64AC9" w:rsidP="00252AF6">
            <w:pPr>
              <w:spacing w:before="20" w:after="20"/>
              <w:ind w:hanging="1"/>
              <w:rPr>
                <w:rFonts w:cs="Arial"/>
                <w:noProof/>
              </w:rPr>
            </w:pPr>
            <w:r>
              <w:rPr>
                <w:rFonts w:cs="Arial"/>
                <w:noProof/>
              </w:rPr>
              <w:t xml:space="preserve">25% </w:t>
            </w:r>
            <w:r w:rsidRPr="00AD3DA1">
              <w:rPr>
                <w:rFonts w:cs="Arial"/>
                <w:noProof/>
              </w:rPr>
              <w:t xml:space="preserve">up to a maximum of </w:t>
            </w:r>
            <w:r>
              <w:rPr>
                <w:rFonts w:cs="Arial"/>
                <w:noProof/>
              </w:rPr>
              <w:t xml:space="preserve">60% </w:t>
            </w:r>
            <w:r w:rsidRPr="00AD3DA1">
              <w:rPr>
                <w:rFonts w:cs="Arial"/>
                <w:noProof/>
              </w:rPr>
              <w:t>of</w:t>
            </w:r>
            <w:r w:rsidR="00CA6DA6">
              <w:rPr>
                <w:rFonts w:cs="Arial"/>
                <w:noProof/>
              </w:rPr>
              <w:t>f</w:t>
            </w:r>
            <w:r w:rsidRPr="00AD3DA1">
              <w:rPr>
                <w:rFonts w:cs="Arial"/>
                <w:noProof/>
              </w:rPr>
              <w:t xml:space="preserve"> the earliest of 1</w:t>
            </w:r>
            <w:r>
              <w:rPr>
                <w:rFonts w:cs="Arial"/>
                <w:noProof/>
              </w:rPr>
              <w:t> </w:t>
            </w:r>
            <w:r w:rsidRPr="00AD3DA1">
              <w:rPr>
                <w:rFonts w:cs="Arial"/>
                <w:noProof/>
              </w:rPr>
              <w:t>January 2016 or date of listing AEMP</w:t>
            </w:r>
            <w:r>
              <w:rPr>
                <w:rStyle w:val="FootnoteReference"/>
                <w:rFonts w:cs="Arial"/>
                <w:noProof/>
              </w:rPr>
              <w:footnoteReference w:id="9"/>
            </w:r>
            <w:r>
              <w:rPr>
                <w:rFonts w:cs="Arial"/>
                <w:noProof/>
              </w:rPr>
              <w:t xml:space="preserve"> </w:t>
            </w:r>
          </w:p>
        </w:tc>
        <w:tc>
          <w:tcPr>
            <w:tcW w:w="1621" w:type="dxa"/>
            <w:shd w:val="clear" w:color="auto" w:fill="auto"/>
          </w:tcPr>
          <w:p w14:paraId="76091D08" w14:textId="77777777" w:rsidR="00F64AC9" w:rsidRPr="00FF685F" w:rsidRDefault="00F64AC9" w:rsidP="00252AF6">
            <w:pPr>
              <w:spacing w:before="20" w:after="20"/>
              <w:ind w:hanging="1"/>
              <w:rPr>
                <w:rFonts w:cs="Arial"/>
                <w:noProof/>
                <w:sz w:val="18"/>
                <w:szCs w:val="18"/>
              </w:rPr>
            </w:pPr>
            <w:r w:rsidRPr="00A74D2D">
              <w:rPr>
                <w:rFonts w:cs="Arial"/>
                <w:noProof/>
              </w:rPr>
              <w:t>The listing of the first new brand</w:t>
            </w:r>
          </w:p>
        </w:tc>
      </w:tr>
    </w:tbl>
    <w:p w14:paraId="1450FC06" w14:textId="77777777" w:rsidR="00F64AC9" w:rsidRDefault="00F64AC9" w:rsidP="00F64AC9">
      <w:pPr>
        <w:pStyle w:val="Heading2"/>
      </w:pPr>
      <w:bookmarkStart w:id="83" w:name="_Ref63340702"/>
      <w:bookmarkStart w:id="84" w:name="_Toc79567169"/>
      <w:r>
        <w:t>Catch-up reductions</w:t>
      </w:r>
      <w:bookmarkEnd w:id="83"/>
      <w:bookmarkEnd w:id="84"/>
    </w:p>
    <w:p w14:paraId="01E132C6" w14:textId="430DC258" w:rsidR="00F64AC9" w:rsidRPr="008E36CD" w:rsidRDefault="00F64AC9" w:rsidP="00F64AC9">
      <w:pPr>
        <w:pStyle w:val="Heading3"/>
      </w:pPr>
      <w:r w:rsidRPr="009D0E31">
        <w:t xml:space="preserve">On 1 </w:t>
      </w:r>
      <w:r w:rsidRPr="008E36CD">
        <w:t>April 2023, a catch-up reduction of 5% will apply to</w:t>
      </w:r>
      <w:r>
        <w:t xml:space="preserve"> Listed Brands </w:t>
      </w:r>
      <w:r w:rsidR="00541512">
        <w:t>that have a</w:t>
      </w:r>
      <w:r w:rsidR="00541512" w:rsidRPr="008E36CD">
        <w:t xml:space="preserve"> </w:t>
      </w:r>
      <w:r w:rsidRPr="008E36CD">
        <w:t xml:space="preserve">Listed Drug that </w:t>
      </w:r>
      <w:r w:rsidR="00541512">
        <w:t>has</w:t>
      </w:r>
      <w:r w:rsidR="00541512" w:rsidRPr="008E36CD">
        <w:t xml:space="preserve"> </w:t>
      </w:r>
      <w:r w:rsidRPr="008E36CD">
        <w:t xml:space="preserve">met </w:t>
      </w:r>
      <w:r w:rsidR="00541512">
        <w:t>its</w:t>
      </w:r>
      <w:r w:rsidR="00541512" w:rsidRPr="008E36CD">
        <w:t xml:space="preserve"> </w:t>
      </w:r>
      <w:r w:rsidRPr="008E36CD">
        <w:t>10</w:t>
      </w:r>
      <w:r w:rsidRPr="008E36CD">
        <w:rPr>
          <w:vertAlign w:val="superscript"/>
        </w:rPr>
        <w:t>th</w:t>
      </w:r>
      <w:r w:rsidRPr="008E36CD">
        <w:t xml:space="preserve"> anniversary of listing on the PBS between 1</w:t>
      </w:r>
      <w:r w:rsidR="00541512">
        <w:t> </w:t>
      </w:r>
      <w:r w:rsidRPr="008E36CD">
        <w:t>May 2021 and 1</w:t>
      </w:r>
      <w:r w:rsidR="00541512">
        <w:t> </w:t>
      </w:r>
      <w:r w:rsidRPr="008E36CD">
        <w:t xml:space="preserve">April 2022. </w:t>
      </w:r>
    </w:p>
    <w:p w14:paraId="37657912" w14:textId="340BBF83" w:rsidR="00F64AC9" w:rsidRDefault="00F64AC9" w:rsidP="00F64AC9">
      <w:pPr>
        <w:pStyle w:val="Heading3"/>
      </w:pPr>
      <w:r w:rsidRPr="008E36CD">
        <w:t>On 1 April 2023</w:t>
      </w:r>
      <w:r>
        <w:t>,</w:t>
      </w:r>
      <w:r w:rsidRPr="007F54AA">
        <w:t xml:space="preserve"> a catch-</w:t>
      </w:r>
      <w:r>
        <w:t xml:space="preserve">up reduction will apply to all Listed Brands </w:t>
      </w:r>
      <w:r w:rsidR="00E41181">
        <w:t xml:space="preserve">that have a </w:t>
      </w:r>
      <w:r>
        <w:t xml:space="preserve">Listed Drug that </w:t>
      </w:r>
      <w:r w:rsidR="00E41181">
        <w:t xml:space="preserve">has </w:t>
      </w:r>
      <w:r>
        <w:t xml:space="preserve">been listed for 15 years or more, and have not taken a </w:t>
      </w:r>
      <w:r w:rsidR="00CA6DA6">
        <w:t>P</w:t>
      </w:r>
      <w:r>
        <w:t xml:space="preserve">rice </w:t>
      </w:r>
      <w:r w:rsidR="00CA6DA6">
        <w:t>D</w:t>
      </w:r>
      <w:r>
        <w:t>isclosure reduction (under Division 3B of the Act), such that the sum of Statutory Price Reductions (including catch-ups) the Listed Brand has been subject to after these catch-up reductions, applied successively, will total 36.82%.</w:t>
      </w:r>
      <w:r w:rsidR="00E41181">
        <w:rPr>
          <w:rStyle w:val="FootnoteReference"/>
        </w:rPr>
        <w:footnoteReference w:id="10"/>
      </w:r>
      <w:r>
        <w:t xml:space="preserve">  Examples of the catch-up percentages are set out in the Table at Appendix 1.</w:t>
      </w:r>
    </w:p>
    <w:p w14:paraId="4AE288A6" w14:textId="4E5D2231" w:rsidR="00F64AC9" w:rsidRDefault="00F64AC9" w:rsidP="00F64AC9">
      <w:pPr>
        <w:pStyle w:val="Heading3"/>
      </w:pPr>
      <w:r>
        <w:t xml:space="preserve">Listed Brands </w:t>
      </w:r>
      <w:r w:rsidR="00131D53">
        <w:t xml:space="preserve">with a </w:t>
      </w:r>
      <w:r>
        <w:t>Listed Drug that move to the F2 formulary after 1 August 2022, and prior to the 15</w:t>
      </w:r>
      <w:r w:rsidRPr="009D0E31">
        <w:rPr>
          <w:vertAlign w:val="superscript"/>
        </w:rPr>
        <w:t>th</w:t>
      </w:r>
      <w:r>
        <w:t xml:space="preserve"> anniversary of </w:t>
      </w:r>
      <w:r w:rsidR="00AE0828">
        <w:t xml:space="preserve">that </w:t>
      </w:r>
      <w:r>
        <w:t>Listed Drug</w:t>
      </w:r>
      <w:r w:rsidR="00AE0828">
        <w:t xml:space="preserve"> being listed</w:t>
      </w:r>
      <w:r>
        <w:t>, will be subject to a 1.48% reduction on the 15</w:t>
      </w:r>
      <w:r w:rsidRPr="009D0E31">
        <w:rPr>
          <w:vertAlign w:val="superscript"/>
        </w:rPr>
        <w:t>th</w:t>
      </w:r>
      <w:r>
        <w:t xml:space="preserve"> anniversary of </w:t>
      </w:r>
      <w:r w:rsidR="00AE0828">
        <w:t xml:space="preserve">that </w:t>
      </w:r>
      <w:r>
        <w:t xml:space="preserve">Listed Drug </w:t>
      </w:r>
      <w:r w:rsidR="00AE0828">
        <w:t xml:space="preserve">being listed </w:t>
      </w:r>
      <w:r>
        <w:t>if no Price Disclosure reduction has applied.</w:t>
      </w:r>
    </w:p>
    <w:p w14:paraId="6FA1225E" w14:textId="77777777" w:rsidR="00F64AC9" w:rsidRDefault="00F64AC9" w:rsidP="00F64AC9">
      <w:pPr>
        <w:pStyle w:val="Heading2"/>
      </w:pPr>
      <w:bookmarkStart w:id="85" w:name="_Ref63695942"/>
      <w:bookmarkStart w:id="86" w:name="_Toc79567170"/>
      <w:r>
        <w:t>Cap on Statutory Price Reductions</w:t>
      </w:r>
      <w:bookmarkEnd w:id="85"/>
      <w:bookmarkEnd w:id="86"/>
    </w:p>
    <w:p w14:paraId="13B056BA" w14:textId="2997CD4A" w:rsidR="00F64AC9" w:rsidRDefault="00241016" w:rsidP="00241016">
      <w:pPr>
        <w:pStyle w:val="Heading3"/>
      </w:pPr>
      <w:bookmarkStart w:id="87" w:name="_Ref66918205"/>
      <w:bookmarkStart w:id="88" w:name="_Ref68700668"/>
      <w:r>
        <w:t xml:space="preserve">Without limiting clauses </w:t>
      </w:r>
      <w:r w:rsidR="0005414C">
        <w:fldChar w:fldCharType="begin"/>
      </w:r>
      <w:r w:rsidR="0005414C">
        <w:instrText xml:space="preserve"> REF _Ref75500028 \w \h </w:instrText>
      </w:r>
      <w:r w:rsidR="0005414C">
        <w:fldChar w:fldCharType="separate"/>
      </w:r>
      <w:r w:rsidR="00F5458C">
        <w:t>4.4.2</w:t>
      </w:r>
      <w:r w:rsidR="0005414C">
        <w:fldChar w:fldCharType="end"/>
      </w:r>
      <w:r>
        <w:t xml:space="preserve"> or </w:t>
      </w:r>
      <w:r>
        <w:fldChar w:fldCharType="begin"/>
      </w:r>
      <w:r>
        <w:instrText xml:space="preserve"> REF _Ref68700670 \w \h </w:instrText>
      </w:r>
      <w:r>
        <w:fldChar w:fldCharType="separate"/>
      </w:r>
      <w:r w:rsidR="00F5458C">
        <w:t>4.5.2</w:t>
      </w:r>
      <w:r>
        <w:fldChar w:fldCharType="end"/>
      </w:r>
      <w:r>
        <w:t xml:space="preserve"> or the </w:t>
      </w:r>
      <w:r w:rsidR="00F94B90">
        <w:t>M</w:t>
      </w:r>
      <w:r>
        <w:t xml:space="preserve">inister’s discretion under the Act, the Commonwealth will seek to amend the Act to provide that Statutory Price Reductions </w:t>
      </w:r>
      <w:r w:rsidR="00F64AC9">
        <w:t xml:space="preserve">will not take Approved Ex-Manufacturer Price(s) for Listed Brands of </w:t>
      </w:r>
      <w:r w:rsidR="00F94B90">
        <w:t>Pharmaceutical Item</w:t>
      </w:r>
      <w:r w:rsidR="006D096A">
        <w:t>s</w:t>
      </w:r>
      <w:r w:rsidR="00545239">
        <w:t xml:space="preserve"> </w:t>
      </w:r>
      <w:r w:rsidR="00F64AC9">
        <w:t>below 40</w:t>
      </w:r>
      <w:r w:rsidR="00131D53">
        <w:t>%</w:t>
      </w:r>
      <w:r w:rsidR="00F64AC9">
        <w:t xml:space="preserve"> of their </w:t>
      </w:r>
      <w:r w:rsidR="00F94B90">
        <w:t xml:space="preserve">Approved Ex-Manufacturer </w:t>
      </w:r>
      <w:r w:rsidR="00F64AC9">
        <w:t>Price(s) on 1 January 2016 or later date of listing on the PBS.</w:t>
      </w:r>
      <w:bookmarkEnd w:id="87"/>
      <w:bookmarkEnd w:id="88"/>
    </w:p>
    <w:p w14:paraId="6260FB75" w14:textId="59508CD0" w:rsidR="008965A8" w:rsidRDefault="00F94B90" w:rsidP="00F64AC9">
      <w:pPr>
        <w:pStyle w:val="Heading3"/>
      </w:pPr>
      <w:bookmarkStart w:id="89" w:name="_Ref75500028"/>
      <w:r>
        <w:t xml:space="preserve">Without limiting clause </w:t>
      </w:r>
      <w:r>
        <w:fldChar w:fldCharType="begin"/>
      </w:r>
      <w:r>
        <w:instrText xml:space="preserve"> REF _Ref68700670 \w \h </w:instrText>
      </w:r>
      <w:r>
        <w:fldChar w:fldCharType="separate"/>
      </w:r>
      <w:r w:rsidR="00F5458C">
        <w:t>4.5.2</w:t>
      </w:r>
      <w:r>
        <w:fldChar w:fldCharType="end"/>
      </w:r>
      <w:r>
        <w:t xml:space="preserve"> or the Minister’s discretion under the Act, the Commonwealth will continue its existing policy</w:t>
      </w:r>
      <w:r w:rsidR="006D096A">
        <w:rPr>
          <w:rStyle w:val="FootnoteReference"/>
        </w:rPr>
        <w:footnoteReference w:id="11"/>
      </w:r>
      <w:r w:rsidR="008965A8">
        <w:t xml:space="preserve"> for agreeing prices of the First New Brand</w:t>
      </w:r>
      <w:r w:rsidR="006165B2">
        <w:t xml:space="preserve"> </w:t>
      </w:r>
      <w:r w:rsidR="00545239">
        <w:t>where the originator brand of a Pharmaceutical Item (</w:t>
      </w:r>
      <w:r w:rsidR="00545239">
        <w:rPr>
          <w:b/>
          <w:bCs/>
        </w:rPr>
        <w:t>Existing Brand</w:t>
      </w:r>
      <w:r w:rsidR="00545239">
        <w:t xml:space="preserve">) </w:t>
      </w:r>
      <w:r w:rsidR="008965A8">
        <w:t>has or had</w:t>
      </w:r>
      <w:r w:rsidR="00F64AC9">
        <w:t xml:space="preserve"> an Effective Price, </w:t>
      </w:r>
      <w:r w:rsidR="008965A8">
        <w:t>subject to the new 60</w:t>
      </w:r>
      <w:r w:rsidR="00AC100E">
        <w:t>%</w:t>
      </w:r>
      <w:r w:rsidR="008965A8">
        <w:t xml:space="preserve"> cap. To list a First New Brand in this circumstance</w:t>
      </w:r>
      <w:r w:rsidR="006D096A">
        <w:t>:</w:t>
      </w:r>
      <w:bookmarkEnd w:id="89"/>
    </w:p>
    <w:p w14:paraId="2AD6542C" w14:textId="1883A5D3" w:rsidR="008965A8" w:rsidRDefault="008965A8" w:rsidP="008965A8">
      <w:pPr>
        <w:pStyle w:val="Heading4"/>
      </w:pPr>
      <w:r>
        <w:t xml:space="preserve">the Responsible Person for the First </w:t>
      </w:r>
      <w:r w:rsidR="00A532FF">
        <w:t>N</w:t>
      </w:r>
      <w:r>
        <w:t>ew Brand will be expected to offer an Approved Ex-Manufacturer Price for the First New Brand that is not more than a price that is 25</w:t>
      </w:r>
      <w:r w:rsidR="00AC100E">
        <w:t>%</w:t>
      </w:r>
      <w:r>
        <w:t xml:space="preserve"> lower than the Effective Price for the Existing Brand;</w:t>
      </w:r>
    </w:p>
    <w:p w14:paraId="0D592226" w14:textId="713BDECB" w:rsidR="00E71A0D" w:rsidRDefault="00E71A0D" w:rsidP="00E71A0D">
      <w:pPr>
        <w:pStyle w:val="Heading4"/>
      </w:pPr>
      <w:r>
        <w:t>where the Approved Ex-Manufacturer Price of the First New Brand that is 25</w:t>
      </w:r>
      <w:r w:rsidR="00AC100E">
        <w:t>%</w:t>
      </w:r>
      <w:r>
        <w:t xml:space="preserve"> lower than the Effective Price of the Existing Brand would be </w:t>
      </w:r>
      <w:r w:rsidR="00F64AC9">
        <w:t>below 40 per cent of</w:t>
      </w:r>
      <w:r>
        <w:t xml:space="preserve"> the Effective</w:t>
      </w:r>
      <w:r w:rsidR="00F64AC9">
        <w:t xml:space="preserve"> Price </w:t>
      </w:r>
      <w:r>
        <w:t xml:space="preserve">of the Existing Brand </w:t>
      </w:r>
      <w:r w:rsidR="00F64AC9">
        <w:t>on 1 January 2016 or later date of listing on the PBS</w:t>
      </w:r>
      <w:r>
        <w:t>, the Responsible Person for the First New Brand will be expected to offer an Approved Ex-Manufacturer Price for the First New Brand that is not more than 40</w:t>
      </w:r>
      <w:r w:rsidR="00AC100E">
        <w:t>%</w:t>
      </w:r>
      <w:r>
        <w:t xml:space="preserve"> of the Effective Price of the Existing Brand on 1 January 2016 or later date of listing on the PBS; or</w:t>
      </w:r>
    </w:p>
    <w:p w14:paraId="6EFBEAAB" w14:textId="29AC1E6C" w:rsidR="00F64AC9" w:rsidRDefault="003963C1" w:rsidP="003963C1">
      <w:pPr>
        <w:pStyle w:val="Heading4"/>
      </w:pPr>
      <w:r>
        <w:t xml:space="preserve">where </w:t>
      </w:r>
      <w:r w:rsidRPr="006207BD">
        <w:t>the Effective Price of the Existing Brand is already below 40</w:t>
      </w:r>
      <w:r w:rsidR="00AC100E">
        <w:t>%</w:t>
      </w:r>
      <w:r w:rsidRPr="006207BD">
        <w:t xml:space="preserve"> of the Effective Price</w:t>
      </w:r>
      <w:r>
        <w:t xml:space="preserve"> </w:t>
      </w:r>
      <w:r w:rsidRPr="006207BD">
        <w:t xml:space="preserve">on 1 January 2016 or later date of listing on the PBS, the Responsible Person for the First New Brand will be </w:t>
      </w:r>
      <w:r>
        <w:t>expected t</w:t>
      </w:r>
      <w:r w:rsidRPr="006207BD">
        <w:t xml:space="preserve">o </w:t>
      </w:r>
      <w:r>
        <w:t xml:space="preserve">offer </w:t>
      </w:r>
      <w:r w:rsidRPr="006207BD">
        <w:t xml:space="preserve">an Approved Ex-Manufacturer Price that is equal to the </w:t>
      </w:r>
      <w:r>
        <w:t xml:space="preserve">current </w:t>
      </w:r>
      <w:r w:rsidRPr="006207BD">
        <w:t>Effective Price of the Existing Brand</w:t>
      </w:r>
      <w:r w:rsidR="00F64AC9">
        <w:t>.</w:t>
      </w:r>
    </w:p>
    <w:p w14:paraId="3B1B47D6" w14:textId="7E790D67" w:rsidR="00BF64D9" w:rsidRDefault="00BF64D9" w:rsidP="00D853B2">
      <w:pPr>
        <w:pStyle w:val="Heading3"/>
      </w:pPr>
      <w:r>
        <w:t>By no later than July 2022 the Commonwealth will publish on the pbs.gov.au website a detailed statement of its First New Brand price reduction policy as updated as a result of this Agreement.</w:t>
      </w:r>
      <w:r>
        <w:rPr>
          <w:rStyle w:val="FootnoteReference"/>
        </w:rPr>
        <w:footnoteReference w:id="12"/>
      </w:r>
    </w:p>
    <w:p w14:paraId="51669ECD" w14:textId="77777777" w:rsidR="00F64AC9" w:rsidRDefault="00F64AC9" w:rsidP="00F64AC9">
      <w:pPr>
        <w:pStyle w:val="Heading2"/>
      </w:pPr>
      <w:bookmarkStart w:id="90" w:name="_Ref63434324"/>
      <w:bookmarkStart w:id="91" w:name="_Toc79567171"/>
      <w:r>
        <w:t>Price reduction mechanism</w:t>
      </w:r>
      <w:bookmarkEnd w:id="90"/>
      <w:bookmarkEnd w:id="91"/>
    </w:p>
    <w:p w14:paraId="68E701E6" w14:textId="6B4E9906" w:rsidR="00F64AC9" w:rsidRDefault="00F64AC9" w:rsidP="00F64AC9">
      <w:pPr>
        <w:pStyle w:val="Heading3"/>
      </w:pPr>
      <w:r>
        <w:t xml:space="preserve">The Commonwealth will seek to amend the Act to provide that all </w:t>
      </w:r>
      <w:r w:rsidR="00E25E04">
        <w:t>p</w:t>
      </w:r>
      <w:r>
        <w:t xml:space="preserve">rice </w:t>
      </w:r>
      <w:r w:rsidR="00E25E04">
        <w:t>r</w:t>
      </w:r>
      <w:r>
        <w:t>eductions under Division 3A and Division 3B of the Act occur through a legislated mechanism without the need for the Minister and Responsible Person for the Listed Brand to enter into a new price agreement under section 85AD of the Act.</w:t>
      </w:r>
    </w:p>
    <w:p w14:paraId="0140D62F" w14:textId="497AE64C" w:rsidR="00F64AC9" w:rsidRDefault="00F64AC9" w:rsidP="00F64AC9">
      <w:pPr>
        <w:pStyle w:val="Heading3"/>
      </w:pPr>
      <w:bookmarkStart w:id="92" w:name="_Ref68700670"/>
      <w:r>
        <w:t xml:space="preserve">The Commonwealth will seek to amend the Act so that where a Listed Brand </w:t>
      </w:r>
      <w:r w:rsidR="00E25E04">
        <w:t xml:space="preserve">of a Pharmaceutical </w:t>
      </w:r>
      <w:r w:rsidR="00F4355C">
        <w:t xml:space="preserve">Item </w:t>
      </w:r>
      <w:r w:rsidR="00E25E04">
        <w:t>(</w:t>
      </w:r>
      <w:r w:rsidR="00E25E04">
        <w:rPr>
          <w:b/>
          <w:bCs/>
        </w:rPr>
        <w:t>Existing Brand</w:t>
      </w:r>
      <w:r w:rsidR="00E25E04">
        <w:t xml:space="preserve">) </w:t>
      </w:r>
      <w:r>
        <w:t xml:space="preserve">has an Effective Price, and the </w:t>
      </w:r>
      <w:r w:rsidR="00E25E04">
        <w:t>F</w:t>
      </w:r>
      <w:r>
        <w:t xml:space="preserve">irst </w:t>
      </w:r>
      <w:r w:rsidR="00E25E04">
        <w:t>N</w:t>
      </w:r>
      <w:r>
        <w:t xml:space="preserve">ew </w:t>
      </w:r>
      <w:r w:rsidR="00E25E04">
        <w:t>B</w:t>
      </w:r>
      <w:r>
        <w:t>rand of the Pharmaceutical Item that is bioequivalent or biosimilar to the Existing Brand (</w:t>
      </w:r>
      <w:r w:rsidRPr="00A01513">
        <w:rPr>
          <w:b/>
          <w:bCs/>
        </w:rPr>
        <w:t>New Brand</w:t>
      </w:r>
      <w:r>
        <w:t xml:space="preserve">) is listed, the Approved Ex-Manufacturer Price of the Existing Brand will automatically adjust to be equal to the </w:t>
      </w:r>
      <w:r w:rsidRPr="00CC6D67">
        <w:t xml:space="preserve">Approved Ex-Manufacturer Price </w:t>
      </w:r>
      <w:r>
        <w:t>of the New Brand without the need for the Minister and Responsible Person for the Existing Brand to enter into a new price agreement under section 85AD of the Act. Listed Brands that have the same</w:t>
      </w:r>
      <w:r w:rsidR="00AE0828">
        <w:t xml:space="preserve"> drug and</w:t>
      </w:r>
      <w:r>
        <w:t xml:space="preserve"> manner of administration as the New Brand, but are a different Pharmaceutical Item to the New Brand, will also have their Approved Ex-Manufacturer Price reduced by the same percentage reduction that applied to the Existing Brand upon the listing of the New Brand.</w:t>
      </w:r>
      <w:bookmarkEnd w:id="92"/>
      <w:r>
        <w:t xml:space="preserve"> </w:t>
      </w:r>
    </w:p>
    <w:p w14:paraId="2F6585B1" w14:textId="29C662BF" w:rsidR="00F64AC9" w:rsidRPr="00846FBA" w:rsidRDefault="00F64AC9" w:rsidP="00F64AC9">
      <w:pPr>
        <w:pStyle w:val="Heading3"/>
      </w:pPr>
      <w:bookmarkStart w:id="93" w:name="_Ref69891482"/>
      <w:r w:rsidRPr="00846FBA">
        <w:t xml:space="preserve">Amendments will be sought to the Act so that where a single ingredient Listed Drug that forms part of one or more Combination Items takes a </w:t>
      </w:r>
      <w:r w:rsidR="00E25E04">
        <w:t>p</w:t>
      </w:r>
      <w:r w:rsidRPr="00846FBA">
        <w:t xml:space="preserve">rice </w:t>
      </w:r>
      <w:r w:rsidR="00E25E04">
        <w:t>r</w:t>
      </w:r>
      <w:r w:rsidRPr="00846FBA">
        <w:t xml:space="preserve">eduction under the Act, the Approved Ex-Manufacturer Price for the Combination Items containing that Listed Drug will be adjusted by legislated mechanism without the need for the Minister and Responsible Person for that Combination Item to enter into a new price </w:t>
      </w:r>
      <w:r w:rsidRPr="005907CC">
        <w:t>agreement under section 85AD of the Act. This will be given effect through the formula at Appendix 2.</w:t>
      </w:r>
      <w:bookmarkEnd w:id="93"/>
      <w:r w:rsidRPr="00846FBA">
        <w:t xml:space="preserve"> </w:t>
      </w:r>
    </w:p>
    <w:p w14:paraId="64C6AF1E" w14:textId="77777777" w:rsidR="00F64AC9" w:rsidRPr="00846FBA" w:rsidRDefault="00F64AC9" w:rsidP="00F64AC9">
      <w:pPr>
        <w:pStyle w:val="Heading2"/>
      </w:pPr>
      <w:bookmarkStart w:id="94" w:name="_Ref63434325"/>
      <w:bookmarkStart w:id="95" w:name="_Toc79567172"/>
      <w:r w:rsidRPr="00846FBA">
        <w:t>Ministerial discretion</w:t>
      </w:r>
      <w:bookmarkEnd w:id="94"/>
      <w:bookmarkEnd w:id="95"/>
    </w:p>
    <w:p w14:paraId="3538F2BF" w14:textId="11A93709" w:rsidR="00F64AC9" w:rsidRPr="00BA70A3" w:rsidRDefault="00F64AC9" w:rsidP="00BF64D9">
      <w:pPr>
        <w:pStyle w:val="Heading3"/>
      </w:pPr>
      <w:r w:rsidRPr="00846FBA">
        <w:t>During the Term, the Minister will continue to have the existing discretions to reduce or not apply Statutory Price Reductions under Division 3A of Part VII of the Act, and the Act will be amended to</w:t>
      </w:r>
      <w:r>
        <w:t xml:space="preserve"> provide for Ministerial discretion for the new Statutory Price Reductions described in this clause </w:t>
      </w:r>
      <w:r>
        <w:fldChar w:fldCharType="begin"/>
      </w:r>
      <w:r>
        <w:instrText xml:space="preserve"> REF _Ref66196358 \r \h </w:instrText>
      </w:r>
      <w:r>
        <w:fldChar w:fldCharType="separate"/>
      </w:r>
      <w:r w:rsidR="00F5458C">
        <w:t>4</w:t>
      </w:r>
      <w:r>
        <w:fldChar w:fldCharType="end"/>
      </w:r>
      <w:r>
        <w:t xml:space="preserve">, such that Ministerial discretion will be available for all Statutory Price Reductions in Division 3A of Part VII of the Act during the Term.  </w:t>
      </w:r>
      <w:r w:rsidRPr="00AE68A4">
        <w:t xml:space="preserve">For </w:t>
      </w:r>
      <w:r>
        <w:t>clarity</w:t>
      </w:r>
      <w:r w:rsidRPr="00AE68A4">
        <w:t xml:space="preserve">, this includes the flow on price reductions referred to in clause </w:t>
      </w:r>
      <w:r>
        <w:fldChar w:fldCharType="begin"/>
      </w:r>
      <w:r>
        <w:instrText xml:space="preserve"> REF _Ref63434324 \r \h </w:instrText>
      </w:r>
      <w:r>
        <w:fldChar w:fldCharType="separate"/>
      </w:r>
      <w:r w:rsidR="00F5458C">
        <w:t>4.5</w:t>
      </w:r>
      <w:r>
        <w:fldChar w:fldCharType="end"/>
      </w:r>
      <w:r w:rsidRPr="00AE68A4">
        <w:t xml:space="preserve">.  The procedure for flow on price reductions will ensure that the Responsible Person for a </w:t>
      </w:r>
      <w:r>
        <w:t>Listed Brand</w:t>
      </w:r>
      <w:r w:rsidRPr="00AE68A4">
        <w:t xml:space="preserve"> has an opportunity to apply for the exercise of Ministerial discretion before any reduction to the trigger item takes </w:t>
      </w:r>
      <w:r w:rsidRPr="00846FBA">
        <w:t xml:space="preserve">effect.  </w:t>
      </w:r>
      <w:r w:rsidRPr="00BA70A3">
        <w:t xml:space="preserve"> </w:t>
      </w:r>
    </w:p>
    <w:p w14:paraId="79A9F1A9" w14:textId="5D384D1C" w:rsidR="00BF64D9" w:rsidRDefault="00BF64D9" w:rsidP="00D853B2">
      <w:pPr>
        <w:pStyle w:val="Heading3"/>
      </w:pPr>
      <w:r>
        <w:t>The Minister will continue to exercise the discretions to reduce or not apply Statutory Price Reductions having regard to the guidelines.</w:t>
      </w:r>
    </w:p>
    <w:p w14:paraId="64C54747" w14:textId="145AC7A6" w:rsidR="00F64AC9" w:rsidRDefault="00F64AC9" w:rsidP="00F64AC9">
      <w:pPr>
        <w:pStyle w:val="Heading2"/>
      </w:pPr>
      <w:bookmarkStart w:id="96" w:name="_Toc79567173"/>
      <w:r>
        <w:t>Clarification in respect of arrangements</w:t>
      </w:r>
      <w:bookmarkEnd w:id="96"/>
    </w:p>
    <w:p w14:paraId="7F4C49FA" w14:textId="77777777" w:rsidR="00F64AC9" w:rsidRDefault="00F64AC9" w:rsidP="00F64AC9">
      <w:pPr>
        <w:pStyle w:val="Heading3"/>
      </w:pPr>
      <w:r>
        <w:t>Nothing in this Agreement is intended to limit:</w:t>
      </w:r>
    </w:p>
    <w:p w14:paraId="2CBEFE32" w14:textId="623E74E2" w:rsidR="00F64AC9" w:rsidRDefault="00F64AC9" w:rsidP="00F64AC9">
      <w:pPr>
        <w:pStyle w:val="Heading4"/>
        <w:ind w:left="2552" w:hanging="851"/>
      </w:pPr>
      <w:r>
        <w:t xml:space="preserve">the ability of the Commonwealth or the Minister to accept or implement, and flow through Reference Pricing Policy based </w:t>
      </w:r>
      <w:r w:rsidR="00AE0828">
        <w:t>p</w:t>
      </w:r>
      <w:r>
        <w:t xml:space="preserve">rice </w:t>
      </w:r>
      <w:r w:rsidR="00AE0828">
        <w:t>r</w:t>
      </w:r>
      <w:r>
        <w:t xml:space="preserve">eductions or </w:t>
      </w:r>
      <w:r w:rsidR="00AE0828">
        <w:t>p</w:t>
      </w:r>
      <w:r>
        <w:t xml:space="preserve">rice </w:t>
      </w:r>
      <w:r w:rsidR="00AE0828">
        <w:t>r</w:t>
      </w:r>
      <w:r>
        <w:t>eductions as a result of a price offer by Responsible Persons; or</w:t>
      </w:r>
    </w:p>
    <w:p w14:paraId="362AA01A" w14:textId="77777777" w:rsidR="00F64AC9" w:rsidRDefault="00F64AC9" w:rsidP="00F64AC9">
      <w:pPr>
        <w:pStyle w:val="Heading4"/>
        <w:ind w:left="2552" w:hanging="851"/>
      </w:pPr>
      <w:r>
        <w:t>the operation of Departmental processes that enable Responsible Persons to seek increases or decreases in the price of medicines.</w:t>
      </w:r>
    </w:p>
    <w:p w14:paraId="1C4CDA6B" w14:textId="1606BAC1" w:rsidR="00F64AC9" w:rsidRPr="005843DF" w:rsidRDefault="00F64AC9" w:rsidP="00F64AC9">
      <w:pPr>
        <w:pStyle w:val="Heading3"/>
      </w:pPr>
      <w:r w:rsidRPr="005843DF">
        <w:t xml:space="preserve">Where a Drug is on F1 and has been subject to one or more amendments to its listing (for example, listing of new indications) </w:t>
      </w:r>
      <w:r>
        <w:t>after</w:t>
      </w:r>
      <w:r w:rsidRPr="005843DF">
        <w:t xml:space="preserve"> becoming a Listed Drug, any </w:t>
      </w:r>
      <w:r w:rsidR="00810929">
        <w:t xml:space="preserve">anniversary </w:t>
      </w:r>
      <w:r w:rsidRPr="005843DF">
        <w:t xml:space="preserve">Statutory Price Reductions for </w:t>
      </w:r>
      <w:r w:rsidR="00810929">
        <w:t xml:space="preserve">Listed </w:t>
      </w:r>
      <w:r w:rsidR="00F4355C">
        <w:t>B</w:t>
      </w:r>
      <w:r w:rsidR="00810929">
        <w:t xml:space="preserve">rands that have </w:t>
      </w:r>
      <w:r w:rsidRPr="005843DF">
        <w:t>that Listed Drug will continue to be calculated from the date on which</w:t>
      </w:r>
      <w:r w:rsidR="00810929">
        <w:t xml:space="preserve"> the Listed Drug</w:t>
      </w:r>
      <w:r w:rsidRPr="005843DF">
        <w:t xml:space="preserve"> was first listed on the PBS, although the exercise of Ministerial discretion may be sought in respect of any such Statutory Price Reduction. </w:t>
      </w:r>
    </w:p>
    <w:p w14:paraId="6DAE106A" w14:textId="77777777" w:rsidR="00252AF6" w:rsidRPr="00B74218" w:rsidRDefault="00252AF6" w:rsidP="00252AF6">
      <w:pPr>
        <w:pStyle w:val="Heading1"/>
      </w:pPr>
      <w:bookmarkStart w:id="97" w:name="_Ref66916082"/>
      <w:bookmarkStart w:id="98" w:name="_Toc79567174"/>
      <w:r w:rsidRPr="00B74218">
        <w:t>Agreement oversight</w:t>
      </w:r>
      <w:bookmarkEnd w:id="97"/>
      <w:bookmarkEnd w:id="98"/>
    </w:p>
    <w:p w14:paraId="49B89590" w14:textId="77777777" w:rsidR="00252AF6" w:rsidRPr="008A0C80" w:rsidRDefault="00252AF6" w:rsidP="008A0C80">
      <w:pPr>
        <w:pStyle w:val="Headingpara2"/>
      </w:pPr>
      <w:r w:rsidRPr="008A0C80">
        <w:t>Consistent with the parties' intention to:</w:t>
      </w:r>
    </w:p>
    <w:p w14:paraId="494E943F" w14:textId="77777777" w:rsidR="00252AF6" w:rsidRPr="008A0C80" w:rsidRDefault="00252AF6" w:rsidP="00252AF6">
      <w:pPr>
        <w:pStyle w:val="Heading3"/>
      </w:pPr>
      <w:r w:rsidRPr="008A0C80">
        <w:t xml:space="preserve">ensure the progress, and measure the outcomes, of the commitments made by the parties in this Agreement; and </w:t>
      </w:r>
    </w:p>
    <w:p w14:paraId="669A140B" w14:textId="77777777" w:rsidR="00252AF6" w:rsidRPr="008A0C80" w:rsidRDefault="00252AF6" w:rsidP="00252AF6">
      <w:pPr>
        <w:pStyle w:val="Heading3"/>
      </w:pPr>
      <w:r w:rsidRPr="008A0C80">
        <w:t>facilitate ongoing discussions regarding the sustainability and viability of both the generic and biosimilar medicines sector and the PBS,</w:t>
      </w:r>
    </w:p>
    <w:p w14:paraId="3FFFDE0F" w14:textId="77777777" w:rsidR="00252AF6" w:rsidRPr="008A0C80" w:rsidRDefault="00252AF6" w:rsidP="00252AF6">
      <w:pPr>
        <w:pStyle w:val="BodyIndent1"/>
      </w:pPr>
      <w:r w:rsidRPr="008A0C80">
        <w:t xml:space="preserve">the operation of this Agreement will be monitored by the Department and GBMA via a Joint Oversight Committee. </w:t>
      </w:r>
    </w:p>
    <w:p w14:paraId="55F6CD26" w14:textId="77777777" w:rsidR="00252AF6" w:rsidRPr="008A0C80" w:rsidRDefault="00252AF6" w:rsidP="005B59FB">
      <w:pPr>
        <w:pStyle w:val="Headingpara2"/>
        <w:keepNext/>
      </w:pPr>
      <w:r w:rsidRPr="008A0C80">
        <w:t xml:space="preserve">Terms of reference for the Joint Oversight Committee will be developed by the Department in consultation with GBMA for agreement at the first meeting of the Joint Oversight Committee after 1 July 2022 and include: </w:t>
      </w:r>
    </w:p>
    <w:p w14:paraId="782913A0" w14:textId="77777777" w:rsidR="00252AF6" w:rsidRPr="008A0C80" w:rsidRDefault="00252AF6" w:rsidP="005B59FB">
      <w:pPr>
        <w:pStyle w:val="Heading3"/>
        <w:keepNext/>
      </w:pPr>
      <w:r w:rsidRPr="008A0C80">
        <w:t>streamlined governance and reporting arrangements ensuring no duplication with the Generic Medicines Working Group; and</w:t>
      </w:r>
    </w:p>
    <w:p w14:paraId="5AE2E5BF" w14:textId="77777777" w:rsidR="00252AF6" w:rsidRPr="008A0C80" w:rsidRDefault="00252AF6" w:rsidP="00252AF6">
      <w:pPr>
        <w:pStyle w:val="Heading3"/>
      </w:pPr>
      <w:r w:rsidRPr="008A0C80">
        <w:t>reviewing the record of the savings derived through the measures described in this Agreement.</w:t>
      </w:r>
    </w:p>
    <w:p w14:paraId="4D94BDB5" w14:textId="77777777" w:rsidR="00252AF6" w:rsidRPr="008A0C80" w:rsidRDefault="00252AF6" w:rsidP="00F4355C">
      <w:pPr>
        <w:pStyle w:val="Headingpara2"/>
        <w:keepNext/>
      </w:pPr>
      <w:r w:rsidRPr="008A0C80">
        <w:t>The parties agree that:</w:t>
      </w:r>
    </w:p>
    <w:p w14:paraId="5E3EA31E" w14:textId="77777777" w:rsidR="00252AF6" w:rsidRPr="009D5F6B" w:rsidRDefault="00252AF6" w:rsidP="00F4355C">
      <w:pPr>
        <w:pStyle w:val="Heading3"/>
        <w:keepNext/>
      </w:pPr>
      <w:r>
        <w:t>t</w:t>
      </w:r>
      <w:r w:rsidRPr="009D5F6B">
        <w:t xml:space="preserve">he Joint Oversight Committee is intended to enable the Commonwealth (represented by the Department) and </w:t>
      </w:r>
      <w:r>
        <w:t>GBMA</w:t>
      </w:r>
      <w:r w:rsidRPr="009D5F6B">
        <w:t xml:space="preserve"> to manage and monitor the implementation of this Agreement</w:t>
      </w:r>
      <w:r>
        <w:t>;</w:t>
      </w:r>
      <w:r w:rsidRPr="009D5F6B">
        <w:t xml:space="preserve"> </w:t>
      </w:r>
    </w:p>
    <w:p w14:paraId="240491FD" w14:textId="77777777" w:rsidR="00252AF6" w:rsidRPr="009D5F6B" w:rsidRDefault="00252AF6" w:rsidP="00252AF6">
      <w:pPr>
        <w:pStyle w:val="Heading3"/>
      </w:pPr>
      <w:r>
        <w:t>b</w:t>
      </w:r>
      <w:r w:rsidRPr="009D5F6B">
        <w:t xml:space="preserve">oth parties will have equal representation on the Joint Oversight Committee, alternately chaired by a representative of the Department and a representative of </w:t>
      </w:r>
      <w:r>
        <w:t>GBMA;</w:t>
      </w:r>
    </w:p>
    <w:p w14:paraId="5E615373" w14:textId="1B374BAB" w:rsidR="00252AF6" w:rsidRDefault="00252AF6" w:rsidP="00252AF6">
      <w:pPr>
        <w:pStyle w:val="Heading3"/>
      </w:pPr>
      <w:bookmarkStart w:id="99" w:name="_Ref65500127"/>
      <w:r>
        <w:t xml:space="preserve">both parties have </w:t>
      </w:r>
      <w:r w:rsidR="002D5F01">
        <w:t xml:space="preserve">shared </w:t>
      </w:r>
      <w:r>
        <w:t>responsibility for the workload of the Joint Oversight Committee and will allocate resources accordingly;</w:t>
      </w:r>
    </w:p>
    <w:p w14:paraId="56CB59FD" w14:textId="1116EEFA" w:rsidR="00252AF6" w:rsidRPr="009D5F6B" w:rsidRDefault="00252AF6" w:rsidP="00252AF6">
      <w:pPr>
        <w:pStyle w:val="Heading3"/>
      </w:pPr>
      <w:r>
        <w:t>t</w:t>
      </w:r>
      <w:r w:rsidRPr="009D5F6B">
        <w:t>he Joint Oversight Committee will meet at least twice during each consecutive 12</w:t>
      </w:r>
      <w:r w:rsidR="00BF64D9">
        <w:t> </w:t>
      </w:r>
      <w:r w:rsidRPr="009D5F6B">
        <w:t>month period during the Term</w:t>
      </w:r>
      <w:r>
        <w:t xml:space="preserve"> from 1 July 2022;</w:t>
      </w:r>
      <w:bookmarkEnd w:id="99"/>
      <w:r>
        <w:t xml:space="preserve"> and</w:t>
      </w:r>
    </w:p>
    <w:p w14:paraId="52481860" w14:textId="41FC7EBC" w:rsidR="00252AF6" w:rsidRPr="009D5F6B" w:rsidRDefault="00252AF6" w:rsidP="00252AF6">
      <w:pPr>
        <w:pStyle w:val="Heading3"/>
      </w:pPr>
      <w:proofErr w:type="gramStart"/>
      <w:r>
        <w:t>i</w:t>
      </w:r>
      <w:r w:rsidRPr="009D5F6B">
        <w:t>n</w:t>
      </w:r>
      <w:proofErr w:type="gramEnd"/>
      <w:r w:rsidRPr="009D5F6B">
        <w:t xml:space="preserve"> the event that the Joint </w:t>
      </w:r>
      <w:r w:rsidR="00392711" w:rsidRPr="009D5F6B">
        <w:t>O</w:t>
      </w:r>
      <w:r w:rsidR="00392711">
        <w:t>versight</w:t>
      </w:r>
      <w:r w:rsidR="00392711" w:rsidRPr="009D5F6B">
        <w:t xml:space="preserve"> </w:t>
      </w:r>
      <w:r w:rsidRPr="009D5F6B">
        <w:t xml:space="preserve">Committee is unable to reach consensus, issues </w:t>
      </w:r>
      <w:r w:rsidRPr="0045464E">
        <w:t xml:space="preserve">will </w:t>
      </w:r>
      <w:r w:rsidR="00F06464" w:rsidRPr="0045464E">
        <w:t xml:space="preserve">be </w:t>
      </w:r>
      <w:r w:rsidRPr="0045464E">
        <w:t>resolved</w:t>
      </w:r>
      <w:r w:rsidRPr="009D5F6B">
        <w:t xml:space="preserve"> in accordance with clause</w:t>
      </w:r>
      <w:r w:rsidR="00BF64D9">
        <w:t xml:space="preserve"> </w:t>
      </w:r>
      <w:r w:rsidR="00BF64D9">
        <w:fldChar w:fldCharType="begin"/>
      </w:r>
      <w:r w:rsidR="00BF64D9">
        <w:instrText xml:space="preserve"> REF _Ref66903288 \r \h </w:instrText>
      </w:r>
      <w:r w:rsidR="00BF64D9">
        <w:fldChar w:fldCharType="separate"/>
      </w:r>
      <w:r w:rsidR="00F5458C">
        <w:t>6.2</w:t>
      </w:r>
      <w:r w:rsidR="00BF64D9">
        <w:fldChar w:fldCharType="end"/>
      </w:r>
      <w:r w:rsidRPr="009D5F6B">
        <w:t xml:space="preserve">. </w:t>
      </w:r>
    </w:p>
    <w:p w14:paraId="770B58DB" w14:textId="25EE4DE7" w:rsidR="00B449B6" w:rsidRDefault="00B449B6" w:rsidP="00CB6AE5">
      <w:pPr>
        <w:pStyle w:val="Heading1"/>
      </w:pPr>
      <w:bookmarkStart w:id="100" w:name="_Toc79567175"/>
      <w:r w:rsidRPr="00337F48">
        <w:t>General matters</w:t>
      </w:r>
      <w:bookmarkEnd w:id="77"/>
      <w:bookmarkEnd w:id="78"/>
      <w:bookmarkEnd w:id="100"/>
    </w:p>
    <w:p w14:paraId="095CB8FB" w14:textId="3CDB2A87" w:rsidR="00CB6AE5" w:rsidRPr="00491DC8" w:rsidRDefault="00CB6AE5" w:rsidP="00CB6AE5">
      <w:pPr>
        <w:pStyle w:val="Heading2"/>
        <w:rPr>
          <w:rFonts w:cstheme="minorBidi"/>
          <w:lang w:eastAsia="en-US"/>
        </w:rPr>
      </w:pPr>
      <w:bookmarkStart w:id="101" w:name="_Ref63695247"/>
      <w:bookmarkStart w:id="102" w:name="_Toc79567176"/>
      <w:bookmarkStart w:id="103" w:name="_Toc481060467"/>
      <w:bookmarkStart w:id="104" w:name="_Ref418233948"/>
      <w:r w:rsidRPr="00491DC8">
        <w:rPr>
          <w:rFonts w:cstheme="minorBidi"/>
          <w:lang w:eastAsia="en-US"/>
        </w:rPr>
        <w:t>Review of effectiveness of measures</w:t>
      </w:r>
      <w:bookmarkEnd w:id="101"/>
      <w:bookmarkEnd w:id="102"/>
    </w:p>
    <w:p w14:paraId="30267179" w14:textId="42660815" w:rsidR="00266B67" w:rsidRDefault="00266B67" w:rsidP="00266B67">
      <w:pPr>
        <w:pStyle w:val="Heading3"/>
        <w:rPr>
          <w:rFonts w:cstheme="minorBidi"/>
          <w:lang w:eastAsia="en-US"/>
        </w:rPr>
      </w:pPr>
      <w:bookmarkStart w:id="105" w:name="_Ref70602677"/>
      <w:bookmarkStart w:id="106" w:name="_Ref63695330"/>
      <w:bookmarkStart w:id="107" w:name="_Ref63695427"/>
      <w:r>
        <w:rPr>
          <w:rFonts w:cstheme="minorBidi"/>
          <w:lang w:eastAsia="en-US"/>
        </w:rPr>
        <w:t>B</w:t>
      </w:r>
      <w:r w:rsidR="00CB6AE5" w:rsidRPr="00491DC8">
        <w:rPr>
          <w:rFonts w:cstheme="minorBidi"/>
          <w:lang w:eastAsia="en-US"/>
        </w:rPr>
        <w:t>y 1 July 2024</w:t>
      </w:r>
      <w:r>
        <w:rPr>
          <w:rFonts w:cstheme="minorBidi"/>
          <w:lang w:eastAsia="en-US"/>
        </w:rPr>
        <w:t xml:space="preserve"> (or a later date agreed by the parties in writing)</w:t>
      </w:r>
      <w:r w:rsidR="00CB6AE5" w:rsidRPr="00491DC8">
        <w:rPr>
          <w:rFonts w:cstheme="minorBidi"/>
          <w:lang w:eastAsia="en-US"/>
        </w:rPr>
        <w:t xml:space="preserve">, the </w:t>
      </w:r>
      <w:r>
        <w:rPr>
          <w:rFonts w:cstheme="minorBidi"/>
          <w:lang w:eastAsia="en-US"/>
        </w:rPr>
        <w:t xml:space="preserve">parties will review the </w:t>
      </w:r>
      <w:r w:rsidR="006935BC">
        <w:rPr>
          <w:rFonts w:cstheme="minorBidi"/>
          <w:lang w:eastAsia="en-US"/>
        </w:rPr>
        <w:t xml:space="preserve">progress and </w:t>
      </w:r>
      <w:r>
        <w:rPr>
          <w:rFonts w:cstheme="minorBidi"/>
          <w:lang w:eastAsia="en-US"/>
        </w:rPr>
        <w:t xml:space="preserve">outcomes of the </w:t>
      </w:r>
      <w:r w:rsidR="00CB6AE5" w:rsidRPr="00266B67">
        <w:t>measures</w:t>
      </w:r>
      <w:r w:rsidR="00CB6AE5" w:rsidRPr="00491DC8">
        <w:rPr>
          <w:rFonts w:cstheme="minorBidi"/>
          <w:lang w:eastAsia="en-US"/>
        </w:rPr>
        <w:t xml:space="preserve"> </w:t>
      </w:r>
      <w:r w:rsidR="00515D42">
        <w:rPr>
          <w:rFonts w:cstheme="minorBidi"/>
          <w:lang w:eastAsia="en-US"/>
        </w:rPr>
        <w:t xml:space="preserve">described in </w:t>
      </w:r>
      <w:r w:rsidR="00803CD7">
        <w:rPr>
          <w:rFonts w:cstheme="minorBidi"/>
          <w:lang w:eastAsia="en-US"/>
        </w:rPr>
        <w:t>this Agreement</w:t>
      </w:r>
      <w:r w:rsidR="00CB6AE5" w:rsidRPr="00250EFC">
        <w:rPr>
          <w:rFonts w:cstheme="minorBidi"/>
          <w:lang w:eastAsia="en-US"/>
        </w:rPr>
        <w:t xml:space="preserve"> </w:t>
      </w:r>
      <w:r w:rsidR="006935BC">
        <w:rPr>
          <w:rFonts w:cstheme="minorBidi"/>
          <w:lang w:eastAsia="en-US"/>
        </w:rPr>
        <w:t>as at that time</w:t>
      </w:r>
      <w:r>
        <w:rPr>
          <w:rFonts w:cstheme="minorBidi"/>
          <w:lang w:eastAsia="en-US"/>
        </w:rPr>
        <w:t>.</w:t>
      </w:r>
      <w:bookmarkEnd w:id="105"/>
    </w:p>
    <w:p w14:paraId="45312C8E" w14:textId="0E719F6D" w:rsidR="00CB6AE5" w:rsidRPr="00491DC8" w:rsidRDefault="00266B67" w:rsidP="00266B67">
      <w:pPr>
        <w:pStyle w:val="Heading3"/>
        <w:rPr>
          <w:lang w:eastAsia="en-US"/>
        </w:rPr>
      </w:pPr>
      <w:bookmarkStart w:id="108" w:name="_Ref70602742"/>
      <w:r w:rsidRPr="00266B67">
        <w:rPr>
          <w:rFonts w:cstheme="minorBidi"/>
          <w:lang w:eastAsia="en-US"/>
        </w:rPr>
        <w:t>If</w:t>
      </w:r>
      <w:r>
        <w:rPr>
          <w:rFonts w:cstheme="minorBidi"/>
          <w:lang w:eastAsia="en-US"/>
        </w:rPr>
        <w:t>,</w:t>
      </w:r>
      <w:r w:rsidRPr="00266B67">
        <w:rPr>
          <w:rFonts w:cstheme="minorBidi"/>
          <w:lang w:eastAsia="en-US"/>
        </w:rPr>
        <w:t xml:space="preserve"> </w:t>
      </w:r>
      <w:r w:rsidR="006935BC">
        <w:rPr>
          <w:lang w:eastAsia="en-US"/>
        </w:rPr>
        <w:t>as a result o</w:t>
      </w:r>
      <w:r>
        <w:rPr>
          <w:lang w:eastAsia="en-US"/>
        </w:rPr>
        <w:t xml:space="preserve">f the review described in clause </w:t>
      </w:r>
      <w:r>
        <w:rPr>
          <w:lang w:eastAsia="en-US"/>
        </w:rPr>
        <w:fldChar w:fldCharType="begin"/>
      </w:r>
      <w:r>
        <w:rPr>
          <w:lang w:eastAsia="en-US"/>
        </w:rPr>
        <w:instrText xml:space="preserve"> REF _Ref70602677 \r \h </w:instrText>
      </w:r>
      <w:r>
        <w:rPr>
          <w:lang w:eastAsia="en-US"/>
        </w:rPr>
      </w:r>
      <w:r>
        <w:rPr>
          <w:lang w:eastAsia="en-US"/>
        </w:rPr>
        <w:fldChar w:fldCharType="separate"/>
      </w:r>
      <w:r w:rsidR="00F5458C">
        <w:rPr>
          <w:lang w:eastAsia="en-US"/>
        </w:rPr>
        <w:t>6.1.1</w:t>
      </w:r>
      <w:r>
        <w:rPr>
          <w:lang w:eastAsia="en-US"/>
        </w:rPr>
        <w:fldChar w:fldCharType="end"/>
      </w:r>
      <w:r>
        <w:rPr>
          <w:lang w:eastAsia="en-US"/>
        </w:rPr>
        <w:t>, either party considers that the measures described in this Agreement are not operating</w:t>
      </w:r>
      <w:r w:rsidR="00FE0F84" w:rsidRPr="00491DC8">
        <w:rPr>
          <w:lang w:eastAsia="en-US"/>
        </w:rPr>
        <w:t xml:space="preserve"> as intended, </w:t>
      </w:r>
      <w:r w:rsidR="00CB6AE5" w:rsidRPr="00491DC8">
        <w:rPr>
          <w:lang w:eastAsia="en-US"/>
        </w:rPr>
        <w:t xml:space="preserve">it may give written notice to </w:t>
      </w:r>
      <w:r>
        <w:rPr>
          <w:lang w:eastAsia="en-US"/>
        </w:rPr>
        <w:t xml:space="preserve">the other party </w:t>
      </w:r>
      <w:r w:rsidR="00CB6AE5" w:rsidRPr="00491DC8">
        <w:rPr>
          <w:lang w:eastAsia="en-US"/>
        </w:rPr>
        <w:t xml:space="preserve">under this clause </w:t>
      </w:r>
      <w:r>
        <w:rPr>
          <w:lang w:eastAsia="en-US"/>
        </w:rPr>
        <w:fldChar w:fldCharType="begin"/>
      </w:r>
      <w:r>
        <w:rPr>
          <w:lang w:eastAsia="en-US"/>
        </w:rPr>
        <w:instrText xml:space="preserve"> REF _Ref70602742 \r \h </w:instrText>
      </w:r>
      <w:r>
        <w:rPr>
          <w:lang w:eastAsia="en-US"/>
        </w:rPr>
      </w:r>
      <w:r>
        <w:rPr>
          <w:lang w:eastAsia="en-US"/>
        </w:rPr>
        <w:fldChar w:fldCharType="separate"/>
      </w:r>
      <w:r w:rsidR="00F5458C">
        <w:rPr>
          <w:lang w:eastAsia="en-US"/>
        </w:rPr>
        <w:t>6.1.2</w:t>
      </w:r>
      <w:r>
        <w:rPr>
          <w:lang w:eastAsia="en-US"/>
        </w:rPr>
        <w:fldChar w:fldCharType="end"/>
      </w:r>
      <w:r w:rsidR="00CB6AE5" w:rsidRPr="00491DC8">
        <w:rPr>
          <w:lang w:eastAsia="en-US"/>
        </w:rPr>
        <w:t xml:space="preserve">, and the parties will thereafter commence </w:t>
      </w:r>
      <w:r w:rsidR="00131D53">
        <w:rPr>
          <w:lang w:eastAsia="en-US"/>
        </w:rPr>
        <w:t>discussions</w:t>
      </w:r>
      <w:r w:rsidR="00131D53" w:rsidRPr="00491DC8">
        <w:rPr>
          <w:lang w:eastAsia="en-US"/>
        </w:rPr>
        <w:t xml:space="preserve"> </w:t>
      </w:r>
      <w:r w:rsidR="00CB6AE5" w:rsidRPr="00491DC8">
        <w:rPr>
          <w:lang w:eastAsia="en-US"/>
        </w:rPr>
        <w:t>in good faith to agree amendments to this Agreement (which may include proposed amendments to the Act) to be implemented during the remainder of the Term</w:t>
      </w:r>
      <w:bookmarkEnd w:id="106"/>
      <w:r w:rsidR="00D853B2" w:rsidRPr="00D853B2">
        <w:rPr>
          <w:lang w:eastAsia="en-US"/>
        </w:rPr>
        <w:t xml:space="preserve"> </w:t>
      </w:r>
      <w:r w:rsidR="00D853B2" w:rsidRPr="0022399C">
        <w:rPr>
          <w:lang w:eastAsia="en-US"/>
        </w:rPr>
        <w:t xml:space="preserve">to deliver the outcomes as intended by this </w:t>
      </w:r>
      <w:r w:rsidR="00D853B2">
        <w:rPr>
          <w:lang w:eastAsia="en-US"/>
        </w:rPr>
        <w:t>A</w:t>
      </w:r>
      <w:r w:rsidR="00D853B2" w:rsidRPr="0022399C">
        <w:rPr>
          <w:lang w:eastAsia="en-US"/>
        </w:rPr>
        <w:t>greement</w:t>
      </w:r>
      <w:r w:rsidR="00CB6AE5" w:rsidRPr="00491DC8">
        <w:rPr>
          <w:lang w:eastAsia="en-US"/>
        </w:rPr>
        <w:t>.</w:t>
      </w:r>
      <w:bookmarkEnd w:id="107"/>
      <w:bookmarkEnd w:id="108"/>
    </w:p>
    <w:p w14:paraId="01A25532" w14:textId="09ACEAC7" w:rsidR="00D853B2" w:rsidRPr="00D853B2" w:rsidRDefault="00D853B2" w:rsidP="00D853B2">
      <w:pPr>
        <w:pStyle w:val="Heading3"/>
        <w:rPr>
          <w:rFonts w:cstheme="minorBidi"/>
          <w:lang w:eastAsia="en-US"/>
        </w:rPr>
      </w:pPr>
      <w:bookmarkStart w:id="109" w:name="_Ref75499430"/>
      <w:r w:rsidRPr="00D853B2">
        <w:rPr>
          <w:rFonts w:cstheme="minorBidi"/>
          <w:lang w:eastAsia="en-US"/>
        </w:rPr>
        <w:t>If the parties are unable to agree any required variation to this Agreement in writing within 3 months after the date a notice is given under clause</w:t>
      </w:r>
      <w:r>
        <w:rPr>
          <w:rFonts w:cstheme="minorBidi"/>
          <w:lang w:eastAsia="en-US"/>
        </w:rPr>
        <w:t xml:space="preserve"> </w:t>
      </w:r>
      <w:r>
        <w:rPr>
          <w:rFonts w:cstheme="minorBidi"/>
          <w:lang w:eastAsia="en-US"/>
        </w:rPr>
        <w:fldChar w:fldCharType="begin"/>
      </w:r>
      <w:r>
        <w:rPr>
          <w:rFonts w:cstheme="minorBidi"/>
          <w:lang w:eastAsia="en-US"/>
        </w:rPr>
        <w:instrText xml:space="preserve"> REF _Ref70602742 \r \h </w:instrText>
      </w:r>
      <w:r>
        <w:rPr>
          <w:rFonts w:cstheme="minorBidi"/>
          <w:lang w:eastAsia="en-US"/>
        </w:rPr>
      </w:r>
      <w:r>
        <w:rPr>
          <w:rFonts w:cstheme="minorBidi"/>
          <w:lang w:eastAsia="en-US"/>
        </w:rPr>
        <w:fldChar w:fldCharType="separate"/>
      </w:r>
      <w:r w:rsidR="00F5458C">
        <w:rPr>
          <w:rFonts w:cstheme="minorBidi"/>
          <w:lang w:eastAsia="en-US"/>
        </w:rPr>
        <w:t>6.1.2</w:t>
      </w:r>
      <w:r>
        <w:rPr>
          <w:rFonts w:cstheme="minorBidi"/>
          <w:lang w:eastAsia="en-US"/>
        </w:rPr>
        <w:fldChar w:fldCharType="end"/>
      </w:r>
      <w:r w:rsidRPr="00D853B2">
        <w:rPr>
          <w:rFonts w:cstheme="minorBidi"/>
          <w:lang w:eastAsia="en-US"/>
        </w:rPr>
        <w:t>, then either party may give the other party written notice of its intention to terminate this Agreement if a variation is not agreed within a further 21 days.  If a notice is given under this clause</w:t>
      </w:r>
      <w:r w:rsidR="001A7CE7">
        <w:rPr>
          <w:rFonts w:cstheme="minorBidi"/>
          <w:lang w:eastAsia="en-US"/>
        </w:rPr>
        <w:t> </w:t>
      </w:r>
      <w:r>
        <w:rPr>
          <w:rFonts w:cstheme="minorBidi"/>
          <w:lang w:eastAsia="en-US"/>
        </w:rPr>
        <w:fldChar w:fldCharType="begin"/>
      </w:r>
      <w:r>
        <w:rPr>
          <w:rFonts w:cstheme="minorBidi"/>
          <w:lang w:eastAsia="en-US"/>
        </w:rPr>
        <w:instrText xml:space="preserve"> REF _Ref75499430 \r \h </w:instrText>
      </w:r>
      <w:r>
        <w:rPr>
          <w:rFonts w:cstheme="minorBidi"/>
          <w:lang w:eastAsia="en-US"/>
        </w:rPr>
      </w:r>
      <w:r>
        <w:rPr>
          <w:rFonts w:cstheme="minorBidi"/>
          <w:lang w:eastAsia="en-US"/>
        </w:rPr>
        <w:fldChar w:fldCharType="separate"/>
      </w:r>
      <w:r w:rsidR="00F5458C">
        <w:rPr>
          <w:rFonts w:cstheme="minorBidi"/>
          <w:lang w:eastAsia="en-US"/>
        </w:rPr>
        <w:t>6.1.3</w:t>
      </w:r>
      <w:r>
        <w:rPr>
          <w:rFonts w:cstheme="minorBidi"/>
          <w:lang w:eastAsia="en-US"/>
        </w:rPr>
        <w:fldChar w:fldCharType="end"/>
      </w:r>
      <w:r w:rsidR="004F383E">
        <w:rPr>
          <w:rFonts w:cstheme="minorBidi"/>
          <w:lang w:eastAsia="en-US"/>
        </w:rPr>
        <w:t xml:space="preserve"> and a variation is not agreed within the required timeframe</w:t>
      </w:r>
      <w:r w:rsidRPr="00D853B2">
        <w:rPr>
          <w:rFonts w:cstheme="minorBidi"/>
          <w:lang w:eastAsia="en-US"/>
        </w:rPr>
        <w:t xml:space="preserve">, the party issuing the notice may terminate this Agreement by giving written notice </w:t>
      </w:r>
      <w:r w:rsidR="00193DBD">
        <w:rPr>
          <w:rFonts w:cstheme="minorBidi"/>
          <w:lang w:eastAsia="en-US"/>
        </w:rPr>
        <w:t xml:space="preserve">of termination </w:t>
      </w:r>
      <w:r w:rsidRPr="00D853B2">
        <w:rPr>
          <w:rFonts w:cstheme="minorBidi"/>
          <w:lang w:eastAsia="en-US"/>
        </w:rPr>
        <w:t xml:space="preserve">to the other party at the conclusion of the further 21 days, with the effective date of termination to be the date </w:t>
      </w:r>
      <w:r w:rsidR="001A7CE7">
        <w:rPr>
          <w:rFonts w:cstheme="minorBidi"/>
          <w:lang w:eastAsia="en-US"/>
        </w:rPr>
        <w:t>of</w:t>
      </w:r>
      <w:r w:rsidRPr="00D853B2">
        <w:rPr>
          <w:rFonts w:cstheme="minorBidi"/>
          <w:lang w:eastAsia="en-US"/>
        </w:rPr>
        <w:t xml:space="preserve"> the notice </w:t>
      </w:r>
      <w:r w:rsidR="00193DBD">
        <w:rPr>
          <w:rFonts w:cstheme="minorBidi"/>
          <w:lang w:eastAsia="en-US"/>
        </w:rPr>
        <w:t xml:space="preserve">of termination </w:t>
      </w:r>
      <w:r w:rsidRPr="00D853B2">
        <w:rPr>
          <w:rFonts w:cstheme="minorBidi"/>
          <w:lang w:eastAsia="en-US"/>
        </w:rPr>
        <w:t>or such other date agreed by the parties in writing.</w:t>
      </w:r>
      <w:bookmarkEnd w:id="109"/>
    </w:p>
    <w:p w14:paraId="38DC5ABB" w14:textId="77777777" w:rsidR="0062503F" w:rsidRPr="00591E9F" w:rsidRDefault="0062503F" w:rsidP="0062503F">
      <w:pPr>
        <w:pStyle w:val="Heading2"/>
      </w:pPr>
      <w:bookmarkStart w:id="110" w:name="_Ref66903288"/>
      <w:bookmarkStart w:id="111" w:name="_Toc79567177"/>
      <w:r w:rsidRPr="00591E9F">
        <w:t>Issue resolution</w:t>
      </w:r>
      <w:bookmarkEnd w:id="110"/>
      <w:bookmarkEnd w:id="111"/>
    </w:p>
    <w:p w14:paraId="7891822F" w14:textId="172628E5" w:rsidR="0062503F" w:rsidRPr="00C91096" w:rsidRDefault="0062503F" w:rsidP="002D5F01">
      <w:pPr>
        <w:pStyle w:val="Heading3"/>
        <w:keepNext/>
      </w:pPr>
      <w:bookmarkStart w:id="112" w:name="_Ref66196124"/>
      <w:r w:rsidRPr="00C91096">
        <w:t>For issues</w:t>
      </w:r>
      <w:r w:rsidR="00193DBD">
        <w:t xml:space="preserve"> arising under this Agreement</w:t>
      </w:r>
      <w:r w:rsidRPr="00C91096">
        <w:t xml:space="preserve"> that cannot be resolved through the Joint Oversight Committee, </w:t>
      </w:r>
      <w:r w:rsidR="00D853B2">
        <w:t>but which do not result in notice being given pursuant to clause</w:t>
      </w:r>
      <w:r w:rsidR="00193DBD">
        <w:t> </w:t>
      </w:r>
      <w:r w:rsidR="00D853B2">
        <w:fldChar w:fldCharType="begin"/>
      </w:r>
      <w:r w:rsidR="00D853B2">
        <w:instrText xml:space="preserve"> REF _Ref63695247 \r \h </w:instrText>
      </w:r>
      <w:r w:rsidR="00D853B2">
        <w:fldChar w:fldCharType="separate"/>
      </w:r>
      <w:r w:rsidR="00F5458C">
        <w:t>6.1</w:t>
      </w:r>
      <w:r w:rsidR="00D853B2">
        <w:fldChar w:fldCharType="end"/>
      </w:r>
      <w:r w:rsidR="00D853B2">
        <w:t xml:space="preserve">, </w:t>
      </w:r>
      <w:r w:rsidRPr="00C91096">
        <w:t>the process for resolving issues is as follows:</w:t>
      </w:r>
      <w:bookmarkEnd w:id="112"/>
    </w:p>
    <w:p w14:paraId="013C4581" w14:textId="77777777" w:rsidR="0062503F" w:rsidRPr="00C91096" w:rsidRDefault="0062503F" w:rsidP="002D5F01">
      <w:pPr>
        <w:pStyle w:val="Heading4"/>
        <w:keepNext/>
        <w:ind w:left="2552" w:hanging="851"/>
      </w:pPr>
      <w:bookmarkStart w:id="113" w:name="_Ref65492769"/>
      <w:r w:rsidRPr="00C91096">
        <w:t>the party with the issue will send to the other party a notice setting out the nature of the issue; and</w:t>
      </w:r>
      <w:bookmarkEnd w:id="113"/>
    </w:p>
    <w:p w14:paraId="0043263B" w14:textId="77777777" w:rsidR="0062503F" w:rsidRPr="00C91096" w:rsidRDefault="0062503F" w:rsidP="00E734CF">
      <w:pPr>
        <w:pStyle w:val="Heading4"/>
        <w:ind w:left="2552" w:hanging="851"/>
      </w:pPr>
      <w:r w:rsidRPr="00C91096">
        <w:t>the:</w:t>
      </w:r>
    </w:p>
    <w:p w14:paraId="2B1E5A09" w14:textId="5FFDABAA" w:rsidR="0062503F" w:rsidRPr="00C91096" w:rsidRDefault="0062503F" w:rsidP="00E734CF">
      <w:pPr>
        <w:pStyle w:val="Heading5"/>
        <w:tabs>
          <w:tab w:val="clear" w:pos="2835"/>
          <w:tab w:val="num" w:pos="3402"/>
        </w:tabs>
        <w:ind w:left="3402" w:hanging="850"/>
      </w:pPr>
      <w:r w:rsidRPr="00C91096">
        <w:t>Commonwealth representative specified in clause</w:t>
      </w:r>
      <w:r>
        <w:t xml:space="preserve"> </w:t>
      </w:r>
      <w:r w:rsidR="00D853B2">
        <w:fldChar w:fldCharType="begin"/>
      </w:r>
      <w:r w:rsidR="00D853B2">
        <w:instrText xml:space="preserve"> REF _Ref419889345 \w \h </w:instrText>
      </w:r>
      <w:r w:rsidR="00D853B2">
        <w:fldChar w:fldCharType="separate"/>
      </w:r>
      <w:r w:rsidR="00F5458C">
        <w:t>6.6.1(a)</w:t>
      </w:r>
      <w:r w:rsidR="00D853B2">
        <w:fldChar w:fldCharType="end"/>
      </w:r>
      <w:proofErr w:type="gramStart"/>
      <w:r w:rsidR="00D853B2">
        <w:t>;</w:t>
      </w:r>
      <w:r w:rsidRPr="00C91096">
        <w:t>and</w:t>
      </w:r>
      <w:proofErr w:type="gramEnd"/>
    </w:p>
    <w:p w14:paraId="4670DDE0" w14:textId="634AA390" w:rsidR="0062503F" w:rsidRPr="00C91096" w:rsidRDefault="0062503F" w:rsidP="00E734CF">
      <w:pPr>
        <w:pStyle w:val="Heading5"/>
        <w:keepNext/>
        <w:tabs>
          <w:tab w:val="clear" w:pos="2835"/>
          <w:tab w:val="num" w:pos="3402"/>
        </w:tabs>
        <w:ind w:left="3402" w:hanging="850"/>
      </w:pPr>
      <w:r>
        <w:t>GBMA</w:t>
      </w:r>
      <w:r w:rsidRPr="00C91096">
        <w:t xml:space="preserve"> representative specified in clause</w:t>
      </w:r>
      <w:r w:rsidR="00D853B2">
        <w:t xml:space="preserve"> </w:t>
      </w:r>
      <w:r w:rsidR="00D853B2">
        <w:fldChar w:fldCharType="begin"/>
      </w:r>
      <w:r w:rsidR="00D853B2">
        <w:instrText xml:space="preserve"> REF _Ref419889373 \w \h </w:instrText>
      </w:r>
      <w:r w:rsidR="00D853B2">
        <w:fldChar w:fldCharType="separate"/>
      </w:r>
      <w:r w:rsidR="00F5458C">
        <w:t>6.6.1(b)</w:t>
      </w:r>
      <w:r w:rsidR="00D853B2">
        <w:fldChar w:fldCharType="end"/>
      </w:r>
      <w:r w:rsidRPr="00C91096">
        <w:t>,</w:t>
      </w:r>
    </w:p>
    <w:p w14:paraId="72FCBD34" w14:textId="77777777" w:rsidR="0062503F" w:rsidRPr="00C91096" w:rsidRDefault="0062503F" w:rsidP="00E734CF">
      <w:pPr>
        <w:pStyle w:val="BodyIndent3"/>
        <w:keepNext/>
        <w:ind w:left="2552"/>
      </w:pPr>
      <w:r w:rsidRPr="00C91096">
        <w:t>will then try to resolve the issue by direct negotiation.</w:t>
      </w:r>
    </w:p>
    <w:p w14:paraId="64F36422" w14:textId="1A1E7C90" w:rsidR="0062503F" w:rsidRPr="00C91096" w:rsidRDefault="0062503F" w:rsidP="0062503F">
      <w:pPr>
        <w:pStyle w:val="Heading3"/>
      </w:pPr>
      <w:r w:rsidRPr="00C91096">
        <w:t xml:space="preserve">If the issue is not resolved by direct negotiation under clause </w:t>
      </w:r>
      <w:r w:rsidR="00D853B2">
        <w:fldChar w:fldCharType="begin"/>
      </w:r>
      <w:r w:rsidR="00D853B2">
        <w:instrText xml:space="preserve"> REF _Ref66196124 \w \h </w:instrText>
      </w:r>
      <w:r w:rsidR="00D853B2">
        <w:fldChar w:fldCharType="separate"/>
      </w:r>
      <w:r w:rsidR="00F5458C">
        <w:t>6.2.1</w:t>
      </w:r>
      <w:r w:rsidR="00D853B2">
        <w:fldChar w:fldCharType="end"/>
      </w:r>
      <w:r w:rsidR="00D853B2">
        <w:t xml:space="preserve"> </w:t>
      </w:r>
      <w:r w:rsidRPr="00C91096">
        <w:t xml:space="preserve">within </w:t>
      </w:r>
      <w:r>
        <w:t>4</w:t>
      </w:r>
      <w:r w:rsidRPr="00C91096">
        <w:t>0</w:t>
      </w:r>
      <w:r w:rsidR="00D853B2">
        <w:t> </w:t>
      </w:r>
      <w:r w:rsidRPr="00C91096">
        <w:t xml:space="preserve">Business Days from the date the notice referred to in clause </w:t>
      </w:r>
      <w:r w:rsidR="00D853B2">
        <w:fldChar w:fldCharType="begin"/>
      </w:r>
      <w:r w:rsidR="00D853B2">
        <w:instrText xml:space="preserve"> REF _Ref65492769 \w \h </w:instrText>
      </w:r>
      <w:r w:rsidR="00D853B2">
        <w:fldChar w:fldCharType="separate"/>
      </w:r>
      <w:r w:rsidR="00F5458C">
        <w:t>6.2.1(a)</w:t>
      </w:r>
      <w:r w:rsidR="00D853B2">
        <w:fldChar w:fldCharType="end"/>
      </w:r>
      <w:r>
        <w:t xml:space="preserve"> </w:t>
      </w:r>
      <w:r w:rsidRPr="00C91096">
        <w:t xml:space="preserve">is given, either party may refer the matter for direct negotiation between the Minister and the Chairperson of </w:t>
      </w:r>
      <w:r>
        <w:t>the G</w:t>
      </w:r>
      <w:r w:rsidR="00392711">
        <w:t>B</w:t>
      </w:r>
      <w:r>
        <w:t>MA</w:t>
      </w:r>
      <w:r w:rsidRPr="00C91096">
        <w:t>.</w:t>
      </w:r>
    </w:p>
    <w:p w14:paraId="7DD6C0E0" w14:textId="067E128C" w:rsidR="00B449B6" w:rsidRPr="00491DC8" w:rsidRDefault="00B449B6" w:rsidP="00B449B6">
      <w:pPr>
        <w:pStyle w:val="Heading2"/>
      </w:pPr>
      <w:bookmarkStart w:id="114" w:name="_Toc79567178"/>
      <w:r w:rsidRPr="00491DC8">
        <w:t>New agreement</w:t>
      </w:r>
      <w:bookmarkEnd w:id="103"/>
      <w:bookmarkEnd w:id="114"/>
    </w:p>
    <w:p w14:paraId="32B25972" w14:textId="70B4115B" w:rsidR="00B449B6" w:rsidRPr="00CE1A26" w:rsidRDefault="00B449B6" w:rsidP="00B449B6">
      <w:pPr>
        <w:pStyle w:val="BodyIndent1"/>
      </w:pPr>
      <w:r>
        <w:t>The p</w:t>
      </w:r>
      <w:r w:rsidRPr="00CE1A26">
        <w:t xml:space="preserve">arties will use </w:t>
      </w:r>
      <w:r>
        <w:t xml:space="preserve">their </w:t>
      </w:r>
      <w:r w:rsidRPr="00CE1A26">
        <w:t xml:space="preserve">best endeavours to ensure </w:t>
      </w:r>
      <w:r>
        <w:t xml:space="preserve">that </w:t>
      </w:r>
      <w:r w:rsidRPr="00CE1A26">
        <w:t xml:space="preserve">negotiations for any new agreement </w:t>
      </w:r>
      <w:r>
        <w:t xml:space="preserve">to apply after expiry of this Agreement </w:t>
      </w:r>
      <w:r w:rsidRPr="00CE1A26">
        <w:t>will commen</w:t>
      </w:r>
      <w:r w:rsidRPr="00491DC8">
        <w:t xml:space="preserve">ce </w:t>
      </w:r>
      <w:r w:rsidR="002D5F01">
        <w:t xml:space="preserve">no sooner than </w:t>
      </w:r>
      <w:r w:rsidR="00EF4BE0" w:rsidRPr="00491DC8">
        <w:t>12</w:t>
      </w:r>
      <w:r w:rsidRPr="00491DC8">
        <w:t xml:space="preserve"> months</w:t>
      </w:r>
      <w:r>
        <w:t xml:space="preserve"> prior to the expiry of this Agreement.</w:t>
      </w:r>
    </w:p>
    <w:p w14:paraId="7F1E3EDB" w14:textId="77777777" w:rsidR="00B449B6" w:rsidRPr="00337F48" w:rsidRDefault="00B449B6" w:rsidP="00B449B6">
      <w:pPr>
        <w:pStyle w:val="Heading2"/>
      </w:pPr>
      <w:bookmarkStart w:id="115" w:name="_Toc421290216"/>
      <w:bookmarkStart w:id="116" w:name="_Toc421714201"/>
      <w:bookmarkStart w:id="117" w:name="_Ref480305955"/>
      <w:bookmarkStart w:id="118" w:name="_Toc481060468"/>
      <w:bookmarkStart w:id="119" w:name="_Toc79567179"/>
      <w:r w:rsidRPr="00337F48">
        <w:t>Variation</w:t>
      </w:r>
      <w:bookmarkEnd w:id="104"/>
      <w:bookmarkEnd w:id="115"/>
      <w:bookmarkEnd w:id="116"/>
      <w:bookmarkEnd w:id="117"/>
      <w:bookmarkEnd w:id="118"/>
      <w:bookmarkEnd w:id="119"/>
    </w:p>
    <w:p w14:paraId="465E4C99" w14:textId="77777777" w:rsidR="00B449B6" w:rsidRPr="00337F48" w:rsidRDefault="00B449B6" w:rsidP="00B449B6">
      <w:pPr>
        <w:pStyle w:val="BodyIndent1"/>
      </w:pPr>
      <w:r w:rsidRPr="00337F48">
        <w:t>A provision of this Agreement may only be varied in writing, signed by the Minister</w:t>
      </w:r>
      <w:r w:rsidR="001F713F">
        <w:t xml:space="preserve"> (</w:t>
      </w:r>
      <w:r w:rsidRPr="00337F48">
        <w:t>or a delegate of the Minister</w:t>
      </w:r>
      <w:r w:rsidR="001F713F">
        <w:t xml:space="preserve">) and </w:t>
      </w:r>
      <w:r w:rsidR="00ED7F45">
        <w:t>GBMA</w:t>
      </w:r>
      <w:r w:rsidRPr="00337F48">
        <w:t>.</w:t>
      </w:r>
    </w:p>
    <w:p w14:paraId="2AAD58EF" w14:textId="77777777" w:rsidR="00B449B6" w:rsidRPr="00337F48" w:rsidRDefault="00B449B6" w:rsidP="00B449B6">
      <w:pPr>
        <w:pStyle w:val="Heading2"/>
      </w:pPr>
      <w:bookmarkStart w:id="120" w:name="_Toc421290217"/>
      <w:bookmarkStart w:id="121" w:name="_Toc421714202"/>
      <w:bookmarkStart w:id="122" w:name="_Toc481060469"/>
      <w:bookmarkStart w:id="123" w:name="_Toc79567180"/>
      <w:r w:rsidRPr="00337F48">
        <w:t>Status of this document</w:t>
      </w:r>
      <w:bookmarkEnd w:id="120"/>
      <w:bookmarkEnd w:id="121"/>
      <w:bookmarkEnd w:id="122"/>
      <w:bookmarkEnd w:id="123"/>
    </w:p>
    <w:p w14:paraId="57398A03" w14:textId="77777777" w:rsidR="00B449B6" w:rsidRPr="00337F48" w:rsidRDefault="00B449B6" w:rsidP="00076551">
      <w:pPr>
        <w:pStyle w:val="Heading3"/>
        <w:keepNext/>
      </w:pPr>
      <w:bookmarkStart w:id="124" w:name="_Ref65763984"/>
      <w:r w:rsidRPr="00337F48">
        <w:t>Both parties acknowledge and agree that:</w:t>
      </w:r>
      <w:bookmarkEnd w:id="124"/>
    </w:p>
    <w:p w14:paraId="55706FFA" w14:textId="77777777" w:rsidR="00B449B6" w:rsidRPr="00337F48" w:rsidRDefault="00B449B6" w:rsidP="00B354D7">
      <w:pPr>
        <w:pStyle w:val="Heading4"/>
        <w:keepNext/>
      </w:pPr>
      <w:bookmarkStart w:id="125" w:name="_Ref420935386"/>
      <w:bookmarkStart w:id="126" w:name="_Ref65492882"/>
      <w:r w:rsidRPr="00337F48">
        <w:t>it is their common intention to meet their commitments under this Agreement;</w:t>
      </w:r>
      <w:bookmarkEnd w:id="125"/>
      <w:r w:rsidRPr="00337F48">
        <w:t xml:space="preserve"> and</w:t>
      </w:r>
      <w:bookmarkEnd w:id="126"/>
    </w:p>
    <w:p w14:paraId="5584B052" w14:textId="75E38392" w:rsidR="00B449B6" w:rsidRDefault="00B449B6" w:rsidP="00B354D7">
      <w:pPr>
        <w:pStyle w:val="Heading4"/>
        <w:keepNext/>
      </w:pPr>
      <w:proofErr w:type="gramStart"/>
      <w:r w:rsidRPr="00337F48">
        <w:t>despite</w:t>
      </w:r>
      <w:proofErr w:type="gramEnd"/>
      <w:r w:rsidRPr="00337F48">
        <w:t xml:space="preserve"> clause </w:t>
      </w:r>
      <w:r w:rsidR="00720C99">
        <w:fldChar w:fldCharType="begin"/>
      </w:r>
      <w:r w:rsidR="00720C99">
        <w:instrText xml:space="preserve"> REF _Ref65492882 \w \h </w:instrText>
      </w:r>
      <w:r w:rsidR="00720C99">
        <w:fldChar w:fldCharType="separate"/>
      </w:r>
      <w:r w:rsidR="00F5458C">
        <w:t>6.5.1(a)</w:t>
      </w:r>
      <w:r w:rsidR="00720C99">
        <w:fldChar w:fldCharType="end"/>
      </w:r>
      <w:r w:rsidRPr="00491DC8">
        <w:t>,</w:t>
      </w:r>
      <w:r w:rsidRPr="00337F48">
        <w:t xml:space="preserve"> nothing in this Agreement places a financial obligation on the Commonwealth or gives rise to an obligation on the Commonwealth to pay compensation, including during or after the end of the Term.</w:t>
      </w:r>
    </w:p>
    <w:p w14:paraId="5E6D2635" w14:textId="365C5063" w:rsidR="00CC1740" w:rsidRPr="00CC1740" w:rsidRDefault="00CC1740" w:rsidP="00CC1740">
      <w:pPr>
        <w:pStyle w:val="Heading3"/>
      </w:pPr>
      <w:r w:rsidRPr="00CC1740">
        <w:t xml:space="preserve">GBMA acknowledges </w:t>
      </w:r>
      <w:r w:rsidR="007C6D17">
        <w:t xml:space="preserve">and agrees </w:t>
      </w:r>
      <w:r w:rsidRPr="00CC1740">
        <w:t>that the Bill prepared in relation to implementing the measures described in this Agreement may not adopt the exact language used in this Agreement</w:t>
      </w:r>
      <w:r>
        <w:t>,</w:t>
      </w:r>
      <w:r w:rsidRPr="00CC1740">
        <w:t xml:space="preserve"> and </w:t>
      </w:r>
      <w:r>
        <w:t xml:space="preserve">that </w:t>
      </w:r>
      <w:r w:rsidRPr="00CC1740">
        <w:t>modification</w:t>
      </w:r>
      <w:r>
        <w:t>s</w:t>
      </w:r>
      <w:r w:rsidRPr="00CC1740">
        <w:t xml:space="preserve"> to certain language </w:t>
      </w:r>
      <w:r>
        <w:t xml:space="preserve">and principles set out </w:t>
      </w:r>
      <w:r w:rsidRPr="00CC1740">
        <w:t>in this Agreement may be required</w:t>
      </w:r>
      <w:r>
        <w:t xml:space="preserve"> when drafting the Bill</w:t>
      </w:r>
      <w:r w:rsidRPr="00CC1740">
        <w:t xml:space="preserve">, provided that the Bill </w:t>
      </w:r>
      <w:r>
        <w:t xml:space="preserve">still </w:t>
      </w:r>
      <w:r w:rsidRPr="00CC1740">
        <w:t>allow</w:t>
      </w:r>
      <w:r w:rsidR="00803CD7">
        <w:t>s</w:t>
      </w:r>
      <w:r w:rsidRPr="00CC1740">
        <w:t xml:space="preserve"> the substance of the measures </w:t>
      </w:r>
      <w:r>
        <w:t xml:space="preserve">to </w:t>
      </w:r>
      <w:r w:rsidRPr="00CC1740">
        <w:t xml:space="preserve">be implemented. </w:t>
      </w:r>
    </w:p>
    <w:p w14:paraId="1F4C682C" w14:textId="77777777" w:rsidR="00076551" w:rsidRPr="00337F48" w:rsidRDefault="00076551" w:rsidP="00076551">
      <w:pPr>
        <w:pStyle w:val="Heading3"/>
      </w:pPr>
      <w:r>
        <w:t>To the extent of any inconsistency between this Agreement and the Act, the Act will prevail.</w:t>
      </w:r>
    </w:p>
    <w:p w14:paraId="51451808" w14:textId="77777777" w:rsidR="00B449B6" w:rsidRPr="00337F48" w:rsidRDefault="00B449B6" w:rsidP="002D5F01">
      <w:pPr>
        <w:pStyle w:val="Heading2"/>
      </w:pPr>
      <w:bookmarkStart w:id="127" w:name="_Toc421290218"/>
      <w:bookmarkStart w:id="128" w:name="_Toc421714203"/>
      <w:bookmarkStart w:id="129" w:name="_Toc481060470"/>
      <w:bookmarkStart w:id="130" w:name="_Toc79567181"/>
      <w:r w:rsidRPr="00337F48">
        <w:t>Notices</w:t>
      </w:r>
      <w:bookmarkEnd w:id="127"/>
      <w:bookmarkEnd w:id="128"/>
      <w:bookmarkEnd w:id="129"/>
      <w:bookmarkEnd w:id="130"/>
    </w:p>
    <w:p w14:paraId="62B7BFA6" w14:textId="77777777" w:rsidR="00B449B6" w:rsidRPr="00337F48" w:rsidRDefault="00B449B6" w:rsidP="002D5F01">
      <w:pPr>
        <w:pStyle w:val="Heading3"/>
        <w:keepNext/>
      </w:pPr>
      <w:r w:rsidRPr="00337F48">
        <w:t>A notice under this Agreement is only effective if it is in writing, and dealt with as follows:</w:t>
      </w:r>
    </w:p>
    <w:p w14:paraId="3E402DDA" w14:textId="77777777" w:rsidR="0044644D" w:rsidRPr="00337F48" w:rsidRDefault="0044644D" w:rsidP="002D5F01">
      <w:pPr>
        <w:pStyle w:val="Heading4"/>
        <w:keepNext/>
      </w:pPr>
      <w:bookmarkStart w:id="131" w:name="_Ref419889345"/>
      <w:r w:rsidRPr="00337F48">
        <w:t xml:space="preserve">if given by </w:t>
      </w:r>
      <w:r w:rsidR="00ED7F45">
        <w:t>GBMA</w:t>
      </w:r>
      <w:r w:rsidRPr="00337F48">
        <w:t xml:space="preserve"> to the Commonwealth - addressed to:</w:t>
      </w:r>
      <w:bookmarkEnd w:id="131"/>
    </w:p>
    <w:p w14:paraId="3F2BE946" w14:textId="77777777" w:rsidR="0044644D" w:rsidRPr="00337F48" w:rsidRDefault="0044644D" w:rsidP="002D5F01">
      <w:pPr>
        <w:pStyle w:val="BodyIndent2"/>
        <w:keepNext/>
        <w:spacing w:before="0"/>
        <w:ind w:left="2268"/>
      </w:pPr>
    </w:p>
    <w:p w14:paraId="12A0FD8C" w14:textId="77777777" w:rsidR="0044644D" w:rsidRDefault="0044644D" w:rsidP="002D5F01">
      <w:pPr>
        <w:pStyle w:val="BodyIndent2"/>
        <w:keepNext/>
        <w:keepLines/>
        <w:spacing w:before="120"/>
        <w:ind w:left="2268"/>
      </w:pPr>
      <w:r w:rsidRPr="009D3B53">
        <w:t>First Assistant Secretary</w:t>
      </w:r>
      <w:r>
        <w:br/>
        <w:t>Technology Assessment and Access</w:t>
      </w:r>
      <w:r w:rsidRPr="009D3B53">
        <w:t xml:space="preserve"> Division</w:t>
      </w:r>
      <w:r>
        <w:br/>
        <w:t>Department of Health</w:t>
      </w:r>
      <w:r w:rsidRPr="009D3B53">
        <w:t xml:space="preserve"> </w:t>
      </w:r>
      <w:r>
        <w:br/>
        <w:t xml:space="preserve">Email: </w:t>
      </w:r>
      <w:r w:rsidRPr="0044644D">
        <w:rPr>
          <w:rStyle w:val="Hyperlink"/>
          <w:color w:val="auto"/>
          <w:u w:val="none"/>
        </w:rPr>
        <w:t>adriana.platona@health.gov.au</w:t>
      </w:r>
    </w:p>
    <w:p w14:paraId="452B928A" w14:textId="55331171" w:rsidR="0044644D" w:rsidRDefault="0044644D" w:rsidP="00E734CF">
      <w:pPr>
        <w:pStyle w:val="BodyIndent2"/>
        <w:ind w:left="2268"/>
      </w:pPr>
      <w:r w:rsidRPr="009D3B53">
        <w:t xml:space="preserve">MDP </w:t>
      </w:r>
      <w:r>
        <w:t>900</w:t>
      </w:r>
      <w:r w:rsidRPr="009D3B53">
        <w:br/>
        <w:t>GPO Box 9848</w:t>
      </w:r>
      <w:r w:rsidRPr="009D3B53">
        <w:br/>
        <w:t>CANBERRA</w:t>
      </w:r>
      <w:r>
        <w:t xml:space="preserve"> </w:t>
      </w:r>
      <w:r w:rsidRPr="009D3B53">
        <w:t xml:space="preserve"> ACT </w:t>
      </w:r>
      <w:r>
        <w:t xml:space="preserve"> </w:t>
      </w:r>
      <w:r w:rsidRPr="009D3B53">
        <w:t>2601</w:t>
      </w:r>
      <w:r w:rsidR="00B835C7">
        <w:t>,</w:t>
      </w:r>
    </w:p>
    <w:p w14:paraId="33A19831" w14:textId="77777777" w:rsidR="0044644D" w:rsidRPr="00337F48" w:rsidRDefault="0044644D" w:rsidP="00E734CF">
      <w:pPr>
        <w:pStyle w:val="BodyIndent2"/>
        <w:ind w:left="2268"/>
      </w:pPr>
      <w:r w:rsidRPr="00337F48">
        <w:t>or as otherwise notified by the Commonwealth; or</w:t>
      </w:r>
    </w:p>
    <w:p w14:paraId="59586465" w14:textId="77777777" w:rsidR="0044644D" w:rsidRPr="00337F48" w:rsidRDefault="0044644D" w:rsidP="00B354D7">
      <w:pPr>
        <w:pStyle w:val="Heading4"/>
        <w:keepNext/>
      </w:pPr>
      <w:bookmarkStart w:id="132" w:name="_Ref419889373"/>
      <w:r w:rsidRPr="00337F48">
        <w:t xml:space="preserve">if given by the Commonwealth to </w:t>
      </w:r>
      <w:r w:rsidR="00ED7F45">
        <w:t>GBMA</w:t>
      </w:r>
      <w:r w:rsidRPr="00337F48">
        <w:t xml:space="preserve"> - addressed to:</w:t>
      </w:r>
      <w:bookmarkEnd w:id="132"/>
      <w:r w:rsidRPr="00337F48">
        <w:t xml:space="preserve"> </w:t>
      </w:r>
    </w:p>
    <w:p w14:paraId="2F10534E" w14:textId="77777777" w:rsidR="0044644D" w:rsidRPr="00337F48" w:rsidRDefault="0044644D" w:rsidP="0044644D">
      <w:pPr>
        <w:pStyle w:val="BodyIndent2"/>
        <w:keepNext/>
        <w:spacing w:before="0"/>
        <w:ind w:left="2268"/>
      </w:pPr>
    </w:p>
    <w:p w14:paraId="20589E4C" w14:textId="77777777" w:rsidR="0044644D" w:rsidRDefault="0044644D" w:rsidP="0044644D">
      <w:pPr>
        <w:pStyle w:val="BodyIndent2"/>
        <w:keepNext/>
        <w:spacing w:before="0"/>
        <w:ind w:left="2268"/>
      </w:pPr>
      <w:r w:rsidRPr="00337F48">
        <w:t>Chief Executive Officer</w:t>
      </w:r>
      <w:r w:rsidRPr="00337F48">
        <w:br/>
      </w:r>
      <w:r w:rsidR="00943937" w:rsidRPr="00943937">
        <w:t>Generic Medicines Industry Association Pty Ltd ACN 096 009 540</w:t>
      </w:r>
    </w:p>
    <w:p w14:paraId="02BD7D9D" w14:textId="77777777" w:rsidR="0044644D" w:rsidRPr="00337F48" w:rsidRDefault="0044644D" w:rsidP="0044644D">
      <w:pPr>
        <w:pStyle w:val="BodyIndent2"/>
        <w:keepNext/>
        <w:spacing w:before="0"/>
        <w:ind w:left="2268"/>
      </w:pPr>
      <w:r>
        <w:t xml:space="preserve">Email: </w:t>
      </w:r>
      <w:r w:rsidR="0091489C">
        <w:t>marnie.peterson@gbma.com.au</w:t>
      </w:r>
    </w:p>
    <w:p w14:paraId="3A88A5C2" w14:textId="77777777" w:rsidR="0044644D" w:rsidRDefault="00503A05" w:rsidP="00503A05">
      <w:pPr>
        <w:pStyle w:val="BodyIndent2"/>
        <w:ind w:left="2268"/>
      </w:pPr>
      <w:r>
        <w:t xml:space="preserve">By mail to: </w:t>
      </w:r>
      <w:r w:rsidR="00887816">
        <w:t>PO Box 87</w:t>
      </w:r>
      <w:r>
        <w:t xml:space="preserve">, </w:t>
      </w:r>
      <w:r w:rsidR="0044644D" w:rsidRPr="00337F48">
        <w:t xml:space="preserve">Deakin </w:t>
      </w:r>
      <w:r w:rsidR="00887816">
        <w:t>West</w:t>
      </w:r>
      <w:r w:rsidR="0044644D" w:rsidRPr="00337F48">
        <w:t xml:space="preserve"> ACT 2600</w:t>
      </w:r>
    </w:p>
    <w:p w14:paraId="274BE663" w14:textId="40ECBD9D" w:rsidR="00503A05" w:rsidRPr="00337F48" w:rsidRDefault="00503A05" w:rsidP="00503A05">
      <w:pPr>
        <w:pStyle w:val="BodyIndent2"/>
        <w:ind w:left="2268"/>
      </w:pPr>
      <w:r>
        <w:t>By hand to: Level 8, 121 Marcus Clarke Street, Canberra City ACT 2601</w:t>
      </w:r>
      <w:r w:rsidR="00B835C7">
        <w:t>,</w:t>
      </w:r>
    </w:p>
    <w:p w14:paraId="25D22574" w14:textId="77777777" w:rsidR="0044644D" w:rsidRPr="00337F48" w:rsidRDefault="0044644D" w:rsidP="0044644D">
      <w:pPr>
        <w:pStyle w:val="BodyIndent2"/>
        <w:ind w:left="2268"/>
      </w:pPr>
      <w:r w:rsidRPr="00337F48">
        <w:t xml:space="preserve">or as otherwise notified by </w:t>
      </w:r>
      <w:r w:rsidR="00887816">
        <w:t>GBMA</w:t>
      </w:r>
      <w:r w:rsidRPr="00337F48">
        <w:t>.</w:t>
      </w:r>
    </w:p>
    <w:p w14:paraId="09F3A38B" w14:textId="77777777" w:rsidR="00B449B6" w:rsidRPr="00337F48" w:rsidRDefault="00B449B6" w:rsidP="0044644D">
      <w:pPr>
        <w:pStyle w:val="Heading3"/>
        <w:keepNext/>
      </w:pPr>
      <w:r w:rsidRPr="00337F48">
        <w:t>A notice is to be:</w:t>
      </w:r>
    </w:p>
    <w:p w14:paraId="62D5BB26" w14:textId="77777777" w:rsidR="00B449B6" w:rsidRPr="00337F48" w:rsidRDefault="00B449B6" w:rsidP="00B354D7">
      <w:pPr>
        <w:pStyle w:val="Heading4"/>
        <w:keepNext/>
      </w:pPr>
      <w:r w:rsidRPr="00337F48">
        <w:t>signed by the person giving the notice and delivered by hand;</w:t>
      </w:r>
    </w:p>
    <w:p w14:paraId="3C798EBA" w14:textId="77777777" w:rsidR="00B449B6" w:rsidRPr="00337F48" w:rsidRDefault="00B449B6" w:rsidP="00B354D7">
      <w:pPr>
        <w:pStyle w:val="Heading4"/>
        <w:keepNext/>
      </w:pPr>
      <w:r w:rsidRPr="00337F48">
        <w:t>signed by the person giving the notice and sent by pre-paid post; or</w:t>
      </w:r>
    </w:p>
    <w:p w14:paraId="1E653AF5" w14:textId="77777777" w:rsidR="00B449B6" w:rsidRPr="00337F48" w:rsidRDefault="00B449B6" w:rsidP="00B354D7">
      <w:pPr>
        <w:pStyle w:val="Heading4"/>
        <w:keepNext/>
      </w:pPr>
      <w:r w:rsidRPr="00337F48">
        <w:t>transmitted electronically by the person giving the notice by email.</w:t>
      </w:r>
    </w:p>
    <w:p w14:paraId="2C938420" w14:textId="66EE4660" w:rsidR="00B449B6" w:rsidRPr="00337F48" w:rsidRDefault="00B449B6" w:rsidP="00B449B6">
      <w:pPr>
        <w:pStyle w:val="Heading3"/>
      </w:pPr>
      <w:r w:rsidRPr="00337F48">
        <w:t xml:space="preserve">Communications take effect from the time they are received or taken to be received under clause </w:t>
      </w:r>
      <w:r w:rsidRPr="00337F48">
        <w:fldChar w:fldCharType="begin"/>
      </w:r>
      <w:r w:rsidRPr="00337F48">
        <w:instrText xml:space="preserve"> REF _Ref418234352 \r \h  \* MERGEFORMAT </w:instrText>
      </w:r>
      <w:r w:rsidRPr="00337F48">
        <w:fldChar w:fldCharType="separate"/>
      </w:r>
      <w:r w:rsidR="00F5458C">
        <w:t>6.6.4</w:t>
      </w:r>
      <w:r w:rsidRPr="00337F48">
        <w:fldChar w:fldCharType="end"/>
      </w:r>
      <w:r w:rsidRPr="00337F48">
        <w:t xml:space="preserve"> (whichever happens first) unless a later time is specified.</w:t>
      </w:r>
    </w:p>
    <w:p w14:paraId="32407F2A" w14:textId="77777777" w:rsidR="00B449B6" w:rsidRPr="00337F48" w:rsidRDefault="00B449B6" w:rsidP="00B449B6">
      <w:pPr>
        <w:pStyle w:val="Heading3"/>
        <w:keepNext/>
      </w:pPr>
      <w:bookmarkStart w:id="133" w:name="_Ref418234352"/>
      <w:r w:rsidRPr="00337F48">
        <w:t>Communications are taken to be received:</w:t>
      </w:r>
      <w:bookmarkEnd w:id="133"/>
    </w:p>
    <w:p w14:paraId="6F5B494B" w14:textId="77777777" w:rsidR="0044644D" w:rsidRDefault="0044644D" w:rsidP="00B354D7">
      <w:pPr>
        <w:pStyle w:val="Heading4"/>
        <w:keepNext/>
      </w:pPr>
      <w:r>
        <w:t>if delivered by hand, upon delivery;</w:t>
      </w:r>
    </w:p>
    <w:p w14:paraId="1C17B6B0" w14:textId="77777777" w:rsidR="00B449B6" w:rsidRPr="00337F48" w:rsidRDefault="00B449B6" w:rsidP="00B354D7">
      <w:pPr>
        <w:pStyle w:val="Heading4"/>
        <w:keepNext/>
      </w:pPr>
      <w:r w:rsidRPr="00337F48">
        <w:t xml:space="preserve">if sent by post, </w:t>
      </w:r>
      <w:r>
        <w:t>6</w:t>
      </w:r>
      <w:r w:rsidRPr="00337F48">
        <w:t xml:space="preserve"> days after posting; </w:t>
      </w:r>
      <w:r w:rsidR="0044644D">
        <w:t>or</w:t>
      </w:r>
    </w:p>
    <w:p w14:paraId="54C83BE7" w14:textId="77777777" w:rsidR="00B449B6" w:rsidRPr="00337F48" w:rsidRDefault="00B449B6" w:rsidP="00B354D7">
      <w:pPr>
        <w:pStyle w:val="Heading4"/>
        <w:keepNext/>
      </w:pPr>
      <w:r w:rsidRPr="00337F48">
        <w:t>if sent by email;</w:t>
      </w:r>
    </w:p>
    <w:p w14:paraId="20AEEF14" w14:textId="77777777" w:rsidR="00B449B6" w:rsidRPr="00337F48" w:rsidRDefault="00B449B6" w:rsidP="00B354D7">
      <w:pPr>
        <w:pStyle w:val="Heading5"/>
        <w:keepNext/>
        <w:tabs>
          <w:tab w:val="clear" w:pos="2835"/>
          <w:tab w:val="num" w:pos="2800"/>
        </w:tabs>
        <w:ind w:left="2800" w:hanging="560"/>
      </w:pPr>
      <w:r w:rsidRPr="00337F48">
        <w:t>when the sender receives an automated message confirming delivery; or</w:t>
      </w:r>
    </w:p>
    <w:p w14:paraId="721683CA" w14:textId="77777777" w:rsidR="00B449B6" w:rsidRDefault="00B449B6" w:rsidP="00B354D7">
      <w:pPr>
        <w:pStyle w:val="Heading5"/>
        <w:tabs>
          <w:tab w:val="clear" w:pos="2835"/>
          <w:tab w:val="num" w:pos="2800"/>
        </w:tabs>
        <w:ind w:left="2800" w:hanging="560"/>
      </w:pPr>
      <w:r w:rsidRPr="00337F48">
        <w:t xml:space="preserve">four hours after the time sent (as recorded on the device from which the sender sent the email) unless the sender receives an automated message that the email has not been delivered, </w:t>
      </w:r>
    </w:p>
    <w:p w14:paraId="64CADF0E" w14:textId="77777777" w:rsidR="00B449B6" w:rsidRPr="00337F48" w:rsidRDefault="00B449B6" w:rsidP="00B449B6">
      <w:pPr>
        <w:pStyle w:val="BodyIndent3"/>
      </w:pPr>
      <w:r w:rsidRPr="00337F48">
        <w:t>whichever happens first.</w:t>
      </w:r>
    </w:p>
    <w:p w14:paraId="55DC13E5" w14:textId="74EB9250" w:rsidR="00B449B6" w:rsidRDefault="00B449B6" w:rsidP="00B449B6">
      <w:pPr>
        <w:pStyle w:val="Heading3"/>
      </w:pPr>
      <w:r w:rsidRPr="00337F48">
        <w:t xml:space="preserve">A notice received, or taken to be received under clause </w:t>
      </w:r>
      <w:r w:rsidRPr="00337F48">
        <w:fldChar w:fldCharType="begin"/>
      </w:r>
      <w:r w:rsidRPr="00337F48">
        <w:instrText xml:space="preserve"> REF _Ref418234352 \r \h  \* MERGEFORMAT </w:instrText>
      </w:r>
      <w:r w:rsidRPr="00337F48">
        <w:fldChar w:fldCharType="separate"/>
      </w:r>
      <w:r w:rsidR="00F5458C">
        <w:t>6.6.4</w:t>
      </w:r>
      <w:r w:rsidRPr="00337F48">
        <w:fldChar w:fldCharType="end"/>
      </w:r>
      <w:r w:rsidRPr="00337F48">
        <w:t xml:space="preserve"> after 5.00 pm, or on a day that is not a </w:t>
      </w:r>
      <w:r>
        <w:t>b</w:t>
      </w:r>
      <w:r w:rsidRPr="00337F48">
        <w:t xml:space="preserve">usiness </w:t>
      </w:r>
      <w:r>
        <w:t>d</w:t>
      </w:r>
      <w:r w:rsidRPr="00337F48">
        <w:t xml:space="preserve">ay in the place of receipt, is deemed to be effected on the next </w:t>
      </w:r>
      <w:r>
        <w:t>b</w:t>
      </w:r>
      <w:r w:rsidRPr="00337F48">
        <w:t xml:space="preserve">usiness </w:t>
      </w:r>
      <w:r>
        <w:t>d</w:t>
      </w:r>
      <w:r w:rsidRPr="00337F48">
        <w:t>ay</w:t>
      </w:r>
      <w:r>
        <w:t xml:space="preserve"> in the place of receipt</w:t>
      </w:r>
      <w:r w:rsidRPr="00337F48">
        <w:t xml:space="preserve">. </w:t>
      </w:r>
    </w:p>
    <w:p w14:paraId="76F42309" w14:textId="77777777" w:rsidR="0044644D" w:rsidRDefault="0044644D" w:rsidP="0044644D">
      <w:pPr>
        <w:pStyle w:val="Heading1"/>
      </w:pPr>
      <w:bookmarkStart w:id="134" w:name="_Toc79567182"/>
      <w:r>
        <w:t>Interpretation</w:t>
      </w:r>
      <w:bookmarkEnd w:id="134"/>
    </w:p>
    <w:p w14:paraId="0EF11139" w14:textId="77777777" w:rsidR="0044644D" w:rsidRPr="007B2EF5" w:rsidRDefault="0044644D" w:rsidP="0044644D">
      <w:pPr>
        <w:pStyle w:val="Heading2"/>
      </w:pPr>
      <w:bookmarkStart w:id="135" w:name="_Toc79567183"/>
      <w:r w:rsidRPr="007B2EF5">
        <w:t>Words and headings</w:t>
      </w:r>
      <w:bookmarkEnd w:id="135"/>
    </w:p>
    <w:p w14:paraId="512E8269" w14:textId="77777777" w:rsidR="0044644D" w:rsidRPr="007B2EF5" w:rsidRDefault="0044644D" w:rsidP="001F713F">
      <w:pPr>
        <w:pStyle w:val="BodyIndent1"/>
      </w:pPr>
      <w:r w:rsidRPr="007B2EF5">
        <w:t xml:space="preserve">In this Agreement, unless expressed to the contrary: </w:t>
      </w:r>
    </w:p>
    <w:p w14:paraId="004DD3A9" w14:textId="77777777" w:rsidR="0044644D" w:rsidRPr="007B2EF5" w:rsidRDefault="0044644D" w:rsidP="009218DC">
      <w:pPr>
        <w:numPr>
          <w:ilvl w:val="2"/>
          <w:numId w:val="2"/>
        </w:numPr>
        <w:spacing w:before="240"/>
        <w:ind w:left="1708" w:hanging="840"/>
        <w:outlineLvl w:val="2"/>
      </w:pPr>
      <w:r w:rsidRPr="007B2EF5">
        <w:t>words denoting the singular include the plural and vice versa;</w:t>
      </w:r>
    </w:p>
    <w:p w14:paraId="44BDA1E2" w14:textId="77777777" w:rsidR="0044644D" w:rsidRPr="007B2EF5" w:rsidRDefault="0044644D" w:rsidP="009218DC">
      <w:pPr>
        <w:numPr>
          <w:ilvl w:val="2"/>
          <w:numId w:val="2"/>
        </w:numPr>
        <w:spacing w:before="240"/>
        <w:ind w:left="1708" w:hanging="840"/>
        <w:outlineLvl w:val="2"/>
      </w:pPr>
      <w:r w:rsidRPr="007B2EF5">
        <w:t>the word 'includes' in any form is not a word of limitation;</w:t>
      </w:r>
    </w:p>
    <w:p w14:paraId="39F82A61" w14:textId="77777777" w:rsidR="0044644D" w:rsidRPr="007B2EF5" w:rsidRDefault="0044644D" w:rsidP="009218DC">
      <w:pPr>
        <w:numPr>
          <w:ilvl w:val="2"/>
          <w:numId w:val="2"/>
        </w:numPr>
        <w:spacing w:before="240"/>
        <w:ind w:left="1708" w:hanging="840"/>
        <w:outlineLvl w:val="2"/>
      </w:pPr>
      <w:r w:rsidRPr="007B2EF5">
        <w:t xml:space="preserve">where a word or phrase is defined, another part of speech or grammatical form of that word or phrase has a corresponding meaning; </w:t>
      </w:r>
    </w:p>
    <w:p w14:paraId="007E93D9" w14:textId="77777777" w:rsidR="0044644D" w:rsidRPr="007B2EF5" w:rsidRDefault="0044644D" w:rsidP="009218DC">
      <w:pPr>
        <w:numPr>
          <w:ilvl w:val="2"/>
          <w:numId w:val="2"/>
        </w:numPr>
        <w:spacing w:before="240"/>
        <w:ind w:left="1708" w:hanging="840"/>
        <w:outlineLvl w:val="2"/>
      </w:pPr>
      <w:r w:rsidRPr="007B2EF5">
        <w:t>headings and sub-headings are for ease of reference only and do not affect the interpretation of this Agreement; and</w:t>
      </w:r>
    </w:p>
    <w:p w14:paraId="12FA9FAF" w14:textId="77777777" w:rsidR="0044644D" w:rsidRPr="007B2EF5" w:rsidRDefault="0044644D" w:rsidP="009218DC">
      <w:pPr>
        <w:numPr>
          <w:ilvl w:val="2"/>
          <w:numId w:val="2"/>
        </w:numPr>
        <w:spacing w:before="240"/>
        <w:ind w:left="1708" w:hanging="840"/>
        <w:outlineLvl w:val="2"/>
      </w:pPr>
      <w:r w:rsidRPr="007B2EF5">
        <w:t>no rule of construction applies to the disadvantage of the person preparing this Agreement on the basis that it prepared or put forward this Agreement or any part of it.</w:t>
      </w:r>
    </w:p>
    <w:p w14:paraId="33CCCABA" w14:textId="77777777" w:rsidR="0044644D" w:rsidRPr="000F4180" w:rsidRDefault="0044644D" w:rsidP="00487C07">
      <w:pPr>
        <w:pStyle w:val="Heading2"/>
      </w:pPr>
      <w:bookmarkStart w:id="136" w:name="_Toc42783660"/>
      <w:bookmarkStart w:id="137" w:name="_Toc79567184"/>
      <w:r w:rsidRPr="000F4180">
        <w:t>Specific references</w:t>
      </w:r>
      <w:bookmarkEnd w:id="136"/>
      <w:bookmarkEnd w:id="137"/>
    </w:p>
    <w:p w14:paraId="528A11DB" w14:textId="77777777" w:rsidR="0044644D" w:rsidRPr="007B2EF5" w:rsidRDefault="0044644D" w:rsidP="00487C07">
      <w:pPr>
        <w:pStyle w:val="BodyIndent1"/>
        <w:keepNext/>
      </w:pPr>
      <w:r w:rsidRPr="007B2EF5">
        <w:t xml:space="preserve">In this Agreement, unless expressed to the contrary, a reference to: </w:t>
      </w:r>
    </w:p>
    <w:p w14:paraId="15DBDD4F" w14:textId="77777777" w:rsidR="0044644D" w:rsidRPr="007B2EF5" w:rsidRDefault="0044644D" w:rsidP="00487C07">
      <w:pPr>
        <w:keepNext/>
        <w:numPr>
          <w:ilvl w:val="2"/>
          <w:numId w:val="2"/>
        </w:numPr>
        <w:spacing w:before="240"/>
        <w:ind w:left="1708" w:hanging="840"/>
        <w:outlineLvl w:val="2"/>
      </w:pPr>
      <w:r w:rsidRPr="007B2EF5">
        <w:t>a decision</w:t>
      </w:r>
      <w:r w:rsidR="001F713F">
        <w:t xml:space="preserve">, </w:t>
      </w:r>
      <w:r w:rsidRPr="007B2EF5">
        <w:t xml:space="preserve">determination </w:t>
      </w:r>
      <w:r w:rsidR="001F713F">
        <w:t xml:space="preserve">or action </w:t>
      </w:r>
      <w:r w:rsidRPr="007B2EF5">
        <w:t>of the Minister includes a decision</w:t>
      </w:r>
      <w:r w:rsidR="001F713F">
        <w:t xml:space="preserve">, </w:t>
      </w:r>
      <w:r w:rsidRPr="007B2EF5">
        <w:t xml:space="preserve">determination </w:t>
      </w:r>
      <w:r w:rsidR="001F713F">
        <w:t xml:space="preserve">or action </w:t>
      </w:r>
      <w:r w:rsidRPr="007B2EF5">
        <w:t>of the Minister’s delegate;</w:t>
      </w:r>
    </w:p>
    <w:p w14:paraId="2EC5DA4B" w14:textId="77777777" w:rsidR="0044644D" w:rsidRPr="007B2EF5" w:rsidRDefault="0044644D" w:rsidP="009218DC">
      <w:pPr>
        <w:numPr>
          <w:ilvl w:val="2"/>
          <w:numId w:val="2"/>
        </w:numPr>
        <w:spacing w:before="240"/>
        <w:ind w:left="1708" w:hanging="840"/>
        <w:outlineLvl w:val="2"/>
      </w:pPr>
      <w:r w:rsidRPr="007B2EF5">
        <w:t xml:space="preserve">consulting on a matter, means seeking the views of the relevant other </w:t>
      </w:r>
      <w:r>
        <w:t>party</w:t>
      </w:r>
      <w:r w:rsidRPr="007B2EF5">
        <w:t xml:space="preserve"> or third party and is not an obligation to seek or obtain the agreement of any other </w:t>
      </w:r>
      <w:r>
        <w:t>person</w:t>
      </w:r>
      <w:r w:rsidRPr="007B2EF5">
        <w:t>;</w:t>
      </w:r>
    </w:p>
    <w:p w14:paraId="77544ABB" w14:textId="77777777" w:rsidR="0044644D" w:rsidRPr="007B2EF5" w:rsidRDefault="0044644D" w:rsidP="009218DC">
      <w:pPr>
        <w:numPr>
          <w:ilvl w:val="2"/>
          <w:numId w:val="2"/>
        </w:numPr>
        <w:spacing w:before="240"/>
        <w:ind w:left="1708" w:hanging="840"/>
        <w:outlineLvl w:val="2"/>
      </w:pPr>
      <w:r w:rsidRPr="007B2EF5">
        <w:t>a section is a reference to a section of the Act;</w:t>
      </w:r>
    </w:p>
    <w:p w14:paraId="77C3DFD1" w14:textId="77777777" w:rsidR="0044644D" w:rsidRPr="007B2EF5" w:rsidRDefault="0044644D" w:rsidP="009218DC">
      <w:pPr>
        <w:numPr>
          <w:ilvl w:val="2"/>
          <w:numId w:val="2"/>
        </w:numPr>
        <w:spacing w:before="240"/>
        <w:ind w:left="1708" w:hanging="840"/>
        <w:outlineLvl w:val="2"/>
      </w:pPr>
      <w:r w:rsidRPr="007B2EF5">
        <w:t>any legislation (including subordinate legislation) is to that legislation as amended, re-enacted or replaced and includes any subordinate legislation issued under it;</w:t>
      </w:r>
    </w:p>
    <w:p w14:paraId="306E46BE" w14:textId="77777777" w:rsidR="0044644D" w:rsidRPr="007B2EF5" w:rsidRDefault="0044644D" w:rsidP="009218DC">
      <w:pPr>
        <w:numPr>
          <w:ilvl w:val="2"/>
          <w:numId w:val="2"/>
        </w:numPr>
        <w:spacing w:before="240"/>
        <w:ind w:left="1708" w:hanging="840"/>
        <w:outlineLvl w:val="2"/>
      </w:pPr>
      <w:r w:rsidRPr="007B2EF5">
        <w:t xml:space="preserve">any document (such as a deed, agreement or other document) is to that document (or, if required by the context, to a part of it) as amended, novated, substituted or supplemented at any time; </w:t>
      </w:r>
    </w:p>
    <w:p w14:paraId="119CBD92" w14:textId="77777777" w:rsidR="0044644D" w:rsidRPr="007B2EF5" w:rsidRDefault="0044644D" w:rsidP="009218DC">
      <w:pPr>
        <w:numPr>
          <w:ilvl w:val="2"/>
          <w:numId w:val="2"/>
        </w:numPr>
        <w:spacing w:before="240"/>
        <w:ind w:left="1708" w:hanging="840"/>
        <w:outlineLvl w:val="2"/>
      </w:pPr>
      <w:r w:rsidRPr="007B2EF5">
        <w:t xml:space="preserve">writing includes writing in digital form; </w:t>
      </w:r>
    </w:p>
    <w:p w14:paraId="452135A6" w14:textId="77777777" w:rsidR="0044644D" w:rsidRPr="007B2EF5" w:rsidRDefault="0044644D" w:rsidP="009218DC">
      <w:pPr>
        <w:numPr>
          <w:ilvl w:val="2"/>
          <w:numId w:val="2"/>
        </w:numPr>
        <w:spacing w:before="240"/>
        <w:ind w:left="1708" w:hanging="840"/>
        <w:outlineLvl w:val="2"/>
      </w:pPr>
      <w:r w:rsidRPr="007B2EF5">
        <w:t>‘this Agreement’ is to this Agreement as amended from time to time;</w:t>
      </w:r>
    </w:p>
    <w:p w14:paraId="65F2DEFE" w14:textId="77777777" w:rsidR="0044644D" w:rsidRPr="007B2EF5" w:rsidRDefault="0044644D" w:rsidP="009218DC">
      <w:pPr>
        <w:numPr>
          <w:ilvl w:val="2"/>
          <w:numId w:val="2"/>
        </w:numPr>
        <w:spacing w:before="240"/>
        <w:ind w:left="1708" w:hanging="840"/>
        <w:outlineLvl w:val="2"/>
      </w:pPr>
      <w:r w:rsidRPr="007B2EF5">
        <w:t xml:space="preserve">a clause, appendix, part, table or attachment is a reference to a clause, appendix, part, table or attachment in or to this Agreement; </w:t>
      </w:r>
    </w:p>
    <w:p w14:paraId="3161A9E4" w14:textId="0E84B551" w:rsidR="0044644D" w:rsidRPr="007B2EF5" w:rsidRDefault="0044644D" w:rsidP="009218DC">
      <w:pPr>
        <w:numPr>
          <w:ilvl w:val="2"/>
          <w:numId w:val="2"/>
        </w:numPr>
        <w:spacing w:before="240"/>
        <w:ind w:left="1708" w:hanging="840"/>
        <w:outlineLvl w:val="2"/>
      </w:pPr>
      <w:r w:rsidRPr="007B2EF5">
        <w:t xml:space="preserve">to a ‘person’ includes an individual, a firm, a body corporate, a partnership, a joint venture, an unincorporated body or association, or any </w:t>
      </w:r>
      <w:r w:rsidR="00663758" w:rsidRPr="00663758">
        <w:t>governmental, semi-governmental, administrative, fiscal, judicial or quasi-judicial body, department, commission, authority, tribunal, agency or entity</w:t>
      </w:r>
      <w:r w:rsidRPr="007B2EF5">
        <w:t>; and</w:t>
      </w:r>
    </w:p>
    <w:p w14:paraId="0ABF4DB9" w14:textId="77777777" w:rsidR="0044644D" w:rsidRPr="00337F48" w:rsidRDefault="0044644D" w:rsidP="009218DC">
      <w:pPr>
        <w:numPr>
          <w:ilvl w:val="2"/>
          <w:numId w:val="2"/>
        </w:numPr>
        <w:spacing w:before="240"/>
        <w:ind w:left="1708" w:hanging="840"/>
        <w:outlineLvl w:val="2"/>
      </w:pPr>
      <w:r w:rsidRPr="007B2EF5">
        <w:t>any body (</w:t>
      </w:r>
      <w:r w:rsidRPr="007B2EF5">
        <w:rPr>
          <w:b/>
        </w:rPr>
        <w:t>Original Body</w:t>
      </w:r>
      <w:r w:rsidRPr="007B2EF5">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68156708" w14:textId="77777777" w:rsidR="00B449B6" w:rsidRPr="00337F48" w:rsidRDefault="00B449B6" w:rsidP="00B449B6">
      <w:r w:rsidRPr="00337F48">
        <w:br w:type="page"/>
      </w:r>
    </w:p>
    <w:p w14:paraId="181E79EC" w14:textId="77777777" w:rsidR="00B449B6" w:rsidRPr="00337F48" w:rsidRDefault="00B449B6" w:rsidP="00B449B6">
      <w:pPr>
        <w:pStyle w:val="mainTitle"/>
      </w:pPr>
      <w:r w:rsidRPr="00337F48">
        <w:t>Signing Page</w:t>
      </w:r>
    </w:p>
    <w:p w14:paraId="6438084E" w14:textId="77777777" w:rsidR="00B449B6" w:rsidRPr="00337F48" w:rsidRDefault="00B449B6" w:rsidP="00B449B6"/>
    <w:p w14:paraId="54A393AB" w14:textId="77777777" w:rsidR="00B449B6" w:rsidRPr="00337F48" w:rsidRDefault="00B449B6" w:rsidP="00B449B6"/>
    <w:p w14:paraId="2264E037" w14:textId="77777777" w:rsidR="00B449B6" w:rsidRPr="00337F48" w:rsidRDefault="00B449B6" w:rsidP="00B449B6"/>
    <w:p w14:paraId="12FA5056" w14:textId="7E1C5F9D" w:rsidR="00B449B6" w:rsidRPr="00337F48" w:rsidRDefault="00B449B6" w:rsidP="00B449B6">
      <w:r w:rsidRPr="00B449B6">
        <w:rPr>
          <w:b/>
          <w:bCs/>
        </w:rPr>
        <w:t>Dated</w:t>
      </w:r>
      <w:r w:rsidRPr="00337F48">
        <w:tab/>
      </w:r>
      <w:r w:rsidRPr="00337F48">
        <w:tab/>
      </w:r>
      <w:r w:rsidR="00F114DB">
        <w:t xml:space="preserve">September </w:t>
      </w:r>
      <w:r w:rsidRPr="00337F48">
        <w:fldChar w:fldCharType="begin"/>
      </w:r>
      <w:r w:rsidRPr="00337F48">
        <w:instrText xml:space="preserve"> DATE  \@ "yyyy"  \* MERGEFORMAT </w:instrText>
      </w:r>
      <w:r w:rsidRPr="00337F48">
        <w:fldChar w:fldCharType="separate"/>
      </w:r>
      <w:r w:rsidR="00D405B1">
        <w:rPr>
          <w:noProof/>
        </w:rPr>
        <w:t>2021</w:t>
      </w:r>
      <w:r w:rsidRPr="00337F48">
        <w:fldChar w:fldCharType="end"/>
      </w:r>
    </w:p>
    <w:p w14:paraId="27E8A91E" w14:textId="77777777" w:rsidR="00B449B6" w:rsidRPr="00337F48" w:rsidRDefault="00B449B6" w:rsidP="00B449B6"/>
    <w:p w14:paraId="23ACAE61" w14:textId="77777777" w:rsidR="00B449B6" w:rsidRPr="00337F48" w:rsidRDefault="00B449B6" w:rsidP="00B449B6"/>
    <w:p w14:paraId="32AA87D8" w14:textId="77777777" w:rsidR="00B449B6" w:rsidRPr="00337F48" w:rsidRDefault="00B449B6" w:rsidP="00B449B6"/>
    <w:p w14:paraId="532A43AE" w14:textId="77777777" w:rsidR="00B449B6" w:rsidRPr="00337F48" w:rsidRDefault="00B449B6" w:rsidP="00B449B6"/>
    <w:p w14:paraId="17735EBA" w14:textId="77777777" w:rsidR="00B449B6" w:rsidRPr="00337F48" w:rsidRDefault="00B449B6" w:rsidP="00B449B6">
      <w:pPr>
        <w:keepNext/>
        <w:keepLines/>
      </w:pPr>
      <w:bookmarkStart w:id="138" w:name="Deed_Person"/>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337F48" w14:paraId="0BAAF894" w14:textId="77777777" w:rsidTr="00827974">
        <w:tc>
          <w:tcPr>
            <w:tcW w:w="5038" w:type="dxa"/>
          </w:tcPr>
          <w:p w14:paraId="4005CA5B" w14:textId="1CAFC461" w:rsidR="00B449B6" w:rsidRPr="00337F48" w:rsidRDefault="00B449B6" w:rsidP="00B449B6">
            <w:pPr>
              <w:keepNext/>
              <w:keepLines/>
              <w:ind w:left="-363"/>
            </w:pPr>
            <w:r w:rsidRPr="00337F48">
              <w:rPr>
                <w:b/>
              </w:rPr>
              <w:t xml:space="preserve">Signed </w:t>
            </w:r>
            <w:r w:rsidRPr="00337F48">
              <w:t xml:space="preserve">by the </w:t>
            </w:r>
            <w:r w:rsidRPr="00337F48">
              <w:rPr>
                <w:b/>
              </w:rPr>
              <w:t>Honourable Greg Hunt MP, Minister for Health</w:t>
            </w:r>
            <w:r w:rsidRPr="00337F48">
              <w:t xml:space="preserve"> </w:t>
            </w:r>
            <w:r w:rsidR="005D19CF" w:rsidRPr="005D19CF">
              <w:rPr>
                <w:b/>
                <w:bCs/>
              </w:rPr>
              <w:t>and Aged Care</w:t>
            </w:r>
            <w:r w:rsidR="005D19CF">
              <w:t xml:space="preserve"> </w:t>
            </w:r>
            <w:r w:rsidRPr="00337F48">
              <w:t xml:space="preserve">on behalf of the </w:t>
            </w:r>
            <w:r w:rsidRPr="00337F48">
              <w:rPr>
                <w:b/>
              </w:rPr>
              <w:t>Commonwealth of Australia</w:t>
            </w:r>
            <w:r w:rsidRPr="00337F48">
              <w:t xml:space="preserve"> </w:t>
            </w:r>
          </w:p>
          <w:p w14:paraId="3930D528" w14:textId="77777777" w:rsidR="00B449B6" w:rsidRPr="00337F48" w:rsidRDefault="00B449B6" w:rsidP="00B449B6">
            <w:pPr>
              <w:keepNext/>
              <w:keepLines/>
              <w:ind w:left="-363"/>
            </w:pPr>
          </w:p>
          <w:p w14:paraId="216E400B" w14:textId="77777777" w:rsidR="00B449B6" w:rsidRPr="00337F48" w:rsidRDefault="00B449B6" w:rsidP="00B449B6">
            <w:pPr>
              <w:keepNext/>
              <w:keepLines/>
              <w:ind w:left="-363"/>
            </w:pPr>
            <w:r w:rsidRPr="00337F48">
              <w:t>in the presence of:</w:t>
            </w:r>
          </w:p>
        </w:tc>
        <w:tc>
          <w:tcPr>
            <w:tcW w:w="4873" w:type="dxa"/>
          </w:tcPr>
          <w:p w14:paraId="1D9B97AD" w14:textId="77777777" w:rsidR="00B449B6" w:rsidRPr="00337F48" w:rsidRDefault="0044644D" w:rsidP="00B449B6">
            <w:pPr>
              <w:keepNext/>
              <w:keepLines/>
            </w:pPr>
            <w:r>
              <w:t>)</w:t>
            </w:r>
          </w:p>
          <w:p w14:paraId="75168BBB" w14:textId="77777777" w:rsidR="00B449B6" w:rsidRPr="00337F48" w:rsidRDefault="0044644D" w:rsidP="00B449B6">
            <w:pPr>
              <w:keepNext/>
              <w:keepLines/>
            </w:pPr>
            <w:r>
              <w:t>)</w:t>
            </w:r>
          </w:p>
          <w:p w14:paraId="7CFB7480" w14:textId="77777777" w:rsidR="00B449B6" w:rsidRPr="00337F48" w:rsidRDefault="0044644D" w:rsidP="00B449B6">
            <w:pPr>
              <w:keepNext/>
              <w:keepLines/>
              <w:tabs>
                <w:tab w:val="left" w:pos="227"/>
                <w:tab w:val="left" w:leader="dot" w:pos="4253"/>
              </w:tabs>
            </w:pPr>
            <w:r>
              <w:t>)</w:t>
            </w:r>
          </w:p>
          <w:p w14:paraId="55B13E2C" w14:textId="77777777" w:rsidR="00B449B6" w:rsidRPr="00337F48" w:rsidRDefault="00B449B6" w:rsidP="00B449B6">
            <w:pPr>
              <w:keepNext/>
              <w:keepLines/>
              <w:tabs>
                <w:tab w:val="left" w:pos="227"/>
                <w:tab w:val="left" w:leader="dot" w:pos="4101"/>
              </w:tabs>
              <w:rPr>
                <w:rFonts w:ascii="CG Times (W1)" w:hAnsi="CG Times (W1)"/>
                <w:spacing w:val="-3"/>
              </w:rPr>
            </w:pPr>
            <w:r w:rsidRPr="00337F48">
              <w:tab/>
            </w:r>
            <w:r w:rsidRPr="00B449B6">
              <w:tab/>
            </w:r>
          </w:p>
        </w:tc>
      </w:tr>
    </w:tbl>
    <w:p w14:paraId="390EEA08" w14:textId="77777777" w:rsidR="00B449B6" w:rsidRDefault="00B449B6" w:rsidP="00B449B6">
      <w:pPr>
        <w:keepNext/>
        <w:keepLines/>
      </w:pPr>
    </w:p>
    <w:p w14:paraId="0C350B74" w14:textId="77777777" w:rsidR="0044644D" w:rsidRPr="00337F48" w:rsidRDefault="0044644D" w:rsidP="00B449B6">
      <w:pPr>
        <w:keepNext/>
        <w:keepLines/>
      </w:pPr>
    </w:p>
    <w:p w14:paraId="6A050CBF" w14:textId="77777777" w:rsidR="00B449B6" w:rsidRPr="00337F48" w:rsidRDefault="00B449B6" w:rsidP="00B449B6">
      <w:pPr>
        <w:keepNext/>
        <w:keepLines/>
      </w:pPr>
    </w:p>
    <w:p w14:paraId="5EC6F0A6" w14:textId="77777777" w:rsidR="00B449B6" w:rsidRPr="00337F48" w:rsidRDefault="00B449B6" w:rsidP="00B449B6">
      <w:pPr>
        <w:keepNext/>
        <w:keepLines/>
        <w:tabs>
          <w:tab w:val="left" w:leader="dot" w:pos="4536"/>
        </w:tabs>
      </w:pPr>
      <w:r w:rsidRPr="00337F48">
        <w:tab/>
      </w:r>
    </w:p>
    <w:p w14:paraId="110AF469" w14:textId="77777777" w:rsidR="00B449B6" w:rsidRPr="00337F48" w:rsidRDefault="00B449B6" w:rsidP="00B449B6">
      <w:pPr>
        <w:keepLines/>
      </w:pPr>
      <w:r w:rsidRPr="00337F48">
        <w:t>Witness</w:t>
      </w:r>
    </w:p>
    <w:p w14:paraId="6C4F2D65" w14:textId="77777777" w:rsidR="00B449B6" w:rsidRPr="00337F48" w:rsidRDefault="00B449B6" w:rsidP="00B449B6"/>
    <w:p w14:paraId="348D5FF2" w14:textId="77777777" w:rsidR="00B449B6" w:rsidRPr="00337F48" w:rsidRDefault="00B449B6" w:rsidP="00B449B6"/>
    <w:p w14:paraId="2EA6A241" w14:textId="77777777" w:rsidR="00B449B6" w:rsidRPr="00337F48" w:rsidRDefault="00B449B6" w:rsidP="00B449B6">
      <w:pPr>
        <w:keepNext/>
        <w:keepLines/>
        <w:tabs>
          <w:tab w:val="left" w:leader="dot" w:pos="4536"/>
        </w:tabs>
      </w:pPr>
      <w:r w:rsidRPr="00337F48">
        <w:tab/>
      </w:r>
    </w:p>
    <w:p w14:paraId="49AB5B33" w14:textId="77777777" w:rsidR="00B449B6" w:rsidRPr="00337F48" w:rsidRDefault="00B449B6" w:rsidP="00B449B6">
      <w:pPr>
        <w:keepLines/>
      </w:pPr>
      <w:r w:rsidRPr="00337F48">
        <w:t>Name of witness</w:t>
      </w:r>
    </w:p>
    <w:p w14:paraId="4DD68739" w14:textId="77777777" w:rsidR="00B449B6" w:rsidRPr="00337F48" w:rsidRDefault="00B449B6" w:rsidP="00B449B6"/>
    <w:p w14:paraId="3A0E6B6D" w14:textId="77777777" w:rsidR="00B449B6" w:rsidRPr="00337F48" w:rsidRDefault="00B449B6" w:rsidP="00B449B6"/>
    <w:p w14:paraId="563C06A5" w14:textId="77777777" w:rsidR="00B449B6" w:rsidRPr="00337F48" w:rsidRDefault="00B449B6" w:rsidP="00B449B6"/>
    <w:p w14:paraId="57D7BDCF" w14:textId="77777777" w:rsidR="00B449B6" w:rsidRPr="00337F48" w:rsidRDefault="00B449B6" w:rsidP="00B449B6"/>
    <w:p w14:paraId="0A998E30" w14:textId="77777777" w:rsidR="00B449B6" w:rsidRPr="00337F48" w:rsidRDefault="00B449B6" w:rsidP="00B449B6"/>
    <w:p w14:paraId="3FF06EB3" w14:textId="77777777" w:rsidR="00B449B6" w:rsidRPr="00337F48" w:rsidRDefault="00B449B6" w:rsidP="00B449B6">
      <w:pPr>
        <w:keepNext/>
        <w:keepLines/>
      </w:pPr>
      <w:bookmarkStart w:id="139" w:name="Company_Signed_127_2_Directors"/>
      <w:bookmarkEnd w:id="138"/>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337F48" w14:paraId="0530FDE4" w14:textId="77777777" w:rsidTr="00827974">
        <w:tc>
          <w:tcPr>
            <w:tcW w:w="5038" w:type="dxa"/>
          </w:tcPr>
          <w:p w14:paraId="05D3A9C3" w14:textId="77777777" w:rsidR="00B449B6" w:rsidRPr="00337F48" w:rsidRDefault="00B449B6" w:rsidP="00B449B6">
            <w:pPr>
              <w:keepNext/>
              <w:keepLines/>
              <w:ind w:left="-363"/>
            </w:pPr>
            <w:r w:rsidRPr="00337F48">
              <w:rPr>
                <w:b/>
              </w:rPr>
              <w:t xml:space="preserve">Signed </w:t>
            </w:r>
            <w:r w:rsidRPr="00337F48">
              <w:t>for and on behalf of</w:t>
            </w:r>
            <w:r w:rsidR="00943937">
              <w:t xml:space="preserve"> </w:t>
            </w:r>
            <w:r w:rsidR="00943937" w:rsidRPr="00943937">
              <w:rPr>
                <w:b/>
                <w:bCs/>
              </w:rPr>
              <w:t>Generic Medicines Industry Association Pty Ltd</w:t>
            </w:r>
            <w:r w:rsidR="00943937" w:rsidRPr="00943937">
              <w:t xml:space="preserve"> </w:t>
            </w:r>
            <w:r w:rsidR="00943937" w:rsidRPr="00193DBD">
              <w:t>ACN 096 009 540</w:t>
            </w:r>
            <w:r w:rsidRPr="00337F48">
              <w:rPr>
                <w:b/>
              </w:rPr>
              <w:t xml:space="preserve"> </w:t>
            </w:r>
            <w:r w:rsidRPr="00337F48">
              <w:t>by:</w:t>
            </w:r>
          </w:p>
        </w:tc>
        <w:tc>
          <w:tcPr>
            <w:tcW w:w="4873" w:type="dxa"/>
          </w:tcPr>
          <w:p w14:paraId="2424646D" w14:textId="77777777" w:rsidR="00B449B6" w:rsidRPr="00337F48" w:rsidRDefault="00B449B6" w:rsidP="00827974">
            <w:pPr>
              <w:keepNext/>
              <w:keepLines/>
            </w:pPr>
            <w:r w:rsidRPr="00337F48">
              <w:t>)</w:t>
            </w:r>
          </w:p>
          <w:p w14:paraId="232D611F" w14:textId="77777777" w:rsidR="00B449B6" w:rsidRPr="00337F48" w:rsidRDefault="00B449B6" w:rsidP="00827974">
            <w:pPr>
              <w:keepNext/>
              <w:keepLines/>
            </w:pPr>
            <w:r w:rsidRPr="00337F48">
              <w:t>)</w:t>
            </w:r>
          </w:p>
          <w:p w14:paraId="1EF3AC98" w14:textId="77777777" w:rsidR="00B449B6" w:rsidRPr="00337F48" w:rsidRDefault="0044644D" w:rsidP="00827974">
            <w:pPr>
              <w:keepNext/>
              <w:keepLines/>
            </w:pPr>
            <w:r>
              <w:t>)</w:t>
            </w:r>
          </w:p>
        </w:tc>
      </w:tr>
    </w:tbl>
    <w:p w14:paraId="4388CFEC" w14:textId="77777777" w:rsidR="00B449B6" w:rsidRDefault="00B449B6" w:rsidP="00B449B6">
      <w:pPr>
        <w:keepNext/>
        <w:keepLines/>
      </w:pPr>
    </w:p>
    <w:p w14:paraId="1A31308B" w14:textId="6F625D4D" w:rsidR="00B449B6" w:rsidRPr="00337F48" w:rsidRDefault="00B449B6" w:rsidP="00BB061B">
      <w:pPr>
        <w:keepNext/>
        <w:keepLines/>
        <w:tabs>
          <w:tab w:val="left" w:leader="dot" w:pos="4678"/>
          <w:tab w:val="left" w:leader="dot" w:pos="9355"/>
        </w:tabs>
        <w:ind w:left="5670" w:hanging="992"/>
      </w:pPr>
      <w:r w:rsidRPr="00337F48">
        <w:tab/>
      </w:r>
      <w:r w:rsidR="0062135D" w:rsidRPr="00B449B6">
        <w:tab/>
      </w:r>
    </w:p>
    <w:p w14:paraId="6C201770" w14:textId="0F5A002C" w:rsidR="00B449B6" w:rsidRPr="00337F48" w:rsidRDefault="00B449B6" w:rsidP="0062135D">
      <w:pPr>
        <w:keepNext/>
        <w:keepLines/>
        <w:tabs>
          <w:tab w:val="left" w:pos="5670"/>
        </w:tabs>
      </w:pPr>
      <w:r w:rsidRPr="00337F48">
        <w:tab/>
      </w:r>
      <w:r w:rsidR="0062135D">
        <w:t>Jane Halton PSM AO, Independent Chair</w:t>
      </w:r>
    </w:p>
    <w:p w14:paraId="263026D0" w14:textId="069D48B0" w:rsidR="00B449B6" w:rsidRDefault="00B449B6" w:rsidP="00B449B6">
      <w:pPr>
        <w:keepNext/>
        <w:keepLines/>
        <w:tabs>
          <w:tab w:val="left" w:pos="550"/>
          <w:tab w:val="left" w:pos="3410"/>
        </w:tabs>
      </w:pPr>
    </w:p>
    <w:p w14:paraId="5AFA4AFF" w14:textId="77777777" w:rsidR="0062135D" w:rsidRPr="00337F48" w:rsidRDefault="0062135D" w:rsidP="00B449B6">
      <w:pPr>
        <w:keepNext/>
        <w:keepLines/>
        <w:tabs>
          <w:tab w:val="left" w:pos="550"/>
          <w:tab w:val="left" w:pos="3410"/>
        </w:tabs>
      </w:pPr>
    </w:p>
    <w:p w14:paraId="204DCE9C" w14:textId="77777777" w:rsidR="00B449B6" w:rsidRPr="00337F48" w:rsidRDefault="00B449B6" w:rsidP="00B449B6">
      <w:pPr>
        <w:keepNext/>
        <w:keepLines/>
        <w:tabs>
          <w:tab w:val="left" w:pos="550"/>
          <w:tab w:val="left" w:pos="3410"/>
        </w:tabs>
      </w:pPr>
    </w:p>
    <w:p w14:paraId="26F744E8" w14:textId="77777777" w:rsidR="0062135D" w:rsidRPr="00337F48" w:rsidRDefault="0062135D" w:rsidP="00BB061B">
      <w:pPr>
        <w:keepNext/>
        <w:keepLines/>
        <w:tabs>
          <w:tab w:val="left" w:leader="dot" w:pos="4678"/>
          <w:tab w:val="left" w:leader="dot" w:pos="9355"/>
        </w:tabs>
        <w:ind w:left="5670" w:hanging="992"/>
      </w:pPr>
      <w:r w:rsidRPr="00337F48">
        <w:tab/>
      </w:r>
      <w:r w:rsidRPr="00B449B6">
        <w:tab/>
      </w:r>
    </w:p>
    <w:p w14:paraId="771B30B3" w14:textId="3471E13C" w:rsidR="0062135D" w:rsidRPr="00337F48" w:rsidRDefault="0062135D" w:rsidP="0062135D">
      <w:pPr>
        <w:keepNext/>
        <w:keepLines/>
        <w:tabs>
          <w:tab w:val="left" w:pos="5670"/>
        </w:tabs>
      </w:pPr>
      <w:r w:rsidRPr="00337F48">
        <w:tab/>
      </w:r>
      <w:r>
        <w:t>Dennis Bastas, Director</w:t>
      </w:r>
    </w:p>
    <w:p w14:paraId="53411ABE" w14:textId="0FDA983C" w:rsidR="00B449B6" w:rsidRDefault="00B449B6" w:rsidP="00B449B6">
      <w:pPr>
        <w:keepNext/>
        <w:keepLines/>
        <w:tabs>
          <w:tab w:val="left" w:pos="4678"/>
        </w:tabs>
      </w:pPr>
    </w:p>
    <w:p w14:paraId="500EFCAE" w14:textId="30A68954" w:rsidR="0062135D" w:rsidRDefault="0062135D" w:rsidP="00B449B6">
      <w:pPr>
        <w:keepNext/>
        <w:keepLines/>
        <w:tabs>
          <w:tab w:val="left" w:pos="4678"/>
        </w:tabs>
      </w:pPr>
      <w:r>
        <w:t>in the presence of:</w:t>
      </w:r>
    </w:p>
    <w:p w14:paraId="7FEF38A6" w14:textId="175D300B" w:rsidR="0062135D" w:rsidRDefault="0062135D" w:rsidP="00B449B6">
      <w:pPr>
        <w:keepNext/>
        <w:keepLines/>
        <w:tabs>
          <w:tab w:val="left" w:pos="4678"/>
        </w:tabs>
      </w:pPr>
    </w:p>
    <w:p w14:paraId="6D08D3A9" w14:textId="500B0E48" w:rsidR="0062135D" w:rsidRDefault="0062135D" w:rsidP="00B449B6">
      <w:pPr>
        <w:keepNext/>
        <w:keepLines/>
        <w:tabs>
          <w:tab w:val="left" w:pos="4678"/>
        </w:tabs>
      </w:pPr>
    </w:p>
    <w:p w14:paraId="532FB772" w14:textId="689D81B4" w:rsidR="0062135D" w:rsidRDefault="0062135D" w:rsidP="00B449B6">
      <w:pPr>
        <w:keepNext/>
        <w:keepLines/>
        <w:tabs>
          <w:tab w:val="left" w:pos="4678"/>
        </w:tabs>
      </w:pPr>
    </w:p>
    <w:p w14:paraId="10756EB1" w14:textId="77777777" w:rsidR="0062135D" w:rsidRPr="00337F48" w:rsidRDefault="0062135D" w:rsidP="0062135D">
      <w:pPr>
        <w:keepNext/>
        <w:keepLines/>
        <w:tabs>
          <w:tab w:val="left" w:leader="dot" w:pos="4536"/>
        </w:tabs>
      </w:pPr>
      <w:r w:rsidRPr="00337F48">
        <w:tab/>
      </w:r>
    </w:p>
    <w:p w14:paraId="0424267D" w14:textId="1FB1E4A5" w:rsidR="0062135D" w:rsidRPr="00337F48" w:rsidRDefault="0062135D" w:rsidP="0062135D">
      <w:pPr>
        <w:keepLines/>
      </w:pPr>
      <w:r>
        <w:t>Marnie Peterson, Chief Executive Officer &amp; Secretary</w:t>
      </w:r>
    </w:p>
    <w:p w14:paraId="7D85C8CD" w14:textId="77777777" w:rsidR="0062135D" w:rsidRDefault="0062135D" w:rsidP="00B449B6">
      <w:pPr>
        <w:keepNext/>
        <w:keepLines/>
        <w:tabs>
          <w:tab w:val="left" w:pos="4678"/>
        </w:tabs>
      </w:pPr>
    </w:p>
    <w:p w14:paraId="03ABC7A4" w14:textId="77777777" w:rsidR="00376F0E" w:rsidRDefault="00376F0E">
      <w:r>
        <w:br w:type="page"/>
      </w:r>
    </w:p>
    <w:p w14:paraId="70167F2B" w14:textId="77777777" w:rsidR="00B449B6" w:rsidRDefault="00376F0E" w:rsidP="00FE0F84">
      <w:pPr>
        <w:pStyle w:val="legalSchedule"/>
        <w:numPr>
          <w:ilvl w:val="0"/>
          <w:numId w:val="0"/>
        </w:numPr>
        <w:ind w:left="2552" w:hanging="2552"/>
      </w:pPr>
      <w:bookmarkStart w:id="140" w:name="_Toc79567185"/>
      <w:r>
        <w:t>Appendix 1</w:t>
      </w:r>
      <w:bookmarkEnd w:id="140"/>
    </w:p>
    <w:p w14:paraId="4C111663" w14:textId="77777777" w:rsidR="00F64AC9" w:rsidRPr="003111EA" w:rsidRDefault="00F64AC9" w:rsidP="00F64AC9">
      <w:pPr>
        <w:pStyle w:val="legalTitleDescription"/>
        <w:spacing w:after="120"/>
        <w:ind w:left="851"/>
        <w:rPr>
          <w:rFonts w:eastAsiaTheme="minorHAnsi"/>
          <w:noProof/>
        </w:rPr>
      </w:pPr>
      <w:r>
        <w:rPr>
          <w:rFonts w:eastAsiaTheme="minorHAnsi"/>
          <w:noProof/>
          <w:sz w:val="20"/>
        </w:rPr>
        <w:t>Examples of catch-up reductions for medicines listed for 15 years or more.</w:t>
      </w:r>
    </w:p>
    <w:tbl>
      <w:tblPr>
        <w:tblStyle w:val="TableGrid1"/>
        <w:tblW w:w="8145" w:type="dxa"/>
        <w:tblInd w:w="846" w:type="dxa"/>
        <w:tblLook w:val="04A0" w:firstRow="1" w:lastRow="0" w:firstColumn="1" w:lastColumn="0" w:noHBand="0" w:noVBand="1"/>
        <w:tblDescription w:val="Appendix 1. Examples of catch-up reductions for medicines listed for 15 years or more.&#10;"/>
      </w:tblPr>
      <w:tblGrid>
        <w:gridCol w:w="1127"/>
        <w:gridCol w:w="5677"/>
        <w:gridCol w:w="1341"/>
      </w:tblGrid>
      <w:tr w:rsidR="00F64AC9" w:rsidRPr="009D3B53" w14:paraId="3FCE8067" w14:textId="77777777" w:rsidTr="00252AF6">
        <w:trPr>
          <w:tblHeader/>
        </w:trPr>
        <w:tc>
          <w:tcPr>
            <w:tcW w:w="1127" w:type="dxa"/>
            <w:shd w:val="clear" w:color="auto" w:fill="0070C0"/>
            <w:vAlign w:val="center"/>
          </w:tcPr>
          <w:p w14:paraId="4694A7CF" w14:textId="77777777" w:rsidR="00F64AC9" w:rsidRDefault="00F64AC9" w:rsidP="00252AF6">
            <w:pPr>
              <w:keepNext/>
              <w:spacing w:before="120" w:after="120"/>
              <w:rPr>
                <w:rFonts w:cs="Arial"/>
                <w:noProof/>
              </w:rPr>
            </w:pPr>
            <w:r>
              <w:rPr>
                <w:rFonts w:cs="Arial"/>
                <w:noProof/>
              </w:rPr>
              <w:t>Example</w:t>
            </w:r>
          </w:p>
        </w:tc>
        <w:tc>
          <w:tcPr>
            <w:tcW w:w="5677" w:type="dxa"/>
            <w:shd w:val="clear" w:color="auto" w:fill="0070C0"/>
            <w:vAlign w:val="center"/>
          </w:tcPr>
          <w:p w14:paraId="4FF693DA" w14:textId="77777777" w:rsidR="00F64AC9" w:rsidRPr="006D3A28" w:rsidRDefault="00F64AC9" w:rsidP="00252AF6">
            <w:pPr>
              <w:keepNext/>
              <w:spacing w:before="20" w:after="20"/>
              <w:rPr>
                <w:rFonts w:cs="Arial"/>
                <w:noProof/>
              </w:rPr>
            </w:pPr>
            <w:r>
              <w:rPr>
                <w:rFonts w:cs="Arial"/>
                <w:noProof/>
              </w:rPr>
              <w:t>Catch up criteria</w:t>
            </w:r>
          </w:p>
        </w:tc>
        <w:tc>
          <w:tcPr>
            <w:tcW w:w="1341" w:type="dxa"/>
            <w:shd w:val="clear" w:color="auto" w:fill="0070C0"/>
            <w:vAlign w:val="center"/>
          </w:tcPr>
          <w:p w14:paraId="4193025D" w14:textId="77777777" w:rsidR="00F64AC9" w:rsidRPr="006D3A28" w:rsidRDefault="00F64AC9" w:rsidP="00252AF6">
            <w:pPr>
              <w:keepNext/>
              <w:spacing w:before="20" w:after="20"/>
              <w:ind w:hanging="1"/>
              <w:rPr>
                <w:rFonts w:cs="Arial"/>
                <w:noProof/>
              </w:rPr>
            </w:pPr>
            <w:r>
              <w:rPr>
                <w:rFonts w:cs="Arial"/>
                <w:noProof/>
              </w:rPr>
              <w:t>Percentage catch-up</w:t>
            </w:r>
          </w:p>
        </w:tc>
      </w:tr>
      <w:tr w:rsidR="00F64AC9" w:rsidRPr="009D3B53" w14:paraId="75E4B732" w14:textId="77777777" w:rsidTr="00252AF6">
        <w:trPr>
          <w:trHeight w:val="340"/>
        </w:trPr>
        <w:tc>
          <w:tcPr>
            <w:tcW w:w="1127" w:type="dxa"/>
          </w:tcPr>
          <w:p w14:paraId="7020C85B" w14:textId="77777777" w:rsidR="00F64AC9" w:rsidRDefault="00F64AC9" w:rsidP="00252AF6">
            <w:pPr>
              <w:spacing w:before="20" w:after="20"/>
              <w:rPr>
                <w:rFonts w:cs="Arial"/>
                <w:noProof/>
              </w:rPr>
            </w:pPr>
            <w:r>
              <w:rPr>
                <w:rFonts w:cs="Arial"/>
                <w:noProof/>
              </w:rPr>
              <w:t>1</w:t>
            </w:r>
          </w:p>
        </w:tc>
        <w:tc>
          <w:tcPr>
            <w:tcW w:w="5677" w:type="dxa"/>
            <w:vAlign w:val="center"/>
          </w:tcPr>
          <w:p w14:paraId="34B33C34" w14:textId="77777777" w:rsidR="00F64AC9" w:rsidRPr="006D3A28" w:rsidRDefault="00F64AC9" w:rsidP="00252AF6">
            <w:pPr>
              <w:spacing w:before="20" w:after="20"/>
              <w:rPr>
                <w:rFonts w:cs="Arial"/>
                <w:noProof/>
              </w:rPr>
            </w:pPr>
            <w:r>
              <w:rPr>
                <w:rFonts w:cs="Arial"/>
                <w:noProof/>
              </w:rPr>
              <w:t xml:space="preserve">Drug is on F1 and achieved its </w:t>
            </w:r>
            <w:r w:rsidRPr="00081C0E">
              <w:rPr>
                <w:rFonts w:cs="Arial"/>
                <w:noProof/>
              </w:rPr>
              <w:t>15</w:t>
            </w:r>
            <w:r w:rsidRPr="00AC4A8A">
              <w:rPr>
                <w:rFonts w:cs="Arial"/>
                <w:noProof/>
                <w:vertAlign w:val="superscript"/>
              </w:rPr>
              <w:t>th</w:t>
            </w:r>
            <w:r>
              <w:rPr>
                <w:rFonts w:cs="Arial"/>
                <w:noProof/>
              </w:rPr>
              <w:t> </w:t>
            </w:r>
            <w:r w:rsidRPr="00081C0E">
              <w:rPr>
                <w:rFonts w:cs="Arial"/>
                <w:noProof/>
              </w:rPr>
              <w:t xml:space="preserve">anniverary of being a </w:t>
            </w:r>
            <w:r>
              <w:rPr>
                <w:rFonts w:cs="Arial"/>
                <w:noProof/>
              </w:rPr>
              <w:t>Listed Drug on or prior to 1 April 2022</w:t>
            </w:r>
          </w:p>
        </w:tc>
        <w:tc>
          <w:tcPr>
            <w:tcW w:w="1341" w:type="dxa"/>
            <w:vAlign w:val="center"/>
          </w:tcPr>
          <w:p w14:paraId="5B195528" w14:textId="2EA43823" w:rsidR="00F64AC9" w:rsidRPr="006D3A28" w:rsidRDefault="00F64AC9" w:rsidP="00252AF6">
            <w:pPr>
              <w:spacing w:before="20" w:after="20"/>
              <w:rPr>
                <w:rFonts w:cs="Arial"/>
                <w:noProof/>
              </w:rPr>
            </w:pPr>
            <w:r>
              <w:rPr>
                <w:rFonts w:cs="Arial"/>
                <w:noProof/>
              </w:rPr>
              <w:t>22.2</w:t>
            </w:r>
            <w:r w:rsidR="00D853B2">
              <w:rPr>
                <w:rFonts w:cs="Arial"/>
                <w:noProof/>
              </w:rPr>
              <w:t>2</w:t>
            </w:r>
            <w:r>
              <w:rPr>
                <w:rFonts w:cs="Arial"/>
                <w:noProof/>
              </w:rPr>
              <w:t>%</w:t>
            </w:r>
          </w:p>
        </w:tc>
      </w:tr>
      <w:tr w:rsidR="00F64AC9" w:rsidRPr="009D3B53" w14:paraId="1D68656A" w14:textId="77777777" w:rsidTr="00252AF6">
        <w:trPr>
          <w:cantSplit/>
          <w:trHeight w:val="340"/>
        </w:trPr>
        <w:tc>
          <w:tcPr>
            <w:tcW w:w="1127" w:type="dxa"/>
          </w:tcPr>
          <w:p w14:paraId="6254E6EF" w14:textId="77777777" w:rsidR="00F64AC9" w:rsidRDefault="00F64AC9" w:rsidP="00252AF6">
            <w:pPr>
              <w:spacing w:before="20"/>
              <w:rPr>
                <w:rFonts w:cs="Arial"/>
                <w:noProof/>
              </w:rPr>
            </w:pPr>
            <w:r>
              <w:rPr>
                <w:rFonts w:cs="Arial"/>
                <w:noProof/>
              </w:rPr>
              <w:t>2</w:t>
            </w:r>
          </w:p>
        </w:tc>
        <w:tc>
          <w:tcPr>
            <w:tcW w:w="5677" w:type="dxa"/>
            <w:vAlign w:val="center"/>
          </w:tcPr>
          <w:p w14:paraId="6E2C3CB5" w14:textId="77777777" w:rsidR="00F64AC9" w:rsidRDefault="00F64AC9" w:rsidP="00252AF6">
            <w:pPr>
              <w:spacing w:before="20"/>
              <w:rPr>
                <w:rFonts w:cs="Arial"/>
                <w:noProof/>
              </w:rPr>
            </w:pPr>
            <w:r>
              <w:rPr>
                <w:rFonts w:cs="Arial"/>
                <w:noProof/>
              </w:rPr>
              <w:t>Drug is on F2 and has taken:</w:t>
            </w:r>
          </w:p>
          <w:p w14:paraId="3221DC72" w14:textId="77777777" w:rsidR="00F64AC9" w:rsidRDefault="00F64AC9" w:rsidP="00252AF6">
            <w:pPr>
              <w:pStyle w:val="Bullet1"/>
              <w:spacing w:before="120"/>
              <w:rPr>
                <w:noProof/>
              </w:rPr>
            </w:pPr>
            <w:r>
              <w:rPr>
                <w:noProof/>
              </w:rPr>
              <w:t>a 5% SPR on or about</w:t>
            </w:r>
            <w:r w:rsidRPr="00AC4A8A">
              <w:rPr>
                <w:noProof/>
              </w:rPr>
              <w:t xml:space="preserve"> </w:t>
            </w:r>
            <w:r>
              <w:rPr>
                <w:noProof/>
              </w:rPr>
              <w:t xml:space="preserve">the </w:t>
            </w:r>
            <w:r w:rsidRPr="00AC4A8A">
              <w:rPr>
                <w:noProof/>
              </w:rPr>
              <w:t>5</w:t>
            </w:r>
            <w:r w:rsidRPr="00EB304A">
              <w:rPr>
                <w:noProof/>
                <w:vertAlign w:val="superscript"/>
              </w:rPr>
              <w:t>th</w:t>
            </w:r>
            <w:r>
              <w:rPr>
                <w:noProof/>
                <w:vertAlign w:val="superscript"/>
              </w:rPr>
              <w:t> </w:t>
            </w:r>
            <w:r w:rsidRPr="00AC4A8A">
              <w:rPr>
                <w:noProof/>
              </w:rPr>
              <w:t xml:space="preserve">anniversary of </w:t>
            </w:r>
            <w:r>
              <w:rPr>
                <w:noProof/>
              </w:rPr>
              <w:t xml:space="preserve">it </w:t>
            </w:r>
            <w:r w:rsidRPr="00AC4A8A">
              <w:rPr>
                <w:noProof/>
              </w:rPr>
              <w:t xml:space="preserve">being </w:t>
            </w:r>
            <w:r>
              <w:rPr>
                <w:noProof/>
              </w:rPr>
              <w:t>a Listed Drug; and</w:t>
            </w:r>
          </w:p>
          <w:p w14:paraId="5812E272" w14:textId="77777777" w:rsidR="00F64AC9" w:rsidRPr="006D3A28" w:rsidRDefault="00F64AC9" w:rsidP="00252AF6">
            <w:pPr>
              <w:pStyle w:val="Bullet1"/>
              <w:spacing w:before="120" w:after="120"/>
              <w:rPr>
                <w:noProof/>
              </w:rPr>
            </w:pPr>
            <w:r>
              <w:rPr>
                <w:noProof/>
              </w:rPr>
              <w:t>a 12.5% Price Reduction</w:t>
            </w:r>
          </w:p>
        </w:tc>
        <w:tc>
          <w:tcPr>
            <w:tcW w:w="1341" w:type="dxa"/>
            <w:vAlign w:val="center"/>
          </w:tcPr>
          <w:p w14:paraId="678611DE" w14:textId="77777777" w:rsidR="00F64AC9" w:rsidRPr="006D3A28" w:rsidRDefault="00F64AC9" w:rsidP="00252AF6">
            <w:pPr>
              <w:spacing w:before="20" w:after="20"/>
              <w:rPr>
                <w:rFonts w:cs="Arial"/>
                <w:noProof/>
              </w:rPr>
            </w:pPr>
            <w:r>
              <w:rPr>
                <w:rFonts w:cs="Arial"/>
                <w:noProof/>
              </w:rPr>
              <w:t>23.99%</w:t>
            </w:r>
          </w:p>
        </w:tc>
      </w:tr>
      <w:tr w:rsidR="00F64AC9" w:rsidRPr="009D3B53" w14:paraId="76578CD6" w14:textId="77777777" w:rsidTr="00252AF6">
        <w:trPr>
          <w:trHeight w:val="374"/>
        </w:trPr>
        <w:tc>
          <w:tcPr>
            <w:tcW w:w="1127" w:type="dxa"/>
          </w:tcPr>
          <w:p w14:paraId="49075F56" w14:textId="77777777" w:rsidR="00F64AC9" w:rsidRDefault="00F64AC9" w:rsidP="00252AF6">
            <w:pPr>
              <w:spacing w:before="20"/>
              <w:rPr>
                <w:rFonts w:cs="Arial"/>
                <w:noProof/>
              </w:rPr>
            </w:pPr>
            <w:r>
              <w:rPr>
                <w:rFonts w:cs="Arial"/>
                <w:noProof/>
              </w:rPr>
              <w:t>3</w:t>
            </w:r>
          </w:p>
        </w:tc>
        <w:tc>
          <w:tcPr>
            <w:tcW w:w="5677" w:type="dxa"/>
          </w:tcPr>
          <w:p w14:paraId="3AE13930" w14:textId="77777777" w:rsidR="00F64AC9" w:rsidRDefault="00F64AC9" w:rsidP="00252AF6">
            <w:pPr>
              <w:spacing w:before="20"/>
              <w:rPr>
                <w:rFonts w:cs="Arial"/>
                <w:noProof/>
              </w:rPr>
            </w:pPr>
            <w:r>
              <w:rPr>
                <w:rFonts w:cs="Arial"/>
                <w:noProof/>
              </w:rPr>
              <w:t>Drug is on F2 and has taken:</w:t>
            </w:r>
          </w:p>
          <w:p w14:paraId="6D5BC332" w14:textId="77777777" w:rsidR="00F64AC9" w:rsidRDefault="00F64AC9" w:rsidP="00252AF6">
            <w:pPr>
              <w:pStyle w:val="Bullet1"/>
              <w:spacing w:before="120"/>
              <w:rPr>
                <w:noProof/>
              </w:rPr>
            </w:pPr>
            <w:r>
              <w:rPr>
                <w:noProof/>
              </w:rPr>
              <w:t>a 5% SPR on or about</w:t>
            </w:r>
            <w:r w:rsidRPr="00AC4A8A">
              <w:rPr>
                <w:noProof/>
              </w:rPr>
              <w:t xml:space="preserve"> </w:t>
            </w:r>
            <w:r>
              <w:rPr>
                <w:noProof/>
              </w:rPr>
              <w:t xml:space="preserve">the </w:t>
            </w:r>
            <w:r w:rsidRPr="00AC4A8A">
              <w:rPr>
                <w:noProof/>
              </w:rPr>
              <w:t>5</w:t>
            </w:r>
            <w:r w:rsidRPr="00EB304A">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 and</w:t>
            </w:r>
          </w:p>
          <w:p w14:paraId="745C506B" w14:textId="77777777" w:rsidR="00F64AC9" w:rsidRPr="006D3A28" w:rsidRDefault="00F64AC9" w:rsidP="00252AF6">
            <w:pPr>
              <w:pStyle w:val="Bullet1"/>
              <w:spacing w:before="120" w:after="120"/>
              <w:rPr>
                <w:noProof/>
              </w:rPr>
            </w:pPr>
            <w:r>
              <w:rPr>
                <w:noProof/>
              </w:rPr>
              <w:t>a 16% Price Reduction</w:t>
            </w:r>
          </w:p>
        </w:tc>
        <w:tc>
          <w:tcPr>
            <w:tcW w:w="1341" w:type="dxa"/>
            <w:vAlign w:val="center"/>
          </w:tcPr>
          <w:p w14:paraId="1486116F" w14:textId="77777777" w:rsidR="00F64AC9" w:rsidRPr="006D3A28" w:rsidRDefault="00F64AC9" w:rsidP="00252AF6">
            <w:pPr>
              <w:spacing w:before="20" w:after="20"/>
              <w:rPr>
                <w:rFonts w:cs="Arial"/>
                <w:noProof/>
              </w:rPr>
            </w:pPr>
            <w:r>
              <w:rPr>
                <w:rFonts w:cs="Arial"/>
                <w:noProof/>
              </w:rPr>
              <w:t>20.83%</w:t>
            </w:r>
          </w:p>
        </w:tc>
      </w:tr>
      <w:tr w:rsidR="00F64AC9" w:rsidRPr="009D3B53" w14:paraId="162FAEEC" w14:textId="77777777" w:rsidTr="00252AF6">
        <w:trPr>
          <w:trHeight w:val="1525"/>
        </w:trPr>
        <w:tc>
          <w:tcPr>
            <w:tcW w:w="1127" w:type="dxa"/>
          </w:tcPr>
          <w:p w14:paraId="17C2F2D1" w14:textId="77777777" w:rsidR="00F64AC9" w:rsidRDefault="00F64AC9" w:rsidP="00252AF6">
            <w:pPr>
              <w:spacing w:before="20"/>
              <w:rPr>
                <w:rFonts w:cs="Arial"/>
                <w:noProof/>
              </w:rPr>
            </w:pPr>
            <w:r>
              <w:rPr>
                <w:rFonts w:cs="Arial"/>
                <w:noProof/>
              </w:rPr>
              <w:t>4</w:t>
            </w:r>
          </w:p>
        </w:tc>
        <w:tc>
          <w:tcPr>
            <w:tcW w:w="5677" w:type="dxa"/>
            <w:vAlign w:val="center"/>
          </w:tcPr>
          <w:p w14:paraId="2CEA062E" w14:textId="77777777" w:rsidR="00F64AC9" w:rsidRDefault="00F64AC9" w:rsidP="00252AF6">
            <w:pPr>
              <w:spacing w:before="20"/>
              <w:rPr>
                <w:rFonts w:cs="Arial"/>
                <w:noProof/>
              </w:rPr>
            </w:pPr>
            <w:r>
              <w:rPr>
                <w:rFonts w:cs="Arial"/>
                <w:noProof/>
              </w:rPr>
              <w:t>Drug is on F2 and has taken:</w:t>
            </w:r>
          </w:p>
          <w:p w14:paraId="28FBECC7" w14:textId="77777777" w:rsidR="00F64AC9" w:rsidRDefault="00F64AC9" w:rsidP="00252AF6">
            <w:pPr>
              <w:pStyle w:val="Bullet1"/>
              <w:spacing w:before="120"/>
              <w:rPr>
                <w:noProof/>
              </w:rPr>
            </w:pPr>
            <w:r>
              <w:rPr>
                <w:noProof/>
              </w:rPr>
              <w:t xml:space="preserve">a 5% SPR </w:t>
            </w:r>
            <w:r w:rsidRPr="00AC4A8A">
              <w:rPr>
                <w:noProof/>
              </w:rPr>
              <w:t xml:space="preserve">on </w:t>
            </w:r>
            <w:r>
              <w:rPr>
                <w:noProof/>
              </w:rPr>
              <w:t xml:space="preserve">or about the </w:t>
            </w:r>
            <w:r w:rsidRPr="00AC4A8A">
              <w:rPr>
                <w:noProof/>
              </w:rPr>
              <w:t>5</w:t>
            </w:r>
            <w:r w:rsidRPr="00EB304A">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w:t>
            </w:r>
          </w:p>
          <w:p w14:paraId="63B74E81" w14:textId="77777777" w:rsidR="00F64AC9" w:rsidRDefault="00F64AC9" w:rsidP="00252AF6">
            <w:pPr>
              <w:pStyle w:val="Bullet1"/>
              <w:spacing w:before="120"/>
              <w:rPr>
                <w:noProof/>
              </w:rPr>
            </w:pPr>
            <w:r>
              <w:rPr>
                <w:noProof/>
              </w:rPr>
              <w:t>a 14.5% Price Reduction on or about the 15</w:t>
            </w:r>
            <w:r w:rsidRPr="00897024">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 and</w:t>
            </w:r>
          </w:p>
          <w:p w14:paraId="0A4B9E42" w14:textId="77777777" w:rsidR="00F64AC9" w:rsidRDefault="00F64AC9" w:rsidP="00252AF6">
            <w:pPr>
              <w:pStyle w:val="Bullet1"/>
              <w:spacing w:before="120" w:after="120"/>
              <w:rPr>
                <w:noProof/>
              </w:rPr>
            </w:pPr>
            <w:r>
              <w:rPr>
                <w:noProof/>
              </w:rPr>
              <w:t>a 25% Price Reduction</w:t>
            </w:r>
          </w:p>
        </w:tc>
        <w:tc>
          <w:tcPr>
            <w:tcW w:w="1341" w:type="dxa"/>
            <w:vAlign w:val="center"/>
          </w:tcPr>
          <w:p w14:paraId="1202F2F7" w14:textId="77777777" w:rsidR="00F64AC9" w:rsidRDefault="00F64AC9" w:rsidP="00252AF6">
            <w:pPr>
              <w:spacing w:before="20" w:after="20"/>
              <w:rPr>
                <w:rFonts w:cs="Arial"/>
                <w:noProof/>
              </w:rPr>
            </w:pPr>
            <w:r>
              <w:rPr>
                <w:rFonts w:cs="Arial"/>
                <w:noProof/>
              </w:rPr>
              <w:t>Nil</w:t>
            </w:r>
          </w:p>
        </w:tc>
      </w:tr>
      <w:tr w:rsidR="00F64AC9" w:rsidRPr="009D3B53" w14:paraId="1E4C5EAF" w14:textId="77777777" w:rsidTr="00252AF6">
        <w:trPr>
          <w:trHeight w:val="1525"/>
        </w:trPr>
        <w:tc>
          <w:tcPr>
            <w:tcW w:w="1127" w:type="dxa"/>
          </w:tcPr>
          <w:p w14:paraId="3E564842" w14:textId="77777777" w:rsidR="00F64AC9" w:rsidRDefault="00F64AC9" w:rsidP="00252AF6">
            <w:pPr>
              <w:spacing w:before="20"/>
              <w:rPr>
                <w:rFonts w:cs="Arial"/>
                <w:noProof/>
              </w:rPr>
            </w:pPr>
            <w:r>
              <w:rPr>
                <w:rFonts w:cs="Arial"/>
                <w:noProof/>
              </w:rPr>
              <w:t>5</w:t>
            </w:r>
          </w:p>
        </w:tc>
        <w:tc>
          <w:tcPr>
            <w:tcW w:w="5677" w:type="dxa"/>
            <w:vAlign w:val="center"/>
          </w:tcPr>
          <w:p w14:paraId="0F1EF27B" w14:textId="77777777" w:rsidR="00F64AC9" w:rsidRDefault="00F64AC9" w:rsidP="00252AF6">
            <w:pPr>
              <w:spacing w:before="20"/>
              <w:rPr>
                <w:rFonts w:cs="Arial"/>
                <w:noProof/>
              </w:rPr>
            </w:pPr>
            <w:r>
              <w:rPr>
                <w:rFonts w:cs="Arial"/>
                <w:noProof/>
              </w:rPr>
              <w:t>Drug is on F2 and has taken:</w:t>
            </w:r>
          </w:p>
          <w:p w14:paraId="31491EBE" w14:textId="77777777" w:rsidR="00F64AC9" w:rsidRDefault="00F64AC9" w:rsidP="00252AF6">
            <w:pPr>
              <w:pStyle w:val="Bullet1"/>
              <w:spacing w:before="120"/>
              <w:rPr>
                <w:noProof/>
              </w:rPr>
            </w:pPr>
            <w:r>
              <w:rPr>
                <w:noProof/>
              </w:rPr>
              <w:t xml:space="preserve">a 5% SPR </w:t>
            </w:r>
            <w:r w:rsidRPr="00AC4A8A">
              <w:rPr>
                <w:noProof/>
              </w:rPr>
              <w:t xml:space="preserve">on </w:t>
            </w:r>
            <w:r>
              <w:rPr>
                <w:noProof/>
              </w:rPr>
              <w:t xml:space="preserve">or about the </w:t>
            </w:r>
            <w:r w:rsidRPr="00AC4A8A">
              <w:rPr>
                <w:noProof/>
              </w:rPr>
              <w:t>5</w:t>
            </w:r>
            <w:r w:rsidRPr="00EB304A">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w:t>
            </w:r>
          </w:p>
          <w:p w14:paraId="5D2D327E" w14:textId="77777777" w:rsidR="00F64AC9" w:rsidRDefault="00F64AC9" w:rsidP="00252AF6">
            <w:pPr>
              <w:pStyle w:val="Bullet1"/>
              <w:spacing w:before="120"/>
              <w:rPr>
                <w:noProof/>
              </w:rPr>
            </w:pPr>
            <w:r>
              <w:rPr>
                <w:noProof/>
              </w:rPr>
              <w:t xml:space="preserve">a 10% SPR </w:t>
            </w:r>
            <w:r w:rsidRPr="00AC4A8A">
              <w:rPr>
                <w:noProof/>
              </w:rPr>
              <w:t xml:space="preserve">on </w:t>
            </w:r>
            <w:r>
              <w:rPr>
                <w:noProof/>
              </w:rPr>
              <w:t>or about the 10</w:t>
            </w:r>
            <w:r w:rsidRPr="00EB304A">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 and</w:t>
            </w:r>
          </w:p>
          <w:p w14:paraId="29F6F2F4" w14:textId="77777777" w:rsidR="00F64AC9" w:rsidRDefault="00F64AC9" w:rsidP="00252AF6">
            <w:pPr>
              <w:pStyle w:val="Bullet1"/>
              <w:spacing w:before="120" w:after="120"/>
              <w:rPr>
                <w:noProof/>
              </w:rPr>
            </w:pPr>
            <w:r>
              <w:rPr>
                <w:noProof/>
              </w:rPr>
              <w:t>a 25% Price Reduction</w:t>
            </w:r>
          </w:p>
        </w:tc>
        <w:tc>
          <w:tcPr>
            <w:tcW w:w="1341" w:type="dxa"/>
            <w:vAlign w:val="center"/>
          </w:tcPr>
          <w:p w14:paraId="01D332B1" w14:textId="77777777" w:rsidR="00F64AC9" w:rsidRPr="006D3A28" w:rsidRDefault="00F64AC9" w:rsidP="00252AF6">
            <w:pPr>
              <w:spacing w:before="20" w:after="20"/>
              <w:rPr>
                <w:rFonts w:cs="Arial"/>
                <w:noProof/>
              </w:rPr>
            </w:pPr>
            <w:r>
              <w:rPr>
                <w:rFonts w:cs="Arial"/>
                <w:noProof/>
              </w:rPr>
              <w:t>1.48%</w:t>
            </w:r>
          </w:p>
        </w:tc>
      </w:tr>
      <w:tr w:rsidR="00F64AC9" w:rsidRPr="009D3B53" w14:paraId="18EE9C82" w14:textId="77777777" w:rsidTr="00252AF6">
        <w:trPr>
          <w:trHeight w:val="587"/>
        </w:trPr>
        <w:tc>
          <w:tcPr>
            <w:tcW w:w="1127" w:type="dxa"/>
          </w:tcPr>
          <w:p w14:paraId="72D923C2" w14:textId="77777777" w:rsidR="00F64AC9" w:rsidRDefault="00F64AC9" w:rsidP="00252AF6">
            <w:pPr>
              <w:spacing w:before="20" w:after="120"/>
              <w:rPr>
                <w:rFonts w:cs="Arial"/>
                <w:noProof/>
              </w:rPr>
            </w:pPr>
            <w:r>
              <w:rPr>
                <w:rFonts w:cs="Arial"/>
                <w:noProof/>
              </w:rPr>
              <w:t>6</w:t>
            </w:r>
          </w:p>
        </w:tc>
        <w:tc>
          <w:tcPr>
            <w:tcW w:w="5677" w:type="dxa"/>
            <w:vAlign w:val="center"/>
          </w:tcPr>
          <w:p w14:paraId="0F3DC590" w14:textId="77777777" w:rsidR="00F64AC9" w:rsidRDefault="00F64AC9" w:rsidP="00252AF6">
            <w:pPr>
              <w:spacing w:before="20" w:after="120"/>
              <w:rPr>
                <w:rFonts w:cs="Arial"/>
                <w:noProof/>
              </w:rPr>
            </w:pPr>
            <w:r>
              <w:rPr>
                <w:rFonts w:cs="Arial"/>
                <w:noProof/>
              </w:rPr>
              <w:t xml:space="preserve">Drug is on F2 and has taken </w:t>
            </w:r>
            <w:r>
              <w:rPr>
                <w:noProof/>
              </w:rPr>
              <w:t>a 25% Price Reduction</w:t>
            </w:r>
          </w:p>
        </w:tc>
        <w:tc>
          <w:tcPr>
            <w:tcW w:w="1341" w:type="dxa"/>
            <w:vAlign w:val="center"/>
          </w:tcPr>
          <w:p w14:paraId="4FD0D0FF" w14:textId="77777777" w:rsidR="00F64AC9" w:rsidRDefault="00F64AC9" w:rsidP="00252AF6">
            <w:pPr>
              <w:spacing w:before="20" w:after="20"/>
              <w:rPr>
                <w:rFonts w:cs="Arial"/>
                <w:noProof/>
              </w:rPr>
            </w:pPr>
            <w:r>
              <w:rPr>
                <w:rFonts w:cs="Arial"/>
                <w:noProof/>
              </w:rPr>
              <w:t>15.76%</w:t>
            </w:r>
          </w:p>
        </w:tc>
      </w:tr>
      <w:tr w:rsidR="00F64AC9" w:rsidRPr="009D3B53" w14:paraId="199A0BFA" w14:textId="77777777" w:rsidTr="00252AF6">
        <w:trPr>
          <w:trHeight w:val="1525"/>
        </w:trPr>
        <w:tc>
          <w:tcPr>
            <w:tcW w:w="1127" w:type="dxa"/>
          </w:tcPr>
          <w:p w14:paraId="14F6E0D9" w14:textId="77777777" w:rsidR="00F64AC9" w:rsidRDefault="00F64AC9" w:rsidP="00252AF6">
            <w:pPr>
              <w:spacing w:before="20"/>
              <w:rPr>
                <w:rFonts w:cs="Arial"/>
                <w:noProof/>
              </w:rPr>
            </w:pPr>
            <w:r>
              <w:rPr>
                <w:rFonts w:cs="Arial"/>
                <w:noProof/>
              </w:rPr>
              <w:t>7</w:t>
            </w:r>
          </w:p>
        </w:tc>
        <w:tc>
          <w:tcPr>
            <w:tcW w:w="5677" w:type="dxa"/>
          </w:tcPr>
          <w:p w14:paraId="5E1CB275" w14:textId="77777777" w:rsidR="00F64AC9" w:rsidRDefault="00F64AC9" w:rsidP="00252AF6">
            <w:pPr>
              <w:spacing w:before="20" w:after="120"/>
              <w:rPr>
                <w:rFonts w:cs="Arial"/>
                <w:noProof/>
              </w:rPr>
            </w:pPr>
            <w:r w:rsidRPr="00EB304A">
              <w:rPr>
                <w:noProof/>
              </w:rPr>
              <w:t>Drug</w:t>
            </w:r>
            <w:r>
              <w:rPr>
                <w:rFonts w:cs="Arial"/>
                <w:noProof/>
              </w:rPr>
              <w:t xml:space="preserve"> is on F2 and has taken:</w:t>
            </w:r>
          </w:p>
          <w:p w14:paraId="0DF7133D" w14:textId="77777777" w:rsidR="00F64AC9" w:rsidRDefault="00F64AC9" w:rsidP="00252AF6">
            <w:pPr>
              <w:pStyle w:val="Bullet1"/>
              <w:spacing w:before="120"/>
              <w:rPr>
                <w:noProof/>
              </w:rPr>
            </w:pPr>
            <w:r>
              <w:rPr>
                <w:noProof/>
              </w:rPr>
              <w:t xml:space="preserve">a 5% SPR </w:t>
            </w:r>
            <w:r w:rsidRPr="00AC4A8A">
              <w:rPr>
                <w:noProof/>
              </w:rPr>
              <w:t xml:space="preserve">on </w:t>
            </w:r>
            <w:r>
              <w:rPr>
                <w:noProof/>
              </w:rPr>
              <w:t xml:space="preserve">or about the </w:t>
            </w:r>
            <w:r w:rsidRPr="00AC4A8A">
              <w:rPr>
                <w:noProof/>
              </w:rPr>
              <w:t>5</w:t>
            </w:r>
            <w:r w:rsidRPr="00EB304A">
              <w:rPr>
                <w:noProof/>
                <w:vertAlign w:val="superscript"/>
              </w:rPr>
              <w:t>th</w:t>
            </w:r>
            <w:r>
              <w:rPr>
                <w:noProof/>
                <w:vertAlign w:val="superscript"/>
              </w:rPr>
              <w:t> </w:t>
            </w:r>
            <w:r w:rsidRPr="00AC4A8A">
              <w:rPr>
                <w:noProof/>
              </w:rPr>
              <w:t xml:space="preserve">anniversary of </w:t>
            </w:r>
            <w:r>
              <w:rPr>
                <w:noProof/>
              </w:rPr>
              <w:t>it</w:t>
            </w:r>
            <w:r w:rsidRPr="00AC4A8A">
              <w:rPr>
                <w:noProof/>
              </w:rPr>
              <w:t xml:space="preserve"> being a </w:t>
            </w:r>
            <w:r>
              <w:rPr>
                <w:noProof/>
              </w:rPr>
              <w:t>Listed Drug; and</w:t>
            </w:r>
          </w:p>
          <w:p w14:paraId="5AA9D1BE" w14:textId="77777777" w:rsidR="00F64AC9" w:rsidRDefault="00F64AC9" w:rsidP="00252AF6">
            <w:pPr>
              <w:pStyle w:val="Bullet1"/>
              <w:spacing w:before="120" w:after="120"/>
              <w:rPr>
                <w:noProof/>
              </w:rPr>
            </w:pPr>
            <w:r>
              <w:rPr>
                <w:noProof/>
              </w:rPr>
              <w:t>a 25% Price Reduction</w:t>
            </w:r>
          </w:p>
        </w:tc>
        <w:tc>
          <w:tcPr>
            <w:tcW w:w="1341" w:type="dxa"/>
            <w:vAlign w:val="center"/>
          </w:tcPr>
          <w:p w14:paraId="3FE043E9" w14:textId="77777777" w:rsidR="00F64AC9" w:rsidRDefault="00F64AC9" w:rsidP="00252AF6">
            <w:pPr>
              <w:spacing w:before="20" w:after="20"/>
              <w:rPr>
                <w:rFonts w:cs="Arial"/>
                <w:noProof/>
              </w:rPr>
            </w:pPr>
            <w:r>
              <w:rPr>
                <w:rFonts w:cs="Arial"/>
                <w:noProof/>
              </w:rPr>
              <w:t>11.33%</w:t>
            </w:r>
          </w:p>
        </w:tc>
      </w:tr>
      <w:tr w:rsidR="00F64AC9" w:rsidRPr="009D3B53" w14:paraId="79A57D9F" w14:textId="77777777" w:rsidTr="00252AF6">
        <w:trPr>
          <w:trHeight w:val="547"/>
        </w:trPr>
        <w:tc>
          <w:tcPr>
            <w:tcW w:w="1127" w:type="dxa"/>
          </w:tcPr>
          <w:p w14:paraId="45CA307D" w14:textId="77777777" w:rsidR="00F64AC9" w:rsidRDefault="00F64AC9" w:rsidP="00252AF6">
            <w:pPr>
              <w:spacing w:before="20"/>
              <w:rPr>
                <w:rFonts w:cs="Arial"/>
                <w:noProof/>
              </w:rPr>
            </w:pPr>
            <w:r>
              <w:rPr>
                <w:rFonts w:cs="Arial"/>
                <w:noProof/>
              </w:rPr>
              <w:t>8</w:t>
            </w:r>
          </w:p>
        </w:tc>
        <w:tc>
          <w:tcPr>
            <w:tcW w:w="5677" w:type="dxa"/>
          </w:tcPr>
          <w:p w14:paraId="78B30DDD" w14:textId="77777777" w:rsidR="00F64AC9" w:rsidRDefault="00F64AC9" w:rsidP="00252AF6">
            <w:pPr>
              <w:spacing w:before="20" w:after="120"/>
              <w:rPr>
                <w:rFonts w:cs="Arial"/>
                <w:noProof/>
              </w:rPr>
            </w:pPr>
            <w:r>
              <w:rPr>
                <w:rFonts w:cs="Arial"/>
                <w:noProof/>
              </w:rPr>
              <w:t xml:space="preserve">Drug is on </w:t>
            </w:r>
            <w:r w:rsidRPr="00EB304A">
              <w:rPr>
                <w:noProof/>
              </w:rPr>
              <w:t>F2</w:t>
            </w:r>
            <w:r>
              <w:rPr>
                <w:rFonts w:cs="Arial"/>
                <w:noProof/>
              </w:rPr>
              <w:t xml:space="preserve"> and has taken a</w:t>
            </w:r>
            <w:r>
              <w:rPr>
                <w:noProof/>
              </w:rPr>
              <w:t xml:space="preserve"> 16% Price Reduction</w:t>
            </w:r>
          </w:p>
        </w:tc>
        <w:tc>
          <w:tcPr>
            <w:tcW w:w="1341" w:type="dxa"/>
            <w:vAlign w:val="center"/>
          </w:tcPr>
          <w:p w14:paraId="0827CB0E" w14:textId="77777777" w:rsidR="00F64AC9" w:rsidRDefault="00F64AC9" w:rsidP="00252AF6">
            <w:pPr>
              <w:spacing w:before="20" w:after="20"/>
              <w:rPr>
                <w:rFonts w:cs="Arial"/>
                <w:noProof/>
              </w:rPr>
            </w:pPr>
            <w:r>
              <w:rPr>
                <w:rFonts w:cs="Arial"/>
                <w:noProof/>
              </w:rPr>
              <w:t>24.79%</w:t>
            </w:r>
          </w:p>
        </w:tc>
      </w:tr>
      <w:tr w:rsidR="00F64AC9" w:rsidRPr="009D3B53" w14:paraId="74C5B4A0" w14:textId="77777777" w:rsidTr="00252AF6">
        <w:trPr>
          <w:trHeight w:val="599"/>
        </w:trPr>
        <w:tc>
          <w:tcPr>
            <w:tcW w:w="1127" w:type="dxa"/>
          </w:tcPr>
          <w:p w14:paraId="5CD13D0A" w14:textId="77777777" w:rsidR="00F64AC9" w:rsidRDefault="00F64AC9" w:rsidP="00252AF6">
            <w:pPr>
              <w:spacing w:before="20"/>
              <w:rPr>
                <w:rFonts w:cs="Arial"/>
                <w:noProof/>
              </w:rPr>
            </w:pPr>
            <w:r>
              <w:rPr>
                <w:rFonts w:cs="Arial"/>
                <w:noProof/>
              </w:rPr>
              <w:t>9</w:t>
            </w:r>
          </w:p>
        </w:tc>
        <w:tc>
          <w:tcPr>
            <w:tcW w:w="5677" w:type="dxa"/>
            <w:vAlign w:val="center"/>
          </w:tcPr>
          <w:p w14:paraId="621F8145" w14:textId="77777777" w:rsidR="00F64AC9" w:rsidRDefault="00F64AC9" w:rsidP="00252AF6">
            <w:pPr>
              <w:spacing w:before="20"/>
              <w:rPr>
                <w:rFonts w:cs="Arial"/>
                <w:noProof/>
              </w:rPr>
            </w:pPr>
            <w:r>
              <w:rPr>
                <w:rFonts w:cs="Arial"/>
                <w:noProof/>
              </w:rPr>
              <w:t xml:space="preserve">Drug is on </w:t>
            </w:r>
            <w:r w:rsidRPr="00EB304A">
              <w:rPr>
                <w:noProof/>
              </w:rPr>
              <w:t>F2</w:t>
            </w:r>
            <w:r>
              <w:rPr>
                <w:rFonts w:cs="Arial"/>
                <w:noProof/>
              </w:rPr>
              <w:t xml:space="preserve"> and has taken a</w:t>
            </w:r>
            <w:r>
              <w:rPr>
                <w:noProof/>
              </w:rPr>
              <w:t xml:space="preserve"> 12.5% Price Reduction</w:t>
            </w:r>
          </w:p>
        </w:tc>
        <w:tc>
          <w:tcPr>
            <w:tcW w:w="1341" w:type="dxa"/>
            <w:vAlign w:val="center"/>
          </w:tcPr>
          <w:p w14:paraId="6DAF2FB2" w14:textId="77777777" w:rsidR="00F64AC9" w:rsidRDefault="00F64AC9" w:rsidP="00252AF6">
            <w:pPr>
              <w:spacing w:before="20" w:after="20"/>
              <w:rPr>
                <w:rFonts w:cs="Arial"/>
                <w:noProof/>
              </w:rPr>
            </w:pPr>
            <w:r>
              <w:rPr>
                <w:rFonts w:cs="Arial"/>
                <w:noProof/>
              </w:rPr>
              <w:t>27.79%</w:t>
            </w:r>
          </w:p>
        </w:tc>
      </w:tr>
      <w:tr w:rsidR="00F64AC9" w:rsidRPr="009D3B53" w14:paraId="500CCDAF" w14:textId="77777777" w:rsidTr="00252AF6">
        <w:trPr>
          <w:trHeight w:val="551"/>
        </w:trPr>
        <w:tc>
          <w:tcPr>
            <w:tcW w:w="1127" w:type="dxa"/>
          </w:tcPr>
          <w:p w14:paraId="5FAF4CCB" w14:textId="77777777" w:rsidR="00F64AC9" w:rsidRDefault="00F64AC9" w:rsidP="00252AF6">
            <w:pPr>
              <w:spacing w:before="20"/>
              <w:rPr>
                <w:rFonts w:cs="Arial"/>
                <w:noProof/>
              </w:rPr>
            </w:pPr>
            <w:r>
              <w:rPr>
                <w:rFonts w:cs="Arial"/>
                <w:noProof/>
              </w:rPr>
              <w:t>10</w:t>
            </w:r>
          </w:p>
        </w:tc>
        <w:tc>
          <w:tcPr>
            <w:tcW w:w="5677" w:type="dxa"/>
          </w:tcPr>
          <w:p w14:paraId="6321EC86" w14:textId="77777777" w:rsidR="00F64AC9" w:rsidRDefault="00F64AC9" w:rsidP="00252AF6">
            <w:pPr>
              <w:spacing w:before="20"/>
              <w:rPr>
                <w:rFonts w:cs="Arial"/>
                <w:noProof/>
              </w:rPr>
            </w:pPr>
            <w:r>
              <w:rPr>
                <w:rFonts w:cs="Arial"/>
                <w:noProof/>
              </w:rPr>
              <w:t xml:space="preserve">Drug is on </w:t>
            </w:r>
            <w:r w:rsidRPr="00EB304A">
              <w:rPr>
                <w:noProof/>
              </w:rPr>
              <w:t>F2</w:t>
            </w:r>
            <w:r>
              <w:rPr>
                <w:noProof/>
              </w:rPr>
              <w:t xml:space="preserve"> </w:t>
            </w:r>
            <w:r w:rsidRPr="00C501F9">
              <w:rPr>
                <w:noProof/>
              </w:rPr>
              <w:t>and</w:t>
            </w:r>
            <w:r>
              <w:rPr>
                <w:rFonts w:cs="Arial"/>
                <w:noProof/>
              </w:rPr>
              <w:t xml:space="preserve"> has not taken any price reduction under either of Division 3A or Division 3B of Part VII of the Act</w:t>
            </w:r>
          </w:p>
        </w:tc>
        <w:tc>
          <w:tcPr>
            <w:tcW w:w="1341" w:type="dxa"/>
            <w:vAlign w:val="center"/>
          </w:tcPr>
          <w:p w14:paraId="277BB649" w14:textId="77777777" w:rsidR="00F64AC9" w:rsidRDefault="00F64AC9" w:rsidP="00252AF6">
            <w:pPr>
              <w:spacing w:before="20" w:after="20"/>
              <w:rPr>
                <w:rFonts w:cs="Arial"/>
                <w:noProof/>
              </w:rPr>
            </w:pPr>
            <w:r>
              <w:rPr>
                <w:rFonts w:cs="Arial"/>
                <w:noProof/>
              </w:rPr>
              <w:t>36.82%</w:t>
            </w:r>
          </w:p>
        </w:tc>
      </w:tr>
    </w:tbl>
    <w:p w14:paraId="4C14E045" w14:textId="77777777" w:rsidR="00471F53" w:rsidRPr="00471F53" w:rsidRDefault="00471F53" w:rsidP="00471F53">
      <w:pPr>
        <w:pStyle w:val="BodyIndent1"/>
        <w:keepNext/>
        <w:ind w:left="0"/>
        <w:rPr>
          <w:b/>
          <w:bCs/>
        </w:rPr>
      </w:pPr>
    </w:p>
    <w:p w14:paraId="57EC89F0" w14:textId="77777777" w:rsidR="00534C7A" w:rsidRDefault="00534C7A"/>
    <w:p w14:paraId="287491FB" w14:textId="77777777" w:rsidR="00534C7A" w:rsidRPr="00534C7A" w:rsidRDefault="0050650C">
      <w:r>
        <w:br w:type="page"/>
      </w:r>
    </w:p>
    <w:p w14:paraId="1B112333" w14:textId="4B714E8F" w:rsidR="0050650C" w:rsidRDefault="0050650C" w:rsidP="00FE0F84">
      <w:pPr>
        <w:pStyle w:val="legalSchedule"/>
        <w:numPr>
          <w:ilvl w:val="0"/>
          <w:numId w:val="0"/>
        </w:numPr>
        <w:ind w:left="2552" w:hanging="2552"/>
      </w:pPr>
      <w:bookmarkStart w:id="141" w:name="_Toc79567186"/>
      <w:r>
        <w:t xml:space="preserve">Appendix </w:t>
      </w:r>
      <w:r w:rsidR="005B59FB">
        <w:t>2</w:t>
      </w:r>
      <w:bookmarkEnd w:id="141"/>
    </w:p>
    <w:p w14:paraId="7B802D45" w14:textId="5D3288FE" w:rsidR="0050650C" w:rsidRPr="0050650C" w:rsidRDefault="0050650C" w:rsidP="0050650C">
      <w:pPr>
        <w:pStyle w:val="BodyIndent1"/>
        <w:ind w:left="0"/>
        <w:rPr>
          <w:sz w:val="22"/>
          <w:szCs w:val="22"/>
        </w:rPr>
      </w:pPr>
      <w:r w:rsidRPr="0050650C">
        <w:rPr>
          <w:sz w:val="22"/>
          <w:szCs w:val="22"/>
        </w:rPr>
        <w:t xml:space="preserve">Formula </w:t>
      </w:r>
      <w:r>
        <w:rPr>
          <w:sz w:val="22"/>
          <w:szCs w:val="22"/>
        </w:rPr>
        <w:t>for the purposes of clause</w:t>
      </w:r>
      <w:r w:rsidR="00FE0F84">
        <w:rPr>
          <w:sz w:val="22"/>
          <w:szCs w:val="22"/>
        </w:rPr>
        <w:t xml:space="preserve"> </w:t>
      </w:r>
      <w:r w:rsidR="00F4355C">
        <w:rPr>
          <w:sz w:val="22"/>
          <w:szCs w:val="22"/>
        </w:rPr>
        <w:fldChar w:fldCharType="begin"/>
      </w:r>
      <w:r w:rsidR="00F4355C">
        <w:rPr>
          <w:sz w:val="22"/>
          <w:szCs w:val="22"/>
        </w:rPr>
        <w:instrText xml:space="preserve"> REF _Ref69891482 \r \h </w:instrText>
      </w:r>
      <w:r w:rsidR="00F4355C">
        <w:rPr>
          <w:sz w:val="22"/>
          <w:szCs w:val="22"/>
        </w:rPr>
      </w:r>
      <w:r w:rsidR="00F4355C">
        <w:rPr>
          <w:sz w:val="22"/>
          <w:szCs w:val="22"/>
        </w:rPr>
        <w:fldChar w:fldCharType="separate"/>
      </w:r>
      <w:r w:rsidR="00F5458C">
        <w:rPr>
          <w:sz w:val="22"/>
          <w:szCs w:val="22"/>
        </w:rPr>
        <w:t>4.5.3</w:t>
      </w:r>
      <w:r w:rsidR="00F4355C">
        <w:rPr>
          <w:sz w:val="22"/>
          <w:szCs w:val="22"/>
        </w:rPr>
        <w:fldChar w:fldCharType="end"/>
      </w:r>
      <w:r w:rsidR="00FE0F84">
        <w:rPr>
          <w:sz w:val="22"/>
          <w:szCs w:val="22"/>
        </w:rPr>
        <w:t xml:space="preserve"> </w:t>
      </w:r>
      <w:r>
        <w:rPr>
          <w:sz w:val="22"/>
          <w:szCs w:val="22"/>
        </w:rPr>
        <w:t>– Combination Items</w:t>
      </w:r>
      <w:r>
        <w:rPr>
          <w:rStyle w:val="FootnoteReference"/>
          <w:sz w:val="22"/>
          <w:szCs w:val="22"/>
        </w:rPr>
        <w:footnoteReference w:id="13"/>
      </w:r>
    </w:p>
    <w:p w14:paraId="7F55B6C9" w14:textId="77777777" w:rsidR="0050650C" w:rsidRPr="0050650C" w:rsidRDefault="0050650C" w:rsidP="0050650C">
      <w:pPr>
        <w:pStyle w:val="BodyIndent1"/>
        <w:ind w:left="0"/>
        <w:rPr>
          <w:sz w:val="22"/>
          <w:szCs w:val="22"/>
        </w:rPr>
      </w:pPr>
    </w:p>
    <w:p w14:paraId="16522DA4" w14:textId="2DFBA35F" w:rsidR="0050650C" w:rsidRPr="0050650C" w:rsidRDefault="0050650C" w:rsidP="00803CD7">
      <w:pPr>
        <w:pStyle w:val="ListParagraph"/>
        <w:numPr>
          <w:ilvl w:val="0"/>
          <w:numId w:val="12"/>
        </w:numPr>
        <w:rPr>
          <w:rFonts w:ascii="Arial" w:hAnsi="Arial" w:cs="Arial"/>
          <w:b/>
          <w:i/>
          <w:sz w:val="22"/>
          <w:szCs w:val="22"/>
        </w:rPr>
      </w:pPr>
      <w:r w:rsidRPr="0050650C">
        <w:rPr>
          <w:rFonts w:ascii="Arial" w:hAnsi="Arial" w:cs="Arial"/>
          <w:b/>
          <w:i/>
          <w:sz w:val="22"/>
          <w:szCs w:val="22"/>
        </w:rPr>
        <w:t>Where all component drugs are listed components</w:t>
      </w:r>
    </w:p>
    <w:p w14:paraId="69ADA05A" w14:textId="77777777" w:rsidR="0050650C" w:rsidRDefault="0050650C" w:rsidP="0050650C">
      <w:pPr>
        <w:rPr>
          <w:rFonts w:cs="Arial"/>
          <w:sz w:val="22"/>
          <w:szCs w:val="22"/>
        </w:rPr>
      </w:pPr>
      <w:r w:rsidRPr="0050650C">
        <w:rPr>
          <w:rFonts w:cs="Arial"/>
          <w:sz w:val="22"/>
          <w:szCs w:val="22"/>
        </w:rPr>
        <w:t>Where all its component drugs</w:t>
      </w:r>
      <w:r w:rsidRPr="0050650C">
        <w:rPr>
          <w:rStyle w:val="FootnoteReference"/>
          <w:rFonts w:cs="Arial"/>
          <w:b/>
          <w:i/>
          <w:sz w:val="22"/>
          <w:szCs w:val="22"/>
        </w:rPr>
        <w:footnoteReference w:id="14"/>
      </w:r>
      <w:r w:rsidRPr="0050650C">
        <w:rPr>
          <w:rFonts w:cs="Arial"/>
          <w:sz w:val="22"/>
          <w:szCs w:val="22"/>
        </w:rPr>
        <w:t xml:space="preserve"> are listed components, the new price of a single brand of a combination item that comes into force on the reduction day will be worked out as follows: </w:t>
      </w:r>
    </w:p>
    <w:p w14:paraId="44ED8A3E" w14:textId="77777777" w:rsidR="00B354D7" w:rsidRPr="0050650C" w:rsidRDefault="00B354D7" w:rsidP="0050650C">
      <w:pPr>
        <w:rPr>
          <w:rFonts w:cs="Arial"/>
          <w:sz w:val="22"/>
          <w:szCs w:val="22"/>
        </w:rPr>
      </w:pPr>
    </w:p>
    <w:p w14:paraId="67DD356D" w14:textId="77777777" w:rsidR="0050650C" w:rsidRPr="0050650C" w:rsidRDefault="00D405B1" w:rsidP="0050650C">
      <w:pPr>
        <w:rPr>
          <w:rFonts w:cs="Arial"/>
          <w:sz w:val="22"/>
          <w:szCs w:val="22"/>
        </w:rPr>
      </w:pPr>
      <m:oMathPara>
        <m:oMathParaPr>
          <m:jc m:val="left"/>
        </m:oMathParaPr>
        <m:oMath>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listed</m:t>
                  </m:r>
                  <m:r>
                    <w:rPr>
                      <w:rFonts w:ascii="Cambria Math" w:hAnsi="Cambria Math" w:cs="Arial"/>
                      <w:sz w:val="22"/>
                      <w:szCs w:val="22"/>
                    </w:rPr>
                    <m:t xml:space="preserve">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AEMPs</m:t>
                      </m:r>
                    </m:sub>
                  </m:sSub>
                </m:e>
              </m:nary>
            </m:e>
          </m:d>
          <m:r>
            <w:rPr>
              <w:rFonts w:ascii="Cambria Math" w:hAnsi="Cambria Math" w:cs="Arial"/>
              <w:sz w:val="22"/>
              <w:szCs w:val="22"/>
            </w:rPr>
            <m:t>×</m:t>
          </m:r>
          <m:f>
            <m:fPr>
              <m:ctrlPr>
                <w:rPr>
                  <w:rFonts w:ascii="Cambria Math" w:hAnsi="Cambria Math" w:cs="Arial"/>
                  <w:i/>
                  <w:sz w:val="22"/>
                  <w:szCs w:val="22"/>
                </w:rPr>
              </m:ctrlPr>
            </m:fPr>
            <m:num>
              <m:r>
                <m:rPr>
                  <m:sty m:val="p"/>
                </m:rPr>
                <w:rPr>
                  <w:rFonts w:ascii="Cambria Math" w:hAnsi="Cambria Math" w:cs="Arial"/>
                  <w:sz w:val="22"/>
                  <w:szCs w:val="22"/>
                </w:rPr>
                <m:t xml:space="preserve">brand of </m:t>
              </m:r>
              <m:sSub>
                <m:sSubPr>
                  <m:ctrlPr>
                    <w:rPr>
                      <w:rFonts w:ascii="Cambria Math" w:hAnsi="Cambria Math" w:cs="Arial"/>
                      <w:i/>
                      <w:sz w:val="22"/>
                      <w:szCs w:val="22"/>
                    </w:rPr>
                  </m:ctrlPr>
                </m:sSubPr>
                <m:e>
                  <m:r>
                    <m:rPr>
                      <m:sty m:val="p"/>
                    </m:rPr>
                    <w:rPr>
                      <w:rFonts w:ascii="Cambria Math" w:hAnsi="Cambria Math" w:cs="Arial"/>
                      <w:sz w:val="22"/>
                      <w:szCs w:val="22"/>
                    </w:rPr>
                    <m:t>combination item</m:t>
                  </m:r>
                </m:e>
                <m:sub>
                  <m:r>
                    <w:rPr>
                      <w:rFonts w:ascii="Cambria Math" w:hAnsi="Cambria Math" w:cs="Arial"/>
                      <w:sz w:val="22"/>
                      <w:szCs w:val="22"/>
                    </w:rPr>
                    <m:t xml:space="preserve">AEMP day before </m:t>
                  </m:r>
                </m:sub>
              </m:sSub>
            </m:num>
            <m:den>
              <w:bookmarkStart w:id="142" w:name="_Hlk64912335"/>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 xml:space="preserve">AEMPs day before </m:t>
                          </m:r>
                        </m:sub>
                      </m:sSub>
                    </m:e>
                  </m:nary>
                </m:e>
              </m:d>
              <w:bookmarkEnd w:id="142"/>
            </m:den>
          </m:f>
        </m:oMath>
      </m:oMathPara>
    </w:p>
    <w:p w14:paraId="2C578CB0" w14:textId="77777777" w:rsidR="0050650C" w:rsidRPr="0050650C" w:rsidRDefault="0050650C" w:rsidP="0050650C">
      <w:pPr>
        <w:rPr>
          <w:rFonts w:cs="Arial"/>
          <w:sz w:val="22"/>
          <w:szCs w:val="22"/>
        </w:rPr>
      </w:pPr>
    </w:p>
    <w:p w14:paraId="35BCF99B" w14:textId="77777777" w:rsidR="0050650C" w:rsidRDefault="0050650C" w:rsidP="0050650C">
      <w:pPr>
        <w:pStyle w:val="ListParagraph"/>
        <w:ind w:left="360"/>
        <w:rPr>
          <w:rFonts w:ascii="Arial" w:hAnsi="Arial" w:cs="Arial"/>
          <w:b/>
          <w:i/>
          <w:sz w:val="22"/>
          <w:szCs w:val="22"/>
        </w:rPr>
      </w:pPr>
    </w:p>
    <w:p w14:paraId="2DC07598" w14:textId="29B7469C" w:rsidR="0050650C" w:rsidRPr="0050650C" w:rsidRDefault="0050650C" w:rsidP="00803CD7">
      <w:pPr>
        <w:pStyle w:val="ListParagraph"/>
        <w:numPr>
          <w:ilvl w:val="0"/>
          <w:numId w:val="12"/>
        </w:numPr>
        <w:rPr>
          <w:rFonts w:ascii="Arial" w:hAnsi="Arial" w:cs="Arial"/>
          <w:b/>
          <w:i/>
          <w:sz w:val="22"/>
          <w:szCs w:val="22"/>
        </w:rPr>
      </w:pPr>
      <w:r w:rsidRPr="0050650C">
        <w:rPr>
          <w:rFonts w:ascii="Arial" w:hAnsi="Arial" w:cs="Arial"/>
          <w:b/>
          <w:i/>
          <w:sz w:val="22"/>
          <w:szCs w:val="22"/>
        </w:rPr>
        <w:t>Where one or more component drugs is not a listed component</w:t>
      </w:r>
    </w:p>
    <w:p w14:paraId="4B6C0A3B" w14:textId="77777777" w:rsidR="0050650C" w:rsidRPr="0050650C" w:rsidRDefault="0050650C" w:rsidP="0050650C">
      <w:pPr>
        <w:rPr>
          <w:rFonts w:cs="Arial"/>
          <w:sz w:val="22"/>
          <w:szCs w:val="22"/>
        </w:rPr>
      </w:pPr>
      <w:r w:rsidRPr="0050650C">
        <w:rPr>
          <w:rFonts w:cs="Arial"/>
          <w:sz w:val="22"/>
          <w:szCs w:val="22"/>
        </w:rPr>
        <w:t xml:space="preserve">Where one or more of its component drugs is not a listed component, the new price of a single brand of a combination item that comes into force on the reduction day will be worked out as follows: </w:t>
      </w:r>
    </w:p>
    <w:p w14:paraId="0AD15440" w14:textId="77777777" w:rsidR="0050650C" w:rsidRPr="0050650C" w:rsidRDefault="00D405B1" w:rsidP="0050650C">
      <w:pPr>
        <w:rPr>
          <w:rFonts w:cs="Arial"/>
          <w:sz w:val="22"/>
          <w:szCs w:val="22"/>
        </w:rPr>
      </w:pPr>
      <m:oMathPara>
        <m:oMathParaPr>
          <m:jc m:val="left"/>
        </m:oMathParaPr>
        <m:oMath>
          <m:d>
            <m:dPr>
              <m:ctrlPr>
                <w:rPr>
                  <w:rFonts w:ascii="Cambria Math" w:hAnsi="Cambria Math" w:cs="Arial"/>
                  <w:i/>
                  <w:sz w:val="22"/>
                  <w:szCs w:val="22"/>
                </w:rPr>
              </m:ctrlPr>
            </m:dPr>
            <m:e>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AEMPs</m:t>
                          </m:r>
                        </m:sub>
                      </m:sSub>
                    </m:e>
                  </m:nary>
                </m:e>
              </m:d>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m:rPr>
                          <m:sty m:val="p"/>
                        </m:rPr>
                        <w:rPr>
                          <w:rFonts w:ascii="Cambria Math" w:hAnsi="Cambria Math" w:cs="Arial"/>
                          <w:sz w:val="22"/>
                          <w:szCs w:val="22"/>
                        </w:rPr>
                        <m:t>non</m:t>
                      </m:r>
                      <m:r>
                        <m:rPr>
                          <m:sty m:val="p"/>
                        </m:rPr>
                        <w:rPr>
                          <w:rFonts w:ascii="Cambria Math" w:hAnsi="Cambria Math" w:cs="Arial"/>
                          <w:sz w:val="22"/>
                          <w:szCs w:val="22"/>
                        </w:rPr>
                        <w:softHyphen/>
                        <m:t>-listed component</m:t>
                      </m:r>
                    </m:e>
                    <m:sub>
                      <m:r>
                        <w:rPr>
                          <w:rFonts w:ascii="Cambria Math" w:hAnsi="Cambria Math" w:cs="Arial"/>
                          <w:sz w:val="22"/>
                          <w:szCs w:val="22"/>
                        </w:rPr>
                        <m:t>price</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1-Reduction%</m:t>
                      </m:r>
                    </m:e>
                  </m:d>
                </m:e>
              </m:d>
            </m:e>
          </m:d>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m:rPr>
                      <m:sty m:val="p"/>
                    </m:rPr>
                    <w:rPr>
                      <w:rFonts w:ascii="Cambria Math" w:hAnsi="Cambria Math" w:cs="Arial"/>
                      <w:sz w:val="22"/>
                      <w:szCs w:val="22"/>
                    </w:rPr>
                    <m:t>Brand of combination item</m:t>
                  </m:r>
                </m:e>
                <m:sub>
                  <m:r>
                    <w:rPr>
                      <w:rFonts w:ascii="Cambria Math" w:hAnsi="Cambria Math" w:cs="Arial"/>
                      <w:sz w:val="22"/>
                      <w:szCs w:val="22"/>
                    </w:rPr>
                    <m:t xml:space="preserve">AEMP day before </m:t>
                  </m:r>
                </m:sub>
              </m:sSub>
            </m:num>
            <m:den>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 xml:space="preserve">AEMPs or Prices day before </m:t>
                          </m:r>
                        </m:sub>
                      </m:sSub>
                    </m:e>
                  </m:nary>
                </m:e>
              </m:d>
            </m:den>
          </m:f>
        </m:oMath>
      </m:oMathPara>
    </w:p>
    <w:p w14:paraId="1B99D46C" w14:textId="77777777" w:rsidR="0050650C" w:rsidRPr="0050650C" w:rsidRDefault="0050650C" w:rsidP="0050650C">
      <w:pPr>
        <w:rPr>
          <w:rFonts w:cs="Arial"/>
          <w:sz w:val="22"/>
          <w:szCs w:val="22"/>
        </w:rPr>
      </w:pPr>
    </w:p>
    <w:p w14:paraId="7776FD69" w14:textId="77777777" w:rsidR="0050650C" w:rsidRPr="0050650C" w:rsidRDefault="0050650C" w:rsidP="0050650C">
      <w:pPr>
        <w:rPr>
          <w:rFonts w:cs="Arial"/>
          <w:sz w:val="22"/>
          <w:szCs w:val="22"/>
        </w:rPr>
      </w:pPr>
      <w:r w:rsidRPr="0050650C">
        <w:rPr>
          <w:rFonts w:cs="Arial"/>
          <w:sz w:val="22"/>
          <w:szCs w:val="22"/>
        </w:rPr>
        <w:t>Where:</w:t>
      </w:r>
    </w:p>
    <w:p w14:paraId="2AE49E9B" w14:textId="77777777" w:rsidR="003464A0" w:rsidRDefault="003464A0" w:rsidP="0050650C">
      <w:pPr>
        <w:rPr>
          <w:rFonts w:cs="Arial"/>
          <w:b/>
          <w:sz w:val="22"/>
          <w:szCs w:val="22"/>
        </w:rPr>
      </w:pPr>
    </w:p>
    <w:p w14:paraId="1FA564B8" w14:textId="6D0A6B15" w:rsidR="0050650C" w:rsidRDefault="0050650C" w:rsidP="0050650C">
      <w:pPr>
        <w:rPr>
          <w:rFonts w:cs="Arial"/>
          <w:sz w:val="22"/>
          <w:szCs w:val="22"/>
        </w:rPr>
      </w:pPr>
      <w:r w:rsidRPr="0050650C">
        <w:rPr>
          <w:rFonts w:cs="Arial"/>
          <w:b/>
          <w:sz w:val="22"/>
          <w:szCs w:val="22"/>
        </w:rPr>
        <w:t xml:space="preserve">listed component </w:t>
      </w:r>
      <w:r w:rsidRPr="0050650C">
        <w:rPr>
          <w:rFonts w:cs="Arial"/>
          <w:sz w:val="22"/>
          <w:szCs w:val="22"/>
        </w:rPr>
        <w:t xml:space="preserve">means a pharmaceutical item that </w:t>
      </w:r>
      <w:r w:rsidR="00D853B2">
        <w:rPr>
          <w:rFonts w:cs="Arial"/>
          <w:sz w:val="22"/>
          <w:szCs w:val="22"/>
        </w:rPr>
        <w:t xml:space="preserve">has a drug that </w:t>
      </w:r>
      <w:r w:rsidRPr="0050650C">
        <w:rPr>
          <w:rFonts w:cs="Arial"/>
          <w:sz w:val="22"/>
          <w:szCs w:val="22"/>
        </w:rPr>
        <w:t>is a component drug of a combination item on the reduction day. It can be a combination item itself (for example: combination item AB may be a component of combination item ABC</w:t>
      </w:r>
      <w:r w:rsidR="00803CD7">
        <w:rPr>
          <w:rStyle w:val="FootnoteReference"/>
          <w:rFonts w:cs="Arial"/>
          <w:sz w:val="22"/>
          <w:szCs w:val="22"/>
        </w:rPr>
        <w:footnoteReference w:id="15"/>
      </w:r>
      <w:r w:rsidRPr="0050650C">
        <w:rPr>
          <w:rFonts w:cs="Arial"/>
          <w:sz w:val="22"/>
          <w:szCs w:val="22"/>
        </w:rPr>
        <w:t xml:space="preserve">). Where multiple pharmaceutical items that </w:t>
      </w:r>
      <w:r w:rsidR="00D853B2">
        <w:rPr>
          <w:rFonts w:cs="Arial"/>
          <w:sz w:val="22"/>
          <w:szCs w:val="22"/>
        </w:rPr>
        <w:t xml:space="preserve">have a drug that is </w:t>
      </w:r>
      <w:r w:rsidRPr="0050650C">
        <w:rPr>
          <w:rFonts w:cs="Arial"/>
          <w:sz w:val="22"/>
          <w:szCs w:val="22"/>
        </w:rPr>
        <w:t xml:space="preserve">a component drug of a combination item are subject to a price reduction on the same reduction day, the listed component is the pharmaceutical item that has the closest dose </w:t>
      </w:r>
      <w:r w:rsidR="00044232">
        <w:rPr>
          <w:rFonts w:cs="Arial"/>
          <w:sz w:val="22"/>
          <w:szCs w:val="22"/>
        </w:rPr>
        <w:t xml:space="preserve">form strength </w:t>
      </w:r>
      <w:r w:rsidRPr="0050650C">
        <w:rPr>
          <w:rFonts w:cs="Arial"/>
          <w:sz w:val="22"/>
          <w:szCs w:val="22"/>
        </w:rPr>
        <w:t xml:space="preserve">and pricing quantity of the component drug to those available in the combination item. </w:t>
      </w:r>
    </w:p>
    <w:p w14:paraId="2715BA77" w14:textId="77777777" w:rsidR="0050650C" w:rsidRPr="0050650C" w:rsidRDefault="0050650C" w:rsidP="0050650C">
      <w:pPr>
        <w:rPr>
          <w:rFonts w:cs="Arial"/>
          <w:sz w:val="22"/>
          <w:szCs w:val="22"/>
        </w:rPr>
      </w:pPr>
    </w:p>
    <w:p w14:paraId="079F35FC" w14:textId="00A174D7" w:rsidR="0050650C" w:rsidRDefault="0050650C" w:rsidP="0050650C">
      <w:pPr>
        <w:rPr>
          <w:rFonts w:cs="Arial"/>
          <w:sz w:val="22"/>
          <w:szCs w:val="22"/>
        </w:rPr>
      </w:pPr>
      <w:bookmarkStart w:id="143" w:name="_Hlk64970798"/>
      <w:r w:rsidRPr="0050650C">
        <w:rPr>
          <w:rFonts w:cs="Arial"/>
          <w:b/>
          <w:sz w:val="22"/>
          <w:szCs w:val="22"/>
        </w:rPr>
        <w:t xml:space="preserve">listed component AEMP </w:t>
      </w:r>
      <w:r w:rsidRPr="0050650C">
        <w:rPr>
          <w:rFonts w:cs="Arial"/>
          <w:sz w:val="22"/>
          <w:szCs w:val="22"/>
        </w:rPr>
        <w:t xml:space="preserve">means the AEMP of any brand of the listed component on the reduction day adjusted where necessary so that the value attributed to the listed component in the combination item reflects any difference in dose </w:t>
      </w:r>
      <w:r w:rsidR="00044232">
        <w:rPr>
          <w:rFonts w:cs="Arial"/>
          <w:sz w:val="22"/>
          <w:szCs w:val="22"/>
        </w:rPr>
        <w:t xml:space="preserve">form strength </w:t>
      </w:r>
      <w:r w:rsidRPr="0050650C">
        <w:rPr>
          <w:rFonts w:cs="Arial"/>
          <w:sz w:val="22"/>
          <w:szCs w:val="22"/>
        </w:rPr>
        <w:t xml:space="preserve">and pricing quantity in the combination item as compared to the amount in the listed component. </w:t>
      </w:r>
    </w:p>
    <w:p w14:paraId="01E6B45B" w14:textId="77777777" w:rsidR="0050650C" w:rsidRPr="0050650C" w:rsidRDefault="0050650C" w:rsidP="0050650C">
      <w:pPr>
        <w:rPr>
          <w:rFonts w:cs="Arial"/>
          <w:sz w:val="22"/>
          <w:szCs w:val="22"/>
        </w:rPr>
      </w:pPr>
    </w:p>
    <w:p w14:paraId="0AA1B631" w14:textId="16D50962" w:rsidR="0050650C" w:rsidRDefault="0050650C" w:rsidP="0050650C">
      <w:pPr>
        <w:rPr>
          <w:rFonts w:cs="Arial"/>
          <w:sz w:val="22"/>
          <w:szCs w:val="22"/>
        </w:rPr>
      </w:pPr>
      <w:bookmarkStart w:id="144" w:name="_Hlk64912354"/>
      <w:bookmarkEnd w:id="143"/>
      <w:r w:rsidRPr="0050650C">
        <w:rPr>
          <w:rFonts w:cs="Arial"/>
          <w:b/>
          <w:sz w:val="22"/>
          <w:szCs w:val="22"/>
        </w:rPr>
        <w:t xml:space="preserve">∑listed component </w:t>
      </w:r>
      <w:r w:rsidRPr="0050650C">
        <w:rPr>
          <w:rFonts w:cs="Arial"/>
          <w:b/>
          <w:sz w:val="22"/>
          <w:szCs w:val="22"/>
          <w:vertAlign w:val="subscript"/>
        </w:rPr>
        <w:t>AEMPs</w:t>
      </w:r>
      <w:r w:rsidRPr="0050650C">
        <w:rPr>
          <w:rFonts w:cs="Arial"/>
          <w:sz w:val="22"/>
          <w:szCs w:val="22"/>
        </w:rPr>
        <w:t xml:space="preserve"> </w:t>
      </w:r>
      <w:bookmarkEnd w:id="144"/>
      <w:r w:rsidRPr="0050650C">
        <w:rPr>
          <w:rFonts w:cs="Arial"/>
          <w:sz w:val="22"/>
          <w:szCs w:val="22"/>
        </w:rPr>
        <w:t>means the sum of the listed component AEMPs</w:t>
      </w:r>
      <w:r w:rsidR="00281425">
        <w:rPr>
          <w:rFonts w:cs="Arial"/>
          <w:sz w:val="22"/>
          <w:szCs w:val="22"/>
        </w:rPr>
        <w:t>.</w:t>
      </w:r>
      <w:r w:rsidRPr="0050650C">
        <w:rPr>
          <w:rFonts w:cs="Arial"/>
          <w:sz w:val="22"/>
          <w:szCs w:val="22"/>
        </w:rPr>
        <w:t xml:space="preserve"> </w:t>
      </w:r>
    </w:p>
    <w:p w14:paraId="78D732F1" w14:textId="77777777" w:rsidR="0050650C" w:rsidRPr="0050650C" w:rsidRDefault="0050650C" w:rsidP="0050650C">
      <w:pPr>
        <w:rPr>
          <w:rFonts w:cs="Arial"/>
          <w:sz w:val="22"/>
          <w:szCs w:val="22"/>
        </w:rPr>
      </w:pPr>
    </w:p>
    <w:p w14:paraId="72CA40C6" w14:textId="77777777" w:rsidR="0050650C" w:rsidRDefault="0050650C" w:rsidP="0050650C">
      <w:pPr>
        <w:rPr>
          <w:rFonts w:cs="Arial"/>
          <w:sz w:val="22"/>
          <w:szCs w:val="22"/>
        </w:rPr>
      </w:pPr>
      <w:r w:rsidRPr="0050650C">
        <w:rPr>
          <w:rFonts w:cs="Arial"/>
          <w:b/>
          <w:sz w:val="22"/>
          <w:szCs w:val="22"/>
        </w:rPr>
        <w:t xml:space="preserve">∑listed component </w:t>
      </w:r>
      <w:r w:rsidRPr="0050650C">
        <w:rPr>
          <w:rFonts w:cs="Arial"/>
          <w:b/>
          <w:sz w:val="22"/>
          <w:szCs w:val="22"/>
          <w:vertAlign w:val="subscript"/>
        </w:rPr>
        <w:t xml:space="preserve">AEMPs day before </w:t>
      </w:r>
      <w:r w:rsidRPr="0050650C">
        <w:rPr>
          <w:rFonts w:cs="Arial"/>
          <w:sz w:val="22"/>
          <w:szCs w:val="22"/>
        </w:rPr>
        <w:t xml:space="preserve">means the sum of the listed component AEMPs on the day before the reduction day. </w:t>
      </w:r>
    </w:p>
    <w:p w14:paraId="5423D8F3" w14:textId="77777777" w:rsidR="0050650C" w:rsidRDefault="0050650C" w:rsidP="0050650C">
      <w:pPr>
        <w:rPr>
          <w:rFonts w:cs="Arial"/>
          <w:sz w:val="22"/>
          <w:szCs w:val="22"/>
        </w:rPr>
      </w:pPr>
    </w:p>
    <w:p w14:paraId="7E46C734" w14:textId="77777777" w:rsidR="0050650C" w:rsidRPr="0050650C" w:rsidRDefault="0050650C" w:rsidP="0050650C">
      <w:pPr>
        <w:rPr>
          <w:rFonts w:cs="Arial"/>
          <w:sz w:val="22"/>
          <w:szCs w:val="22"/>
        </w:rPr>
      </w:pPr>
      <w:r w:rsidRPr="0050650C">
        <w:rPr>
          <w:rFonts w:cs="Arial"/>
          <w:b/>
          <w:sz w:val="22"/>
          <w:szCs w:val="22"/>
        </w:rPr>
        <w:t xml:space="preserve">brand of combination item </w:t>
      </w:r>
      <w:r w:rsidRPr="0050650C">
        <w:rPr>
          <w:rFonts w:cs="Arial"/>
          <w:b/>
          <w:sz w:val="22"/>
          <w:szCs w:val="22"/>
          <w:vertAlign w:val="subscript"/>
        </w:rPr>
        <w:t>AEMP day before</w:t>
      </w:r>
      <w:r w:rsidRPr="0050650C">
        <w:rPr>
          <w:rFonts w:cs="Arial"/>
          <w:sz w:val="22"/>
          <w:szCs w:val="22"/>
          <w:vertAlign w:val="subscript"/>
        </w:rPr>
        <w:t xml:space="preserve"> </w:t>
      </w:r>
      <w:r w:rsidRPr="0050650C">
        <w:rPr>
          <w:rFonts w:cs="Arial"/>
          <w:sz w:val="22"/>
          <w:szCs w:val="22"/>
        </w:rPr>
        <w:t>means the AEMP for any brand of the combination item on the day before the reduction day.</w:t>
      </w:r>
    </w:p>
    <w:p w14:paraId="7C55096D" w14:textId="77777777" w:rsidR="0050650C" w:rsidRDefault="0050650C" w:rsidP="0050650C">
      <w:pPr>
        <w:rPr>
          <w:rFonts w:cs="Arial"/>
          <w:b/>
          <w:sz w:val="22"/>
          <w:szCs w:val="22"/>
        </w:rPr>
      </w:pPr>
    </w:p>
    <w:p w14:paraId="65579E65" w14:textId="77777777" w:rsidR="0050650C" w:rsidRPr="0050650C" w:rsidRDefault="0050650C" w:rsidP="0050650C">
      <w:pPr>
        <w:rPr>
          <w:rFonts w:cs="Arial"/>
          <w:sz w:val="22"/>
          <w:szCs w:val="22"/>
        </w:rPr>
      </w:pPr>
      <w:r w:rsidRPr="0050650C">
        <w:rPr>
          <w:rFonts w:cs="Arial"/>
          <w:b/>
          <w:sz w:val="22"/>
          <w:szCs w:val="22"/>
        </w:rPr>
        <w:t xml:space="preserve">∑component </w:t>
      </w:r>
      <w:r w:rsidRPr="0050650C">
        <w:rPr>
          <w:rFonts w:cs="Arial"/>
          <w:b/>
          <w:sz w:val="22"/>
          <w:szCs w:val="22"/>
          <w:vertAlign w:val="subscript"/>
        </w:rPr>
        <w:t>AEMPs or prices day before</w:t>
      </w:r>
      <w:r w:rsidRPr="0050650C">
        <w:rPr>
          <w:rFonts w:cs="Arial"/>
          <w:sz w:val="22"/>
          <w:szCs w:val="22"/>
        </w:rPr>
        <w:t xml:space="preserve"> means the sum of listed component AEMPs.</w:t>
      </w:r>
    </w:p>
    <w:p w14:paraId="6D647602" w14:textId="77777777" w:rsidR="0050650C" w:rsidRDefault="0050650C" w:rsidP="0050650C">
      <w:pPr>
        <w:rPr>
          <w:rFonts w:cs="Arial"/>
          <w:b/>
          <w:sz w:val="22"/>
          <w:szCs w:val="22"/>
        </w:rPr>
      </w:pPr>
    </w:p>
    <w:p w14:paraId="42102B74" w14:textId="771C9301" w:rsidR="0050650C" w:rsidRPr="0050650C" w:rsidRDefault="0050650C" w:rsidP="0050650C">
      <w:pPr>
        <w:rPr>
          <w:rFonts w:cs="Arial"/>
          <w:sz w:val="22"/>
          <w:szCs w:val="22"/>
        </w:rPr>
      </w:pPr>
      <w:r w:rsidRPr="0050650C">
        <w:rPr>
          <w:rFonts w:cs="Arial"/>
          <w:b/>
          <w:sz w:val="22"/>
          <w:szCs w:val="22"/>
        </w:rPr>
        <w:t xml:space="preserve">non-listed component </w:t>
      </w:r>
      <w:r w:rsidRPr="0050650C">
        <w:rPr>
          <w:rFonts w:cs="Arial"/>
          <w:b/>
          <w:sz w:val="22"/>
          <w:szCs w:val="22"/>
          <w:vertAlign w:val="subscript"/>
        </w:rPr>
        <w:t>Price</w:t>
      </w:r>
      <w:r w:rsidRPr="0050650C">
        <w:rPr>
          <w:rFonts w:cs="Arial"/>
          <w:sz w:val="22"/>
          <w:szCs w:val="22"/>
          <w:vertAlign w:val="subscript"/>
        </w:rPr>
        <w:t xml:space="preserve"> </w:t>
      </w:r>
      <w:r w:rsidRPr="0050650C">
        <w:rPr>
          <w:rFonts w:cs="Arial"/>
          <w:sz w:val="22"/>
          <w:szCs w:val="22"/>
        </w:rPr>
        <w:t>means the price of the non-listed component of the combination item worked out by subtracting the listed component AEMPs on the day before the reduction day from the AEMP of the combination item on the day before the reduction day. If the sum of listed component AEMPs is the same or greater than the AEMP of the combination item then the non-listed component price is $0.</w:t>
      </w:r>
    </w:p>
    <w:p w14:paraId="015FDD62" w14:textId="77777777" w:rsidR="0050650C" w:rsidRDefault="0050650C" w:rsidP="0050650C">
      <w:pPr>
        <w:rPr>
          <w:rFonts w:cs="Arial"/>
          <w:b/>
          <w:sz w:val="22"/>
          <w:szCs w:val="22"/>
        </w:rPr>
      </w:pPr>
    </w:p>
    <w:p w14:paraId="55BC9CB7" w14:textId="77777777" w:rsidR="0050650C" w:rsidRPr="0050650C" w:rsidRDefault="0050650C" w:rsidP="0050650C">
      <w:pPr>
        <w:rPr>
          <w:rFonts w:cs="Arial"/>
          <w:sz w:val="22"/>
          <w:szCs w:val="22"/>
        </w:rPr>
      </w:pPr>
      <w:r w:rsidRPr="0050650C">
        <w:rPr>
          <w:rFonts w:cs="Arial"/>
          <w:b/>
          <w:sz w:val="22"/>
          <w:szCs w:val="22"/>
        </w:rPr>
        <w:t>reduction%</w:t>
      </w:r>
      <w:r w:rsidRPr="0050650C">
        <w:rPr>
          <w:rFonts w:cs="Arial"/>
          <w:sz w:val="22"/>
          <w:szCs w:val="22"/>
        </w:rPr>
        <w:t xml:space="preserve"> means the applicable price reduction percentage for the listed component taking a price reduction.</w:t>
      </w:r>
    </w:p>
    <w:p w14:paraId="3FD50773" w14:textId="77777777" w:rsidR="0050650C" w:rsidRDefault="0050650C" w:rsidP="0050650C">
      <w:pPr>
        <w:rPr>
          <w:rFonts w:cs="Arial"/>
          <w:b/>
          <w:bCs/>
          <w:sz w:val="22"/>
          <w:szCs w:val="22"/>
        </w:rPr>
      </w:pPr>
    </w:p>
    <w:p w14:paraId="6A8BAC74" w14:textId="77777777" w:rsidR="0050650C" w:rsidRPr="0050650C" w:rsidRDefault="0050650C" w:rsidP="0050650C">
      <w:pPr>
        <w:rPr>
          <w:rFonts w:cs="Arial"/>
          <w:sz w:val="22"/>
          <w:szCs w:val="22"/>
        </w:rPr>
      </w:pPr>
      <w:r w:rsidRPr="0050650C">
        <w:rPr>
          <w:rFonts w:cs="Arial"/>
          <w:b/>
          <w:bCs/>
          <w:sz w:val="22"/>
          <w:szCs w:val="22"/>
        </w:rPr>
        <w:t>reduction day</w:t>
      </w:r>
      <w:r w:rsidRPr="0050650C">
        <w:rPr>
          <w:rFonts w:cs="Arial"/>
          <w:sz w:val="22"/>
          <w:szCs w:val="22"/>
        </w:rPr>
        <w:t xml:space="preserve"> has the meaning given in paragraph 99ACC(1)(d) of the Act or paragraph 99ADHB(1)(f) of the Act, as applicable.</w:t>
      </w:r>
    </w:p>
    <w:p w14:paraId="0B63CAA4" w14:textId="77777777" w:rsidR="0050650C" w:rsidRDefault="0050650C" w:rsidP="0050650C">
      <w:pPr>
        <w:rPr>
          <w:rFonts w:cs="Arial"/>
          <w:b/>
          <w:sz w:val="22"/>
          <w:szCs w:val="22"/>
        </w:rPr>
      </w:pPr>
    </w:p>
    <w:p w14:paraId="0E61A9A8" w14:textId="77777777" w:rsidR="0050650C" w:rsidRPr="0050650C" w:rsidRDefault="0050650C" w:rsidP="0050650C">
      <w:pPr>
        <w:rPr>
          <w:rFonts w:cs="Arial"/>
          <w:bCs/>
          <w:sz w:val="22"/>
          <w:szCs w:val="22"/>
        </w:rPr>
      </w:pPr>
      <w:r w:rsidRPr="0050650C">
        <w:rPr>
          <w:rFonts w:cs="Arial"/>
          <w:b/>
          <w:sz w:val="22"/>
          <w:szCs w:val="22"/>
        </w:rPr>
        <w:t>price reduction</w:t>
      </w:r>
      <w:r w:rsidRPr="0050650C">
        <w:rPr>
          <w:rFonts w:cs="Arial"/>
          <w:bCs/>
          <w:sz w:val="22"/>
          <w:szCs w:val="22"/>
        </w:rPr>
        <w:t xml:space="preserve"> means a price reduction applying to a pharmaceutical item under Division 3A or Division 3B of Part VII of the Act.</w:t>
      </w:r>
    </w:p>
    <w:bookmarkEnd w:id="139"/>
    <w:p w14:paraId="53B64EB9" w14:textId="77777777" w:rsidR="00685FC0" w:rsidRPr="00F17F98" w:rsidRDefault="00685FC0" w:rsidP="00887816"/>
    <w:sectPr w:rsidR="00685FC0" w:rsidRPr="00F17F98" w:rsidSect="00F36C38">
      <w:footerReference w:type="even" r:id="rId8"/>
      <w:footerReference w:type="default" r:id="rId9"/>
      <w:headerReference w:type="first" r:id="rId10"/>
      <w:footerReference w:type="first" r:id="rId11"/>
      <w:pgSz w:w="11906" w:h="16838" w:code="9"/>
      <w:pgMar w:top="1276" w:right="1133" w:bottom="127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9258" w14:textId="77777777" w:rsidR="009E7DBF" w:rsidRDefault="009E7DBF" w:rsidP="009F2818">
      <w:r>
        <w:separator/>
      </w:r>
    </w:p>
  </w:endnote>
  <w:endnote w:type="continuationSeparator" w:id="0">
    <w:p w14:paraId="6FEE417D" w14:textId="77777777" w:rsidR="009E7DBF" w:rsidRDefault="009E7DBF"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09B" w14:textId="77777777" w:rsidR="00F114DB" w:rsidRDefault="00F114DB">
    <w:pPr>
      <w:pStyle w:val="Footer"/>
    </w:pPr>
  </w:p>
  <w:p w14:paraId="2F0C3790" w14:textId="3E1A3FE6" w:rsidR="00F114DB" w:rsidRPr="00EF0317" w:rsidRDefault="00F114DB">
    <w:pPr>
      <w:pStyle w:val="Footer"/>
      <w:rPr>
        <w:rFonts w:cs="Arial"/>
        <w:sz w:val="14"/>
      </w:rPr>
    </w:pPr>
    <w:r>
      <w:rPr>
        <w:rFonts w:cs="Arial"/>
        <w:sz w:val="14"/>
      </w:rPr>
      <w:fldChar w:fldCharType="begin" w:fldLock="1"/>
    </w:r>
    <w:r>
      <w:rPr>
        <w:rFonts w:cs="Arial"/>
        <w:sz w:val="14"/>
      </w:rPr>
      <w:instrText xml:space="preserve"> DOCVARIABLE  CUFooterText \* MERGEFORMAT </w:instrText>
    </w:r>
    <w:r>
      <w:rPr>
        <w:rFonts w:cs="Arial"/>
        <w:sz w:val="14"/>
      </w:rPr>
      <w:fldChar w:fldCharType="separate"/>
    </w:r>
    <w:r>
      <w:rPr>
        <w:rFonts w:cs="Arial"/>
        <w:sz w:val="14"/>
      </w:rPr>
      <w:t>L\339135680.1</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9F15" w14:textId="48D7E980" w:rsidR="00F114DB" w:rsidRDefault="00F114DB" w:rsidP="003610F8">
    <w:pPr>
      <w:pStyle w:val="pageNumber"/>
    </w:pPr>
    <w:r>
      <w:tab/>
      <w:t xml:space="preserve">page </w:t>
    </w:r>
    <w:r>
      <w:fldChar w:fldCharType="begin"/>
    </w:r>
    <w:r>
      <w:instrText xml:space="preserve"> page </w:instrText>
    </w:r>
    <w:r>
      <w:fldChar w:fldCharType="separate"/>
    </w:r>
    <w:r w:rsidR="00D405B1">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04F8" w14:textId="6B254648" w:rsidR="00F114DB" w:rsidRDefault="00F114DB" w:rsidP="00252C73">
    <w:pPr>
      <w:pStyle w:val="Footer"/>
      <w:jc w:val="right"/>
      <w:rPr>
        <w:b/>
        <w:bCs/>
      </w:rPr>
    </w:pPr>
  </w:p>
  <w:p w14:paraId="10062CAC" w14:textId="739F3752" w:rsidR="00F114DB" w:rsidRPr="0001595A" w:rsidRDefault="00F114DB" w:rsidP="00252C73">
    <w:pPr>
      <w:pStyle w:val="Footer"/>
      <w:jc w:val="right"/>
      <w:rPr>
        <w:rFonts w:cs="Arial"/>
        <w:b/>
        <w:bCs/>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ABFA" w14:textId="77777777" w:rsidR="009E7DBF" w:rsidRDefault="009E7DBF" w:rsidP="009F2818">
      <w:r>
        <w:separator/>
      </w:r>
    </w:p>
  </w:footnote>
  <w:footnote w:type="continuationSeparator" w:id="0">
    <w:p w14:paraId="25876360" w14:textId="77777777" w:rsidR="009E7DBF" w:rsidRDefault="009E7DBF" w:rsidP="009F2818">
      <w:r>
        <w:continuationSeparator/>
      </w:r>
    </w:p>
  </w:footnote>
  <w:footnote w:id="1">
    <w:p w14:paraId="32A19BC6" w14:textId="77777777" w:rsidR="00F114DB" w:rsidRDefault="00F114DB" w:rsidP="00FB482C">
      <w:pPr>
        <w:pStyle w:val="FootnoteText"/>
      </w:pPr>
      <w:r>
        <w:rPr>
          <w:rStyle w:val="FootnoteReference"/>
        </w:rPr>
        <w:footnoteRef/>
      </w:r>
      <w:r>
        <w:t xml:space="preserve"> There may be more than one Biosimilar Brand with respect to the same reference biologic.</w:t>
      </w:r>
    </w:p>
  </w:footnote>
  <w:footnote w:id="2">
    <w:p w14:paraId="019227AF" w14:textId="4DB17123" w:rsidR="00F114DB" w:rsidRDefault="00F114DB">
      <w:pPr>
        <w:pStyle w:val="FootnoteText"/>
      </w:pPr>
      <w:r>
        <w:rPr>
          <w:rStyle w:val="FootnoteReference"/>
        </w:rPr>
        <w:footnoteRef/>
      </w:r>
      <w:r>
        <w:t xml:space="preserve"> </w:t>
      </w:r>
      <w:r w:rsidRPr="00D37E28">
        <w:t xml:space="preserve">For the purposes of this Agreement, a Listed Brand will not have an Effective Price </w:t>
      </w:r>
      <w:r>
        <w:t xml:space="preserve">where </w:t>
      </w:r>
      <w:r w:rsidRPr="00D37E28">
        <w:t>it is not the subject of a deed entered into under section 85E of the Act.</w:t>
      </w:r>
    </w:p>
  </w:footnote>
  <w:footnote w:id="3">
    <w:p w14:paraId="33CCE3DE" w14:textId="05B2CF1C" w:rsidR="00F114DB" w:rsidRDefault="00F114DB">
      <w:pPr>
        <w:pStyle w:val="FootnoteText"/>
      </w:pPr>
      <w:r>
        <w:rPr>
          <w:rStyle w:val="FootnoteReference"/>
        </w:rPr>
        <w:footnoteRef/>
      </w:r>
      <w:r>
        <w:t xml:space="preserve"> Excluding</w:t>
      </w:r>
      <w:r w:rsidRPr="00E26964">
        <w:t xml:space="preserve"> any </w:t>
      </w:r>
      <w:r>
        <w:t xml:space="preserve">measures or </w:t>
      </w:r>
      <w:r w:rsidRPr="00E26964">
        <w:t>arrangements of the kind described in clause</w:t>
      </w:r>
      <w:r>
        <w:t xml:space="preserve">s </w:t>
      </w:r>
      <w:r>
        <w:fldChar w:fldCharType="begin"/>
      </w:r>
      <w:r>
        <w:instrText xml:space="preserve"> REF _Ref75855891 \w \h </w:instrText>
      </w:r>
      <w:r>
        <w:fldChar w:fldCharType="separate"/>
      </w:r>
      <w:r>
        <w:t>3.7</w:t>
      </w:r>
      <w:r>
        <w:fldChar w:fldCharType="end"/>
      </w:r>
      <w:r>
        <w:t xml:space="preserve">, </w:t>
      </w:r>
      <w:r>
        <w:fldChar w:fldCharType="begin"/>
      </w:r>
      <w:r>
        <w:instrText xml:space="preserve"> REF _Ref75855894 \w \h </w:instrText>
      </w:r>
      <w:r>
        <w:fldChar w:fldCharType="separate"/>
      </w:r>
      <w:r>
        <w:t>3.8</w:t>
      </w:r>
      <w:r>
        <w:fldChar w:fldCharType="end"/>
      </w:r>
      <w:r>
        <w:t xml:space="preserve"> and </w:t>
      </w:r>
      <w:r>
        <w:fldChar w:fldCharType="begin"/>
      </w:r>
      <w:r>
        <w:instrText xml:space="preserve"> REF _Ref75855895 \w \h </w:instrText>
      </w:r>
      <w:r>
        <w:fldChar w:fldCharType="separate"/>
      </w:r>
      <w:r>
        <w:t>3.9</w:t>
      </w:r>
      <w:r>
        <w:fldChar w:fldCharType="end"/>
      </w:r>
      <w:r>
        <w:t>.</w:t>
      </w:r>
    </w:p>
  </w:footnote>
  <w:footnote w:id="4">
    <w:p w14:paraId="43282FFC" w14:textId="77777777" w:rsidR="00F114DB" w:rsidRDefault="00F114DB" w:rsidP="00CA6DA6">
      <w:pPr>
        <w:pStyle w:val="FootnoteText"/>
      </w:pPr>
      <w:r>
        <w:rPr>
          <w:rStyle w:val="FootnoteReference"/>
        </w:rPr>
        <w:footnoteRef/>
      </w:r>
      <w:r>
        <w:t xml:space="preserve"> That is, at the 8</w:t>
      </w:r>
      <w:r w:rsidRPr="00B5150C">
        <w:rPr>
          <w:vertAlign w:val="superscript"/>
        </w:rPr>
        <w:t>th</w:t>
      </w:r>
      <w:r>
        <w:t xml:space="preserve"> Price Disclosure Cycle and onwards.</w:t>
      </w:r>
    </w:p>
  </w:footnote>
  <w:footnote w:id="5">
    <w:p w14:paraId="53D5EBC0" w14:textId="3BBA5D37" w:rsidR="00F114DB" w:rsidRDefault="00F114DB">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t xml:space="preserve"> (Cth)</w:t>
      </w:r>
      <w:r>
        <w:rPr>
          <w:szCs w:val="18"/>
        </w:rPr>
        <w:t>.</w:t>
      </w:r>
    </w:p>
  </w:footnote>
  <w:footnote w:id="6">
    <w:p w14:paraId="38ACDE3F" w14:textId="713055FC" w:rsidR="00F114DB" w:rsidRDefault="00F114DB">
      <w:pPr>
        <w:pStyle w:val="FootnoteText"/>
      </w:pPr>
      <w:r>
        <w:rPr>
          <w:rStyle w:val="FootnoteReference"/>
        </w:rPr>
        <w:footnoteRef/>
      </w:r>
      <w:r>
        <w:t xml:space="preserve"> Provided for under section 99ADH of the </w:t>
      </w:r>
      <w:r w:rsidRPr="004F383E">
        <w:rPr>
          <w:iCs/>
        </w:rPr>
        <w:t>Act and</w:t>
      </w:r>
      <w:r>
        <w:t xml:space="preserve"> due to cease on 30 June 2022.</w:t>
      </w:r>
    </w:p>
  </w:footnote>
  <w:footnote w:id="7">
    <w:p w14:paraId="60EC1255" w14:textId="277F4034" w:rsidR="00F114DB" w:rsidRDefault="00F114DB" w:rsidP="008A0C80">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t xml:space="preserve"> (Cth)</w:t>
      </w:r>
      <w:r>
        <w:rPr>
          <w:szCs w:val="18"/>
        </w:rPr>
        <w:t>.</w:t>
      </w:r>
    </w:p>
  </w:footnote>
  <w:footnote w:id="8">
    <w:p w14:paraId="6F274AAA" w14:textId="2A883386" w:rsidR="00F114DB" w:rsidRDefault="00F114DB" w:rsidP="00F64AC9">
      <w:pPr>
        <w:pStyle w:val="FootnoteText"/>
      </w:pPr>
      <w:r>
        <w:rPr>
          <w:rStyle w:val="FootnoteReference"/>
        </w:rPr>
        <w:footnoteRef/>
      </w:r>
      <w:r>
        <w:t xml:space="preserve"> Nothing in this Agreement modifies any Statutory Price Reduction already provided for in the Act, unless and until the Act is amended to do so.</w:t>
      </w:r>
    </w:p>
  </w:footnote>
  <w:footnote w:id="9">
    <w:p w14:paraId="51685C56" w14:textId="61E2AE6E" w:rsidR="00F114DB" w:rsidRDefault="00F114DB" w:rsidP="00F64AC9">
      <w:pPr>
        <w:pStyle w:val="FootnoteText"/>
      </w:pPr>
      <w:r>
        <w:rPr>
          <w:rStyle w:val="FootnoteReference"/>
        </w:rPr>
        <w:footnoteRef/>
      </w:r>
      <w:r>
        <w:t xml:space="preserve"> This will not limit application of the Commonwealth policy whereby the Commonwealth will seek a price from the responsible person for the first new brand </w:t>
      </w:r>
      <w:bookmarkStart w:id="82" w:name="_Hlk68446409"/>
      <w:r>
        <w:t>that is not more than the Effective Price of the originator brand on 1 January 2016 or later date of listing reduced by 25%</w:t>
      </w:r>
      <w:bookmarkEnd w:id="82"/>
      <w:r>
        <w:t xml:space="preserve">, subject to the 60% cap on Statutory Price Reductions specified in clause </w:t>
      </w:r>
      <w:r>
        <w:fldChar w:fldCharType="begin"/>
      </w:r>
      <w:r>
        <w:instrText xml:space="preserve"> REF _Ref63695942 \w \h </w:instrText>
      </w:r>
      <w:r>
        <w:fldChar w:fldCharType="separate"/>
      </w:r>
      <w:r>
        <w:t>4.4</w:t>
      </w:r>
      <w:r>
        <w:fldChar w:fldCharType="end"/>
      </w:r>
      <w:r>
        <w:t>.</w:t>
      </w:r>
    </w:p>
  </w:footnote>
  <w:footnote w:id="10">
    <w:p w14:paraId="7D7BE069" w14:textId="45F16D08" w:rsidR="00F114DB" w:rsidRDefault="00F114DB">
      <w:pPr>
        <w:pStyle w:val="FootnoteText"/>
      </w:pPr>
      <w:r>
        <w:rPr>
          <w:rStyle w:val="FootnoteReference"/>
        </w:rPr>
        <w:footnoteRef/>
      </w:r>
      <w:r>
        <w:t xml:space="preserve"> For clarity, where a Listed Brand has already had a price reduction exceeding 36.82%, the price of such Listed Brands will not be increased under these catch-ups.</w:t>
      </w:r>
    </w:p>
  </w:footnote>
  <w:footnote w:id="11">
    <w:p w14:paraId="1B946A20" w14:textId="7E236CC9" w:rsidR="00F114DB" w:rsidRDefault="00F114DB" w:rsidP="006D096A">
      <w:pPr>
        <w:pStyle w:val="FootnoteText"/>
      </w:pPr>
      <w:r>
        <w:rPr>
          <w:rStyle w:val="FootnoteReference"/>
        </w:rPr>
        <w:footnoteRef/>
      </w:r>
      <w:r>
        <w:t xml:space="preserve"> As at the date of this Agreement, it is Commonwealth policy that the Responsible Person for the First New Brand </w:t>
      </w:r>
      <w:r w:rsidRPr="0026332E">
        <w:t>agree an Approved Ex-Manufacturer P</w:t>
      </w:r>
      <w:r>
        <w:t>rice that is not more than the Effective P</w:t>
      </w:r>
      <w:r w:rsidRPr="0026332E">
        <w:t xml:space="preserve">rice of the </w:t>
      </w:r>
      <w:r>
        <w:t>existing brand reduced by 25%.  As at the date of this Agreement, if the Effective P</w:t>
      </w:r>
      <w:r w:rsidRPr="0026332E">
        <w:t>rice reduced by 25</w:t>
      </w:r>
      <w:r>
        <w:t>% would be lower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not more than 60</w:t>
      </w:r>
      <w:r>
        <w:t xml:space="preserve">% </w:t>
      </w:r>
      <w:r w:rsidRPr="0026332E">
        <w:t>of the effective price on 1 January 2016 or later date</w:t>
      </w:r>
      <w:r>
        <w:t xml:space="preserve"> of listing on the PBS. Under this policy, if the Effective P</w:t>
      </w:r>
      <w:r w:rsidRPr="0026332E">
        <w:t>rice is already l</w:t>
      </w:r>
      <w:r>
        <w:t>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equal to the </w:t>
      </w:r>
      <w:r>
        <w:t>E</w:t>
      </w:r>
      <w:r w:rsidRPr="0026332E">
        <w:t xml:space="preserve">ffective </w:t>
      </w:r>
      <w:r>
        <w:t>P</w:t>
      </w:r>
      <w:r w:rsidRPr="0026332E">
        <w:t>rice (i.e. no price reduction required).</w:t>
      </w:r>
      <w:r w:rsidRPr="00BF64D9">
        <w:t xml:space="preserve"> The responsible person for the First New Brand will be notified of the price expected by the Commonwealth prior to acceptance of a price offer.</w:t>
      </w:r>
    </w:p>
  </w:footnote>
  <w:footnote w:id="12">
    <w:p w14:paraId="56CFE637" w14:textId="1E408061" w:rsidR="00F114DB" w:rsidRDefault="00F114DB" w:rsidP="00BF64D9">
      <w:pPr>
        <w:pStyle w:val="FootnoteText"/>
      </w:pPr>
      <w:r>
        <w:rPr>
          <w:rStyle w:val="FootnoteReference"/>
        </w:rPr>
        <w:footnoteRef/>
      </w:r>
      <w:r>
        <w:t xml:space="preserve"> The detailed statement will address the matters set out in footnote 11 above, as updated under this Agreement.</w:t>
      </w:r>
    </w:p>
  </w:footnote>
  <w:footnote w:id="13">
    <w:p w14:paraId="596D30BD" w14:textId="77777777" w:rsidR="00F114DB" w:rsidRDefault="00F114DB">
      <w:pPr>
        <w:pStyle w:val="FootnoteText"/>
      </w:pPr>
      <w:r>
        <w:rPr>
          <w:rStyle w:val="FootnoteReference"/>
        </w:rPr>
        <w:footnoteRef/>
      </w:r>
      <w:r>
        <w:t xml:space="preserve"> This drafting is intended to reflect the common understanding of the parties about how, generally, the legislated mechanism will calculate combination flow-on reductions.  Legislative drafters may modify the language when preparing the required amendments to the Act.</w:t>
      </w:r>
    </w:p>
  </w:footnote>
  <w:footnote w:id="14">
    <w:p w14:paraId="4CF3B959" w14:textId="77777777" w:rsidR="00F114DB" w:rsidRDefault="00F114DB" w:rsidP="0050650C">
      <w:pPr>
        <w:pStyle w:val="FootnoteText"/>
      </w:pPr>
      <w:r>
        <w:rPr>
          <w:rStyle w:val="FootnoteReference"/>
        </w:rPr>
        <w:footnoteRef/>
      </w:r>
      <w:r>
        <w:t xml:space="preserve"> It may be necessary or desirable to modify the definitions of ‘listed component drug’ and ‘component drug’ in subsection 99ACA(1) to align with this drafting.  This will be a matter for the legislative drafters.</w:t>
      </w:r>
    </w:p>
  </w:footnote>
  <w:footnote w:id="15">
    <w:p w14:paraId="038180E9" w14:textId="479C76F3" w:rsidR="00F114DB" w:rsidRDefault="00F114DB">
      <w:pPr>
        <w:pStyle w:val="FootnoteText"/>
      </w:pPr>
      <w:r>
        <w:rPr>
          <w:rStyle w:val="FootnoteReference"/>
        </w:rPr>
        <w:footnoteRef/>
      </w:r>
      <w:r>
        <w:t xml:space="preserve"> </w:t>
      </w:r>
      <w:r w:rsidRPr="00191430">
        <w:t>For avoidance of doubt, a reduction to listed component A which causes a reduction to combination item AB will be counted only once when determining the reduction to combination item ABC.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FCB9" w14:textId="77777777" w:rsidR="00F114DB" w:rsidRPr="00C95B1D" w:rsidRDefault="00F114DB" w:rsidP="007F36F2">
    <w:pPr>
      <w:pStyle w:val="Header"/>
      <w:jc w:val="center"/>
      <w:rPr>
        <w:b/>
        <w:bCs/>
      </w:rPr>
    </w:pPr>
    <w:r>
      <w:rPr>
        <w:noProof/>
      </w:rPr>
      <w:drawing>
        <wp:inline distT="0" distB="0" distL="0" distR="0" wp14:anchorId="1C758ABF" wp14:editId="5F12DEA4">
          <wp:extent cx="1688465" cy="1122045"/>
          <wp:effectExtent l="0" t="0" r="6985" b="1905"/>
          <wp:docPr id="6" name="Picture 6" descr="Department of Heal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F213375"/>
    <w:multiLevelType w:val="hybridMultilevel"/>
    <w:tmpl w:val="B38CB7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1"/>
  </w:num>
  <w:num w:numId="5">
    <w:abstractNumId w:val="7"/>
  </w:num>
  <w:num w:numId="6">
    <w:abstractNumId w:val="5"/>
  </w:num>
  <w:num w:numId="7">
    <w:abstractNumId w:val="3"/>
  </w:num>
  <w:num w:numId="8">
    <w:abstractNumId w:val="9"/>
  </w:num>
  <w:num w:numId="9">
    <w:abstractNumId w:val="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0"/>
  </w:num>
  <w:num w:numId="36">
    <w:abstractNumId w:val="10"/>
  </w:num>
  <w:num w:numId="37">
    <w:abstractNumId w:val="4"/>
  </w:num>
  <w:num w:numId="38">
    <w:abstractNumId w:val="11"/>
  </w:num>
  <w:num w:numId="39">
    <w:abstractNumId w:val="0"/>
  </w:num>
  <w:num w:numId="40">
    <w:abstractNumId w:val="0"/>
  </w:num>
  <w:num w:numId="41">
    <w:abstractNumId w:val="0"/>
  </w:num>
  <w:num w:numId="42">
    <w:abstractNumId w:val="0"/>
  </w:num>
  <w:num w:numId="4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135680.1"/>
  </w:docVars>
  <w:rsids>
    <w:rsidRoot w:val="003F5B09"/>
    <w:rsid w:val="00000F4D"/>
    <w:rsid w:val="000015D0"/>
    <w:rsid w:val="00002E96"/>
    <w:rsid w:val="00002EFD"/>
    <w:rsid w:val="0000380A"/>
    <w:rsid w:val="000055B5"/>
    <w:rsid w:val="00005C09"/>
    <w:rsid w:val="00010F02"/>
    <w:rsid w:val="0001328D"/>
    <w:rsid w:val="0001377D"/>
    <w:rsid w:val="0001595A"/>
    <w:rsid w:val="0002334E"/>
    <w:rsid w:val="00024E12"/>
    <w:rsid w:val="0002520D"/>
    <w:rsid w:val="000261B7"/>
    <w:rsid w:val="00026F14"/>
    <w:rsid w:val="00030193"/>
    <w:rsid w:val="000317D2"/>
    <w:rsid w:val="000344EF"/>
    <w:rsid w:val="00034DF3"/>
    <w:rsid w:val="00035772"/>
    <w:rsid w:val="00040806"/>
    <w:rsid w:val="00043241"/>
    <w:rsid w:val="000434A9"/>
    <w:rsid w:val="00044232"/>
    <w:rsid w:val="000450F7"/>
    <w:rsid w:val="00045444"/>
    <w:rsid w:val="00051BF5"/>
    <w:rsid w:val="0005414C"/>
    <w:rsid w:val="00055645"/>
    <w:rsid w:val="000621C8"/>
    <w:rsid w:val="0006369C"/>
    <w:rsid w:val="00064F4C"/>
    <w:rsid w:val="0006571F"/>
    <w:rsid w:val="00066353"/>
    <w:rsid w:val="000668BB"/>
    <w:rsid w:val="00066DCF"/>
    <w:rsid w:val="00076551"/>
    <w:rsid w:val="0007748F"/>
    <w:rsid w:val="00077DC7"/>
    <w:rsid w:val="00081C0E"/>
    <w:rsid w:val="00082F0A"/>
    <w:rsid w:val="0009451D"/>
    <w:rsid w:val="000955C7"/>
    <w:rsid w:val="00097A61"/>
    <w:rsid w:val="000A3E6F"/>
    <w:rsid w:val="000A42DF"/>
    <w:rsid w:val="000A43D4"/>
    <w:rsid w:val="000A721F"/>
    <w:rsid w:val="000B1113"/>
    <w:rsid w:val="000B1CF9"/>
    <w:rsid w:val="000B1EE3"/>
    <w:rsid w:val="000B2CA2"/>
    <w:rsid w:val="000B5D16"/>
    <w:rsid w:val="000C2DD2"/>
    <w:rsid w:val="000C4AB8"/>
    <w:rsid w:val="000C5C8D"/>
    <w:rsid w:val="000C6C34"/>
    <w:rsid w:val="000C7755"/>
    <w:rsid w:val="000D0919"/>
    <w:rsid w:val="000D0A90"/>
    <w:rsid w:val="000D13C3"/>
    <w:rsid w:val="000D1617"/>
    <w:rsid w:val="000D19A0"/>
    <w:rsid w:val="000D25CA"/>
    <w:rsid w:val="000D3A64"/>
    <w:rsid w:val="000D4692"/>
    <w:rsid w:val="000D564C"/>
    <w:rsid w:val="000D607F"/>
    <w:rsid w:val="000E3ECD"/>
    <w:rsid w:val="000E4322"/>
    <w:rsid w:val="000E5012"/>
    <w:rsid w:val="000E55B0"/>
    <w:rsid w:val="000E5633"/>
    <w:rsid w:val="000F03BE"/>
    <w:rsid w:val="000F0CFE"/>
    <w:rsid w:val="000F209F"/>
    <w:rsid w:val="000F33CF"/>
    <w:rsid w:val="000F3A9B"/>
    <w:rsid w:val="000F4180"/>
    <w:rsid w:val="00101716"/>
    <w:rsid w:val="001150F6"/>
    <w:rsid w:val="00115121"/>
    <w:rsid w:val="001223F7"/>
    <w:rsid w:val="0012285B"/>
    <w:rsid w:val="00123B60"/>
    <w:rsid w:val="00125A3D"/>
    <w:rsid w:val="0013119A"/>
    <w:rsid w:val="00131D53"/>
    <w:rsid w:val="00133B68"/>
    <w:rsid w:val="00133F09"/>
    <w:rsid w:val="00140E7F"/>
    <w:rsid w:val="00141D6E"/>
    <w:rsid w:val="00143262"/>
    <w:rsid w:val="00150D14"/>
    <w:rsid w:val="001600FC"/>
    <w:rsid w:val="00160E00"/>
    <w:rsid w:val="00161CF1"/>
    <w:rsid w:val="00162A71"/>
    <w:rsid w:val="00162F0C"/>
    <w:rsid w:val="001679EF"/>
    <w:rsid w:val="0017013C"/>
    <w:rsid w:val="00170692"/>
    <w:rsid w:val="00175945"/>
    <w:rsid w:val="00177306"/>
    <w:rsid w:val="001924C8"/>
    <w:rsid w:val="00193120"/>
    <w:rsid w:val="00193DBD"/>
    <w:rsid w:val="00195744"/>
    <w:rsid w:val="00196006"/>
    <w:rsid w:val="001A138C"/>
    <w:rsid w:val="001A28A4"/>
    <w:rsid w:val="001A2A4E"/>
    <w:rsid w:val="001A43A9"/>
    <w:rsid w:val="001A468A"/>
    <w:rsid w:val="001A4E58"/>
    <w:rsid w:val="001A66C9"/>
    <w:rsid w:val="001A7863"/>
    <w:rsid w:val="001A7CE7"/>
    <w:rsid w:val="001B0B07"/>
    <w:rsid w:val="001B3AD5"/>
    <w:rsid w:val="001D0985"/>
    <w:rsid w:val="001D1341"/>
    <w:rsid w:val="001D1F7D"/>
    <w:rsid w:val="001D258C"/>
    <w:rsid w:val="001D5892"/>
    <w:rsid w:val="001D65D0"/>
    <w:rsid w:val="001D6DC1"/>
    <w:rsid w:val="001D6E62"/>
    <w:rsid w:val="001E05EF"/>
    <w:rsid w:val="001E4024"/>
    <w:rsid w:val="001E514B"/>
    <w:rsid w:val="001E7D76"/>
    <w:rsid w:val="001F713F"/>
    <w:rsid w:val="0020371E"/>
    <w:rsid w:val="00204BF6"/>
    <w:rsid w:val="00211791"/>
    <w:rsid w:val="00213CDA"/>
    <w:rsid w:val="00214AC3"/>
    <w:rsid w:val="002154BD"/>
    <w:rsid w:val="0022015A"/>
    <w:rsid w:val="0022568F"/>
    <w:rsid w:val="00225E93"/>
    <w:rsid w:val="00230D82"/>
    <w:rsid w:val="00230EA6"/>
    <w:rsid w:val="00234EDB"/>
    <w:rsid w:val="00235AAE"/>
    <w:rsid w:val="00236794"/>
    <w:rsid w:val="00236BF3"/>
    <w:rsid w:val="00240AEE"/>
    <w:rsid w:val="00241016"/>
    <w:rsid w:val="00241E49"/>
    <w:rsid w:val="00241EEC"/>
    <w:rsid w:val="00243CE0"/>
    <w:rsid w:val="00245702"/>
    <w:rsid w:val="00250EFC"/>
    <w:rsid w:val="00252AF6"/>
    <w:rsid w:val="00252C73"/>
    <w:rsid w:val="00254700"/>
    <w:rsid w:val="00255B9D"/>
    <w:rsid w:val="00257291"/>
    <w:rsid w:val="00262D34"/>
    <w:rsid w:val="00264F2B"/>
    <w:rsid w:val="00266B67"/>
    <w:rsid w:val="0026717A"/>
    <w:rsid w:val="002714AE"/>
    <w:rsid w:val="002724B0"/>
    <w:rsid w:val="0027435F"/>
    <w:rsid w:val="0027438C"/>
    <w:rsid w:val="00274629"/>
    <w:rsid w:val="0027483A"/>
    <w:rsid w:val="00276263"/>
    <w:rsid w:val="00277C2E"/>
    <w:rsid w:val="0028041D"/>
    <w:rsid w:val="00281249"/>
    <w:rsid w:val="00281425"/>
    <w:rsid w:val="00281873"/>
    <w:rsid w:val="0028721C"/>
    <w:rsid w:val="00287918"/>
    <w:rsid w:val="00290A38"/>
    <w:rsid w:val="00294714"/>
    <w:rsid w:val="0029697B"/>
    <w:rsid w:val="002A398F"/>
    <w:rsid w:val="002A433F"/>
    <w:rsid w:val="002A7B52"/>
    <w:rsid w:val="002B375D"/>
    <w:rsid w:val="002C1300"/>
    <w:rsid w:val="002C1B73"/>
    <w:rsid w:val="002C270F"/>
    <w:rsid w:val="002C2A10"/>
    <w:rsid w:val="002C3895"/>
    <w:rsid w:val="002C5EED"/>
    <w:rsid w:val="002C6D81"/>
    <w:rsid w:val="002D2245"/>
    <w:rsid w:val="002D5F01"/>
    <w:rsid w:val="002D76EE"/>
    <w:rsid w:val="002E61D3"/>
    <w:rsid w:val="002E6EAC"/>
    <w:rsid w:val="002E7896"/>
    <w:rsid w:val="002F1EA7"/>
    <w:rsid w:val="002F5BC1"/>
    <w:rsid w:val="002F781B"/>
    <w:rsid w:val="002F7DFA"/>
    <w:rsid w:val="003068AD"/>
    <w:rsid w:val="003111CA"/>
    <w:rsid w:val="0031378C"/>
    <w:rsid w:val="00313F76"/>
    <w:rsid w:val="00314018"/>
    <w:rsid w:val="00314800"/>
    <w:rsid w:val="00315D95"/>
    <w:rsid w:val="00323523"/>
    <w:rsid w:val="00327CF5"/>
    <w:rsid w:val="00331C8E"/>
    <w:rsid w:val="00335AD0"/>
    <w:rsid w:val="00336D17"/>
    <w:rsid w:val="003406DA"/>
    <w:rsid w:val="00340B6D"/>
    <w:rsid w:val="00340C61"/>
    <w:rsid w:val="0034296F"/>
    <w:rsid w:val="0034395B"/>
    <w:rsid w:val="003464A0"/>
    <w:rsid w:val="00350032"/>
    <w:rsid w:val="00354776"/>
    <w:rsid w:val="0035572C"/>
    <w:rsid w:val="00355D78"/>
    <w:rsid w:val="00356F33"/>
    <w:rsid w:val="003610F8"/>
    <w:rsid w:val="003703D3"/>
    <w:rsid w:val="00371442"/>
    <w:rsid w:val="00371F33"/>
    <w:rsid w:val="003764BF"/>
    <w:rsid w:val="00376F0E"/>
    <w:rsid w:val="00380929"/>
    <w:rsid w:val="00380B75"/>
    <w:rsid w:val="003855C9"/>
    <w:rsid w:val="00387D4F"/>
    <w:rsid w:val="00392711"/>
    <w:rsid w:val="00393EA0"/>
    <w:rsid w:val="003963C1"/>
    <w:rsid w:val="003966F4"/>
    <w:rsid w:val="003A3628"/>
    <w:rsid w:val="003A3837"/>
    <w:rsid w:val="003A63F9"/>
    <w:rsid w:val="003B2682"/>
    <w:rsid w:val="003B4EA1"/>
    <w:rsid w:val="003B6189"/>
    <w:rsid w:val="003C41B8"/>
    <w:rsid w:val="003C46AC"/>
    <w:rsid w:val="003C6A94"/>
    <w:rsid w:val="003D3B05"/>
    <w:rsid w:val="003D4DEB"/>
    <w:rsid w:val="003D7279"/>
    <w:rsid w:val="003E1D3D"/>
    <w:rsid w:val="003E1D40"/>
    <w:rsid w:val="003E1DD6"/>
    <w:rsid w:val="003E2CE8"/>
    <w:rsid w:val="003E5CB7"/>
    <w:rsid w:val="003E6247"/>
    <w:rsid w:val="003E6AB4"/>
    <w:rsid w:val="003E7203"/>
    <w:rsid w:val="003F1047"/>
    <w:rsid w:val="003F104B"/>
    <w:rsid w:val="003F23B2"/>
    <w:rsid w:val="003F2D03"/>
    <w:rsid w:val="003F5B09"/>
    <w:rsid w:val="003F68C2"/>
    <w:rsid w:val="003F6A3C"/>
    <w:rsid w:val="004021D5"/>
    <w:rsid w:val="00402EDA"/>
    <w:rsid w:val="004048BE"/>
    <w:rsid w:val="00405AAE"/>
    <w:rsid w:val="004079E6"/>
    <w:rsid w:val="00410C6F"/>
    <w:rsid w:val="00410DE5"/>
    <w:rsid w:val="00414477"/>
    <w:rsid w:val="00415824"/>
    <w:rsid w:val="0042092E"/>
    <w:rsid w:val="00432C59"/>
    <w:rsid w:val="004355E4"/>
    <w:rsid w:val="00435745"/>
    <w:rsid w:val="004371FC"/>
    <w:rsid w:val="00441EDD"/>
    <w:rsid w:val="00442ECC"/>
    <w:rsid w:val="0044395B"/>
    <w:rsid w:val="004446B5"/>
    <w:rsid w:val="0044644D"/>
    <w:rsid w:val="00446704"/>
    <w:rsid w:val="00451AB2"/>
    <w:rsid w:val="004528B9"/>
    <w:rsid w:val="00452E49"/>
    <w:rsid w:val="00452F22"/>
    <w:rsid w:val="0045464E"/>
    <w:rsid w:val="0045517B"/>
    <w:rsid w:val="0045691B"/>
    <w:rsid w:val="0045783A"/>
    <w:rsid w:val="00464CBF"/>
    <w:rsid w:val="00465C3C"/>
    <w:rsid w:val="00470865"/>
    <w:rsid w:val="00471F53"/>
    <w:rsid w:val="00472A35"/>
    <w:rsid w:val="004742C3"/>
    <w:rsid w:val="00474DB2"/>
    <w:rsid w:val="00476556"/>
    <w:rsid w:val="004803D1"/>
    <w:rsid w:val="00481612"/>
    <w:rsid w:val="004827B1"/>
    <w:rsid w:val="00482D27"/>
    <w:rsid w:val="00484A09"/>
    <w:rsid w:val="00484AF3"/>
    <w:rsid w:val="00487C07"/>
    <w:rsid w:val="004906E9"/>
    <w:rsid w:val="00491DC8"/>
    <w:rsid w:val="004A4124"/>
    <w:rsid w:val="004B1121"/>
    <w:rsid w:val="004B4B75"/>
    <w:rsid w:val="004B5C50"/>
    <w:rsid w:val="004B610F"/>
    <w:rsid w:val="004B6B89"/>
    <w:rsid w:val="004C075D"/>
    <w:rsid w:val="004C1339"/>
    <w:rsid w:val="004C1DCF"/>
    <w:rsid w:val="004C3FB3"/>
    <w:rsid w:val="004C573A"/>
    <w:rsid w:val="004D2D59"/>
    <w:rsid w:val="004D2DEE"/>
    <w:rsid w:val="004D792A"/>
    <w:rsid w:val="004E005B"/>
    <w:rsid w:val="004E0F8D"/>
    <w:rsid w:val="004E1177"/>
    <w:rsid w:val="004E21BC"/>
    <w:rsid w:val="004E492F"/>
    <w:rsid w:val="004E647E"/>
    <w:rsid w:val="004F1B27"/>
    <w:rsid w:val="004F383E"/>
    <w:rsid w:val="004F405A"/>
    <w:rsid w:val="004F7636"/>
    <w:rsid w:val="005005C9"/>
    <w:rsid w:val="00503A05"/>
    <w:rsid w:val="0050650C"/>
    <w:rsid w:val="00511C7C"/>
    <w:rsid w:val="00514C44"/>
    <w:rsid w:val="00515D42"/>
    <w:rsid w:val="00516909"/>
    <w:rsid w:val="00517177"/>
    <w:rsid w:val="00521A88"/>
    <w:rsid w:val="00523427"/>
    <w:rsid w:val="00523A50"/>
    <w:rsid w:val="00527DF0"/>
    <w:rsid w:val="0053129A"/>
    <w:rsid w:val="005315E9"/>
    <w:rsid w:val="005318FA"/>
    <w:rsid w:val="00531EE5"/>
    <w:rsid w:val="00532A5B"/>
    <w:rsid w:val="0053367C"/>
    <w:rsid w:val="00534C7A"/>
    <w:rsid w:val="00534E14"/>
    <w:rsid w:val="00537612"/>
    <w:rsid w:val="00537F8A"/>
    <w:rsid w:val="00541512"/>
    <w:rsid w:val="00542210"/>
    <w:rsid w:val="00542443"/>
    <w:rsid w:val="00545239"/>
    <w:rsid w:val="00545815"/>
    <w:rsid w:val="00552FDF"/>
    <w:rsid w:val="00553FEB"/>
    <w:rsid w:val="0055495C"/>
    <w:rsid w:val="00566E34"/>
    <w:rsid w:val="005712CB"/>
    <w:rsid w:val="00571BDC"/>
    <w:rsid w:val="0057462F"/>
    <w:rsid w:val="00574E3E"/>
    <w:rsid w:val="00575EF4"/>
    <w:rsid w:val="0057714A"/>
    <w:rsid w:val="00580489"/>
    <w:rsid w:val="00581C73"/>
    <w:rsid w:val="005822A5"/>
    <w:rsid w:val="00582AC7"/>
    <w:rsid w:val="00584764"/>
    <w:rsid w:val="0058678D"/>
    <w:rsid w:val="00587BAF"/>
    <w:rsid w:val="00590680"/>
    <w:rsid w:val="005953F9"/>
    <w:rsid w:val="0059651F"/>
    <w:rsid w:val="00597276"/>
    <w:rsid w:val="005A02E1"/>
    <w:rsid w:val="005A0362"/>
    <w:rsid w:val="005A223C"/>
    <w:rsid w:val="005A2659"/>
    <w:rsid w:val="005A3D75"/>
    <w:rsid w:val="005A79C0"/>
    <w:rsid w:val="005B2B04"/>
    <w:rsid w:val="005B2F62"/>
    <w:rsid w:val="005B4BBD"/>
    <w:rsid w:val="005B59D3"/>
    <w:rsid w:val="005B59FB"/>
    <w:rsid w:val="005B5F5C"/>
    <w:rsid w:val="005B714F"/>
    <w:rsid w:val="005C00FE"/>
    <w:rsid w:val="005C26F2"/>
    <w:rsid w:val="005C2C58"/>
    <w:rsid w:val="005C3A80"/>
    <w:rsid w:val="005D0D2F"/>
    <w:rsid w:val="005D17A9"/>
    <w:rsid w:val="005D19CF"/>
    <w:rsid w:val="005D5057"/>
    <w:rsid w:val="005E0000"/>
    <w:rsid w:val="005F0502"/>
    <w:rsid w:val="005F3C9A"/>
    <w:rsid w:val="005F5C89"/>
    <w:rsid w:val="00605D79"/>
    <w:rsid w:val="00610A66"/>
    <w:rsid w:val="006112E7"/>
    <w:rsid w:val="00614F15"/>
    <w:rsid w:val="00615785"/>
    <w:rsid w:val="006165B2"/>
    <w:rsid w:val="00620954"/>
    <w:rsid w:val="0062135D"/>
    <w:rsid w:val="00622453"/>
    <w:rsid w:val="00623985"/>
    <w:rsid w:val="006242CA"/>
    <w:rsid w:val="00624A20"/>
    <w:rsid w:val="0062503F"/>
    <w:rsid w:val="00625EDC"/>
    <w:rsid w:val="006301EE"/>
    <w:rsid w:val="006310B9"/>
    <w:rsid w:val="00633F8A"/>
    <w:rsid w:val="0063429A"/>
    <w:rsid w:val="00635926"/>
    <w:rsid w:val="00637363"/>
    <w:rsid w:val="006415F3"/>
    <w:rsid w:val="00642748"/>
    <w:rsid w:val="00643183"/>
    <w:rsid w:val="006445F3"/>
    <w:rsid w:val="0065093A"/>
    <w:rsid w:val="00651138"/>
    <w:rsid w:val="00651889"/>
    <w:rsid w:val="00655822"/>
    <w:rsid w:val="0066058D"/>
    <w:rsid w:val="00663758"/>
    <w:rsid w:val="00665051"/>
    <w:rsid w:val="00666B76"/>
    <w:rsid w:val="00670500"/>
    <w:rsid w:val="00674B80"/>
    <w:rsid w:val="00675A73"/>
    <w:rsid w:val="00677C46"/>
    <w:rsid w:val="0068013E"/>
    <w:rsid w:val="006844FF"/>
    <w:rsid w:val="00684D3C"/>
    <w:rsid w:val="00685FC0"/>
    <w:rsid w:val="006924D3"/>
    <w:rsid w:val="006935BC"/>
    <w:rsid w:val="00693CB2"/>
    <w:rsid w:val="00693FB1"/>
    <w:rsid w:val="006950D2"/>
    <w:rsid w:val="00695A5E"/>
    <w:rsid w:val="006A069D"/>
    <w:rsid w:val="006A5317"/>
    <w:rsid w:val="006B0158"/>
    <w:rsid w:val="006B2D58"/>
    <w:rsid w:val="006B4A4C"/>
    <w:rsid w:val="006B6824"/>
    <w:rsid w:val="006B778A"/>
    <w:rsid w:val="006B77FD"/>
    <w:rsid w:val="006C1140"/>
    <w:rsid w:val="006C281C"/>
    <w:rsid w:val="006C3AED"/>
    <w:rsid w:val="006C3BAE"/>
    <w:rsid w:val="006C6F5D"/>
    <w:rsid w:val="006C7960"/>
    <w:rsid w:val="006D01D1"/>
    <w:rsid w:val="006D096A"/>
    <w:rsid w:val="006D3A28"/>
    <w:rsid w:val="006E252E"/>
    <w:rsid w:val="006E2549"/>
    <w:rsid w:val="006E316C"/>
    <w:rsid w:val="006E4096"/>
    <w:rsid w:val="006E5986"/>
    <w:rsid w:val="006E6AF0"/>
    <w:rsid w:val="006F23A4"/>
    <w:rsid w:val="006F2B1C"/>
    <w:rsid w:val="006F333B"/>
    <w:rsid w:val="006F39F5"/>
    <w:rsid w:val="006F4041"/>
    <w:rsid w:val="00700893"/>
    <w:rsid w:val="00700EE3"/>
    <w:rsid w:val="00706010"/>
    <w:rsid w:val="00707D9D"/>
    <w:rsid w:val="00713111"/>
    <w:rsid w:val="00713D17"/>
    <w:rsid w:val="00720043"/>
    <w:rsid w:val="0072064F"/>
    <w:rsid w:val="00720C99"/>
    <w:rsid w:val="00723B45"/>
    <w:rsid w:val="00725E77"/>
    <w:rsid w:val="007301D5"/>
    <w:rsid w:val="00731F2B"/>
    <w:rsid w:val="00736615"/>
    <w:rsid w:val="007367E9"/>
    <w:rsid w:val="00740539"/>
    <w:rsid w:val="00744098"/>
    <w:rsid w:val="007449A0"/>
    <w:rsid w:val="007468E2"/>
    <w:rsid w:val="007477FC"/>
    <w:rsid w:val="00750CC3"/>
    <w:rsid w:val="0075244D"/>
    <w:rsid w:val="00752496"/>
    <w:rsid w:val="007526EC"/>
    <w:rsid w:val="007528FA"/>
    <w:rsid w:val="00753F37"/>
    <w:rsid w:val="007615FB"/>
    <w:rsid w:val="0077135B"/>
    <w:rsid w:val="0077422D"/>
    <w:rsid w:val="007776C5"/>
    <w:rsid w:val="007806E3"/>
    <w:rsid w:val="007838B4"/>
    <w:rsid w:val="007839C6"/>
    <w:rsid w:val="007839C8"/>
    <w:rsid w:val="00785346"/>
    <w:rsid w:val="00786404"/>
    <w:rsid w:val="007877AA"/>
    <w:rsid w:val="007935A0"/>
    <w:rsid w:val="00793689"/>
    <w:rsid w:val="0079473F"/>
    <w:rsid w:val="007965B9"/>
    <w:rsid w:val="00796C21"/>
    <w:rsid w:val="007A3968"/>
    <w:rsid w:val="007A5149"/>
    <w:rsid w:val="007A51EC"/>
    <w:rsid w:val="007A73D1"/>
    <w:rsid w:val="007A79C9"/>
    <w:rsid w:val="007B2EF5"/>
    <w:rsid w:val="007B2F47"/>
    <w:rsid w:val="007B64ED"/>
    <w:rsid w:val="007C270F"/>
    <w:rsid w:val="007C2984"/>
    <w:rsid w:val="007C495A"/>
    <w:rsid w:val="007C4C60"/>
    <w:rsid w:val="007C51C0"/>
    <w:rsid w:val="007C6C12"/>
    <w:rsid w:val="007C6D17"/>
    <w:rsid w:val="007D14E0"/>
    <w:rsid w:val="007D46F4"/>
    <w:rsid w:val="007D5B69"/>
    <w:rsid w:val="007D6573"/>
    <w:rsid w:val="007D6C0B"/>
    <w:rsid w:val="007D7B02"/>
    <w:rsid w:val="007E063E"/>
    <w:rsid w:val="007E20A3"/>
    <w:rsid w:val="007F0198"/>
    <w:rsid w:val="007F2B5E"/>
    <w:rsid w:val="007F330D"/>
    <w:rsid w:val="007F36F2"/>
    <w:rsid w:val="007F54AA"/>
    <w:rsid w:val="007F7CB9"/>
    <w:rsid w:val="00802442"/>
    <w:rsid w:val="00803CD7"/>
    <w:rsid w:val="0080745A"/>
    <w:rsid w:val="0081090D"/>
    <w:rsid w:val="00810929"/>
    <w:rsid w:val="00811099"/>
    <w:rsid w:val="008131CA"/>
    <w:rsid w:val="008135FB"/>
    <w:rsid w:val="008148E9"/>
    <w:rsid w:val="008151E1"/>
    <w:rsid w:val="008156AE"/>
    <w:rsid w:val="00815AD0"/>
    <w:rsid w:val="00815F80"/>
    <w:rsid w:val="0082131F"/>
    <w:rsid w:val="00821CE8"/>
    <w:rsid w:val="00821F20"/>
    <w:rsid w:val="00822533"/>
    <w:rsid w:val="00822C06"/>
    <w:rsid w:val="00825674"/>
    <w:rsid w:val="00827974"/>
    <w:rsid w:val="00831C4D"/>
    <w:rsid w:val="00835E06"/>
    <w:rsid w:val="00837311"/>
    <w:rsid w:val="00845B7E"/>
    <w:rsid w:val="00850BC1"/>
    <w:rsid w:val="00851920"/>
    <w:rsid w:val="00852C82"/>
    <w:rsid w:val="00854E24"/>
    <w:rsid w:val="00855ACD"/>
    <w:rsid w:val="0085625F"/>
    <w:rsid w:val="008578C3"/>
    <w:rsid w:val="00862B1F"/>
    <w:rsid w:val="00863D04"/>
    <w:rsid w:val="008652C1"/>
    <w:rsid w:val="00870270"/>
    <w:rsid w:val="00874364"/>
    <w:rsid w:val="008746CB"/>
    <w:rsid w:val="00874A23"/>
    <w:rsid w:val="00874EA2"/>
    <w:rsid w:val="00875FA4"/>
    <w:rsid w:val="00877263"/>
    <w:rsid w:val="00877680"/>
    <w:rsid w:val="00880693"/>
    <w:rsid w:val="008816AB"/>
    <w:rsid w:val="0088373F"/>
    <w:rsid w:val="00885A46"/>
    <w:rsid w:val="00886956"/>
    <w:rsid w:val="00887816"/>
    <w:rsid w:val="008904E8"/>
    <w:rsid w:val="00891AF0"/>
    <w:rsid w:val="00891BB3"/>
    <w:rsid w:val="0089363A"/>
    <w:rsid w:val="00895860"/>
    <w:rsid w:val="0089639B"/>
    <w:rsid w:val="008965A8"/>
    <w:rsid w:val="00896838"/>
    <w:rsid w:val="00897024"/>
    <w:rsid w:val="0089779C"/>
    <w:rsid w:val="00897F76"/>
    <w:rsid w:val="008A0C80"/>
    <w:rsid w:val="008A3083"/>
    <w:rsid w:val="008B0374"/>
    <w:rsid w:val="008B2043"/>
    <w:rsid w:val="008B5710"/>
    <w:rsid w:val="008C19A6"/>
    <w:rsid w:val="008C4253"/>
    <w:rsid w:val="008C5443"/>
    <w:rsid w:val="008C604D"/>
    <w:rsid w:val="008C6E59"/>
    <w:rsid w:val="008D17BD"/>
    <w:rsid w:val="008D2E54"/>
    <w:rsid w:val="008D3FBA"/>
    <w:rsid w:val="008D4AA0"/>
    <w:rsid w:val="008D58AE"/>
    <w:rsid w:val="008E395B"/>
    <w:rsid w:val="008E457B"/>
    <w:rsid w:val="008E691D"/>
    <w:rsid w:val="008E6FB4"/>
    <w:rsid w:val="00900322"/>
    <w:rsid w:val="009076FC"/>
    <w:rsid w:val="00907FA2"/>
    <w:rsid w:val="00910DEC"/>
    <w:rsid w:val="0091489C"/>
    <w:rsid w:val="0091543D"/>
    <w:rsid w:val="009158A9"/>
    <w:rsid w:val="009218DC"/>
    <w:rsid w:val="009262F3"/>
    <w:rsid w:val="00934A20"/>
    <w:rsid w:val="009369DA"/>
    <w:rsid w:val="009376B3"/>
    <w:rsid w:val="00937E1A"/>
    <w:rsid w:val="00940908"/>
    <w:rsid w:val="00940D01"/>
    <w:rsid w:val="00942AFB"/>
    <w:rsid w:val="0094339B"/>
    <w:rsid w:val="00943937"/>
    <w:rsid w:val="009520EA"/>
    <w:rsid w:val="00952638"/>
    <w:rsid w:val="00953687"/>
    <w:rsid w:val="00956EC0"/>
    <w:rsid w:val="009601C1"/>
    <w:rsid w:val="009645AA"/>
    <w:rsid w:val="00965028"/>
    <w:rsid w:val="00965E29"/>
    <w:rsid w:val="009669ED"/>
    <w:rsid w:val="00971E02"/>
    <w:rsid w:val="00976FC0"/>
    <w:rsid w:val="009804E3"/>
    <w:rsid w:val="00980A4A"/>
    <w:rsid w:val="00981265"/>
    <w:rsid w:val="009815B9"/>
    <w:rsid w:val="009820BA"/>
    <w:rsid w:val="00982231"/>
    <w:rsid w:val="00982A02"/>
    <w:rsid w:val="00986BAF"/>
    <w:rsid w:val="00993211"/>
    <w:rsid w:val="00994244"/>
    <w:rsid w:val="00995FD4"/>
    <w:rsid w:val="0099770D"/>
    <w:rsid w:val="009A011E"/>
    <w:rsid w:val="009A034A"/>
    <w:rsid w:val="009A6E63"/>
    <w:rsid w:val="009B07E9"/>
    <w:rsid w:val="009B2294"/>
    <w:rsid w:val="009B39A5"/>
    <w:rsid w:val="009B4B74"/>
    <w:rsid w:val="009B760D"/>
    <w:rsid w:val="009C0F39"/>
    <w:rsid w:val="009C343F"/>
    <w:rsid w:val="009D092F"/>
    <w:rsid w:val="009D0E31"/>
    <w:rsid w:val="009D18DF"/>
    <w:rsid w:val="009D19F8"/>
    <w:rsid w:val="009D53C0"/>
    <w:rsid w:val="009D73D3"/>
    <w:rsid w:val="009E0542"/>
    <w:rsid w:val="009E1593"/>
    <w:rsid w:val="009E2619"/>
    <w:rsid w:val="009E7DBF"/>
    <w:rsid w:val="009F2818"/>
    <w:rsid w:val="009F3CDD"/>
    <w:rsid w:val="009F3EA3"/>
    <w:rsid w:val="009F4169"/>
    <w:rsid w:val="009F45B9"/>
    <w:rsid w:val="00A01513"/>
    <w:rsid w:val="00A03353"/>
    <w:rsid w:val="00A1033F"/>
    <w:rsid w:val="00A1244A"/>
    <w:rsid w:val="00A13F48"/>
    <w:rsid w:val="00A144DE"/>
    <w:rsid w:val="00A16C00"/>
    <w:rsid w:val="00A21991"/>
    <w:rsid w:val="00A2311A"/>
    <w:rsid w:val="00A244C2"/>
    <w:rsid w:val="00A342B9"/>
    <w:rsid w:val="00A37B74"/>
    <w:rsid w:val="00A404B5"/>
    <w:rsid w:val="00A424BD"/>
    <w:rsid w:val="00A430BF"/>
    <w:rsid w:val="00A43805"/>
    <w:rsid w:val="00A43FB2"/>
    <w:rsid w:val="00A459FC"/>
    <w:rsid w:val="00A46D49"/>
    <w:rsid w:val="00A470BC"/>
    <w:rsid w:val="00A47350"/>
    <w:rsid w:val="00A47CA6"/>
    <w:rsid w:val="00A5224E"/>
    <w:rsid w:val="00A532FF"/>
    <w:rsid w:val="00A566BF"/>
    <w:rsid w:val="00A56985"/>
    <w:rsid w:val="00A60DFD"/>
    <w:rsid w:val="00A63352"/>
    <w:rsid w:val="00A70845"/>
    <w:rsid w:val="00A71CDD"/>
    <w:rsid w:val="00A73626"/>
    <w:rsid w:val="00A73850"/>
    <w:rsid w:val="00A74D2D"/>
    <w:rsid w:val="00A77047"/>
    <w:rsid w:val="00A81E39"/>
    <w:rsid w:val="00A86E08"/>
    <w:rsid w:val="00A901D6"/>
    <w:rsid w:val="00A905D8"/>
    <w:rsid w:val="00A93025"/>
    <w:rsid w:val="00A9500B"/>
    <w:rsid w:val="00A95090"/>
    <w:rsid w:val="00A97FCF"/>
    <w:rsid w:val="00AA0F6D"/>
    <w:rsid w:val="00AA4450"/>
    <w:rsid w:val="00AA6B7F"/>
    <w:rsid w:val="00AA71A1"/>
    <w:rsid w:val="00AA73DF"/>
    <w:rsid w:val="00AA7CDE"/>
    <w:rsid w:val="00AB13D3"/>
    <w:rsid w:val="00AB16C8"/>
    <w:rsid w:val="00AB1C7B"/>
    <w:rsid w:val="00AB34D4"/>
    <w:rsid w:val="00AB6BB7"/>
    <w:rsid w:val="00AB7B5E"/>
    <w:rsid w:val="00AC100E"/>
    <w:rsid w:val="00AC1A52"/>
    <w:rsid w:val="00AC1EC9"/>
    <w:rsid w:val="00AC356F"/>
    <w:rsid w:val="00AC4A8A"/>
    <w:rsid w:val="00AC5BAF"/>
    <w:rsid w:val="00AD0F75"/>
    <w:rsid w:val="00AD2A8A"/>
    <w:rsid w:val="00AE0828"/>
    <w:rsid w:val="00AE1D5F"/>
    <w:rsid w:val="00AE4A1A"/>
    <w:rsid w:val="00AE67EE"/>
    <w:rsid w:val="00AE6A15"/>
    <w:rsid w:val="00AE6FD6"/>
    <w:rsid w:val="00AE7167"/>
    <w:rsid w:val="00AF1780"/>
    <w:rsid w:val="00AF2313"/>
    <w:rsid w:val="00AF3B99"/>
    <w:rsid w:val="00AF4199"/>
    <w:rsid w:val="00AF7E16"/>
    <w:rsid w:val="00B00299"/>
    <w:rsid w:val="00B018E1"/>
    <w:rsid w:val="00B024CD"/>
    <w:rsid w:val="00B0255A"/>
    <w:rsid w:val="00B0286A"/>
    <w:rsid w:val="00B02CAC"/>
    <w:rsid w:val="00B03D9C"/>
    <w:rsid w:val="00B077A3"/>
    <w:rsid w:val="00B108C3"/>
    <w:rsid w:val="00B127DD"/>
    <w:rsid w:val="00B15568"/>
    <w:rsid w:val="00B16BC1"/>
    <w:rsid w:val="00B17099"/>
    <w:rsid w:val="00B17803"/>
    <w:rsid w:val="00B25424"/>
    <w:rsid w:val="00B30628"/>
    <w:rsid w:val="00B318F6"/>
    <w:rsid w:val="00B352AF"/>
    <w:rsid w:val="00B353A9"/>
    <w:rsid w:val="00B354D7"/>
    <w:rsid w:val="00B3578D"/>
    <w:rsid w:val="00B37967"/>
    <w:rsid w:val="00B41CB6"/>
    <w:rsid w:val="00B449B6"/>
    <w:rsid w:val="00B4592B"/>
    <w:rsid w:val="00B46672"/>
    <w:rsid w:val="00B5150C"/>
    <w:rsid w:val="00B53EAB"/>
    <w:rsid w:val="00B5469E"/>
    <w:rsid w:val="00B656AC"/>
    <w:rsid w:val="00B739CB"/>
    <w:rsid w:val="00B73F0A"/>
    <w:rsid w:val="00B74BB4"/>
    <w:rsid w:val="00B80188"/>
    <w:rsid w:val="00B835C7"/>
    <w:rsid w:val="00B84788"/>
    <w:rsid w:val="00B86F64"/>
    <w:rsid w:val="00B909B4"/>
    <w:rsid w:val="00B93BD2"/>
    <w:rsid w:val="00B94A31"/>
    <w:rsid w:val="00B9532B"/>
    <w:rsid w:val="00B9610A"/>
    <w:rsid w:val="00B96BDC"/>
    <w:rsid w:val="00B96BFB"/>
    <w:rsid w:val="00BA01B6"/>
    <w:rsid w:val="00BA0B15"/>
    <w:rsid w:val="00BA311D"/>
    <w:rsid w:val="00BA6EC0"/>
    <w:rsid w:val="00BB061B"/>
    <w:rsid w:val="00BB6466"/>
    <w:rsid w:val="00BC07FA"/>
    <w:rsid w:val="00BC5277"/>
    <w:rsid w:val="00BC7B34"/>
    <w:rsid w:val="00BC7CCD"/>
    <w:rsid w:val="00BD3ED8"/>
    <w:rsid w:val="00BD56CF"/>
    <w:rsid w:val="00BD66C7"/>
    <w:rsid w:val="00BE054E"/>
    <w:rsid w:val="00BE1BEE"/>
    <w:rsid w:val="00BE31F6"/>
    <w:rsid w:val="00BE367B"/>
    <w:rsid w:val="00BE6C98"/>
    <w:rsid w:val="00BF64D9"/>
    <w:rsid w:val="00BF7B6A"/>
    <w:rsid w:val="00C005A7"/>
    <w:rsid w:val="00C029E6"/>
    <w:rsid w:val="00C05346"/>
    <w:rsid w:val="00C05403"/>
    <w:rsid w:val="00C06E23"/>
    <w:rsid w:val="00C12E50"/>
    <w:rsid w:val="00C17A87"/>
    <w:rsid w:val="00C17D46"/>
    <w:rsid w:val="00C20ED2"/>
    <w:rsid w:val="00C21A61"/>
    <w:rsid w:val="00C23293"/>
    <w:rsid w:val="00C313F6"/>
    <w:rsid w:val="00C31FE3"/>
    <w:rsid w:val="00C34E92"/>
    <w:rsid w:val="00C35EE7"/>
    <w:rsid w:val="00C416A7"/>
    <w:rsid w:val="00C4409E"/>
    <w:rsid w:val="00C4433B"/>
    <w:rsid w:val="00C44B6A"/>
    <w:rsid w:val="00C501F9"/>
    <w:rsid w:val="00C5184E"/>
    <w:rsid w:val="00C521DC"/>
    <w:rsid w:val="00C5287D"/>
    <w:rsid w:val="00C53B5D"/>
    <w:rsid w:val="00C53C47"/>
    <w:rsid w:val="00C5432D"/>
    <w:rsid w:val="00C56417"/>
    <w:rsid w:val="00C5757D"/>
    <w:rsid w:val="00C57663"/>
    <w:rsid w:val="00C6005D"/>
    <w:rsid w:val="00C60279"/>
    <w:rsid w:val="00C62602"/>
    <w:rsid w:val="00C626D7"/>
    <w:rsid w:val="00C631D3"/>
    <w:rsid w:val="00C64B02"/>
    <w:rsid w:val="00C6525C"/>
    <w:rsid w:val="00C66D2E"/>
    <w:rsid w:val="00C72299"/>
    <w:rsid w:val="00C8196B"/>
    <w:rsid w:val="00C85D80"/>
    <w:rsid w:val="00C87B4C"/>
    <w:rsid w:val="00C91B82"/>
    <w:rsid w:val="00C920A7"/>
    <w:rsid w:val="00C9253B"/>
    <w:rsid w:val="00C92CF2"/>
    <w:rsid w:val="00C93679"/>
    <w:rsid w:val="00C94FFA"/>
    <w:rsid w:val="00C95B1D"/>
    <w:rsid w:val="00C979DA"/>
    <w:rsid w:val="00CA1152"/>
    <w:rsid w:val="00CA175A"/>
    <w:rsid w:val="00CA58FC"/>
    <w:rsid w:val="00CA5D27"/>
    <w:rsid w:val="00CA603B"/>
    <w:rsid w:val="00CA6DA6"/>
    <w:rsid w:val="00CA7422"/>
    <w:rsid w:val="00CA7C8F"/>
    <w:rsid w:val="00CB0B45"/>
    <w:rsid w:val="00CB13B3"/>
    <w:rsid w:val="00CB1778"/>
    <w:rsid w:val="00CB6A74"/>
    <w:rsid w:val="00CB6AE5"/>
    <w:rsid w:val="00CC0F0E"/>
    <w:rsid w:val="00CC117D"/>
    <w:rsid w:val="00CC1740"/>
    <w:rsid w:val="00CC1947"/>
    <w:rsid w:val="00CC202B"/>
    <w:rsid w:val="00CC21CB"/>
    <w:rsid w:val="00CC4C88"/>
    <w:rsid w:val="00CC4D5C"/>
    <w:rsid w:val="00CC6D67"/>
    <w:rsid w:val="00CD0F6B"/>
    <w:rsid w:val="00CD1930"/>
    <w:rsid w:val="00CD3AD2"/>
    <w:rsid w:val="00CD689D"/>
    <w:rsid w:val="00CD7D8A"/>
    <w:rsid w:val="00CE3D98"/>
    <w:rsid w:val="00CE7320"/>
    <w:rsid w:val="00CF18DD"/>
    <w:rsid w:val="00CF23BC"/>
    <w:rsid w:val="00CF39C7"/>
    <w:rsid w:val="00D01D8E"/>
    <w:rsid w:val="00D033F5"/>
    <w:rsid w:val="00D04782"/>
    <w:rsid w:val="00D04FD3"/>
    <w:rsid w:val="00D07B1A"/>
    <w:rsid w:val="00D102F5"/>
    <w:rsid w:val="00D15CA2"/>
    <w:rsid w:val="00D167DC"/>
    <w:rsid w:val="00D17A9E"/>
    <w:rsid w:val="00D21557"/>
    <w:rsid w:val="00D2162E"/>
    <w:rsid w:val="00D21D29"/>
    <w:rsid w:val="00D226BC"/>
    <w:rsid w:val="00D23A02"/>
    <w:rsid w:val="00D30DA6"/>
    <w:rsid w:val="00D32060"/>
    <w:rsid w:val="00D33D99"/>
    <w:rsid w:val="00D365A6"/>
    <w:rsid w:val="00D4057C"/>
    <w:rsid w:val="00D405B1"/>
    <w:rsid w:val="00D42CB1"/>
    <w:rsid w:val="00D433F9"/>
    <w:rsid w:val="00D43FF0"/>
    <w:rsid w:val="00D4444A"/>
    <w:rsid w:val="00D44C71"/>
    <w:rsid w:val="00D44DF7"/>
    <w:rsid w:val="00D452EA"/>
    <w:rsid w:val="00D470F5"/>
    <w:rsid w:val="00D5058D"/>
    <w:rsid w:val="00D56182"/>
    <w:rsid w:val="00D5696F"/>
    <w:rsid w:val="00D645CC"/>
    <w:rsid w:val="00D64C64"/>
    <w:rsid w:val="00D66E52"/>
    <w:rsid w:val="00D67B64"/>
    <w:rsid w:val="00D73D3A"/>
    <w:rsid w:val="00D74F2B"/>
    <w:rsid w:val="00D77365"/>
    <w:rsid w:val="00D82694"/>
    <w:rsid w:val="00D82A6F"/>
    <w:rsid w:val="00D84602"/>
    <w:rsid w:val="00D853B2"/>
    <w:rsid w:val="00D87171"/>
    <w:rsid w:val="00D90D8F"/>
    <w:rsid w:val="00D915E4"/>
    <w:rsid w:val="00D9512B"/>
    <w:rsid w:val="00D95774"/>
    <w:rsid w:val="00D96D03"/>
    <w:rsid w:val="00DA1AB8"/>
    <w:rsid w:val="00DA22E0"/>
    <w:rsid w:val="00DA430D"/>
    <w:rsid w:val="00DA4418"/>
    <w:rsid w:val="00DB35C6"/>
    <w:rsid w:val="00DB42A4"/>
    <w:rsid w:val="00DB511B"/>
    <w:rsid w:val="00DB563C"/>
    <w:rsid w:val="00DC0C5F"/>
    <w:rsid w:val="00DC5727"/>
    <w:rsid w:val="00DD03CE"/>
    <w:rsid w:val="00DD51FA"/>
    <w:rsid w:val="00DD5565"/>
    <w:rsid w:val="00DD7A67"/>
    <w:rsid w:val="00DE2B44"/>
    <w:rsid w:val="00DE2B54"/>
    <w:rsid w:val="00DE2BC7"/>
    <w:rsid w:val="00DE5F00"/>
    <w:rsid w:val="00DE7582"/>
    <w:rsid w:val="00DF0DD4"/>
    <w:rsid w:val="00DF5795"/>
    <w:rsid w:val="00DF65D0"/>
    <w:rsid w:val="00E0183B"/>
    <w:rsid w:val="00E02A9B"/>
    <w:rsid w:val="00E05BF1"/>
    <w:rsid w:val="00E07461"/>
    <w:rsid w:val="00E1197E"/>
    <w:rsid w:val="00E12C64"/>
    <w:rsid w:val="00E1313D"/>
    <w:rsid w:val="00E14FAA"/>
    <w:rsid w:val="00E15753"/>
    <w:rsid w:val="00E16D88"/>
    <w:rsid w:val="00E17533"/>
    <w:rsid w:val="00E21B1C"/>
    <w:rsid w:val="00E22DA6"/>
    <w:rsid w:val="00E25E04"/>
    <w:rsid w:val="00E25E88"/>
    <w:rsid w:val="00E314F3"/>
    <w:rsid w:val="00E3381E"/>
    <w:rsid w:val="00E338C6"/>
    <w:rsid w:val="00E354F2"/>
    <w:rsid w:val="00E36F1C"/>
    <w:rsid w:val="00E37E7B"/>
    <w:rsid w:val="00E41181"/>
    <w:rsid w:val="00E423F6"/>
    <w:rsid w:val="00E4301B"/>
    <w:rsid w:val="00E44863"/>
    <w:rsid w:val="00E448FA"/>
    <w:rsid w:val="00E45F73"/>
    <w:rsid w:val="00E477CF"/>
    <w:rsid w:val="00E56669"/>
    <w:rsid w:val="00E60B5D"/>
    <w:rsid w:val="00E628A3"/>
    <w:rsid w:val="00E62977"/>
    <w:rsid w:val="00E64CB2"/>
    <w:rsid w:val="00E7150C"/>
    <w:rsid w:val="00E71A0D"/>
    <w:rsid w:val="00E71C60"/>
    <w:rsid w:val="00E72710"/>
    <w:rsid w:val="00E734CF"/>
    <w:rsid w:val="00E75137"/>
    <w:rsid w:val="00E75F92"/>
    <w:rsid w:val="00E76A3A"/>
    <w:rsid w:val="00E775DA"/>
    <w:rsid w:val="00E77A06"/>
    <w:rsid w:val="00E80E35"/>
    <w:rsid w:val="00E813A8"/>
    <w:rsid w:val="00E81AB6"/>
    <w:rsid w:val="00E823FB"/>
    <w:rsid w:val="00E82CD8"/>
    <w:rsid w:val="00E87ABF"/>
    <w:rsid w:val="00E92233"/>
    <w:rsid w:val="00E96B22"/>
    <w:rsid w:val="00EA3B4D"/>
    <w:rsid w:val="00EA7298"/>
    <w:rsid w:val="00EB304A"/>
    <w:rsid w:val="00EB4B5D"/>
    <w:rsid w:val="00EC7E2A"/>
    <w:rsid w:val="00ED20F4"/>
    <w:rsid w:val="00ED22EC"/>
    <w:rsid w:val="00ED25E9"/>
    <w:rsid w:val="00ED564D"/>
    <w:rsid w:val="00ED6F31"/>
    <w:rsid w:val="00ED6F87"/>
    <w:rsid w:val="00ED7F45"/>
    <w:rsid w:val="00EE092B"/>
    <w:rsid w:val="00EE2BC7"/>
    <w:rsid w:val="00EE31CD"/>
    <w:rsid w:val="00EE4066"/>
    <w:rsid w:val="00EE4623"/>
    <w:rsid w:val="00EE6FE6"/>
    <w:rsid w:val="00EF0317"/>
    <w:rsid w:val="00EF0A14"/>
    <w:rsid w:val="00EF44AB"/>
    <w:rsid w:val="00EF4BE0"/>
    <w:rsid w:val="00EF702A"/>
    <w:rsid w:val="00EF758F"/>
    <w:rsid w:val="00F02490"/>
    <w:rsid w:val="00F045C9"/>
    <w:rsid w:val="00F06464"/>
    <w:rsid w:val="00F114DB"/>
    <w:rsid w:val="00F14694"/>
    <w:rsid w:val="00F15E1A"/>
    <w:rsid w:val="00F17F98"/>
    <w:rsid w:val="00F22A95"/>
    <w:rsid w:val="00F24B77"/>
    <w:rsid w:val="00F263E2"/>
    <w:rsid w:val="00F27B49"/>
    <w:rsid w:val="00F30A69"/>
    <w:rsid w:val="00F30BAD"/>
    <w:rsid w:val="00F361A0"/>
    <w:rsid w:val="00F36C38"/>
    <w:rsid w:val="00F4355C"/>
    <w:rsid w:val="00F46E47"/>
    <w:rsid w:val="00F54445"/>
    <w:rsid w:val="00F5458C"/>
    <w:rsid w:val="00F55107"/>
    <w:rsid w:val="00F5520B"/>
    <w:rsid w:val="00F5688E"/>
    <w:rsid w:val="00F614D1"/>
    <w:rsid w:val="00F64AC9"/>
    <w:rsid w:val="00F6510B"/>
    <w:rsid w:val="00F65EFA"/>
    <w:rsid w:val="00F66677"/>
    <w:rsid w:val="00F704E2"/>
    <w:rsid w:val="00F707D7"/>
    <w:rsid w:val="00F70C2E"/>
    <w:rsid w:val="00F75113"/>
    <w:rsid w:val="00F751EF"/>
    <w:rsid w:val="00F75BF1"/>
    <w:rsid w:val="00F772D6"/>
    <w:rsid w:val="00F776D8"/>
    <w:rsid w:val="00F81742"/>
    <w:rsid w:val="00F82934"/>
    <w:rsid w:val="00F85A5A"/>
    <w:rsid w:val="00F86B6F"/>
    <w:rsid w:val="00F8775A"/>
    <w:rsid w:val="00F87D9A"/>
    <w:rsid w:val="00F92827"/>
    <w:rsid w:val="00F93968"/>
    <w:rsid w:val="00F94718"/>
    <w:rsid w:val="00F94B90"/>
    <w:rsid w:val="00F9516F"/>
    <w:rsid w:val="00F956D4"/>
    <w:rsid w:val="00F966CF"/>
    <w:rsid w:val="00F97B85"/>
    <w:rsid w:val="00FA007E"/>
    <w:rsid w:val="00FA226C"/>
    <w:rsid w:val="00FA3BC4"/>
    <w:rsid w:val="00FA41E0"/>
    <w:rsid w:val="00FA67EF"/>
    <w:rsid w:val="00FB0438"/>
    <w:rsid w:val="00FB15F3"/>
    <w:rsid w:val="00FB1CA8"/>
    <w:rsid w:val="00FB482C"/>
    <w:rsid w:val="00FB499C"/>
    <w:rsid w:val="00FB5037"/>
    <w:rsid w:val="00FB7F12"/>
    <w:rsid w:val="00FC0100"/>
    <w:rsid w:val="00FC10C5"/>
    <w:rsid w:val="00FC18E4"/>
    <w:rsid w:val="00FC4C98"/>
    <w:rsid w:val="00FC69EA"/>
    <w:rsid w:val="00FD062F"/>
    <w:rsid w:val="00FD31A3"/>
    <w:rsid w:val="00FD533D"/>
    <w:rsid w:val="00FD62DA"/>
    <w:rsid w:val="00FD6C10"/>
    <w:rsid w:val="00FE0F84"/>
    <w:rsid w:val="00FE1140"/>
    <w:rsid w:val="00FE565D"/>
    <w:rsid w:val="00FE574B"/>
    <w:rsid w:val="00FF0BF9"/>
    <w:rsid w:val="00FF38D0"/>
    <w:rsid w:val="00FF39E0"/>
    <w:rsid w:val="00FF68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7E82B"/>
  <w15:chartTrackingRefBased/>
  <w15:docId w15:val="{92DAE927-F5EF-4378-8ADF-0CBF4C1B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3A"/>
    <w:rPr>
      <w:rFonts w:cs="Times New Roman"/>
      <w:lang w:eastAsia="en-AU"/>
    </w:rPr>
  </w:style>
  <w:style w:type="paragraph" w:styleId="Heading1">
    <w:name w:val="heading 1"/>
    <w:basedOn w:val="Normal"/>
    <w:next w:val="BodyIndent1"/>
    <w:link w:val="Heading1Char"/>
    <w:qFormat/>
    <w:rsid w:val="0065093A"/>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65093A"/>
    <w:pPr>
      <w:keepNext/>
      <w:numPr>
        <w:ilvl w:val="1"/>
        <w:numId w:val="2"/>
      </w:numPr>
      <w:spacing w:before="240"/>
      <w:outlineLvl w:val="1"/>
    </w:pPr>
    <w:rPr>
      <w:b/>
    </w:rPr>
  </w:style>
  <w:style w:type="paragraph" w:styleId="Heading3">
    <w:name w:val="heading 3"/>
    <w:basedOn w:val="Normal"/>
    <w:link w:val="Heading3Char"/>
    <w:qFormat/>
    <w:rsid w:val="0065093A"/>
    <w:pPr>
      <w:numPr>
        <w:ilvl w:val="2"/>
        <w:numId w:val="2"/>
      </w:numPr>
      <w:spacing w:before="240"/>
      <w:outlineLvl w:val="2"/>
    </w:pPr>
  </w:style>
  <w:style w:type="paragraph" w:styleId="Heading4">
    <w:name w:val="heading 4"/>
    <w:basedOn w:val="Normal"/>
    <w:link w:val="Heading4Char"/>
    <w:qFormat/>
    <w:rsid w:val="0065093A"/>
    <w:pPr>
      <w:numPr>
        <w:ilvl w:val="3"/>
        <w:numId w:val="2"/>
      </w:numPr>
      <w:spacing w:before="240"/>
      <w:outlineLvl w:val="3"/>
    </w:pPr>
  </w:style>
  <w:style w:type="paragraph" w:styleId="Heading5">
    <w:name w:val="heading 5"/>
    <w:aliases w:val="H5,Heading 5(unused),5,(A),A,Heading 5 StGeorge,Level 3 - i,3rd sub-clause,Level 5,L5,s,Appendix,Para5,h5,h51,h52,Heading 5 Interstar,l5+toc5,Heading 51,Heading 5 StGeorge1,Para51,sb"/>
    <w:basedOn w:val="Normal"/>
    <w:link w:val="Heading5Char"/>
    <w:qFormat/>
    <w:rsid w:val="0065093A"/>
    <w:pPr>
      <w:numPr>
        <w:ilvl w:val="4"/>
        <w:numId w:val="2"/>
      </w:numPr>
      <w:spacing w:before="240"/>
      <w:outlineLvl w:val="4"/>
    </w:pPr>
  </w:style>
  <w:style w:type="paragraph" w:styleId="Heading6">
    <w:name w:val="heading 6"/>
    <w:basedOn w:val="Normal"/>
    <w:next w:val="Normal"/>
    <w:link w:val="Heading6Char"/>
    <w:rsid w:val="0065093A"/>
    <w:pPr>
      <w:outlineLvl w:val="5"/>
    </w:pPr>
  </w:style>
  <w:style w:type="paragraph" w:styleId="Heading7">
    <w:name w:val="heading 7"/>
    <w:basedOn w:val="Normal"/>
    <w:next w:val="Normal"/>
    <w:link w:val="Heading7Char"/>
    <w:rsid w:val="0065093A"/>
    <w:pPr>
      <w:outlineLvl w:val="6"/>
    </w:pPr>
  </w:style>
  <w:style w:type="paragraph" w:styleId="Heading8">
    <w:name w:val="heading 8"/>
    <w:basedOn w:val="Normal"/>
    <w:next w:val="Normal"/>
    <w:link w:val="Heading8Char"/>
    <w:rsid w:val="0065093A"/>
    <w:pPr>
      <w:outlineLvl w:val="7"/>
    </w:pPr>
  </w:style>
  <w:style w:type="paragraph" w:styleId="Heading9">
    <w:name w:val="heading 9"/>
    <w:basedOn w:val="Normal"/>
    <w:next w:val="Normal"/>
    <w:link w:val="Heading9Char"/>
    <w:rsid w:val="006509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65093A"/>
    <w:pPr>
      <w:spacing w:before="240"/>
      <w:ind w:left="851"/>
    </w:pPr>
    <w:rPr>
      <w:rFonts w:cs="Arial"/>
    </w:rPr>
  </w:style>
  <w:style w:type="paragraph" w:customStyle="1" w:styleId="BodyIndent2">
    <w:name w:val="Body Indent 2"/>
    <w:basedOn w:val="Normal"/>
    <w:qFormat/>
    <w:rsid w:val="0065093A"/>
    <w:pPr>
      <w:spacing w:before="240"/>
      <w:ind w:left="1701"/>
    </w:pPr>
    <w:rPr>
      <w:rFonts w:cs="Arial"/>
    </w:rPr>
  </w:style>
  <w:style w:type="paragraph" w:customStyle="1" w:styleId="BodyIndent3">
    <w:name w:val="Body Indent 3"/>
    <w:basedOn w:val="Normal"/>
    <w:qFormat/>
    <w:rsid w:val="0065093A"/>
    <w:pPr>
      <w:spacing w:before="240"/>
      <w:ind w:left="2268"/>
    </w:pPr>
    <w:rPr>
      <w:rFonts w:cs="Arial"/>
    </w:rPr>
  </w:style>
  <w:style w:type="paragraph" w:customStyle="1" w:styleId="Bullet1">
    <w:name w:val="Bullet1"/>
    <w:basedOn w:val="Normal"/>
    <w:qFormat/>
    <w:rsid w:val="0065093A"/>
    <w:pPr>
      <w:numPr>
        <w:numId w:val="1"/>
      </w:numPr>
      <w:spacing w:before="240"/>
    </w:pPr>
    <w:rPr>
      <w:rFonts w:cs="Arial"/>
    </w:rPr>
  </w:style>
  <w:style w:type="paragraph" w:customStyle="1" w:styleId="Bullet2">
    <w:name w:val="Bullet2"/>
    <w:basedOn w:val="Normal"/>
    <w:qFormat/>
    <w:rsid w:val="0065093A"/>
    <w:pPr>
      <w:numPr>
        <w:numId w:val="7"/>
      </w:numPr>
      <w:spacing w:before="240"/>
    </w:pPr>
  </w:style>
  <w:style w:type="paragraph" w:customStyle="1" w:styleId="Bullet3">
    <w:name w:val="Bullet3"/>
    <w:basedOn w:val="Normal"/>
    <w:qFormat/>
    <w:rsid w:val="0065093A"/>
    <w:pPr>
      <w:numPr>
        <w:numId w:val="8"/>
      </w:numPr>
      <w:spacing w:before="240"/>
    </w:pPr>
  </w:style>
  <w:style w:type="paragraph" w:customStyle="1" w:styleId="correspQuote">
    <w:name w:val="correspQuote"/>
    <w:basedOn w:val="Normal"/>
    <w:qFormat/>
    <w:rsid w:val="0065093A"/>
    <w:pPr>
      <w:spacing w:before="240"/>
      <w:ind w:left="851" w:right="851"/>
    </w:pPr>
    <w:rPr>
      <w:rFonts w:cs="Arial"/>
      <w:sz w:val="18"/>
    </w:rPr>
  </w:style>
  <w:style w:type="paragraph" w:customStyle="1" w:styleId="covBodyText">
    <w:name w:val="covBodyText"/>
    <w:basedOn w:val="Normal"/>
    <w:qFormat/>
    <w:rsid w:val="0065093A"/>
    <w:pPr>
      <w:ind w:left="397"/>
    </w:pPr>
    <w:rPr>
      <w:sz w:val="22"/>
    </w:rPr>
  </w:style>
  <w:style w:type="paragraph" w:customStyle="1" w:styleId="covSubTitle">
    <w:name w:val="covSubTitle"/>
    <w:basedOn w:val="Normal"/>
    <w:next w:val="covBodyText"/>
    <w:rsid w:val="0065093A"/>
    <w:pPr>
      <w:ind w:left="397"/>
    </w:pPr>
    <w:rPr>
      <w:b/>
      <w:sz w:val="22"/>
    </w:rPr>
  </w:style>
  <w:style w:type="paragraph" w:customStyle="1" w:styleId="covTitle">
    <w:name w:val="covTitle"/>
    <w:basedOn w:val="Normal"/>
    <w:next w:val="covBodyText"/>
    <w:qFormat/>
    <w:rsid w:val="0065093A"/>
    <w:pPr>
      <w:spacing w:before="3600"/>
      <w:ind w:left="397"/>
    </w:pPr>
    <w:rPr>
      <w:b/>
      <w:sz w:val="34"/>
    </w:rPr>
  </w:style>
  <w:style w:type="character" w:customStyle="1" w:styleId="Heading1Char">
    <w:name w:val="Heading 1 Char"/>
    <w:basedOn w:val="DefaultParagraphFont"/>
    <w:link w:val="Heading1"/>
    <w:rsid w:val="0065093A"/>
    <w:rPr>
      <w:rFonts w:cs="Times New Roman"/>
      <w:b/>
      <w:kern w:val="28"/>
      <w:sz w:val="22"/>
      <w:lang w:eastAsia="en-AU"/>
    </w:rPr>
  </w:style>
  <w:style w:type="character" w:customStyle="1" w:styleId="Heading2Char">
    <w:name w:val="Heading 2 Char"/>
    <w:basedOn w:val="DefaultParagraphFont"/>
    <w:link w:val="Heading2"/>
    <w:rsid w:val="0065093A"/>
    <w:rPr>
      <w:rFonts w:cs="Times New Roman"/>
      <w:b/>
      <w:lang w:eastAsia="en-AU"/>
    </w:rPr>
  </w:style>
  <w:style w:type="character" w:customStyle="1" w:styleId="Heading3Char">
    <w:name w:val="Heading 3 Char"/>
    <w:basedOn w:val="DefaultParagraphFont"/>
    <w:link w:val="Heading3"/>
    <w:rsid w:val="0065093A"/>
    <w:rPr>
      <w:rFonts w:cs="Times New Roman"/>
      <w:lang w:eastAsia="en-AU"/>
    </w:rPr>
  </w:style>
  <w:style w:type="character" w:customStyle="1" w:styleId="Heading4Char">
    <w:name w:val="Heading 4 Char"/>
    <w:basedOn w:val="DefaultParagraphFont"/>
    <w:link w:val="Heading4"/>
    <w:rsid w:val="0065093A"/>
    <w:rPr>
      <w:rFonts w:cs="Times New Roman"/>
      <w:lang w:eastAsia="en-AU"/>
    </w:rPr>
  </w:style>
  <w:style w:type="character" w:customStyle="1" w:styleId="Heading5Char">
    <w:name w:val="Heading 5 Char"/>
    <w:aliases w:val="H5 Char,Heading 5(unused) Char,5 Char,(A) Char,A Char,Heading 5 StGeorge Char,Level 3 - i Char,3rd sub-clause Char,Level 5 Char,L5 Char,s Char,Appendix Char,Para5 Char,h5 Char,h51 Char,h52 Char,Heading 5 Interstar Char,l5+toc5 Char"/>
    <w:basedOn w:val="DefaultParagraphFont"/>
    <w:link w:val="Heading5"/>
    <w:rsid w:val="0065093A"/>
    <w:rPr>
      <w:rFonts w:cs="Times New Roman"/>
      <w:lang w:eastAsia="en-AU"/>
    </w:rPr>
  </w:style>
  <w:style w:type="character" w:customStyle="1" w:styleId="Heading6Char">
    <w:name w:val="Heading 6 Char"/>
    <w:basedOn w:val="DefaultParagraphFont"/>
    <w:link w:val="Heading6"/>
    <w:rsid w:val="0065093A"/>
    <w:rPr>
      <w:rFonts w:cs="Times New Roman"/>
      <w:lang w:eastAsia="en-AU"/>
    </w:rPr>
  </w:style>
  <w:style w:type="character" w:customStyle="1" w:styleId="Heading7Char">
    <w:name w:val="Heading 7 Char"/>
    <w:basedOn w:val="DefaultParagraphFont"/>
    <w:link w:val="Heading7"/>
    <w:rsid w:val="0065093A"/>
    <w:rPr>
      <w:rFonts w:cs="Times New Roman"/>
      <w:lang w:eastAsia="en-AU"/>
    </w:rPr>
  </w:style>
  <w:style w:type="character" w:customStyle="1" w:styleId="Heading8Char">
    <w:name w:val="Heading 8 Char"/>
    <w:basedOn w:val="DefaultParagraphFont"/>
    <w:link w:val="Heading8"/>
    <w:rsid w:val="0065093A"/>
    <w:rPr>
      <w:rFonts w:cs="Times New Roman"/>
      <w:lang w:eastAsia="en-AU"/>
    </w:rPr>
  </w:style>
  <w:style w:type="character" w:customStyle="1" w:styleId="Heading9Char">
    <w:name w:val="Heading 9 Char"/>
    <w:basedOn w:val="DefaultParagraphFont"/>
    <w:link w:val="Heading9"/>
    <w:rsid w:val="0065093A"/>
    <w:rPr>
      <w:rFonts w:cs="Times New Roman"/>
      <w:lang w:eastAsia="en-AU"/>
    </w:rPr>
  </w:style>
  <w:style w:type="paragraph" w:customStyle="1" w:styleId="Headingpara2">
    <w:name w:val="Headingpara2"/>
    <w:basedOn w:val="Heading2"/>
    <w:qFormat/>
    <w:rsid w:val="0065093A"/>
    <w:pPr>
      <w:keepNext w:val="0"/>
    </w:pPr>
    <w:rPr>
      <w:b w:val="0"/>
    </w:rPr>
  </w:style>
  <w:style w:type="paragraph" w:customStyle="1" w:styleId="legalDefinition">
    <w:name w:val="legalDefinition"/>
    <w:basedOn w:val="Normal"/>
    <w:qFormat/>
    <w:rsid w:val="0065093A"/>
    <w:pPr>
      <w:numPr>
        <w:numId w:val="10"/>
      </w:numPr>
      <w:spacing w:before="240"/>
    </w:pPr>
    <w:rPr>
      <w:lang w:eastAsia="en-US"/>
    </w:rPr>
  </w:style>
  <w:style w:type="paragraph" w:customStyle="1" w:styleId="legalRecital1">
    <w:name w:val="legalRecital1"/>
    <w:basedOn w:val="Normal"/>
    <w:qFormat/>
    <w:rsid w:val="0065093A"/>
    <w:pPr>
      <w:numPr>
        <w:numId w:val="3"/>
      </w:numPr>
      <w:spacing w:before="240"/>
    </w:pPr>
  </w:style>
  <w:style w:type="paragraph" w:customStyle="1" w:styleId="legalSchedule">
    <w:name w:val="legalSchedule"/>
    <w:basedOn w:val="Normal"/>
    <w:next w:val="Normal"/>
    <w:qFormat/>
    <w:rsid w:val="0065093A"/>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65093A"/>
    <w:pPr>
      <w:keepNext/>
      <w:spacing w:before="240"/>
    </w:pPr>
    <w:rPr>
      <w:b/>
      <w:sz w:val="22"/>
    </w:rPr>
  </w:style>
  <w:style w:type="paragraph" w:customStyle="1" w:styleId="legalTitleDescription">
    <w:name w:val="legalTitleDescription"/>
    <w:basedOn w:val="Normal"/>
    <w:next w:val="Normal"/>
    <w:qFormat/>
    <w:rsid w:val="0065093A"/>
    <w:pPr>
      <w:spacing w:before="240"/>
    </w:pPr>
    <w:rPr>
      <w:b/>
      <w:sz w:val="22"/>
    </w:rPr>
  </w:style>
  <w:style w:type="paragraph" w:customStyle="1" w:styleId="mainTitle">
    <w:name w:val="mainTitle"/>
    <w:basedOn w:val="Normal"/>
    <w:next w:val="Normal"/>
    <w:qFormat/>
    <w:rsid w:val="0065093A"/>
    <w:pPr>
      <w:pBdr>
        <w:top w:val="single" w:sz="4" w:space="1" w:color="auto"/>
      </w:pBdr>
    </w:pPr>
    <w:rPr>
      <w:b/>
      <w:sz w:val="34"/>
    </w:rPr>
  </w:style>
  <w:style w:type="paragraph" w:customStyle="1" w:styleId="Numpara1">
    <w:name w:val="Numpara1"/>
    <w:basedOn w:val="Normal"/>
    <w:qFormat/>
    <w:rsid w:val="0065093A"/>
    <w:pPr>
      <w:numPr>
        <w:numId w:val="4"/>
      </w:numPr>
      <w:spacing w:before="240"/>
    </w:pPr>
    <w:rPr>
      <w:rFonts w:cs="Arial"/>
      <w:szCs w:val="22"/>
    </w:rPr>
  </w:style>
  <w:style w:type="paragraph" w:customStyle="1" w:styleId="Numpara2">
    <w:name w:val="Numpara2"/>
    <w:basedOn w:val="Normal"/>
    <w:qFormat/>
    <w:rsid w:val="0065093A"/>
    <w:pPr>
      <w:numPr>
        <w:ilvl w:val="1"/>
        <w:numId w:val="4"/>
      </w:numPr>
      <w:spacing w:before="240"/>
    </w:pPr>
    <w:rPr>
      <w:rFonts w:cs="Arial"/>
      <w:szCs w:val="22"/>
    </w:rPr>
  </w:style>
  <w:style w:type="paragraph" w:customStyle="1" w:styleId="Numpara3">
    <w:name w:val="Numpara3"/>
    <w:basedOn w:val="Normal"/>
    <w:qFormat/>
    <w:rsid w:val="0065093A"/>
    <w:pPr>
      <w:numPr>
        <w:ilvl w:val="2"/>
        <w:numId w:val="4"/>
      </w:numPr>
      <w:spacing w:before="240"/>
    </w:pPr>
    <w:rPr>
      <w:rFonts w:cs="Arial"/>
      <w:szCs w:val="22"/>
    </w:rPr>
  </w:style>
  <w:style w:type="paragraph" w:customStyle="1" w:styleId="Numpara4">
    <w:name w:val="Numpara4"/>
    <w:basedOn w:val="Normal"/>
    <w:qFormat/>
    <w:rsid w:val="0065093A"/>
    <w:pPr>
      <w:numPr>
        <w:ilvl w:val="3"/>
        <w:numId w:val="4"/>
      </w:numPr>
      <w:spacing w:before="240"/>
    </w:pPr>
    <w:rPr>
      <w:rFonts w:cs="Arial"/>
      <w:szCs w:val="22"/>
    </w:rPr>
  </w:style>
  <w:style w:type="paragraph" w:customStyle="1" w:styleId="pageNumber">
    <w:name w:val="pageNumber"/>
    <w:basedOn w:val="Normal"/>
    <w:qFormat/>
    <w:rsid w:val="0065093A"/>
    <w:pPr>
      <w:tabs>
        <w:tab w:val="right" w:pos="9072"/>
      </w:tabs>
    </w:pPr>
    <w:rPr>
      <w:sz w:val="14"/>
      <w:szCs w:val="14"/>
    </w:rPr>
  </w:style>
  <w:style w:type="paragraph" w:styleId="TOC1">
    <w:name w:val="toc 1"/>
    <w:next w:val="Normal"/>
    <w:autoRedefine/>
    <w:uiPriority w:val="39"/>
    <w:rsid w:val="0065093A"/>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65093A"/>
    <w:pPr>
      <w:tabs>
        <w:tab w:val="right" w:leader="dot" w:pos="9072"/>
      </w:tabs>
      <w:ind w:left="1702" w:hanging="851"/>
    </w:pPr>
    <w:rPr>
      <w:rFonts w:cs="Times New Roman"/>
    </w:rPr>
  </w:style>
  <w:style w:type="table" w:customStyle="1" w:styleId="MadTabPlumGrid">
    <w:name w:val="MadTabPlumGrid"/>
    <w:basedOn w:val="TableNormal"/>
    <w:uiPriority w:val="99"/>
    <w:rsid w:val="0065093A"/>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65093A"/>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65093A"/>
    <w:pPr>
      <w:tabs>
        <w:tab w:val="center" w:pos="4513"/>
        <w:tab w:val="right" w:pos="9026"/>
      </w:tabs>
    </w:pPr>
  </w:style>
  <w:style w:type="character" w:customStyle="1" w:styleId="FooterChar">
    <w:name w:val="Footer Char"/>
    <w:basedOn w:val="DefaultParagraphFont"/>
    <w:link w:val="Footer"/>
    <w:uiPriority w:val="99"/>
    <w:semiHidden/>
    <w:rsid w:val="0065093A"/>
    <w:rPr>
      <w:rFonts w:cs="Times New Roman"/>
      <w:lang w:eastAsia="en-AU"/>
    </w:rPr>
  </w:style>
  <w:style w:type="character" w:styleId="FootnoteReference">
    <w:name w:val="footnote reference"/>
    <w:basedOn w:val="DefaultParagraphFont"/>
    <w:uiPriority w:val="99"/>
    <w:semiHidden/>
    <w:rsid w:val="0065093A"/>
    <w:rPr>
      <w:vertAlign w:val="superscript"/>
    </w:rPr>
  </w:style>
  <w:style w:type="paragraph" w:styleId="FootnoteText">
    <w:name w:val="footnote text"/>
    <w:basedOn w:val="Normal"/>
    <w:link w:val="FootnoteTextChar"/>
    <w:uiPriority w:val="99"/>
    <w:semiHidden/>
    <w:rsid w:val="0065093A"/>
    <w:rPr>
      <w:sz w:val="18"/>
    </w:rPr>
  </w:style>
  <w:style w:type="character" w:customStyle="1" w:styleId="FootnoteTextChar">
    <w:name w:val="Footnote Text Char"/>
    <w:basedOn w:val="DefaultParagraphFont"/>
    <w:link w:val="FootnoteText"/>
    <w:uiPriority w:val="99"/>
    <w:semiHidden/>
    <w:rsid w:val="0065093A"/>
    <w:rPr>
      <w:rFonts w:cs="Times New Roman"/>
      <w:sz w:val="18"/>
      <w:lang w:eastAsia="en-AU"/>
    </w:rPr>
  </w:style>
  <w:style w:type="paragraph" w:customStyle="1" w:styleId="legalAttachment">
    <w:name w:val="legalAttachment"/>
    <w:basedOn w:val="Normal"/>
    <w:next w:val="Normal"/>
    <w:qFormat/>
    <w:rsid w:val="0065093A"/>
    <w:pPr>
      <w:pageBreakBefore/>
      <w:numPr>
        <w:numId w:val="6"/>
      </w:numPr>
      <w:pBdr>
        <w:top w:val="single" w:sz="4" w:space="1" w:color="auto"/>
      </w:pBdr>
    </w:pPr>
    <w:rPr>
      <w:b/>
      <w:sz w:val="34"/>
      <w:lang w:eastAsia="en-US"/>
    </w:rPr>
  </w:style>
  <w:style w:type="paragraph" w:customStyle="1" w:styleId="legalPart">
    <w:name w:val="legalPart"/>
    <w:basedOn w:val="Normal"/>
    <w:next w:val="Normal"/>
    <w:qFormat/>
    <w:rsid w:val="0065093A"/>
    <w:pPr>
      <w:keepNext/>
      <w:numPr>
        <w:numId w:val="9"/>
      </w:numPr>
      <w:pBdr>
        <w:top w:val="single" w:sz="4" w:space="6" w:color="82002A"/>
      </w:pBdr>
      <w:spacing w:before="480" w:after="480"/>
    </w:pPr>
    <w:rPr>
      <w:b/>
      <w:color w:val="82002A"/>
      <w:sz w:val="22"/>
      <w:lang w:eastAsia="en-US"/>
    </w:rPr>
  </w:style>
  <w:style w:type="paragraph" w:styleId="TOC3">
    <w:name w:val="toc 3"/>
    <w:next w:val="Normal"/>
    <w:autoRedefine/>
    <w:uiPriority w:val="39"/>
    <w:unhideWhenUsed/>
    <w:rsid w:val="0065093A"/>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EF0317"/>
    <w:pPr>
      <w:tabs>
        <w:tab w:val="center" w:pos="4513"/>
        <w:tab w:val="right" w:pos="9026"/>
      </w:tabs>
    </w:pPr>
  </w:style>
  <w:style w:type="character" w:customStyle="1" w:styleId="HeaderChar">
    <w:name w:val="Header Char"/>
    <w:basedOn w:val="DefaultParagraphFont"/>
    <w:link w:val="Header"/>
    <w:uiPriority w:val="99"/>
    <w:rsid w:val="00EF0317"/>
  </w:style>
  <w:style w:type="character" w:styleId="IntenseReference">
    <w:name w:val="Intense Reference"/>
    <w:basedOn w:val="DefaultParagraphFont"/>
    <w:uiPriority w:val="32"/>
    <w:qFormat/>
    <w:rsid w:val="00DE2BC7"/>
    <w:rPr>
      <w:b/>
      <w:bCs/>
      <w:i/>
      <w:smallCaps/>
      <w:color w:val="960030" w:themeColor="accent2"/>
      <w:spacing w:val="5"/>
      <w:u w:val="none"/>
    </w:rPr>
  </w:style>
  <w:style w:type="character" w:customStyle="1" w:styleId="BodyIndent1Char">
    <w:name w:val="Body Indent 1 Char"/>
    <w:link w:val="BodyIndent1"/>
    <w:rsid w:val="00DE2BC7"/>
    <w:rPr>
      <w:rFonts w:cs="Arial"/>
      <w:lang w:eastAsia="en-AU"/>
    </w:rPr>
  </w:style>
  <w:style w:type="character" w:styleId="CommentReference">
    <w:name w:val="annotation reference"/>
    <w:basedOn w:val="DefaultParagraphFont"/>
    <w:uiPriority w:val="99"/>
    <w:semiHidden/>
    <w:unhideWhenUsed/>
    <w:rsid w:val="00A470BC"/>
    <w:rPr>
      <w:sz w:val="16"/>
      <w:szCs w:val="16"/>
    </w:rPr>
  </w:style>
  <w:style w:type="paragraph" w:styleId="CommentText">
    <w:name w:val="annotation text"/>
    <w:basedOn w:val="Normal"/>
    <w:link w:val="CommentTextChar"/>
    <w:uiPriority w:val="99"/>
    <w:unhideWhenUsed/>
    <w:rsid w:val="00A470BC"/>
  </w:style>
  <w:style w:type="character" w:customStyle="1" w:styleId="CommentTextChar">
    <w:name w:val="Comment Text Char"/>
    <w:basedOn w:val="DefaultParagraphFont"/>
    <w:link w:val="CommentText"/>
    <w:uiPriority w:val="99"/>
    <w:rsid w:val="00A470BC"/>
  </w:style>
  <w:style w:type="paragraph" w:styleId="CommentSubject">
    <w:name w:val="annotation subject"/>
    <w:basedOn w:val="CommentText"/>
    <w:next w:val="CommentText"/>
    <w:link w:val="CommentSubjectChar"/>
    <w:uiPriority w:val="99"/>
    <w:semiHidden/>
    <w:unhideWhenUsed/>
    <w:rsid w:val="00A470BC"/>
    <w:rPr>
      <w:b/>
      <w:bCs/>
    </w:rPr>
  </w:style>
  <w:style w:type="character" w:customStyle="1" w:styleId="CommentSubjectChar">
    <w:name w:val="Comment Subject Char"/>
    <w:basedOn w:val="CommentTextChar"/>
    <w:link w:val="CommentSubject"/>
    <w:uiPriority w:val="99"/>
    <w:semiHidden/>
    <w:rsid w:val="00A470BC"/>
    <w:rPr>
      <w:b/>
      <w:bCs/>
    </w:rPr>
  </w:style>
  <w:style w:type="paragraph" w:styleId="BalloonText">
    <w:name w:val="Balloon Text"/>
    <w:basedOn w:val="Normal"/>
    <w:link w:val="BalloonTextChar"/>
    <w:uiPriority w:val="99"/>
    <w:semiHidden/>
    <w:unhideWhenUsed/>
    <w:rsid w:val="00A47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BC"/>
    <w:rPr>
      <w:rFonts w:ascii="Segoe UI" w:hAnsi="Segoe UI" w:cs="Segoe UI"/>
      <w:sz w:val="18"/>
      <w:szCs w:val="18"/>
    </w:rPr>
  </w:style>
  <w:style w:type="table" w:customStyle="1" w:styleId="TableGrid1">
    <w:name w:val="Table Grid1"/>
    <w:basedOn w:val="TableNormal"/>
    <w:next w:val="TableGrid"/>
    <w:uiPriority w:val="59"/>
    <w:rsid w:val="006D3A2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093A"/>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44D"/>
    <w:rPr>
      <w:color w:val="CD5C3D" w:themeColor="hyperlink"/>
      <w:u w:val="single"/>
    </w:rPr>
  </w:style>
  <w:style w:type="paragraph" w:styleId="Revision">
    <w:name w:val="Revision"/>
    <w:hidden/>
    <w:uiPriority w:val="99"/>
    <w:semiHidden/>
    <w:rsid w:val="00024E12"/>
  </w:style>
  <w:style w:type="paragraph" w:styleId="ListParagraph">
    <w:name w:val="List Paragraph"/>
    <w:basedOn w:val="Normal"/>
    <w:uiPriority w:val="34"/>
    <w:qFormat/>
    <w:rsid w:val="0050650C"/>
    <w:pPr>
      <w:spacing w:after="160" w:line="259" w:lineRule="auto"/>
      <w:ind w:left="720"/>
      <w:contextualSpacing/>
    </w:pPr>
    <w:rPr>
      <w:rFonts w:ascii="Times New Roman" w:eastAsiaTheme="minorHAnsi" w:hAnsi="Times New Roman"/>
      <w:sz w:val="24"/>
      <w:szCs w:val="24"/>
    </w:rPr>
  </w:style>
  <w:style w:type="paragraph" w:styleId="TOC4">
    <w:name w:val="toc 4"/>
    <w:basedOn w:val="Normal"/>
    <w:next w:val="Normal"/>
    <w:autoRedefine/>
    <w:semiHidden/>
    <w:rsid w:val="0065093A"/>
    <w:pPr>
      <w:ind w:left="660"/>
    </w:pPr>
  </w:style>
  <w:style w:type="paragraph" w:styleId="TOC5">
    <w:name w:val="toc 5"/>
    <w:basedOn w:val="Normal"/>
    <w:next w:val="Normal"/>
    <w:autoRedefine/>
    <w:semiHidden/>
    <w:rsid w:val="0065093A"/>
    <w:pPr>
      <w:ind w:left="880"/>
    </w:pPr>
  </w:style>
  <w:style w:type="paragraph" w:styleId="TOC6">
    <w:name w:val="toc 6"/>
    <w:basedOn w:val="Normal"/>
    <w:next w:val="Normal"/>
    <w:autoRedefine/>
    <w:semiHidden/>
    <w:rsid w:val="0065093A"/>
    <w:pPr>
      <w:ind w:left="1100"/>
    </w:pPr>
  </w:style>
  <w:style w:type="paragraph" w:styleId="TOC7">
    <w:name w:val="toc 7"/>
    <w:basedOn w:val="Normal"/>
    <w:next w:val="Normal"/>
    <w:autoRedefine/>
    <w:semiHidden/>
    <w:rsid w:val="0065093A"/>
    <w:pPr>
      <w:ind w:left="1320"/>
    </w:pPr>
  </w:style>
  <w:style w:type="paragraph" w:styleId="TOC8">
    <w:name w:val="toc 8"/>
    <w:basedOn w:val="Normal"/>
    <w:next w:val="Normal"/>
    <w:autoRedefine/>
    <w:semiHidden/>
    <w:rsid w:val="0065093A"/>
    <w:pPr>
      <w:ind w:left="1540"/>
    </w:pPr>
  </w:style>
  <w:style w:type="paragraph" w:styleId="TOC9">
    <w:name w:val="toc 9"/>
    <w:basedOn w:val="Normal"/>
    <w:next w:val="Normal"/>
    <w:autoRedefine/>
    <w:semiHidden/>
    <w:rsid w:val="0065093A"/>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38463">
      <w:bodyDiv w:val="1"/>
      <w:marLeft w:val="0"/>
      <w:marRight w:val="0"/>
      <w:marTop w:val="0"/>
      <w:marBottom w:val="0"/>
      <w:divBdr>
        <w:top w:val="none" w:sz="0" w:space="0" w:color="auto"/>
        <w:left w:val="none" w:sz="0" w:space="0" w:color="auto"/>
        <w:bottom w:val="none" w:sz="0" w:space="0" w:color="auto"/>
        <w:right w:val="none" w:sz="0" w:space="0" w:color="auto"/>
      </w:divBdr>
    </w:div>
    <w:div w:id="20608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CBB4-692A-4350-AE32-A5E3F222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7690</Words>
  <Characters>43837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Agreement - Generic and Biosimilar Medicines Association</dc:title>
  <dc:subject/>
  <dc:creator>Australian Government Department of Health</dc:creator>
  <cp:keywords/>
  <dc:description/>
  <cp:lastModifiedBy>COLLINS, Marty</cp:lastModifiedBy>
  <cp:revision>2</cp:revision>
  <cp:lastPrinted>2021-07-08T08:05:00Z</cp:lastPrinted>
  <dcterms:created xsi:type="dcterms:W3CDTF">2021-09-05T07:23:00Z</dcterms:created>
  <dcterms:modified xsi:type="dcterms:W3CDTF">2021-09-13T10:47:00Z</dcterms:modified>
</cp:coreProperties>
</file>