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B8" w:rsidRDefault="00553C9D">
      <w:pPr>
        <w:pStyle w:val="Heading1"/>
        <w:spacing w:before="100" w:after="100" w:line="240" w:lineRule="auto"/>
        <w:jc w:val="center"/>
        <w:rPr>
          <w:rFonts w:ascii="Arial" w:hAnsi="Arial" w:cs="Arial"/>
          <w:color w:val="244061"/>
          <w:sz w:val="40"/>
        </w:rPr>
      </w:pPr>
      <w:bookmarkStart w:id="0" w:name="_Toc518909303"/>
      <w:r>
        <w:rPr>
          <w:rFonts w:ascii="Arial" w:hAnsi="Arial" w:cs="Arial"/>
          <w:color w:val="244061"/>
          <w:sz w:val="40"/>
        </w:rPr>
        <w:t>PBS Process Improvements Stage 2</w:t>
      </w:r>
      <w:bookmarkEnd w:id="0"/>
    </w:p>
    <w:p w:rsidR="00C037B8" w:rsidRDefault="00553C9D">
      <w:pPr>
        <w:pStyle w:val="Heading1"/>
        <w:spacing w:before="100" w:after="240" w:line="240" w:lineRule="auto"/>
        <w:jc w:val="center"/>
      </w:pPr>
      <w:r>
        <w:rPr>
          <w:rFonts w:ascii="Arial" w:hAnsi="Arial" w:cs="Arial"/>
          <w:b/>
          <w:color w:val="244061"/>
          <w:sz w:val="40"/>
        </w:rPr>
        <w:t>Frequently Asked Questions</w:t>
      </w:r>
    </w:p>
    <w:p w:rsidR="00C037B8" w:rsidRDefault="00553C9D">
      <w:pPr>
        <w:spacing w:before="360" w:after="360" w:line="240" w:lineRule="auto"/>
      </w:pPr>
      <w:r>
        <w:t xml:space="preserve">Please refer to the Stage 2 PBS process improvements </w:t>
      </w:r>
      <w:hyperlink r:id="rId8" w:history="1">
        <w:r>
          <w:rPr>
            <w:rStyle w:val="Hyperlink"/>
          </w:rPr>
          <w:t>Fact Sh</w:t>
        </w:r>
        <w:bookmarkStart w:id="1" w:name="_Hlt52438032"/>
        <w:bookmarkStart w:id="2" w:name="_Hlt52438033"/>
        <w:r>
          <w:rPr>
            <w:rStyle w:val="Hyperlink"/>
          </w:rPr>
          <w:t>e</w:t>
        </w:r>
        <w:bookmarkEnd w:id="1"/>
        <w:bookmarkEnd w:id="2"/>
        <w:r>
          <w:rPr>
            <w:rStyle w:val="Hyperlink"/>
          </w:rPr>
          <w:t>et</w:t>
        </w:r>
      </w:hyperlink>
      <w:r>
        <w:t xml:space="preserve"> for background information and an overview of the submission categories and resubmission pathways. </w:t>
      </w:r>
    </w:p>
    <w:p w:rsidR="00C037B8" w:rsidRDefault="00553C9D">
      <w:pPr>
        <w:spacing w:before="360" w:after="0" w:line="240" w:lineRule="auto"/>
        <w:rPr>
          <w:b/>
        </w:rPr>
      </w:pPr>
      <w:r>
        <w:rPr>
          <w:b/>
        </w:rPr>
        <w:t>Table 1: Stage 2 summary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Table 1: Stage 2 summary"/>
        <w:tblDescription w:val="This table outlines a summary of Stage 2 PBS process improvements. &#10;&#10;What's changed:&#10; Four submission categories:&#10;- Categories 1 and 2 – for submissions requiring evaluation; and&#10;- Categories 3 and 4 – for submissions that do not require evaluation.&#10; Categories 2 and 3 are the default categories. &#10; Categories 1 and 4 only apply where a submission meets one or more of the specific criteria.&#10; Single submission date – day one of the PBAC meeting cycle.&#10; Four resubmission pathways:&#10;- Standard Re-entry - applicant driven pathway (not PBAC nominated);&#10;- Early Re-entry – PBAC nominated;&#10;- Early Resolution– PBAC nominated; and &#10;- Facilitated Resolution – PBAC nominated&#10;&#10;What stayed the same:&#10;- Committee Secretariat and New Brand submission categories.&#10;- 17 week PBAC cycle, submission requirements, evaluation processes and PBAC decision making.&#10;- Intent to Apply requirement for all submissions (including resubmissions) to the PBAC.&#10;- Early PBAC reconsideration."/>
      </w:tblPr>
      <w:tblGrid>
        <w:gridCol w:w="4814"/>
        <w:gridCol w:w="4814"/>
      </w:tblGrid>
      <w:tr w:rsidR="00C037B8">
        <w:tc>
          <w:tcPr>
            <w:tcW w:w="4814" w:type="dxa"/>
            <w:tcBorders>
              <w:top w:val="single" w:sz="4" w:space="0" w:color="5B9BD5"/>
              <w:lef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B8" w:rsidRDefault="00553C9D">
            <w:pPr>
              <w:spacing w:before="60" w:after="6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What’s changed?</w:t>
            </w:r>
          </w:p>
        </w:tc>
        <w:tc>
          <w:tcPr>
            <w:tcW w:w="4814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B8" w:rsidRDefault="00553C9D">
            <w:pPr>
              <w:spacing w:before="60" w:after="6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What stayed the same?</w:t>
            </w:r>
          </w:p>
        </w:tc>
      </w:tr>
      <w:tr w:rsidR="00C037B8">
        <w:tc>
          <w:tcPr>
            <w:tcW w:w="481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B8" w:rsidRDefault="00553C9D">
            <w:pPr>
              <w:pStyle w:val="ListParagraph"/>
              <w:numPr>
                <w:ilvl w:val="0"/>
                <w:numId w:val="1"/>
              </w:num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Four submission categories:</w:t>
            </w:r>
          </w:p>
          <w:p w:rsidR="00C037B8" w:rsidRDefault="00553C9D">
            <w:pPr>
              <w:pStyle w:val="ListParagraph"/>
              <w:numPr>
                <w:ilvl w:val="0"/>
                <w:numId w:val="2"/>
              </w:numPr>
              <w:spacing w:before="100" w:after="100" w:line="240" w:lineRule="auto"/>
            </w:pPr>
            <w:r>
              <w:rPr>
                <w:bCs/>
              </w:rPr>
              <w:t>Categories 1 and 2 – for submissions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requiring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evaluation; and</w:t>
            </w:r>
          </w:p>
          <w:p w:rsidR="00C037B8" w:rsidRDefault="00553C9D">
            <w:pPr>
              <w:pStyle w:val="ListParagraph"/>
              <w:numPr>
                <w:ilvl w:val="0"/>
                <w:numId w:val="2"/>
              </w:numPr>
              <w:spacing w:before="100" w:after="100" w:line="240" w:lineRule="auto"/>
            </w:pPr>
            <w:r>
              <w:rPr>
                <w:bCs/>
              </w:rPr>
              <w:t xml:space="preserve">Categories 3 and 4 – for submissions that </w:t>
            </w:r>
            <w:r>
              <w:rPr>
                <w:b/>
                <w:bCs/>
                <w:u w:val="single"/>
              </w:rPr>
              <w:t>do not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require evaluation.</w:t>
            </w:r>
          </w:p>
        </w:tc>
        <w:tc>
          <w:tcPr>
            <w:tcW w:w="4814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B8" w:rsidRDefault="00553C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Committee Secretariat and New Brand submission categories.</w:t>
            </w:r>
          </w:p>
        </w:tc>
      </w:tr>
      <w:tr w:rsidR="00C037B8">
        <w:tc>
          <w:tcPr>
            <w:tcW w:w="4814" w:type="dxa"/>
            <w:tcBorders>
              <w:lef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B8" w:rsidRDefault="00553C9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57" w:hanging="357"/>
            </w:pPr>
            <w:r>
              <w:rPr>
                <w:bCs/>
              </w:rPr>
              <w:t>Categories 2 and 3 are the</w:t>
            </w:r>
            <w:r>
              <w:rPr>
                <w:b/>
                <w:bCs/>
              </w:rPr>
              <w:t xml:space="preserve"> default </w:t>
            </w:r>
            <w:r>
              <w:rPr>
                <w:bCs/>
              </w:rPr>
              <w:t>categories.</w:t>
            </w:r>
            <w:r>
              <w:rPr>
                <w:b/>
                <w:bCs/>
              </w:rPr>
              <w:t xml:space="preserve"> </w:t>
            </w:r>
          </w:p>
          <w:p w:rsidR="00C037B8" w:rsidRDefault="00553C9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57" w:hanging="357"/>
            </w:pPr>
            <w:r>
              <w:rPr>
                <w:bCs/>
              </w:rPr>
              <w:t>Categories 1 and 4 only apply where a submission meets one or more of the</w:t>
            </w:r>
            <w:r>
              <w:rPr>
                <w:b/>
                <w:bCs/>
              </w:rPr>
              <w:t xml:space="preserve"> specific criteria.</w:t>
            </w:r>
          </w:p>
        </w:tc>
        <w:tc>
          <w:tcPr>
            <w:tcW w:w="4814" w:type="dxa"/>
            <w:tcBorders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B8" w:rsidRDefault="00553C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17 week PBAC cycle, submission requirements, evaluation processes and PBAC decision making.</w:t>
            </w:r>
          </w:p>
        </w:tc>
      </w:tr>
      <w:tr w:rsidR="00C037B8">
        <w:tc>
          <w:tcPr>
            <w:tcW w:w="481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B8" w:rsidRDefault="00553C9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</w:pPr>
            <w:r>
              <w:rPr>
                <w:b/>
                <w:bCs/>
              </w:rPr>
              <w:t xml:space="preserve">Single submission date </w:t>
            </w:r>
            <w:r>
              <w:rPr>
                <w:bCs/>
              </w:rPr>
              <w:t>– day one of the PBAC meeting cycle.</w:t>
            </w:r>
          </w:p>
        </w:tc>
        <w:tc>
          <w:tcPr>
            <w:tcW w:w="4814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B8" w:rsidRDefault="00553C9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Intent to Apply requirement for all submissions (including resubmissions) to the PBAC.</w:t>
            </w:r>
          </w:p>
        </w:tc>
      </w:tr>
      <w:tr w:rsidR="00C037B8">
        <w:tc>
          <w:tcPr>
            <w:tcW w:w="4814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B8" w:rsidRDefault="00553C9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Four resubmission pathways:</w:t>
            </w:r>
          </w:p>
          <w:p w:rsidR="00C037B8" w:rsidRDefault="00553C9D">
            <w:pPr>
              <w:pStyle w:val="ListParagraph"/>
              <w:numPr>
                <w:ilvl w:val="0"/>
                <w:numId w:val="2"/>
              </w:numPr>
              <w:spacing w:before="100" w:after="100" w:line="240" w:lineRule="auto"/>
              <w:rPr>
                <w:bCs/>
              </w:rPr>
            </w:pPr>
            <w:r>
              <w:rPr>
                <w:bCs/>
              </w:rPr>
              <w:t>Standard Re-entry - applicant driven pathway (not PBAC nominated)</w:t>
            </w:r>
            <w:r w:rsidR="00492C06">
              <w:rPr>
                <w:bCs/>
              </w:rPr>
              <w:t>;</w:t>
            </w:r>
          </w:p>
          <w:p w:rsidR="00C037B8" w:rsidRDefault="00553C9D">
            <w:pPr>
              <w:pStyle w:val="ListParagraph"/>
              <w:numPr>
                <w:ilvl w:val="0"/>
                <w:numId w:val="2"/>
              </w:numPr>
              <w:spacing w:before="100" w:after="100" w:line="240" w:lineRule="auto"/>
              <w:rPr>
                <w:bCs/>
              </w:rPr>
            </w:pPr>
            <w:r>
              <w:rPr>
                <w:bCs/>
              </w:rPr>
              <w:t>Early Re-entry – PBAC nominated;</w:t>
            </w:r>
          </w:p>
          <w:p w:rsidR="00C037B8" w:rsidRDefault="00553C9D">
            <w:pPr>
              <w:pStyle w:val="ListParagraph"/>
              <w:numPr>
                <w:ilvl w:val="0"/>
                <w:numId w:val="2"/>
              </w:numPr>
              <w:spacing w:before="100" w:after="100" w:line="240" w:lineRule="auto"/>
              <w:rPr>
                <w:bCs/>
              </w:rPr>
            </w:pPr>
            <w:r>
              <w:rPr>
                <w:bCs/>
              </w:rPr>
              <w:t xml:space="preserve">Early Resolution– PBAC nominated; and </w:t>
            </w:r>
          </w:p>
          <w:p w:rsidR="00C037B8" w:rsidRDefault="00553C9D">
            <w:pPr>
              <w:pStyle w:val="ListParagraph"/>
              <w:numPr>
                <w:ilvl w:val="0"/>
                <w:numId w:val="2"/>
              </w:numPr>
              <w:spacing w:before="100" w:after="100" w:line="240" w:lineRule="auto"/>
            </w:pPr>
            <w:r>
              <w:rPr>
                <w:bCs/>
              </w:rPr>
              <w:t>Facilitated Resolution – PBAC nominated</w:t>
            </w:r>
          </w:p>
        </w:tc>
        <w:tc>
          <w:tcPr>
            <w:tcW w:w="4814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B8" w:rsidRDefault="00553C9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Early PBAC reconsideration.</w:t>
            </w:r>
          </w:p>
        </w:tc>
      </w:tr>
    </w:tbl>
    <w:p w:rsidR="00C037B8" w:rsidRDefault="00C037B8">
      <w:pPr>
        <w:spacing w:before="120" w:after="120" w:line="240" w:lineRule="auto"/>
      </w:pPr>
    </w:p>
    <w:p w:rsidR="00C037B8" w:rsidRDefault="00553C9D">
      <w:pPr>
        <w:pStyle w:val="ListParagraph"/>
        <w:numPr>
          <w:ilvl w:val="0"/>
          <w:numId w:val="7"/>
        </w:numPr>
        <w:spacing w:before="360" w:after="120" w:line="240" w:lineRule="auto"/>
        <w:ind w:left="714" w:hanging="357"/>
        <w:rPr>
          <w:rFonts w:cs="Calibri"/>
          <w:b/>
          <w:color w:val="008080"/>
        </w:rPr>
      </w:pPr>
      <w:r>
        <w:rPr>
          <w:rFonts w:cs="Calibri"/>
          <w:b/>
          <w:color w:val="008080"/>
        </w:rPr>
        <w:t>What should I do if I am unsure of my submission category?</w:t>
      </w:r>
    </w:p>
    <w:p w:rsidR="00C037B8" w:rsidRDefault="00553C9D">
      <w:pPr>
        <w:pStyle w:val="ListParagraph"/>
        <w:spacing w:after="120" w:line="240" w:lineRule="auto"/>
      </w:pPr>
      <w:r>
        <w:t xml:space="preserve">Applicants who are uncertain of the submission category should contact the PBAC Secretariat. </w:t>
      </w:r>
    </w:p>
    <w:p w:rsidR="00C037B8" w:rsidRDefault="00553C9D">
      <w:pPr>
        <w:pStyle w:val="ListParagraph"/>
        <w:spacing w:after="120" w:line="240" w:lineRule="auto"/>
        <w:rPr>
          <w:rFonts w:cs="Calibri"/>
        </w:rPr>
      </w:pPr>
      <w:r>
        <w:rPr>
          <w:rFonts w:cs="Calibri"/>
        </w:rPr>
        <w:t xml:space="preserve">In addition, the department will continue to validate submission categories (including resubmissions). Stage 2 changes will not affect existing validation processes. </w:t>
      </w:r>
    </w:p>
    <w:p w:rsidR="00C037B8" w:rsidRDefault="00553C9D">
      <w:pPr>
        <w:pStyle w:val="ListParagraph"/>
        <w:spacing w:after="240" w:line="240" w:lineRule="auto"/>
      </w:pPr>
      <w:r>
        <w:rPr>
          <w:rFonts w:cs="Calibri"/>
        </w:rPr>
        <w:t xml:space="preserve">Please refer to the </w:t>
      </w:r>
      <w:hyperlink r:id="rId9" w:history="1">
        <w:r>
          <w:rPr>
            <w:rStyle w:val="Hyperlink"/>
            <w:rFonts w:cs="Calibri"/>
          </w:rPr>
          <w:t>Cost Recovery Administrative Guidelines</w:t>
        </w:r>
      </w:hyperlink>
      <w:r>
        <w:rPr>
          <w:rFonts w:cs="Calibri"/>
        </w:rPr>
        <w:t xml:space="preserve"> for information on the validation process. </w:t>
      </w:r>
    </w:p>
    <w:p w:rsidR="00C037B8" w:rsidRDefault="00553C9D">
      <w:pPr>
        <w:pStyle w:val="ListParagraph"/>
        <w:numPr>
          <w:ilvl w:val="0"/>
          <w:numId w:val="7"/>
        </w:numPr>
        <w:spacing w:before="360" w:after="120" w:line="240" w:lineRule="auto"/>
        <w:ind w:left="714" w:hanging="357"/>
        <w:rPr>
          <w:rFonts w:cs="Calibri"/>
          <w:b/>
          <w:color w:val="008080"/>
        </w:rPr>
      </w:pPr>
      <w:r>
        <w:rPr>
          <w:rFonts w:cs="Calibri"/>
          <w:b/>
          <w:color w:val="008080"/>
        </w:rPr>
        <w:t>How do I submit a resubmission?</w:t>
      </w:r>
    </w:p>
    <w:p w:rsidR="00C037B8" w:rsidRDefault="00553C9D">
      <w:pPr>
        <w:pStyle w:val="ListParagraph"/>
        <w:spacing w:after="240" w:line="240" w:lineRule="auto"/>
        <w:rPr>
          <w:rFonts w:cs="Calibri"/>
        </w:rPr>
      </w:pPr>
      <w:r>
        <w:rPr>
          <w:rFonts w:cs="Calibri"/>
        </w:rPr>
        <w:t>All submissions to the PBAC, including resubmissions are lodged through the H</w:t>
      </w:r>
      <w:r w:rsidR="00492C06">
        <w:rPr>
          <w:rFonts w:cs="Calibri"/>
        </w:rPr>
        <w:t xml:space="preserve">ealth </w:t>
      </w:r>
      <w:r>
        <w:rPr>
          <w:rFonts w:cs="Calibri"/>
        </w:rPr>
        <w:t>P</w:t>
      </w:r>
      <w:r w:rsidR="00492C06">
        <w:rPr>
          <w:rFonts w:cs="Calibri"/>
        </w:rPr>
        <w:t xml:space="preserve">roducts </w:t>
      </w:r>
      <w:r>
        <w:rPr>
          <w:rFonts w:cs="Calibri"/>
        </w:rPr>
        <w:t>P</w:t>
      </w:r>
      <w:r w:rsidR="00492C06">
        <w:rPr>
          <w:rFonts w:cs="Calibri"/>
        </w:rPr>
        <w:t>ortal</w:t>
      </w:r>
      <w:r>
        <w:rPr>
          <w:rFonts w:cs="Calibri"/>
        </w:rPr>
        <w:t>.</w:t>
      </w:r>
    </w:p>
    <w:p w:rsidR="00C037B8" w:rsidRDefault="00C037B8">
      <w:pPr>
        <w:pStyle w:val="ListParagraph"/>
        <w:spacing w:after="240" w:line="240" w:lineRule="auto"/>
        <w:rPr>
          <w:rFonts w:cs="Calibri"/>
        </w:rPr>
      </w:pPr>
    </w:p>
    <w:p w:rsidR="00C037B8" w:rsidRDefault="00553C9D">
      <w:pPr>
        <w:pStyle w:val="ListParagraph"/>
        <w:numPr>
          <w:ilvl w:val="0"/>
          <w:numId w:val="7"/>
        </w:numPr>
        <w:spacing w:before="360" w:after="120" w:line="240" w:lineRule="auto"/>
        <w:ind w:left="714" w:hanging="357"/>
        <w:rPr>
          <w:rFonts w:cs="Calibri"/>
          <w:b/>
          <w:color w:val="008080"/>
        </w:rPr>
      </w:pPr>
      <w:r>
        <w:rPr>
          <w:rFonts w:cs="Calibri"/>
          <w:b/>
          <w:color w:val="008080"/>
        </w:rPr>
        <w:t xml:space="preserve">Will stage 2 changes affect parallel processing? </w:t>
      </w:r>
    </w:p>
    <w:p w:rsidR="00C037B8" w:rsidRDefault="00553C9D">
      <w:pPr>
        <w:pStyle w:val="ListParagraph"/>
        <w:spacing w:after="120" w:line="240" w:lineRule="auto"/>
        <w:rPr>
          <w:rFonts w:cs="Calibri"/>
        </w:rPr>
      </w:pPr>
      <w:r>
        <w:rPr>
          <w:rFonts w:cs="Calibri"/>
        </w:rPr>
        <w:t xml:space="preserve">No. Current arrangements for parallel processing will remain unchanged. Parallel processing will be available for Category 1 and 2 submissions. </w:t>
      </w:r>
    </w:p>
    <w:p w:rsidR="00C037B8" w:rsidRDefault="00553C9D">
      <w:pPr>
        <w:pStyle w:val="ListParagraph"/>
        <w:spacing w:after="240" w:line="240" w:lineRule="auto"/>
      </w:pPr>
      <w:r>
        <w:rPr>
          <w:rFonts w:cs="Calibri"/>
        </w:rPr>
        <w:t xml:space="preserve">Further information about parallel processing is available at the PBS website under </w:t>
      </w:r>
      <w:hyperlink r:id="rId10" w:history="1">
        <w:r>
          <w:rPr>
            <w:rStyle w:val="Hyperlink"/>
          </w:rPr>
          <w:t>TGA and PBAC Parallel Process and Requirements</w:t>
        </w:r>
      </w:hyperlink>
      <w:r>
        <w:t xml:space="preserve">. </w:t>
      </w:r>
    </w:p>
    <w:p w:rsidR="00C037B8" w:rsidRDefault="00553C9D">
      <w:pPr>
        <w:pStyle w:val="ListParagraph"/>
        <w:numPr>
          <w:ilvl w:val="0"/>
          <w:numId w:val="7"/>
        </w:numPr>
        <w:spacing w:before="360" w:after="120" w:line="240" w:lineRule="auto"/>
        <w:ind w:left="714" w:hanging="357"/>
      </w:pPr>
      <w:r>
        <w:rPr>
          <w:rFonts w:cs="Calibri"/>
          <w:b/>
          <w:color w:val="008080"/>
        </w:rPr>
        <w:t xml:space="preserve">Will stage 2 changes affect </w:t>
      </w:r>
      <w:proofErr w:type="spellStart"/>
      <w:r>
        <w:rPr>
          <w:rFonts w:cs="Calibri"/>
          <w:b/>
          <w:color w:val="008080"/>
        </w:rPr>
        <w:t>codependent</w:t>
      </w:r>
      <w:proofErr w:type="spellEnd"/>
      <w:r>
        <w:rPr>
          <w:rFonts w:cs="Calibri"/>
          <w:b/>
          <w:color w:val="008080"/>
        </w:rPr>
        <w:t xml:space="preserve"> submissions? </w:t>
      </w:r>
    </w:p>
    <w:p w:rsidR="00C037B8" w:rsidRDefault="00553C9D">
      <w:pPr>
        <w:pStyle w:val="ListParagraph"/>
        <w:spacing w:before="120" w:after="120" w:line="240" w:lineRule="auto"/>
        <w:rPr>
          <w:rFonts w:cs="Calibri"/>
        </w:rPr>
      </w:pPr>
      <w:r>
        <w:rPr>
          <w:rFonts w:cs="Calibri"/>
        </w:rPr>
        <w:t xml:space="preserve">There are no changes to the lodgement timing for </w:t>
      </w:r>
      <w:proofErr w:type="spellStart"/>
      <w:r>
        <w:rPr>
          <w:rFonts w:cs="Calibri"/>
        </w:rPr>
        <w:t>codependent</w:t>
      </w:r>
      <w:proofErr w:type="spellEnd"/>
      <w:r>
        <w:rPr>
          <w:rFonts w:cs="Calibri"/>
        </w:rPr>
        <w:t xml:space="preserve"> submissions. </w:t>
      </w:r>
    </w:p>
    <w:p w:rsidR="00C037B8" w:rsidRDefault="00553C9D">
      <w:pPr>
        <w:pStyle w:val="ListParagraph"/>
        <w:spacing w:before="120" w:after="240" w:line="240" w:lineRule="auto"/>
      </w:pPr>
      <w:r>
        <w:rPr>
          <w:rFonts w:cs="Calibri"/>
        </w:rPr>
        <w:t>Category 1 applies for i</w:t>
      </w:r>
      <w:r>
        <w:rPr>
          <w:rFonts w:eastAsia="Times New Roman" w:cs="Calibri"/>
          <w:color w:val="222222"/>
          <w:lang w:eastAsia="en-AU"/>
        </w:rPr>
        <w:t xml:space="preserve">ntegrated </w:t>
      </w:r>
      <w:proofErr w:type="spellStart"/>
      <w:r>
        <w:rPr>
          <w:rFonts w:eastAsia="Times New Roman" w:cs="Calibri"/>
          <w:color w:val="222222"/>
          <w:lang w:eastAsia="en-AU"/>
        </w:rPr>
        <w:t>codependent</w:t>
      </w:r>
      <w:proofErr w:type="spellEnd"/>
      <w:r>
        <w:rPr>
          <w:rFonts w:eastAsia="Times New Roman" w:cs="Calibri"/>
          <w:color w:val="222222"/>
          <w:lang w:eastAsia="en-AU"/>
        </w:rPr>
        <w:t xml:space="preserve"> submissions; and Category 2 applies for s</w:t>
      </w:r>
      <w:r>
        <w:rPr>
          <w:rFonts w:cs="Calibri"/>
        </w:rPr>
        <w:t xml:space="preserve">treamlined </w:t>
      </w:r>
      <w:proofErr w:type="spellStart"/>
      <w:r>
        <w:rPr>
          <w:rFonts w:cs="Calibri"/>
        </w:rPr>
        <w:t>codependent</w:t>
      </w:r>
      <w:proofErr w:type="spellEnd"/>
      <w:r>
        <w:rPr>
          <w:rFonts w:cs="Calibri"/>
        </w:rPr>
        <w:t xml:space="preserve"> submissions.</w:t>
      </w:r>
    </w:p>
    <w:p w:rsidR="00C037B8" w:rsidRDefault="00553C9D">
      <w:pPr>
        <w:pStyle w:val="ListParagraph"/>
        <w:numPr>
          <w:ilvl w:val="0"/>
          <w:numId w:val="7"/>
        </w:numPr>
        <w:spacing w:before="360" w:after="120" w:line="240" w:lineRule="auto"/>
        <w:ind w:left="714" w:hanging="357"/>
        <w:rPr>
          <w:rFonts w:cs="Calibri"/>
          <w:b/>
          <w:color w:val="008080"/>
        </w:rPr>
      </w:pPr>
      <w:r>
        <w:rPr>
          <w:rFonts w:cs="Calibri"/>
          <w:b/>
          <w:color w:val="008080"/>
        </w:rPr>
        <w:t xml:space="preserve">Which category would a submission requesting a change in restriction be? </w:t>
      </w:r>
    </w:p>
    <w:p w:rsidR="00C037B8" w:rsidRDefault="00553C9D">
      <w:pPr>
        <w:pStyle w:val="ListParagraph"/>
        <w:spacing w:after="240" w:line="240" w:lineRule="auto"/>
        <w:rPr>
          <w:rFonts w:cs="Calibri"/>
        </w:rPr>
      </w:pPr>
      <w:r>
        <w:rPr>
          <w:rFonts w:cs="Calibri"/>
        </w:rPr>
        <w:t>Category 3 applies to any request to change the restriction level of a listed medicine (e.g. Restricted benefit, Authority Required – in writing, Authority Required – telephone/electronic, Streamlined Authority).</w:t>
      </w:r>
    </w:p>
    <w:p w:rsidR="00C037B8" w:rsidRDefault="00553C9D">
      <w:pPr>
        <w:pStyle w:val="ListParagraph"/>
        <w:numPr>
          <w:ilvl w:val="0"/>
          <w:numId w:val="7"/>
        </w:numPr>
        <w:spacing w:before="360" w:after="120" w:line="240" w:lineRule="auto"/>
        <w:ind w:left="714" w:hanging="357"/>
      </w:pPr>
      <w:r>
        <w:rPr>
          <w:rFonts w:cs="Calibri"/>
          <w:b/>
          <w:color w:val="008080"/>
        </w:rPr>
        <w:t>Can the PBAC still choose to defer a submission?</w:t>
      </w:r>
    </w:p>
    <w:p w:rsidR="00492C06" w:rsidRDefault="00553C9D" w:rsidP="00492C06">
      <w:pPr>
        <w:pStyle w:val="ListParagraph"/>
        <w:spacing w:after="240" w:line="240" w:lineRule="auto"/>
        <w:ind w:left="714"/>
      </w:pPr>
      <w:r>
        <w:t xml:space="preserve">Yes. </w:t>
      </w:r>
      <w:r w:rsidR="00873673" w:rsidRPr="00873673">
        <w:t xml:space="preserve">The PBAC will defer making a decision where there is </w:t>
      </w:r>
      <w:r w:rsidR="00873673" w:rsidRPr="00873673">
        <w:rPr>
          <w:i/>
        </w:rPr>
        <w:t>specific or missing information</w:t>
      </w:r>
      <w:r w:rsidR="00873673" w:rsidRPr="00873673">
        <w:t xml:space="preserve"> that cannot be obtained from the applicant and is required for PBAC decision-making (e.g. TGA delegate’s overview or MSAC advice in relation to a </w:t>
      </w:r>
      <w:proofErr w:type="spellStart"/>
      <w:r w:rsidR="00873673" w:rsidRPr="00873673">
        <w:t>codependent</w:t>
      </w:r>
      <w:proofErr w:type="spellEnd"/>
      <w:r w:rsidR="00873673" w:rsidRPr="00873673">
        <w:t xml:space="preserve"> technology).</w:t>
      </w:r>
    </w:p>
    <w:p w:rsidR="00492C06" w:rsidRDefault="00492C06" w:rsidP="00492C06">
      <w:pPr>
        <w:pStyle w:val="ListParagraph"/>
        <w:numPr>
          <w:ilvl w:val="0"/>
          <w:numId w:val="7"/>
        </w:numPr>
        <w:spacing w:after="240" w:line="240" w:lineRule="auto"/>
        <w:rPr>
          <w:b/>
          <w:bCs/>
          <w:color w:val="008080"/>
        </w:rPr>
      </w:pPr>
      <w:r>
        <w:rPr>
          <w:b/>
          <w:bCs/>
          <w:color w:val="008080"/>
        </w:rPr>
        <w:t xml:space="preserve">If the PBAC nominates a resubmission pathway, is the sponsor obliged to use that pathway? </w:t>
      </w:r>
    </w:p>
    <w:p w:rsidR="00492C06" w:rsidRDefault="00492C06" w:rsidP="00492C06">
      <w:pPr>
        <w:pStyle w:val="ListParagraph"/>
        <w:spacing w:after="240"/>
      </w:pPr>
      <w:r>
        <w:t xml:space="preserve">Where PBAC nominates a resubmission pathway, a sponsor can elect to accept or reject that resubmission pathway. Should the sponsor reject the PABC-nominated resubmission pathway, they have the option of using the Standard Re-entry Pathway. </w:t>
      </w:r>
    </w:p>
    <w:p w:rsidR="00C037B8" w:rsidRDefault="00553C9D">
      <w:pPr>
        <w:pStyle w:val="ListParagraph"/>
        <w:numPr>
          <w:ilvl w:val="0"/>
          <w:numId w:val="7"/>
        </w:numPr>
        <w:spacing w:before="360" w:after="120" w:line="240" w:lineRule="auto"/>
        <w:ind w:left="714" w:hanging="357"/>
        <w:rPr>
          <w:rFonts w:cs="Calibri"/>
          <w:b/>
          <w:color w:val="008080"/>
        </w:rPr>
      </w:pPr>
      <w:r>
        <w:rPr>
          <w:rFonts w:cs="Calibri"/>
          <w:b/>
          <w:color w:val="008080"/>
        </w:rPr>
        <w:t xml:space="preserve">Will applicants receive the same level of advice and guidance from the PBAC for a Standard Re-Entry Pathway? </w:t>
      </w:r>
    </w:p>
    <w:p w:rsidR="00C037B8" w:rsidRDefault="00553C9D">
      <w:pPr>
        <w:pStyle w:val="ListParagraph"/>
        <w:spacing w:after="240" w:line="240" w:lineRule="auto"/>
      </w:pPr>
      <w:r>
        <w:rPr>
          <w:rFonts w:cs="Calibri"/>
        </w:rPr>
        <w:t>Yes. The PBAC will endeavour to clarify any issues for resolution in the ratified Minutes.</w:t>
      </w:r>
    </w:p>
    <w:p w:rsidR="00C037B8" w:rsidRDefault="00553C9D">
      <w:pPr>
        <w:pStyle w:val="ListParagraph"/>
        <w:numPr>
          <w:ilvl w:val="0"/>
          <w:numId w:val="7"/>
        </w:numPr>
        <w:spacing w:before="360" w:after="120" w:line="240" w:lineRule="auto"/>
        <w:ind w:left="714" w:hanging="357"/>
      </w:pPr>
      <w:r>
        <w:rPr>
          <w:rFonts w:cs="Calibri"/>
          <w:b/>
          <w:color w:val="008080"/>
        </w:rPr>
        <w:t>For a submission not recommended by the PBAC, how quickly can an applicant enter into a resubmission pathway?</w:t>
      </w:r>
    </w:p>
    <w:p w:rsidR="00C037B8" w:rsidRDefault="00553C9D">
      <w:pPr>
        <w:pStyle w:val="ListParagraph"/>
        <w:spacing w:after="120" w:line="240" w:lineRule="auto"/>
        <w:rPr>
          <w:rFonts w:cs="Calibri"/>
        </w:rPr>
      </w:pPr>
      <w:r>
        <w:rPr>
          <w:rFonts w:cs="Calibri"/>
        </w:rPr>
        <w:t>Lodgement of a resubmission depends on the PBAC nominated pathway:</w:t>
      </w:r>
    </w:p>
    <w:p w:rsidR="00C037B8" w:rsidRDefault="00553C9D">
      <w:pPr>
        <w:pStyle w:val="ListParagraph"/>
        <w:keepNext/>
        <w:keepLines/>
        <w:numPr>
          <w:ilvl w:val="0"/>
          <w:numId w:val="8"/>
        </w:numPr>
        <w:spacing w:after="120" w:line="240" w:lineRule="auto"/>
        <w:ind w:left="1077" w:hanging="357"/>
        <w:rPr>
          <w:rFonts w:cs="Calibri"/>
        </w:rPr>
      </w:pPr>
      <w:r>
        <w:rPr>
          <w:rFonts w:cs="Calibri"/>
        </w:rPr>
        <w:t xml:space="preserve">Early Re-entry and Early Resolution submissions are to be lodged on Friday of week 7 of the current or the next PBAC meeting cycle. </w:t>
      </w:r>
    </w:p>
    <w:p w:rsidR="00C037B8" w:rsidRDefault="00553C9D">
      <w:pPr>
        <w:pStyle w:val="ListParagraph"/>
        <w:keepNext/>
        <w:keepLines/>
        <w:numPr>
          <w:ilvl w:val="0"/>
          <w:numId w:val="8"/>
        </w:numPr>
        <w:spacing w:after="120" w:line="240" w:lineRule="auto"/>
        <w:ind w:left="1077" w:hanging="357"/>
        <w:rPr>
          <w:rFonts w:cs="Calibri"/>
        </w:rPr>
      </w:pPr>
      <w:r>
        <w:rPr>
          <w:rFonts w:cs="Calibri"/>
        </w:rPr>
        <w:t xml:space="preserve">Facilitated Resolution submissions can be lodged at the submission due day after the workshop in either week 17 or week 34. </w:t>
      </w:r>
    </w:p>
    <w:p w:rsidR="00C037B8" w:rsidRDefault="00553C9D">
      <w:pPr>
        <w:pStyle w:val="ListParagraph"/>
        <w:keepNext/>
        <w:keepLines/>
        <w:numPr>
          <w:ilvl w:val="0"/>
          <w:numId w:val="8"/>
        </w:numPr>
        <w:spacing w:after="240" w:line="240" w:lineRule="auto"/>
      </w:pPr>
      <w:r>
        <w:rPr>
          <w:rFonts w:cs="Calibri"/>
        </w:rPr>
        <w:t xml:space="preserve">Standard Re-entry submissions can be lodged at any submission due day (week 17). </w:t>
      </w:r>
    </w:p>
    <w:p w:rsidR="00C037B8" w:rsidRDefault="00553C9D">
      <w:pPr>
        <w:pStyle w:val="ListParagraph"/>
        <w:numPr>
          <w:ilvl w:val="0"/>
          <w:numId w:val="7"/>
        </w:numPr>
        <w:spacing w:before="360" w:after="120" w:line="240" w:lineRule="auto"/>
        <w:ind w:left="714" w:hanging="357"/>
      </w:pPr>
      <w:r>
        <w:rPr>
          <w:rFonts w:cs="Calibri"/>
          <w:b/>
          <w:color w:val="008080"/>
        </w:rPr>
        <w:t>Can I address issues other than those specified by the PBAC if I accept an Early Re-entry or Early Resolution Pathway?</w:t>
      </w:r>
    </w:p>
    <w:p w:rsidR="00C037B8" w:rsidRDefault="00553C9D">
      <w:pPr>
        <w:pStyle w:val="ListParagraph"/>
        <w:spacing w:before="120" w:after="120" w:line="240" w:lineRule="auto"/>
        <w:ind w:left="714"/>
        <w:rPr>
          <w:rFonts w:cs="Calibri"/>
        </w:rPr>
      </w:pPr>
      <w:r>
        <w:rPr>
          <w:rFonts w:cs="Calibri"/>
        </w:rPr>
        <w:lastRenderedPageBreak/>
        <w:t>No. Applicants who accept an early pathway nomination must only address the issues specified by the PBAC.</w:t>
      </w:r>
    </w:p>
    <w:p w:rsidR="00C037B8" w:rsidRDefault="00553C9D">
      <w:pPr>
        <w:pStyle w:val="ListParagraph"/>
        <w:spacing w:before="120" w:after="240" w:line="240" w:lineRule="auto"/>
        <w:ind w:left="714"/>
      </w:pPr>
      <w:r>
        <w:rPr>
          <w:rFonts w:cs="Calibri"/>
        </w:rPr>
        <w:t>Where an applicant chooses to address issues other than those identified by the PBAC (including a subset of issues), the Standard Re-entry Pathway would apply.</w:t>
      </w:r>
    </w:p>
    <w:p w:rsidR="00C037B8" w:rsidRDefault="00553C9D">
      <w:pPr>
        <w:pStyle w:val="ListParagraph"/>
        <w:numPr>
          <w:ilvl w:val="0"/>
          <w:numId w:val="7"/>
        </w:numPr>
        <w:spacing w:before="360" w:after="120" w:line="240" w:lineRule="auto"/>
        <w:ind w:left="714" w:hanging="357"/>
        <w:rPr>
          <w:b/>
          <w:color w:val="008080"/>
        </w:rPr>
      </w:pPr>
      <w:r>
        <w:rPr>
          <w:b/>
          <w:color w:val="008080"/>
        </w:rPr>
        <w:t>If the PBAC holds a stakeholder meeting, how will that process fit with the resubmission categories?</w:t>
      </w:r>
    </w:p>
    <w:p w:rsidR="00C037B8" w:rsidRDefault="00553C9D">
      <w:pPr>
        <w:pStyle w:val="ListParagraph"/>
        <w:spacing w:after="240" w:line="240" w:lineRule="auto"/>
      </w:pPr>
      <w:r>
        <w:t xml:space="preserve">Following a stakeholder meeting, applicants would be required to resubmit their application using the Standard Re-entry Pathway. </w:t>
      </w:r>
    </w:p>
    <w:p w:rsidR="00C037B8" w:rsidRDefault="00553C9D">
      <w:pPr>
        <w:pStyle w:val="ListParagraph"/>
        <w:numPr>
          <w:ilvl w:val="0"/>
          <w:numId w:val="7"/>
        </w:numPr>
        <w:spacing w:before="360" w:after="120" w:line="240" w:lineRule="auto"/>
        <w:ind w:left="714" w:hanging="357"/>
        <w:rPr>
          <w:rFonts w:cs="Calibri"/>
          <w:b/>
          <w:color w:val="008080"/>
        </w:rPr>
      </w:pPr>
      <w:r>
        <w:rPr>
          <w:rFonts w:cs="Calibri"/>
          <w:b/>
          <w:color w:val="008080"/>
        </w:rPr>
        <w:t>Will deed management fees apply for drugs joining an existing deed?</w:t>
      </w:r>
    </w:p>
    <w:p w:rsidR="00C037B8" w:rsidRDefault="00553C9D">
      <w:pPr>
        <w:pStyle w:val="ListParagraph"/>
        <w:spacing w:after="240" w:line="240" w:lineRule="auto"/>
      </w:pPr>
      <w:r>
        <w:rPr>
          <w:rFonts w:cs="Calibri"/>
        </w:rPr>
        <w:t>Yes. The five-year rebate management fee will apply to all Pricing Pathway A, B and C and deed renewal applications received on or after 1 January 2021.</w:t>
      </w:r>
    </w:p>
    <w:p w:rsidR="00C037B8" w:rsidRDefault="00553C9D">
      <w:pPr>
        <w:pStyle w:val="ListParagraph"/>
        <w:numPr>
          <w:ilvl w:val="0"/>
          <w:numId w:val="7"/>
        </w:numPr>
        <w:spacing w:before="360" w:after="120" w:line="240" w:lineRule="auto"/>
        <w:ind w:left="714" w:hanging="357"/>
        <w:rPr>
          <w:rFonts w:cs="Calibri"/>
          <w:b/>
          <w:color w:val="008080"/>
        </w:rPr>
      </w:pPr>
      <w:r>
        <w:rPr>
          <w:rFonts w:cs="Calibri"/>
          <w:b/>
          <w:color w:val="008080"/>
        </w:rPr>
        <w:t>Would a refund apply if a company ceases a deed arrangement early?</w:t>
      </w:r>
    </w:p>
    <w:p w:rsidR="00C037B8" w:rsidRDefault="00553C9D">
      <w:pPr>
        <w:pStyle w:val="ListParagraph"/>
        <w:spacing w:after="120" w:line="240" w:lineRule="auto"/>
        <w:rPr>
          <w:rFonts w:cs="Calibri"/>
        </w:rPr>
      </w:pPr>
      <w:r>
        <w:rPr>
          <w:rFonts w:cs="Calibri"/>
        </w:rPr>
        <w:t xml:space="preserve">No. As the standard deed term for all new deed arrangements is five years, a refund would only apply where a deed arrangement is not entered into. Based on current data, less than 2% of deeds have ceased early. </w:t>
      </w:r>
    </w:p>
    <w:p w:rsidR="00C037B8" w:rsidRDefault="00553C9D">
      <w:pPr>
        <w:pStyle w:val="ListParagraph"/>
        <w:spacing w:after="240" w:line="240" w:lineRule="auto"/>
      </w:pPr>
      <w:r>
        <w:t xml:space="preserve">The department will continue to monitor the number of deeds that cease before five years. </w:t>
      </w:r>
      <w:r>
        <w:br/>
        <w:t xml:space="preserve">If a high number is identified the department will review this approach. </w:t>
      </w:r>
    </w:p>
    <w:p w:rsidR="00C037B8" w:rsidRDefault="00C037B8">
      <w:pPr>
        <w:pStyle w:val="ListParagraph"/>
        <w:spacing w:after="240" w:line="240" w:lineRule="auto"/>
        <w:rPr>
          <w:b/>
          <w:color w:val="008080"/>
        </w:rPr>
      </w:pPr>
    </w:p>
    <w:p w:rsidR="00C037B8" w:rsidRDefault="00C037B8">
      <w:pPr>
        <w:spacing w:before="100" w:after="100" w:line="300" w:lineRule="atLeast"/>
        <w:rPr>
          <w:b/>
          <w:color w:val="008080"/>
        </w:rPr>
      </w:pPr>
    </w:p>
    <w:p w:rsidR="00C037B8" w:rsidRDefault="00C037B8">
      <w:pPr>
        <w:spacing w:before="100" w:after="100" w:line="300" w:lineRule="atLeast"/>
      </w:pPr>
      <w:bookmarkStart w:id="3" w:name="_GoBack"/>
      <w:bookmarkEnd w:id="3"/>
    </w:p>
    <w:sectPr w:rsidR="00C037B8">
      <w:foot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F6" w:rsidRDefault="00553C9D">
      <w:pPr>
        <w:spacing w:after="0" w:line="240" w:lineRule="auto"/>
      </w:pPr>
      <w:r>
        <w:separator/>
      </w:r>
    </w:p>
  </w:endnote>
  <w:endnote w:type="continuationSeparator" w:id="0">
    <w:p w:rsidR="00701AF6" w:rsidRDefault="0055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7D9" w:rsidRDefault="00553C9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137D80">
      <w:rPr>
        <w:noProof/>
      </w:rPr>
      <w:t>3</w:t>
    </w:r>
    <w:r>
      <w:fldChar w:fldCharType="end"/>
    </w:r>
  </w:p>
  <w:p w:rsidR="00D367D9" w:rsidRDefault="00137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F6" w:rsidRDefault="00553C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01AF6" w:rsidRDefault="0055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7D9" w:rsidRDefault="00553C9D">
    <w:pPr>
      <w:pStyle w:val="Header"/>
    </w:pPr>
    <w:r>
      <w:rPr>
        <w:noProof/>
        <w:lang w:eastAsia="en-AU"/>
      </w:rPr>
      <w:drawing>
        <wp:inline distT="0" distB="0" distL="0" distR="0">
          <wp:extent cx="5731514" cy="1039233"/>
          <wp:effectExtent l="0" t="0" r="2536" b="8517"/>
          <wp:docPr id="1" name="Picture 1" descr="Graphics:Design Files:WIPs:Alicia:WIP Alicia:12307 Department of Health Visual Identity:12307 A4 Word Factsheet Template:12307 A4 Fact sheet header image Folder:Links:word 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4" cy="1039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BDC"/>
    <w:multiLevelType w:val="multilevel"/>
    <w:tmpl w:val="8F5C609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80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CEA"/>
    <w:multiLevelType w:val="multilevel"/>
    <w:tmpl w:val="323ECBE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8460766"/>
    <w:multiLevelType w:val="multilevel"/>
    <w:tmpl w:val="016E323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9054242"/>
    <w:multiLevelType w:val="multilevel"/>
    <w:tmpl w:val="5DF02804"/>
    <w:lvl w:ilvl="0">
      <w:numFmt w:val="bullet"/>
      <w:lvlText w:val=""/>
      <w:lvlJc w:val="left"/>
      <w:pPr>
        <w:ind w:left="1080" w:hanging="360"/>
      </w:pPr>
      <w:rPr>
        <w:rFonts w:ascii="Symbol" w:hAnsi="Symbol"/>
        <w:color w:val="00808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2EA11061"/>
    <w:multiLevelType w:val="multilevel"/>
    <w:tmpl w:val="0E1457B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38EB5D26"/>
    <w:multiLevelType w:val="multilevel"/>
    <w:tmpl w:val="73FCF740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4A28288D"/>
    <w:multiLevelType w:val="multilevel"/>
    <w:tmpl w:val="D81683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-"/>
      <w:lvlJc w:val="left"/>
      <w:pPr>
        <w:ind w:left="3600" w:hanging="360"/>
      </w:pPr>
      <w:rPr>
        <w:rFonts w:ascii="Calibri" w:hAnsi="Calibri"/>
      </w:rPr>
    </w:lvl>
    <w:lvl w:ilvl="5">
      <w:numFmt w:val="bullet"/>
      <w:lvlText w:val="-"/>
      <w:lvlJc w:val="left"/>
      <w:pPr>
        <w:ind w:left="4320" w:hanging="360"/>
      </w:pPr>
      <w:rPr>
        <w:rFonts w:ascii="Calibri" w:hAnsi="Calibri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-"/>
      <w:lvlJc w:val="left"/>
      <w:pPr>
        <w:ind w:left="5760" w:hanging="360"/>
      </w:pPr>
      <w:rPr>
        <w:rFonts w:ascii="Calibri" w:hAnsi="Calibri"/>
      </w:rPr>
    </w:lvl>
    <w:lvl w:ilvl="8">
      <w:numFmt w:val="bullet"/>
      <w:lvlText w:val="-"/>
      <w:lvlJc w:val="left"/>
      <w:pPr>
        <w:ind w:left="6480" w:hanging="360"/>
      </w:pPr>
      <w:rPr>
        <w:rFonts w:ascii="Calibri" w:hAnsi="Calibri"/>
      </w:rPr>
    </w:lvl>
  </w:abstractNum>
  <w:abstractNum w:abstractNumId="7" w15:restartNumberingAfterBreak="0">
    <w:nsid w:val="4B5B384D"/>
    <w:multiLevelType w:val="multilevel"/>
    <w:tmpl w:val="2172761E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B8"/>
    <w:rsid w:val="00137D80"/>
    <w:rsid w:val="00492C06"/>
    <w:rsid w:val="00553C9D"/>
    <w:rsid w:val="00701AF6"/>
    <w:rsid w:val="00873673"/>
    <w:rsid w:val="00C0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DB030A-8644-4F35-87EB-38D70C64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A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240" w:after="0" w:line="244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37D80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gov.au/general/process-improvements/Fact-Sheet-PBS-Process-Improvements-Stage-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bs.gov.au/info/publication/factsheets/shared/tga-pbac-parallel-proc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bs.gov.au/info/industry/listing/elements/fees-and-charg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BE66-9510-4BC2-A6FF-6AE28AAF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Lakhan, Neetara</dc:creator>
  <dc:description/>
  <cp:lastModifiedBy>CHEN, Arlena</cp:lastModifiedBy>
  <cp:revision>3</cp:revision>
  <cp:lastPrinted>2020-11-23T05:20:00Z</cp:lastPrinted>
  <dcterms:created xsi:type="dcterms:W3CDTF">2020-11-16T23:32:00Z</dcterms:created>
  <dcterms:modified xsi:type="dcterms:W3CDTF">2020-11-23T05:25:00Z</dcterms:modified>
</cp:coreProperties>
</file>