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F7D7F" w14:textId="77777777" w:rsidR="00A20CBD" w:rsidRPr="00F4413F" w:rsidRDefault="00A20CBD" w:rsidP="00855B59">
      <w:pPr>
        <w:ind w:left="2160" w:firstLine="720"/>
        <w:rPr>
          <w:b/>
        </w:rPr>
      </w:pPr>
    </w:p>
    <w:p w14:paraId="3BFE4C06" w14:textId="1A34C713"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74A52">
        <w:rPr>
          <w:sz w:val="24"/>
          <w:szCs w:val="24"/>
        </w:rPr>
        <w:t>10</w:t>
      </w:r>
      <w:r w:rsidR="00CE1361">
        <w:rPr>
          <w:sz w:val="24"/>
          <w:szCs w:val="24"/>
        </w:rPr>
        <w:t>1</w:t>
      </w:r>
      <w:r w:rsidR="00CE1361" w:rsidRPr="00CE1361">
        <w:rPr>
          <w:sz w:val="24"/>
          <w:szCs w:val="24"/>
          <w:vertAlign w:val="superscript"/>
        </w:rPr>
        <w:t>st</w:t>
      </w:r>
      <w:r w:rsidR="006F7FAE">
        <w:rPr>
          <w:sz w:val="24"/>
          <w:szCs w:val="24"/>
        </w:rPr>
        <w:t xml:space="preserve"> </w:t>
      </w:r>
      <w:r w:rsidRPr="005F3EF0">
        <w:rPr>
          <w:sz w:val="24"/>
          <w:szCs w:val="24"/>
        </w:rPr>
        <w:t xml:space="preserve">meeting on </w:t>
      </w:r>
      <w:r w:rsidR="00E4556A">
        <w:rPr>
          <w:sz w:val="24"/>
          <w:szCs w:val="24"/>
        </w:rPr>
        <w:t xml:space="preserve">the </w:t>
      </w:r>
      <w:r w:rsidR="00CE1361">
        <w:rPr>
          <w:sz w:val="24"/>
          <w:szCs w:val="24"/>
        </w:rPr>
        <w:t>4 – 5 February 2021</w:t>
      </w:r>
      <w:r w:rsidRPr="005F3EF0">
        <w:rPr>
          <w:sz w:val="24"/>
          <w:szCs w:val="24"/>
        </w:rPr>
        <w:t>.</w:t>
      </w:r>
    </w:p>
    <w:p w14:paraId="25B768AF" w14:textId="77777777" w:rsidR="003F06C8" w:rsidRDefault="003F06C8" w:rsidP="008B6946">
      <w:pPr>
        <w:tabs>
          <w:tab w:val="left" w:pos="4820"/>
          <w:tab w:val="left" w:pos="8931"/>
          <w:tab w:val="left" w:pos="9028"/>
          <w:tab w:val="left" w:pos="9072"/>
        </w:tabs>
        <w:rPr>
          <w:sz w:val="24"/>
          <w:szCs w:val="24"/>
        </w:rPr>
      </w:pPr>
    </w:p>
    <w:p w14:paraId="0837C7A3"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5EF26552" w14:textId="77777777" w:rsidR="00855B59" w:rsidRDefault="00855B59" w:rsidP="008B6946">
      <w:pPr>
        <w:tabs>
          <w:tab w:val="left" w:pos="4820"/>
          <w:tab w:val="left" w:pos="8931"/>
          <w:tab w:val="left" w:pos="9028"/>
          <w:tab w:val="left" w:pos="9072"/>
        </w:tabs>
        <w:rPr>
          <w:sz w:val="24"/>
          <w:szCs w:val="24"/>
        </w:rPr>
      </w:pPr>
    </w:p>
    <w:p w14:paraId="1425E1F8" w14:textId="54CB11DA" w:rsidR="00204055" w:rsidRDefault="00204055" w:rsidP="00204055">
      <w:pPr>
        <w:rPr>
          <w:sz w:val="24"/>
          <w:szCs w:val="24"/>
        </w:rPr>
      </w:pPr>
      <w:r w:rsidRPr="00B12248">
        <w:rPr>
          <w:sz w:val="24"/>
          <w:szCs w:val="24"/>
        </w:rPr>
        <w:t xml:space="preserve">The PBAC is </w:t>
      </w:r>
      <w:r>
        <w:rPr>
          <w:sz w:val="24"/>
          <w:szCs w:val="24"/>
        </w:rPr>
        <w:t xml:space="preserve">also </w:t>
      </w:r>
      <w:r w:rsidRPr="00B12248">
        <w:rPr>
          <w:sz w:val="24"/>
          <w:szCs w:val="24"/>
        </w:rPr>
        <w:t xml:space="preserve">committed to understanding consumer perspectives and integrating them into consideration of medicines and vaccines. Consumers are able to provide their views about medicine utilisation reviews to the PBAC via a </w:t>
      </w:r>
      <w:hyperlink r:id="rId8" w:history="1">
        <w:r w:rsidRPr="00B12248">
          <w:rPr>
            <w:rStyle w:val="Hyperlink"/>
            <w:sz w:val="24"/>
            <w:szCs w:val="24"/>
          </w:rPr>
          <w:t>web interface</w:t>
        </w:r>
      </w:hyperlink>
      <w:r w:rsidRPr="00B12248">
        <w:rPr>
          <w:sz w:val="24"/>
          <w:szCs w:val="24"/>
        </w:rPr>
        <w:t>.</w:t>
      </w:r>
    </w:p>
    <w:p w14:paraId="0C5A9F25" w14:textId="77777777" w:rsidR="00204055" w:rsidRPr="00B12248" w:rsidRDefault="00204055" w:rsidP="00204055">
      <w:pPr>
        <w:rPr>
          <w:sz w:val="24"/>
          <w:szCs w:val="24"/>
        </w:rPr>
      </w:pPr>
    </w:p>
    <w:p w14:paraId="0B97FCD3" w14:textId="77777777" w:rsidR="004566A9" w:rsidRPr="00855B59" w:rsidRDefault="00855B59" w:rsidP="008B6946">
      <w:pPr>
        <w:pStyle w:val="Heading2"/>
      </w:pPr>
      <w:r w:rsidRPr="00855B59">
        <w:t>Su</w:t>
      </w:r>
      <w:r w:rsidR="004566A9" w:rsidRPr="00855B59">
        <w:t>bmissions to the PBAC</w:t>
      </w:r>
    </w:p>
    <w:p w14:paraId="60CAEED6" w14:textId="04F38BE1" w:rsidR="009237FF" w:rsidRDefault="00BE11AF" w:rsidP="008B6946">
      <w:pPr>
        <w:rPr>
          <w:sz w:val="24"/>
          <w:szCs w:val="24"/>
        </w:rPr>
      </w:pPr>
      <w:r>
        <w:rPr>
          <w:sz w:val="24"/>
          <w:szCs w:val="24"/>
        </w:rPr>
        <w:t xml:space="preserve">DUSC noted that </w:t>
      </w:r>
      <w:r w:rsidR="00CE1361">
        <w:rPr>
          <w:sz w:val="24"/>
          <w:szCs w:val="24"/>
        </w:rPr>
        <w:t>35</w:t>
      </w:r>
      <w:r w:rsidR="003F06C8" w:rsidRPr="0035237B">
        <w:rPr>
          <w:sz w:val="24"/>
          <w:szCs w:val="24"/>
        </w:rPr>
        <w:t xml:space="preserve"> major submissions had been received for the </w:t>
      </w:r>
      <w:r w:rsidR="00CE1361">
        <w:rPr>
          <w:sz w:val="24"/>
          <w:szCs w:val="24"/>
        </w:rPr>
        <w:t>March 2021</w:t>
      </w:r>
      <w:r w:rsidR="003F06C8" w:rsidRPr="0035237B">
        <w:rPr>
          <w:sz w:val="24"/>
          <w:szCs w:val="24"/>
        </w:rPr>
        <w:t xml:space="preserve"> meeting of PBAC. </w:t>
      </w:r>
      <w:r w:rsidR="008F7F63" w:rsidRPr="0035237B">
        <w:rPr>
          <w:sz w:val="24"/>
          <w:szCs w:val="24"/>
        </w:rPr>
        <w:t xml:space="preserve">DUSC provided detailed advice to the PBAC on </w:t>
      </w:r>
      <w:r w:rsidR="009230A9" w:rsidRPr="0035237B">
        <w:rPr>
          <w:sz w:val="24"/>
          <w:szCs w:val="24"/>
        </w:rPr>
        <w:t xml:space="preserve">projected usage and financial cost for </w:t>
      </w:r>
      <w:r w:rsidR="003833F2" w:rsidRPr="0035237B">
        <w:rPr>
          <w:sz w:val="24"/>
          <w:szCs w:val="24"/>
        </w:rPr>
        <w:t xml:space="preserve">the </w:t>
      </w:r>
      <w:r w:rsidR="005C053B" w:rsidRPr="0035237B">
        <w:rPr>
          <w:sz w:val="24"/>
          <w:szCs w:val="24"/>
        </w:rPr>
        <w:t>major</w:t>
      </w:r>
      <w:r w:rsidR="003F06C8" w:rsidRPr="0035237B">
        <w:rPr>
          <w:sz w:val="24"/>
          <w:szCs w:val="24"/>
        </w:rPr>
        <w:t xml:space="preserve"> submissions</w:t>
      </w:r>
      <w:r w:rsidR="00C814DC" w:rsidRPr="0035237B">
        <w:rPr>
          <w:sz w:val="24"/>
          <w:szCs w:val="24"/>
        </w:rPr>
        <w:t xml:space="preserve"> where there </w:t>
      </w:r>
      <w:r w:rsidR="005B19CE">
        <w:rPr>
          <w:sz w:val="24"/>
          <w:szCs w:val="24"/>
        </w:rPr>
        <w:t>wa</w:t>
      </w:r>
      <w:r w:rsidR="005B19CE" w:rsidRPr="0035237B">
        <w:rPr>
          <w:sz w:val="24"/>
          <w:szCs w:val="24"/>
        </w:rPr>
        <w:t xml:space="preserve">s </w:t>
      </w:r>
      <w:r w:rsidR="00C814DC" w:rsidRPr="0035237B">
        <w:rPr>
          <w:sz w:val="24"/>
          <w:szCs w:val="24"/>
        </w:rPr>
        <w:t>high cost, uncertain utilisation</w:t>
      </w:r>
      <w:r w:rsidR="00FA149F" w:rsidRPr="0035237B">
        <w:rPr>
          <w:sz w:val="24"/>
          <w:szCs w:val="24"/>
        </w:rPr>
        <w:t xml:space="preserve">, first </w:t>
      </w:r>
      <w:r w:rsidR="007D4108" w:rsidRPr="0035237B">
        <w:rPr>
          <w:sz w:val="24"/>
          <w:szCs w:val="24"/>
        </w:rPr>
        <w:t xml:space="preserve">medicine </w:t>
      </w:r>
      <w:r w:rsidR="00FA149F" w:rsidRPr="0035237B">
        <w:rPr>
          <w:sz w:val="24"/>
          <w:szCs w:val="24"/>
        </w:rPr>
        <w:t xml:space="preserve">in class or </w:t>
      </w:r>
      <w:r w:rsidR="003361C9" w:rsidRPr="0035237B">
        <w:rPr>
          <w:sz w:val="24"/>
          <w:szCs w:val="24"/>
        </w:rPr>
        <w:t>q</w:t>
      </w:r>
      <w:r w:rsidR="00FA149F" w:rsidRPr="0035237B">
        <w:rPr>
          <w:sz w:val="24"/>
          <w:szCs w:val="24"/>
        </w:rPr>
        <w:t xml:space="preserve">uality </w:t>
      </w:r>
      <w:r w:rsidR="003361C9" w:rsidRPr="0035237B">
        <w:rPr>
          <w:sz w:val="24"/>
          <w:szCs w:val="24"/>
        </w:rPr>
        <w:t>u</w:t>
      </w:r>
      <w:r w:rsidR="00FA149F" w:rsidRPr="0035237B">
        <w:rPr>
          <w:sz w:val="24"/>
          <w:szCs w:val="24"/>
        </w:rPr>
        <w:t xml:space="preserve">se of </w:t>
      </w:r>
      <w:r w:rsidR="003361C9" w:rsidRPr="0035237B">
        <w:rPr>
          <w:sz w:val="24"/>
          <w:szCs w:val="24"/>
        </w:rPr>
        <w:t>m</w:t>
      </w:r>
      <w:r w:rsidR="00FA149F" w:rsidRPr="0035237B">
        <w:rPr>
          <w:sz w:val="24"/>
          <w:szCs w:val="24"/>
        </w:rPr>
        <w:t xml:space="preserve">edicines </w:t>
      </w:r>
      <w:r w:rsidR="0042129E" w:rsidRPr="0035237B">
        <w:rPr>
          <w:sz w:val="24"/>
          <w:szCs w:val="24"/>
        </w:rPr>
        <w:t>concerns</w:t>
      </w:r>
      <w:r w:rsidR="005C053B" w:rsidRPr="0035237B">
        <w:rPr>
          <w:sz w:val="24"/>
          <w:szCs w:val="24"/>
        </w:rPr>
        <w:t xml:space="preserve">. </w:t>
      </w:r>
      <w:r w:rsidR="008F7F63" w:rsidRPr="0035237B">
        <w:rPr>
          <w:sz w:val="24"/>
          <w:szCs w:val="24"/>
        </w:rPr>
        <w:t xml:space="preserve">The </w:t>
      </w:r>
      <w:r w:rsidR="005C053B" w:rsidRPr="0035237B">
        <w:rPr>
          <w:sz w:val="24"/>
          <w:szCs w:val="24"/>
        </w:rPr>
        <w:t>a</w:t>
      </w:r>
      <w:r w:rsidR="008F7F63" w:rsidRPr="0035237B">
        <w:rPr>
          <w:sz w:val="24"/>
          <w:szCs w:val="24"/>
        </w:rPr>
        <w:t xml:space="preserve">genda </w:t>
      </w:r>
      <w:r w:rsidR="005C053B" w:rsidRPr="0035237B">
        <w:rPr>
          <w:sz w:val="24"/>
          <w:szCs w:val="24"/>
        </w:rPr>
        <w:t xml:space="preserve">for the </w:t>
      </w:r>
      <w:r w:rsidR="00CE1361">
        <w:rPr>
          <w:sz w:val="24"/>
          <w:szCs w:val="24"/>
        </w:rPr>
        <w:t>March 2021</w:t>
      </w:r>
      <w:r w:rsidR="005C053B" w:rsidRPr="0035237B">
        <w:rPr>
          <w:sz w:val="24"/>
          <w:szCs w:val="24"/>
        </w:rPr>
        <w:t xml:space="preserve"> PBAC meeting </w:t>
      </w:r>
      <w:r w:rsidR="008F7F63" w:rsidRPr="0035237B">
        <w:rPr>
          <w:sz w:val="24"/>
          <w:szCs w:val="24"/>
        </w:rPr>
        <w:t xml:space="preserve">can be found </w:t>
      </w:r>
      <w:r w:rsidR="00E013AC" w:rsidRPr="0035237B">
        <w:rPr>
          <w:sz w:val="24"/>
          <w:szCs w:val="24"/>
        </w:rPr>
        <w:t xml:space="preserve">on the </w:t>
      </w:r>
      <w:hyperlink r:id="rId9" w:history="1">
        <w:r w:rsidR="00E013AC" w:rsidRPr="0035237B">
          <w:rPr>
            <w:rStyle w:val="Hyperlink"/>
            <w:sz w:val="24"/>
            <w:szCs w:val="24"/>
          </w:rPr>
          <w:t>PBS</w:t>
        </w:r>
        <w:r w:rsidR="006E3AF2">
          <w:rPr>
            <w:rStyle w:val="Hyperlink"/>
            <w:sz w:val="24"/>
            <w:szCs w:val="24"/>
          </w:rPr>
          <w:t> </w:t>
        </w:r>
        <w:r w:rsidR="00E013AC" w:rsidRPr="0035237B">
          <w:rPr>
            <w:rStyle w:val="Hyperlink"/>
            <w:sz w:val="24"/>
            <w:szCs w:val="24"/>
          </w:rPr>
          <w:t>website</w:t>
        </w:r>
      </w:hyperlink>
      <w:r w:rsidR="00E013AC" w:rsidRPr="0035237B">
        <w:rPr>
          <w:sz w:val="24"/>
          <w:szCs w:val="24"/>
        </w:rPr>
        <w:t>.</w:t>
      </w:r>
    </w:p>
    <w:p w14:paraId="64396CD2" w14:textId="77777777" w:rsidR="00A453E3" w:rsidRDefault="00A453E3" w:rsidP="008B6946">
      <w:pPr>
        <w:rPr>
          <w:sz w:val="24"/>
          <w:szCs w:val="24"/>
        </w:rPr>
      </w:pPr>
    </w:p>
    <w:p w14:paraId="0A108F68" w14:textId="77777777"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14:paraId="5E55EBFC" w14:textId="0F17EA28" w:rsidR="00591C2B" w:rsidRPr="00B12248" w:rsidRDefault="00CD4F83" w:rsidP="00F4413F">
      <w:pPr>
        <w:ind w:right="-305"/>
        <w:rPr>
          <w:sz w:val="24"/>
          <w:szCs w:val="24"/>
        </w:rPr>
      </w:pPr>
      <w:r w:rsidRPr="00B12248">
        <w:rPr>
          <w:sz w:val="24"/>
          <w:szCs w:val="24"/>
        </w:rPr>
        <w:t xml:space="preserve">DUSC </w:t>
      </w:r>
      <w:r w:rsidR="001071DA" w:rsidRPr="00B12248">
        <w:rPr>
          <w:sz w:val="24"/>
          <w:szCs w:val="24"/>
        </w:rPr>
        <w:t xml:space="preserve">regularly </w:t>
      </w:r>
      <w:r w:rsidR="00DA5030" w:rsidRPr="00B12248">
        <w:rPr>
          <w:sz w:val="24"/>
          <w:szCs w:val="24"/>
        </w:rPr>
        <w:t>examines</w:t>
      </w:r>
      <w:r w:rsidRPr="00B12248">
        <w:rPr>
          <w:sz w:val="24"/>
          <w:szCs w:val="24"/>
        </w:rPr>
        <w:t xml:space="preserve"> </w:t>
      </w:r>
      <w:r w:rsidR="00DA5030" w:rsidRPr="00B12248">
        <w:rPr>
          <w:sz w:val="24"/>
          <w:szCs w:val="24"/>
        </w:rPr>
        <w:t xml:space="preserve">utilisation of </w:t>
      </w:r>
      <w:r w:rsidR="00060B95" w:rsidRPr="00AA5D66">
        <w:rPr>
          <w:sz w:val="24"/>
          <w:szCs w:val="24"/>
        </w:rPr>
        <w:t xml:space="preserve">Pharmaceutical Benefits Scheme </w:t>
      </w:r>
      <w:r w:rsidR="00060B95">
        <w:rPr>
          <w:sz w:val="24"/>
          <w:szCs w:val="24"/>
        </w:rPr>
        <w:t>(</w:t>
      </w:r>
      <w:r w:rsidR="00F77C55" w:rsidRPr="00B12248">
        <w:rPr>
          <w:sz w:val="24"/>
          <w:szCs w:val="24"/>
        </w:rPr>
        <w:t>PBS</w:t>
      </w:r>
      <w:r w:rsidR="00060B95">
        <w:rPr>
          <w:sz w:val="24"/>
          <w:szCs w:val="24"/>
        </w:rPr>
        <w:t>)</w:t>
      </w:r>
      <w:r w:rsidR="00F77C55" w:rsidRPr="00B12248">
        <w:rPr>
          <w:sz w:val="24"/>
          <w:szCs w:val="24"/>
        </w:rPr>
        <w:t xml:space="preserve"> items when there is at least </w:t>
      </w:r>
      <w:r w:rsidR="00D144A5" w:rsidRPr="00B12248">
        <w:rPr>
          <w:sz w:val="24"/>
          <w:szCs w:val="24"/>
        </w:rPr>
        <w:t>24</w:t>
      </w:r>
      <w:r w:rsidRPr="00B12248">
        <w:rPr>
          <w:sz w:val="24"/>
          <w:szCs w:val="24"/>
        </w:rPr>
        <w:t xml:space="preserve"> months of prescription data </w:t>
      </w:r>
      <w:r w:rsidR="00F77C55" w:rsidRPr="00B12248">
        <w:rPr>
          <w:sz w:val="24"/>
          <w:szCs w:val="24"/>
        </w:rPr>
        <w:t xml:space="preserve">available </w:t>
      </w:r>
      <w:r w:rsidRPr="00B12248">
        <w:rPr>
          <w:sz w:val="24"/>
          <w:szCs w:val="24"/>
        </w:rPr>
        <w:t xml:space="preserve">and where DUSC </w:t>
      </w:r>
      <w:r w:rsidR="00590036" w:rsidRPr="00B12248">
        <w:rPr>
          <w:sz w:val="24"/>
          <w:szCs w:val="24"/>
        </w:rPr>
        <w:t xml:space="preserve">or the PBAC </w:t>
      </w:r>
      <w:r w:rsidRPr="00B12248">
        <w:rPr>
          <w:sz w:val="24"/>
          <w:szCs w:val="24"/>
        </w:rPr>
        <w:t>has</w:t>
      </w:r>
      <w:r w:rsidR="00093ECA">
        <w:rPr>
          <w:sz w:val="24"/>
          <w:szCs w:val="24"/>
        </w:rPr>
        <w:t xml:space="preserve"> </w:t>
      </w:r>
      <w:r w:rsidRPr="00B12248">
        <w:rPr>
          <w:sz w:val="24"/>
          <w:szCs w:val="24"/>
        </w:rPr>
        <w:t xml:space="preserve">highlighted items of interest. </w:t>
      </w:r>
      <w:r w:rsidR="00FA149F" w:rsidRPr="00B12248">
        <w:rPr>
          <w:sz w:val="24"/>
          <w:szCs w:val="24"/>
        </w:rPr>
        <w:t>When a</w:t>
      </w:r>
      <w:r w:rsidR="003D6C07" w:rsidRPr="00B12248">
        <w:rPr>
          <w:sz w:val="24"/>
          <w:szCs w:val="24"/>
        </w:rPr>
        <w:t>n analysis</w:t>
      </w:r>
      <w:r w:rsidR="00DA5030" w:rsidRPr="00B12248">
        <w:rPr>
          <w:sz w:val="24"/>
          <w:szCs w:val="24"/>
        </w:rPr>
        <w:t xml:space="preserve"> of u</w:t>
      </w:r>
      <w:r w:rsidR="003D6C07" w:rsidRPr="00B12248">
        <w:rPr>
          <w:sz w:val="24"/>
          <w:szCs w:val="24"/>
        </w:rPr>
        <w:t>tilisation</w:t>
      </w:r>
      <w:r w:rsidR="001071DA" w:rsidRPr="00B12248">
        <w:rPr>
          <w:sz w:val="24"/>
          <w:szCs w:val="24"/>
        </w:rPr>
        <w:t xml:space="preserve"> is to be undertaken</w:t>
      </w:r>
      <w:r w:rsidR="00FA149F" w:rsidRPr="00B12248">
        <w:rPr>
          <w:sz w:val="24"/>
          <w:szCs w:val="24"/>
        </w:rPr>
        <w:t xml:space="preserve"> sponsors are notified,</w:t>
      </w:r>
      <w:r w:rsidR="001071DA" w:rsidRPr="00B12248">
        <w:rPr>
          <w:sz w:val="24"/>
          <w:szCs w:val="24"/>
        </w:rPr>
        <w:t xml:space="preserve"> </w:t>
      </w:r>
      <w:r w:rsidR="00FA149F" w:rsidRPr="00B12248">
        <w:rPr>
          <w:sz w:val="24"/>
          <w:szCs w:val="24"/>
        </w:rPr>
        <w:t>provided with a copy of the re</w:t>
      </w:r>
      <w:r w:rsidR="00DA5030" w:rsidRPr="00B12248">
        <w:rPr>
          <w:sz w:val="24"/>
          <w:szCs w:val="24"/>
        </w:rPr>
        <w:t>port</w:t>
      </w:r>
      <w:r w:rsidR="00FA149F" w:rsidRPr="00B12248">
        <w:rPr>
          <w:sz w:val="24"/>
          <w:szCs w:val="24"/>
        </w:rPr>
        <w:t xml:space="preserve"> and an opportunity to comment</w:t>
      </w:r>
      <w:r w:rsidR="001071DA" w:rsidRPr="00B12248">
        <w:rPr>
          <w:sz w:val="24"/>
          <w:szCs w:val="24"/>
        </w:rPr>
        <w:t xml:space="preserve"> prior to the DUSC meeting.</w:t>
      </w:r>
      <w:r w:rsidR="00591C2B" w:rsidRPr="00B12248">
        <w:rPr>
          <w:sz w:val="24"/>
          <w:szCs w:val="24"/>
        </w:rPr>
        <w:t xml:space="preserve"> Reviews to be considered by the PBAC are also published </w:t>
      </w:r>
      <w:r w:rsidR="00021AF3" w:rsidRPr="00B12248">
        <w:rPr>
          <w:sz w:val="24"/>
          <w:szCs w:val="24"/>
        </w:rPr>
        <w:t>in</w:t>
      </w:r>
      <w:r w:rsidR="00591C2B" w:rsidRPr="00B12248">
        <w:rPr>
          <w:sz w:val="24"/>
          <w:szCs w:val="24"/>
        </w:rPr>
        <w:t xml:space="preserve"> the </w:t>
      </w:r>
      <w:hyperlink r:id="rId10" w:history="1">
        <w:r w:rsidR="00591C2B" w:rsidRPr="00B12248">
          <w:rPr>
            <w:rStyle w:val="Hyperlink"/>
            <w:sz w:val="24"/>
            <w:szCs w:val="24"/>
          </w:rPr>
          <w:t xml:space="preserve">PBAC </w:t>
        </w:r>
        <w:r w:rsidR="00021AF3" w:rsidRPr="00B12248">
          <w:rPr>
            <w:rStyle w:val="Hyperlink"/>
            <w:sz w:val="24"/>
            <w:szCs w:val="24"/>
          </w:rPr>
          <w:t>meeting</w:t>
        </w:r>
        <w:r w:rsidR="00591C2B" w:rsidRPr="00B12248">
          <w:rPr>
            <w:rStyle w:val="Hyperlink"/>
            <w:sz w:val="24"/>
            <w:szCs w:val="24"/>
          </w:rPr>
          <w:t xml:space="preserve"> agenda</w:t>
        </w:r>
      </w:hyperlink>
      <w:r w:rsidR="00591C2B" w:rsidRPr="00B12248">
        <w:rPr>
          <w:sz w:val="24"/>
          <w:szCs w:val="24"/>
        </w:rPr>
        <w:t>.</w:t>
      </w:r>
      <w:r w:rsidR="00204055">
        <w:rPr>
          <w:sz w:val="24"/>
          <w:szCs w:val="24"/>
        </w:rPr>
        <w:t xml:space="preserve"> </w:t>
      </w:r>
      <w:r w:rsidR="00B0144A" w:rsidRPr="00B12248">
        <w:rPr>
          <w:sz w:val="24"/>
          <w:szCs w:val="24"/>
        </w:rPr>
        <w:t>All repo</w:t>
      </w:r>
      <w:r w:rsidR="003833F2" w:rsidRPr="00B12248">
        <w:rPr>
          <w:sz w:val="24"/>
          <w:szCs w:val="24"/>
        </w:rPr>
        <w:t>rts, Sponsor comments and DUSC assessment</w:t>
      </w:r>
      <w:r w:rsidR="00B0144A" w:rsidRPr="00B12248">
        <w:rPr>
          <w:sz w:val="24"/>
          <w:szCs w:val="24"/>
        </w:rPr>
        <w:t xml:space="preserve"> of the reports are subsequently provided to the PBAC.</w:t>
      </w:r>
    </w:p>
    <w:p w14:paraId="58B7E5FC" w14:textId="77777777" w:rsidR="00021AF3" w:rsidRPr="00B12248" w:rsidRDefault="00021AF3" w:rsidP="00D97B8F">
      <w:pPr>
        <w:rPr>
          <w:sz w:val="24"/>
          <w:szCs w:val="24"/>
        </w:rPr>
      </w:pPr>
    </w:p>
    <w:p w14:paraId="23C129C8" w14:textId="45AE53AC" w:rsidR="00101877" w:rsidRPr="00CA347D" w:rsidRDefault="00101877" w:rsidP="008B6946">
      <w:pPr>
        <w:rPr>
          <w:sz w:val="24"/>
          <w:szCs w:val="24"/>
        </w:rPr>
      </w:pPr>
      <w:r w:rsidRPr="00B12248">
        <w:rPr>
          <w:sz w:val="24"/>
          <w:szCs w:val="24"/>
        </w:rPr>
        <w:t xml:space="preserve">DUSC </w:t>
      </w:r>
      <w:r w:rsidR="003D6C07" w:rsidRPr="00B12248">
        <w:rPr>
          <w:sz w:val="24"/>
          <w:szCs w:val="24"/>
        </w:rPr>
        <w:t>reviewed</w:t>
      </w:r>
      <w:r w:rsidRPr="00B12248">
        <w:rPr>
          <w:sz w:val="24"/>
          <w:szCs w:val="24"/>
        </w:rPr>
        <w:t xml:space="preserve"> the utilisation of the following PBS medicines</w:t>
      </w:r>
      <w:r w:rsidR="001071DA" w:rsidRPr="00B12248">
        <w:rPr>
          <w:sz w:val="24"/>
          <w:szCs w:val="24"/>
        </w:rPr>
        <w:t xml:space="preserve"> </w:t>
      </w:r>
      <w:r w:rsidR="00CE1361">
        <w:rPr>
          <w:sz w:val="24"/>
          <w:szCs w:val="24"/>
        </w:rPr>
        <w:t>in February 2021</w:t>
      </w:r>
      <w:r w:rsidRPr="00B12248">
        <w:rPr>
          <w:sz w:val="24"/>
          <w:szCs w:val="24"/>
        </w:rPr>
        <w:t>:</w:t>
      </w:r>
    </w:p>
    <w:p w14:paraId="33B06DF6" w14:textId="1FED9A4D" w:rsidR="00B636E4" w:rsidRDefault="00B636E4" w:rsidP="009F597A">
      <w:pPr>
        <w:rPr>
          <w:sz w:val="24"/>
          <w:szCs w:val="24"/>
        </w:rPr>
      </w:pPr>
    </w:p>
    <w:p w14:paraId="662BC41A" w14:textId="77777777" w:rsidR="00D71C23" w:rsidRPr="00D71C23" w:rsidRDefault="00D71C23" w:rsidP="00D71C23">
      <w:pPr>
        <w:rPr>
          <w:rFonts w:asciiTheme="minorHAnsi" w:eastAsia="MS Mincho" w:hAnsiTheme="minorHAnsi" w:cstheme="minorHAnsi"/>
          <w:b/>
          <w:sz w:val="24"/>
          <w:szCs w:val="24"/>
        </w:rPr>
      </w:pPr>
      <w:proofErr w:type="spellStart"/>
      <w:r w:rsidRPr="00D71C23">
        <w:rPr>
          <w:rFonts w:asciiTheme="minorHAnsi" w:eastAsia="MS Mincho" w:hAnsiTheme="minorHAnsi" w:cstheme="minorHAnsi"/>
          <w:b/>
          <w:sz w:val="24"/>
          <w:szCs w:val="24"/>
        </w:rPr>
        <w:t>Nusinersen</w:t>
      </w:r>
      <w:proofErr w:type="spellEnd"/>
      <w:r w:rsidRPr="00D71C23">
        <w:rPr>
          <w:rFonts w:asciiTheme="minorHAnsi" w:eastAsia="MS Mincho" w:hAnsiTheme="minorHAnsi" w:cstheme="minorHAnsi"/>
          <w:b/>
          <w:sz w:val="24"/>
          <w:szCs w:val="24"/>
        </w:rPr>
        <w:t xml:space="preserve"> for spinal muscular atrophy (SMA)</w:t>
      </w:r>
    </w:p>
    <w:p w14:paraId="380EFB87" w14:textId="77777777" w:rsidR="00D71C23" w:rsidRPr="00D71C23" w:rsidRDefault="00D71C23" w:rsidP="00D71C23">
      <w:pPr>
        <w:rPr>
          <w:rFonts w:asciiTheme="minorHAnsi" w:hAnsiTheme="minorHAnsi" w:cstheme="minorHAnsi"/>
          <w:sz w:val="24"/>
          <w:szCs w:val="24"/>
        </w:rPr>
      </w:pPr>
      <w:r w:rsidRPr="00D71C23">
        <w:rPr>
          <w:rFonts w:asciiTheme="minorHAnsi" w:hAnsiTheme="minorHAnsi" w:cstheme="minorHAnsi"/>
          <w:sz w:val="24"/>
          <w:szCs w:val="24"/>
        </w:rPr>
        <w:t xml:space="preserve">DUSC reviewed the use of </w:t>
      </w:r>
      <w:proofErr w:type="spellStart"/>
      <w:r w:rsidRPr="00D71C23">
        <w:rPr>
          <w:rFonts w:asciiTheme="minorHAnsi" w:hAnsiTheme="minorHAnsi" w:cstheme="minorHAnsi"/>
          <w:sz w:val="24"/>
          <w:szCs w:val="24"/>
        </w:rPr>
        <w:t>nusinersen</w:t>
      </w:r>
      <w:proofErr w:type="spellEnd"/>
      <w:r w:rsidRPr="00D71C23">
        <w:rPr>
          <w:rFonts w:asciiTheme="minorHAnsi" w:hAnsiTheme="minorHAnsi" w:cstheme="minorHAnsi"/>
          <w:sz w:val="24"/>
          <w:szCs w:val="24"/>
        </w:rPr>
        <w:t xml:space="preserve"> for the treatment of Type I, II, </w:t>
      </w:r>
      <w:proofErr w:type="spellStart"/>
      <w:proofErr w:type="gramStart"/>
      <w:r w:rsidRPr="00D71C23">
        <w:rPr>
          <w:rFonts w:asciiTheme="minorHAnsi" w:hAnsiTheme="minorHAnsi" w:cstheme="minorHAnsi"/>
          <w:sz w:val="24"/>
          <w:szCs w:val="24"/>
        </w:rPr>
        <w:t>IIIa</w:t>
      </w:r>
      <w:proofErr w:type="spellEnd"/>
      <w:proofErr w:type="gramEnd"/>
      <w:r w:rsidRPr="00D71C23">
        <w:rPr>
          <w:rFonts w:asciiTheme="minorHAnsi" w:hAnsiTheme="minorHAnsi" w:cstheme="minorHAnsi"/>
          <w:sz w:val="24"/>
          <w:szCs w:val="24"/>
        </w:rPr>
        <w:t xml:space="preserve"> SMA. In 2018, 140 patients were dispensed 591 </w:t>
      </w:r>
      <w:proofErr w:type="spellStart"/>
      <w:r w:rsidRPr="00D71C23">
        <w:rPr>
          <w:rFonts w:asciiTheme="minorHAnsi" w:hAnsiTheme="minorHAnsi" w:cstheme="minorHAnsi"/>
          <w:sz w:val="24"/>
          <w:szCs w:val="24"/>
        </w:rPr>
        <w:t>nusinersen</w:t>
      </w:r>
      <w:proofErr w:type="spellEnd"/>
      <w:r w:rsidRPr="00D71C23">
        <w:rPr>
          <w:rFonts w:asciiTheme="minorHAnsi" w:hAnsiTheme="minorHAnsi" w:cstheme="minorHAnsi"/>
          <w:sz w:val="24"/>
          <w:szCs w:val="24"/>
        </w:rPr>
        <w:t xml:space="preserve"> scripts. In 2019, 160 patients were dispensed 514 </w:t>
      </w:r>
      <w:proofErr w:type="spellStart"/>
      <w:r w:rsidRPr="00D71C23">
        <w:rPr>
          <w:rFonts w:asciiTheme="minorHAnsi" w:hAnsiTheme="minorHAnsi" w:cstheme="minorHAnsi"/>
          <w:sz w:val="24"/>
          <w:szCs w:val="24"/>
        </w:rPr>
        <w:t>nusinersen</w:t>
      </w:r>
      <w:proofErr w:type="spellEnd"/>
      <w:r w:rsidRPr="00D71C23">
        <w:rPr>
          <w:rFonts w:asciiTheme="minorHAnsi" w:hAnsiTheme="minorHAnsi" w:cstheme="minorHAnsi"/>
          <w:sz w:val="24"/>
          <w:szCs w:val="24"/>
        </w:rPr>
        <w:t xml:space="preserve"> scripts. Type II SMA was the most common type of SMA in patients receiving </w:t>
      </w:r>
      <w:proofErr w:type="spellStart"/>
      <w:r w:rsidRPr="00D71C23">
        <w:rPr>
          <w:rFonts w:asciiTheme="minorHAnsi" w:hAnsiTheme="minorHAnsi" w:cstheme="minorHAnsi"/>
          <w:sz w:val="24"/>
          <w:szCs w:val="24"/>
        </w:rPr>
        <w:t>nusinersen</w:t>
      </w:r>
      <w:proofErr w:type="spellEnd"/>
      <w:r w:rsidRPr="00D71C23">
        <w:rPr>
          <w:rFonts w:asciiTheme="minorHAnsi" w:hAnsiTheme="minorHAnsi" w:cstheme="minorHAnsi"/>
          <w:sz w:val="24"/>
          <w:szCs w:val="24"/>
        </w:rPr>
        <w:t xml:space="preserve"> treatment. The data was too immature to analyse the time on </w:t>
      </w:r>
      <w:proofErr w:type="spellStart"/>
      <w:r w:rsidRPr="00D71C23">
        <w:rPr>
          <w:rFonts w:asciiTheme="minorHAnsi" w:hAnsiTheme="minorHAnsi" w:cstheme="minorHAnsi"/>
          <w:sz w:val="24"/>
          <w:szCs w:val="24"/>
        </w:rPr>
        <w:t>nusinersen</w:t>
      </w:r>
      <w:proofErr w:type="spellEnd"/>
      <w:r w:rsidRPr="00D71C23">
        <w:rPr>
          <w:rFonts w:asciiTheme="minorHAnsi" w:hAnsiTheme="minorHAnsi" w:cstheme="minorHAnsi"/>
          <w:sz w:val="24"/>
          <w:szCs w:val="24"/>
        </w:rPr>
        <w:t xml:space="preserve"> treatment, the median treatment duration was not reached by the analysis end date. DUSC advised that a further analysis of the time on </w:t>
      </w:r>
      <w:proofErr w:type="spellStart"/>
      <w:r w:rsidRPr="00D71C23">
        <w:rPr>
          <w:rFonts w:asciiTheme="minorHAnsi" w:hAnsiTheme="minorHAnsi" w:cstheme="minorHAnsi"/>
          <w:sz w:val="24"/>
          <w:szCs w:val="24"/>
        </w:rPr>
        <w:t>nusinersen</w:t>
      </w:r>
      <w:proofErr w:type="spellEnd"/>
      <w:r w:rsidRPr="00D71C23">
        <w:rPr>
          <w:rFonts w:asciiTheme="minorHAnsi" w:hAnsiTheme="minorHAnsi" w:cstheme="minorHAnsi"/>
          <w:sz w:val="24"/>
          <w:szCs w:val="24"/>
        </w:rPr>
        <w:t xml:space="preserve"> treatment should be undertaken when sufficient data was available.</w:t>
      </w:r>
    </w:p>
    <w:p w14:paraId="31D43AF7" w14:textId="77777777" w:rsidR="00D71C23" w:rsidRPr="00D71C23" w:rsidRDefault="00D71C23" w:rsidP="00D71C23">
      <w:pPr>
        <w:rPr>
          <w:rFonts w:asciiTheme="minorHAnsi" w:hAnsiTheme="minorHAnsi" w:cstheme="minorHAnsi"/>
          <w:sz w:val="24"/>
          <w:szCs w:val="24"/>
        </w:rPr>
      </w:pPr>
    </w:p>
    <w:p w14:paraId="35E6F62A" w14:textId="77777777" w:rsidR="00D71C23" w:rsidRPr="00D71C23" w:rsidRDefault="00D71C23" w:rsidP="00D71C23">
      <w:pPr>
        <w:rPr>
          <w:rFonts w:asciiTheme="minorHAnsi" w:hAnsiTheme="minorHAnsi" w:cstheme="minorHAnsi"/>
          <w:sz w:val="24"/>
          <w:szCs w:val="24"/>
        </w:rPr>
      </w:pPr>
      <w:r w:rsidRPr="00D71C23">
        <w:rPr>
          <w:rFonts w:asciiTheme="minorHAnsi" w:hAnsiTheme="minorHAnsi" w:cstheme="minorHAnsi"/>
          <w:sz w:val="24"/>
          <w:szCs w:val="24"/>
        </w:rPr>
        <w:t>DUSC requested that the report be provided to the PBAC.</w:t>
      </w:r>
    </w:p>
    <w:p w14:paraId="79455236" w14:textId="77777777" w:rsidR="00D71C23" w:rsidRDefault="00D71C23" w:rsidP="009F597A">
      <w:pPr>
        <w:rPr>
          <w:sz w:val="24"/>
          <w:szCs w:val="24"/>
        </w:rPr>
      </w:pPr>
    </w:p>
    <w:p w14:paraId="3B1CC116" w14:textId="7F3D33D2" w:rsidR="004279D6" w:rsidRDefault="00C70C00" w:rsidP="00674A52">
      <w:pPr>
        <w:rPr>
          <w:rFonts w:eastAsia="MS Mincho"/>
          <w:b/>
          <w:sz w:val="24"/>
          <w:szCs w:val="24"/>
        </w:rPr>
      </w:pPr>
      <w:r>
        <w:rPr>
          <w:rFonts w:eastAsia="MS Mincho"/>
          <w:b/>
          <w:sz w:val="24"/>
          <w:szCs w:val="24"/>
        </w:rPr>
        <w:t>Ocular lubricants for severe dry eye syndrome</w:t>
      </w:r>
    </w:p>
    <w:p w14:paraId="2C792030" w14:textId="77777777" w:rsidR="00C70C00" w:rsidRPr="00C70C00" w:rsidRDefault="00C70C00" w:rsidP="00C70C00">
      <w:pPr>
        <w:rPr>
          <w:rFonts w:asciiTheme="minorHAnsi" w:hAnsiTheme="minorHAnsi" w:cstheme="minorHAnsi"/>
          <w:sz w:val="24"/>
          <w:szCs w:val="24"/>
        </w:rPr>
      </w:pPr>
      <w:r w:rsidRPr="00C70C00">
        <w:rPr>
          <w:rFonts w:asciiTheme="minorHAnsi" w:hAnsiTheme="minorHAnsi" w:cstheme="minorHAnsi"/>
          <w:sz w:val="24"/>
          <w:szCs w:val="24"/>
        </w:rPr>
        <w:t xml:space="preserve">DUSC reviewed the use of ocular lubricants for the treatment of severe dry eye syndrome. DUSC noted that there are currently a large number of ocular lubricant products listed on the Pharmaceutical Benefits Scheme (PBS) and that there has been substantial growth in the use of preservative-free (PF) lubricants. DUSC noted that the rising costs in the market were driven mainly by increased uptake of ocular lubricants that contain </w:t>
      </w:r>
      <w:proofErr w:type="spellStart"/>
      <w:r w:rsidRPr="00C70C00">
        <w:rPr>
          <w:rFonts w:asciiTheme="minorHAnsi" w:hAnsiTheme="minorHAnsi" w:cstheme="minorHAnsi"/>
          <w:sz w:val="24"/>
          <w:szCs w:val="24"/>
        </w:rPr>
        <w:t>hyaluronate</w:t>
      </w:r>
      <w:proofErr w:type="spellEnd"/>
      <w:r w:rsidRPr="00C70C00">
        <w:rPr>
          <w:rFonts w:asciiTheme="minorHAnsi" w:hAnsiTheme="minorHAnsi" w:cstheme="minorHAnsi"/>
          <w:sz w:val="24"/>
          <w:szCs w:val="24"/>
        </w:rPr>
        <w:t xml:space="preserve"> sodium, which are </w:t>
      </w:r>
      <w:r w:rsidRPr="00C70C00">
        <w:rPr>
          <w:rFonts w:asciiTheme="minorHAnsi" w:hAnsiTheme="minorHAnsi" w:cstheme="minorHAnsi"/>
          <w:sz w:val="24"/>
          <w:szCs w:val="24"/>
        </w:rPr>
        <w:lastRenderedPageBreak/>
        <w:t>generally more costly. DUSC noted that most patients who were initiated on PF ocular lubricants did not follow the PBS authority listing requirement that a patient must be sensitive to preservatives in multi-dose eye drops to be eligible for PF eye drops.</w:t>
      </w:r>
    </w:p>
    <w:p w14:paraId="52EC7DC9" w14:textId="6FC2E965" w:rsidR="004279D6" w:rsidRDefault="004279D6" w:rsidP="00674A52">
      <w:pPr>
        <w:rPr>
          <w:rFonts w:eastAsia="MS Mincho"/>
          <w:b/>
          <w:sz w:val="24"/>
          <w:szCs w:val="24"/>
        </w:rPr>
      </w:pPr>
    </w:p>
    <w:p w14:paraId="69C6795D" w14:textId="77777777" w:rsidR="00C70C00" w:rsidRPr="00D71C23" w:rsidRDefault="00C70C00" w:rsidP="00C70C00">
      <w:pPr>
        <w:rPr>
          <w:rFonts w:asciiTheme="minorHAnsi" w:hAnsiTheme="minorHAnsi" w:cstheme="minorHAnsi"/>
          <w:sz w:val="24"/>
          <w:szCs w:val="24"/>
        </w:rPr>
      </w:pPr>
      <w:r w:rsidRPr="00D71C23">
        <w:rPr>
          <w:rFonts w:asciiTheme="minorHAnsi" w:hAnsiTheme="minorHAnsi" w:cstheme="minorHAnsi"/>
          <w:sz w:val="24"/>
          <w:szCs w:val="24"/>
        </w:rPr>
        <w:t>DUSC requested that the report be provided to the PBAC.</w:t>
      </w:r>
    </w:p>
    <w:p w14:paraId="71B50B82" w14:textId="77777777" w:rsidR="00CE1361" w:rsidRDefault="00CE1361" w:rsidP="008B6946">
      <w:pPr>
        <w:pStyle w:val="Heading2"/>
      </w:pPr>
    </w:p>
    <w:p w14:paraId="2A06376F" w14:textId="6EEC1380" w:rsidR="00813C07" w:rsidRPr="00144B72" w:rsidRDefault="00EC27B1" w:rsidP="008B6946">
      <w:pPr>
        <w:pStyle w:val="Heading2"/>
      </w:pPr>
      <w:r w:rsidRPr="00144B72">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14:paraId="4B8965C8" w14:textId="7C08B574" w:rsidR="00D06634" w:rsidRPr="00144B72" w:rsidRDefault="002B7EE2" w:rsidP="008B6946">
      <w:pPr>
        <w:rPr>
          <w:sz w:val="24"/>
          <w:szCs w:val="24"/>
        </w:rPr>
      </w:pPr>
      <w:r w:rsidRPr="00144B72">
        <w:rPr>
          <w:sz w:val="24"/>
          <w:szCs w:val="24"/>
        </w:rPr>
        <w:t xml:space="preserve">Utilisation </w:t>
      </w:r>
      <w:r w:rsidR="00DA5030" w:rsidRPr="00144B72">
        <w:rPr>
          <w:sz w:val="24"/>
          <w:szCs w:val="24"/>
        </w:rPr>
        <w:t>of t</w:t>
      </w:r>
      <w:r w:rsidR="005E1E28" w:rsidRPr="00144B72">
        <w:rPr>
          <w:sz w:val="24"/>
          <w:szCs w:val="24"/>
        </w:rPr>
        <w:t xml:space="preserve">he following </w:t>
      </w:r>
      <w:r w:rsidR="007D4108" w:rsidRPr="00144B72">
        <w:rPr>
          <w:sz w:val="24"/>
          <w:szCs w:val="24"/>
        </w:rPr>
        <w:t>medicine</w:t>
      </w:r>
      <w:r w:rsidR="0071525A">
        <w:rPr>
          <w:sz w:val="24"/>
          <w:szCs w:val="24"/>
        </w:rPr>
        <w:t>s</w:t>
      </w:r>
      <w:bookmarkStart w:id="0" w:name="_GoBack"/>
      <w:bookmarkEnd w:id="0"/>
      <w:r w:rsidR="00ED127B">
        <w:rPr>
          <w:sz w:val="24"/>
          <w:szCs w:val="24"/>
        </w:rPr>
        <w:t xml:space="preserve"> has</w:t>
      </w:r>
      <w:r w:rsidR="00D55ED4" w:rsidRPr="00144B72">
        <w:rPr>
          <w:sz w:val="24"/>
          <w:szCs w:val="24"/>
        </w:rPr>
        <w:t xml:space="preserve"> been </w:t>
      </w:r>
      <w:r w:rsidR="00EC27B1" w:rsidRPr="00144B72">
        <w:rPr>
          <w:sz w:val="24"/>
          <w:szCs w:val="24"/>
        </w:rPr>
        <w:t>selected for</w:t>
      </w:r>
      <w:r w:rsidR="005E1E28" w:rsidRPr="00144B72">
        <w:rPr>
          <w:sz w:val="24"/>
          <w:szCs w:val="24"/>
        </w:rPr>
        <w:t xml:space="preserve"> </w:t>
      </w:r>
      <w:r w:rsidRPr="00144B72">
        <w:rPr>
          <w:sz w:val="24"/>
          <w:szCs w:val="24"/>
        </w:rPr>
        <w:t xml:space="preserve">consideration </w:t>
      </w:r>
      <w:r w:rsidR="005E1E28" w:rsidRPr="00144B72">
        <w:rPr>
          <w:sz w:val="24"/>
          <w:szCs w:val="24"/>
        </w:rPr>
        <w:t xml:space="preserve">at </w:t>
      </w:r>
      <w:r w:rsidR="00AE46E7" w:rsidRPr="00144B72">
        <w:rPr>
          <w:sz w:val="24"/>
          <w:szCs w:val="24"/>
        </w:rPr>
        <w:t xml:space="preserve">future </w:t>
      </w:r>
      <w:r w:rsidR="005E1E28" w:rsidRPr="00144B72">
        <w:rPr>
          <w:sz w:val="24"/>
          <w:szCs w:val="24"/>
        </w:rPr>
        <w:t>DUSC meetin</w:t>
      </w:r>
      <w:r w:rsidR="00094597" w:rsidRPr="00144B72">
        <w:rPr>
          <w:sz w:val="24"/>
          <w:szCs w:val="24"/>
        </w:rPr>
        <w:t>g</w:t>
      </w:r>
      <w:r w:rsidR="00AE46E7" w:rsidRPr="00144B72">
        <w:rPr>
          <w:sz w:val="24"/>
          <w:szCs w:val="24"/>
        </w:rPr>
        <w:t>s.</w:t>
      </w:r>
    </w:p>
    <w:p w14:paraId="711275EE" w14:textId="77777777" w:rsidR="00513E5D" w:rsidRPr="0062222D" w:rsidRDefault="00513E5D" w:rsidP="008B6946">
      <w:pPr>
        <w:rPr>
          <w:sz w:val="24"/>
          <w:szCs w:val="24"/>
          <w:highlight w:val="yellow"/>
        </w:rPr>
      </w:pPr>
    </w:p>
    <w:p w14:paraId="1C400106" w14:textId="77777777" w:rsidR="007C4782" w:rsidRPr="007C4782" w:rsidRDefault="007C4782" w:rsidP="007C4782">
      <w:pPr>
        <w:pStyle w:val="ListParagraph"/>
        <w:autoSpaceDE w:val="0"/>
        <w:autoSpaceDN w:val="0"/>
        <w:adjustRightInd w:val="0"/>
        <w:ind w:left="0"/>
        <w:contextualSpacing/>
        <w:rPr>
          <w:b/>
          <w:szCs w:val="24"/>
        </w:rPr>
      </w:pPr>
      <w:r w:rsidRPr="007C4782">
        <w:rPr>
          <w:b/>
          <w:szCs w:val="24"/>
        </w:rPr>
        <w:t>Predicted versus Actual Utilisation Analysis</w:t>
      </w:r>
    </w:p>
    <w:p w14:paraId="03FAE60C" w14:textId="086B969E" w:rsidR="007C4782" w:rsidRDefault="004279D6" w:rsidP="004279D6">
      <w:pPr>
        <w:pStyle w:val="ListParagraph"/>
        <w:numPr>
          <w:ilvl w:val="0"/>
          <w:numId w:val="14"/>
        </w:numPr>
        <w:autoSpaceDE w:val="0"/>
        <w:autoSpaceDN w:val="0"/>
        <w:adjustRightInd w:val="0"/>
        <w:contextualSpacing/>
        <w:rPr>
          <w:szCs w:val="24"/>
        </w:rPr>
      </w:pPr>
      <w:proofErr w:type="spellStart"/>
      <w:r>
        <w:rPr>
          <w:szCs w:val="24"/>
        </w:rPr>
        <w:t>Guanfacine</w:t>
      </w:r>
      <w:proofErr w:type="spellEnd"/>
      <w:r>
        <w:rPr>
          <w:szCs w:val="24"/>
        </w:rPr>
        <w:t xml:space="preserve"> for </w:t>
      </w:r>
      <w:r w:rsidRPr="004279D6">
        <w:rPr>
          <w:szCs w:val="24"/>
        </w:rPr>
        <w:t>attention deficit hyperactivity disorder (ADHD</w:t>
      </w:r>
      <w:r>
        <w:rPr>
          <w:szCs w:val="24"/>
        </w:rPr>
        <w:t>)</w:t>
      </w:r>
    </w:p>
    <w:p w14:paraId="7BEA2749" w14:textId="529059F4" w:rsidR="004279D6" w:rsidRDefault="004279D6" w:rsidP="004279D6">
      <w:pPr>
        <w:pStyle w:val="ListParagraph"/>
        <w:numPr>
          <w:ilvl w:val="0"/>
          <w:numId w:val="14"/>
        </w:numPr>
        <w:autoSpaceDE w:val="0"/>
        <w:autoSpaceDN w:val="0"/>
        <w:adjustRightInd w:val="0"/>
        <w:contextualSpacing/>
        <w:rPr>
          <w:szCs w:val="24"/>
        </w:rPr>
      </w:pPr>
      <w:proofErr w:type="spellStart"/>
      <w:r>
        <w:rPr>
          <w:szCs w:val="24"/>
        </w:rPr>
        <w:t>Evolocumab</w:t>
      </w:r>
      <w:proofErr w:type="spellEnd"/>
      <w:r>
        <w:rPr>
          <w:szCs w:val="24"/>
        </w:rPr>
        <w:t xml:space="preserve"> for f</w:t>
      </w:r>
      <w:r w:rsidRPr="004279D6">
        <w:rPr>
          <w:szCs w:val="24"/>
        </w:rPr>
        <w:t xml:space="preserve">amilial heterozygous </w:t>
      </w:r>
      <w:proofErr w:type="spellStart"/>
      <w:r w:rsidRPr="004279D6">
        <w:rPr>
          <w:szCs w:val="24"/>
        </w:rPr>
        <w:t>hypercholesterolaemia</w:t>
      </w:r>
      <w:proofErr w:type="spellEnd"/>
    </w:p>
    <w:p w14:paraId="06D7C7E1" w14:textId="77777777" w:rsidR="004279D6" w:rsidRPr="00CE1361" w:rsidRDefault="004279D6" w:rsidP="004279D6">
      <w:pPr>
        <w:pStyle w:val="ListParagraph"/>
        <w:autoSpaceDE w:val="0"/>
        <w:autoSpaceDN w:val="0"/>
        <w:adjustRightInd w:val="0"/>
        <w:contextualSpacing/>
        <w:rPr>
          <w:szCs w:val="24"/>
        </w:rPr>
      </w:pPr>
    </w:p>
    <w:p w14:paraId="1C35C48E" w14:textId="254CE5B7" w:rsidR="007C4782" w:rsidRPr="007C4782" w:rsidRDefault="007C4782" w:rsidP="007C4782">
      <w:pPr>
        <w:pStyle w:val="ListParagraph"/>
        <w:autoSpaceDE w:val="0"/>
        <w:autoSpaceDN w:val="0"/>
        <w:adjustRightInd w:val="0"/>
        <w:ind w:left="0"/>
        <w:contextualSpacing/>
        <w:rPr>
          <w:b/>
          <w:szCs w:val="24"/>
        </w:rPr>
      </w:pPr>
      <w:r w:rsidRPr="007C4782">
        <w:rPr>
          <w:b/>
          <w:szCs w:val="24"/>
        </w:rPr>
        <w:t>Analysis of single or multiple medicines in a treatment area</w:t>
      </w:r>
    </w:p>
    <w:p w14:paraId="63829BC0" w14:textId="77777777" w:rsidR="004279D6" w:rsidRDefault="004279D6" w:rsidP="004279D6">
      <w:pPr>
        <w:pStyle w:val="ListParagraph"/>
        <w:numPr>
          <w:ilvl w:val="0"/>
          <w:numId w:val="13"/>
        </w:numPr>
        <w:autoSpaceDE w:val="0"/>
        <w:autoSpaceDN w:val="0"/>
        <w:adjustRightInd w:val="0"/>
        <w:contextualSpacing/>
        <w:rPr>
          <w:szCs w:val="24"/>
        </w:rPr>
      </w:pPr>
      <w:proofErr w:type="spellStart"/>
      <w:r>
        <w:rPr>
          <w:szCs w:val="24"/>
        </w:rPr>
        <w:t>Somatropin</w:t>
      </w:r>
      <w:proofErr w:type="spellEnd"/>
      <w:r>
        <w:rPr>
          <w:szCs w:val="24"/>
        </w:rPr>
        <w:t xml:space="preserve"> for </w:t>
      </w:r>
      <w:r w:rsidRPr="004279D6">
        <w:rPr>
          <w:szCs w:val="24"/>
        </w:rPr>
        <w:t>growth hormone therapy</w:t>
      </w:r>
    </w:p>
    <w:p w14:paraId="01D434B4" w14:textId="3C2E9DC4" w:rsidR="007C4782" w:rsidRPr="007C4782" w:rsidRDefault="007C4782" w:rsidP="004279D6">
      <w:pPr>
        <w:pStyle w:val="ListParagraph"/>
        <w:rPr>
          <w:szCs w:val="24"/>
        </w:rPr>
      </w:pPr>
    </w:p>
    <w:p w14:paraId="3F89BDE6" w14:textId="77777777" w:rsidR="007C4782" w:rsidRDefault="007C4782" w:rsidP="009D2858">
      <w:pPr>
        <w:rPr>
          <w:sz w:val="24"/>
          <w:szCs w:val="24"/>
        </w:rPr>
      </w:pPr>
    </w:p>
    <w:p w14:paraId="4F31FAF7" w14:textId="5834EF7B" w:rsidR="009D2858" w:rsidRPr="00144B72" w:rsidRDefault="009D2858" w:rsidP="009D2858">
      <w:pPr>
        <w:rPr>
          <w:sz w:val="24"/>
          <w:szCs w:val="24"/>
        </w:rPr>
      </w:pPr>
      <w:r w:rsidRPr="00144B72">
        <w:rPr>
          <w:sz w:val="24"/>
          <w:szCs w:val="24"/>
        </w:rPr>
        <w:t>An outcome statement will be available following each meeting of DUSC. For further information, please contact the DUSC Secretariat at DUSC@health.gov.au.</w:t>
      </w:r>
    </w:p>
    <w:p w14:paraId="4B75B1D1" w14:textId="77777777" w:rsidR="00313B7D" w:rsidRPr="0062222D" w:rsidRDefault="00313B7D" w:rsidP="008B6946">
      <w:pPr>
        <w:rPr>
          <w:sz w:val="24"/>
          <w:szCs w:val="24"/>
          <w:highlight w:val="yellow"/>
        </w:rPr>
      </w:pPr>
    </w:p>
    <w:p w14:paraId="7D3381D4" w14:textId="77777777" w:rsidR="009B25AF" w:rsidRPr="0062222D" w:rsidRDefault="009B25AF" w:rsidP="008B6946">
      <w:pPr>
        <w:rPr>
          <w:sz w:val="24"/>
          <w:szCs w:val="24"/>
          <w:highlight w:val="yellow"/>
        </w:rPr>
      </w:pPr>
    </w:p>
    <w:p w14:paraId="3C08993A" w14:textId="77777777" w:rsidR="00002AE8" w:rsidRPr="00144B72" w:rsidRDefault="00303E60" w:rsidP="008B6946">
      <w:pPr>
        <w:rPr>
          <w:sz w:val="24"/>
          <w:szCs w:val="24"/>
        </w:rPr>
      </w:pPr>
      <w:r w:rsidRPr="00144B72">
        <w:rPr>
          <w:sz w:val="24"/>
          <w:szCs w:val="24"/>
        </w:rPr>
        <w:t>A/</w:t>
      </w:r>
      <w:r w:rsidR="00002AE8" w:rsidRPr="00144B72">
        <w:rPr>
          <w:sz w:val="24"/>
          <w:szCs w:val="24"/>
        </w:rPr>
        <w:t xml:space="preserve">Professor </w:t>
      </w:r>
      <w:r w:rsidR="009341E3" w:rsidRPr="00144B72">
        <w:rPr>
          <w:sz w:val="24"/>
          <w:szCs w:val="24"/>
        </w:rPr>
        <w:t>Chris</w:t>
      </w:r>
      <w:r w:rsidRPr="00144B72">
        <w:rPr>
          <w:sz w:val="24"/>
          <w:szCs w:val="24"/>
        </w:rPr>
        <w:t>topher</w:t>
      </w:r>
      <w:r w:rsidR="009341E3" w:rsidRPr="00144B72">
        <w:rPr>
          <w:sz w:val="24"/>
          <w:szCs w:val="24"/>
        </w:rPr>
        <w:t xml:space="preserve"> Etherton-Beer</w:t>
      </w:r>
    </w:p>
    <w:p w14:paraId="30EB1F9C" w14:textId="77777777" w:rsidR="00002AE8" w:rsidRPr="00144B72" w:rsidRDefault="00002AE8" w:rsidP="008B6946">
      <w:pPr>
        <w:rPr>
          <w:sz w:val="24"/>
          <w:szCs w:val="24"/>
        </w:rPr>
      </w:pPr>
      <w:r w:rsidRPr="00144B72">
        <w:rPr>
          <w:sz w:val="24"/>
          <w:szCs w:val="24"/>
        </w:rPr>
        <w:t>Chair</w:t>
      </w:r>
    </w:p>
    <w:p w14:paraId="47287FD5" w14:textId="77777777" w:rsidR="00002AE8" w:rsidRPr="003F06C8" w:rsidRDefault="00C9017B" w:rsidP="008B6946">
      <w:pPr>
        <w:rPr>
          <w:sz w:val="24"/>
          <w:szCs w:val="24"/>
        </w:rPr>
      </w:pPr>
      <w:r w:rsidRPr="00144B72">
        <w:rPr>
          <w:sz w:val="24"/>
          <w:szCs w:val="24"/>
        </w:rPr>
        <w:t>Drug Utilisation Sub-Committee</w:t>
      </w:r>
    </w:p>
    <w:sectPr w:rsidR="00002AE8" w:rsidRPr="003F06C8" w:rsidSect="00F4413F">
      <w:headerReference w:type="even" r:id="rId11"/>
      <w:headerReference w:type="default" r:id="rId12"/>
      <w:footerReference w:type="even" r:id="rId13"/>
      <w:footerReference w:type="default" r:id="rId14"/>
      <w:headerReference w:type="first" r:id="rId15"/>
      <w:footerReference w:type="first" r:id="rId16"/>
      <w:pgSz w:w="11908" w:h="16833" w:code="9"/>
      <w:pgMar w:top="1134" w:right="1134" w:bottom="993"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B7068" w14:textId="77777777" w:rsidR="004438C3" w:rsidRDefault="004438C3">
      <w:r>
        <w:separator/>
      </w:r>
    </w:p>
  </w:endnote>
  <w:endnote w:type="continuationSeparator" w:id="0">
    <w:p w14:paraId="75B21E3B" w14:textId="77777777" w:rsidR="004438C3" w:rsidRDefault="0044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B467" w14:textId="77777777" w:rsidR="00CE1361" w:rsidRDefault="00CE1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7D2B" w14:textId="14E8239F" w:rsidR="00CA1AA9" w:rsidRDefault="00CA1AA9">
    <w:pPr>
      <w:pStyle w:val="Footer"/>
      <w:jc w:val="center"/>
    </w:pPr>
    <w:r>
      <w:fldChar w:fldCharType="begin"/>
    </w:r>
    <w:r>
      <w:instrText xml:space="preserve"> PAGE   \* MERGEFORMAT </w:instrText>
    </w:r>
    <w:r>
      <w:fldChar w:fldCharType="separate"/>
    </w:r>
    <w:r w:rsidR="0071525A">
      <w:rPr>
        <w:noProof/>
      </w:rPr>
      <w:t>2</w:t>
    </w:r>
    <w:r>
      <w:rPr>
        <w:noProof/>
      </w:rPr>
      <w:fldChar w:fldCharType="end"/>
    </w:r>
  </w:p>
  <w:p w14:paraId="549CD2A8" w14:textId="77777777" w:rsidR="00CA1AA9" w:rsidRDefault="00CA1AA9" w:rsidP="00F1203C">
    <w:pPr>
      <w:pStyle w:val="Footer"/>
      <w:tabs>
        <w:tab w:val="clear" w:pos="4153"/>
        <w:tab w:val="clear" w:pos="8306"/>
        <w:tab w:val="center" w:pos="4666"/>
        <w:tab w:val="right" w:pos="933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66C0" w14:textId="7E00DA2C" w:rsidR="00CA1AA9" w:rsidRDefault="00CA1AA9">
    <w:pPr>
      <w:pStyle w:val="Footer"/>
      <w:jc w:val="center"/>
    </w:pPr>
    <w:r>
      <w:fldChar w:fldCharType="begin"/>
    </w:r>
    <w:r>
      <w:instrText xml:space="preserve"> PAGE   \* MERGEFORMAT </w:instrText>
    </w:r>
    <w:r>
      <w:fldChar w:fldCharType="separate"/>
    </w:r>
    <w:r w:rsidR="0071525A">
      <w:rPr>
        <w:noProof/>
      </w:rPr>
      <w:t>1</w:t>
    </w:r>
    <w:r>
      <w:rPr>
        <w:noProof/>
      </w:rPr>
      <w:fldChar w:fldCharType="end"/>
    </w:r>
  </w:p>
  <w:p w14:paraId="4CDDBBE6"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1B984" w14:textId="77777777" w:rsidR="004438C3" w:rsidRDefault="004438C3">
      <w:r>
        <w:separator/>
      </w:r>
    </w:p>
  </w:footnote>
  <w:footnote w:type="continuationSeparator" w:id="0">
    <w:p w14:paraId="0AC3B1BD" w14:textId="77777777" w:rsidR="004438C3" w:rsidRDefault="00443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7E15C" w14:textId="77777777" w:rsidR="00CE1361" w:rsidRDefault="00CE1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38484" w14:textId="77777777" w:rsidR="00CE1361" w:rsidRDefault="00CE1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1CD34" w14:textId="77777777" w:rsidR="00CA1AA9" w:rsidRDefault="00D562AF">
    <w:pPr>
      <w:pStyle w:val="Header"/>
    </w:pPr>
    <w:r>
      <w:rPr>
        <w:noProof/>
      </w:rPr>
      <w:drawing>
        <wp:inline distT="0" distB="0" distL="0" distR="0" wp14:anchorId="23846E48" wp14:editId="2A877774">
          <wp:extent cx="800100" cy="542925"/>
          <wp:effectExtent l="0" t="0" r="0" b="9525"/>
          <wp:docPr id="2" name="Picture 2"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3D2A0767" w14:textId="77777777" w:rsidR="00CA1AA9" w:rsidRPr="00CA347D" w:rsidRDefault="00CA1AA9" w:rsidP="00CA347D">
    <w:pPr>
      <w:pStyle w:val="Heading1"/>
      <w:rPr>
        <w:rStyle w:val="Heading1Char"/>
        <w:b/>
      </w:rPr>
    </w:pPr>
    <w:r w:rsidRPr="00CA347D">
      <w:rPr>
        <w:rStyle w:val="Heading1Char"/>
        <w:b/>
      </w:rPr>
      <w:t>Drug Utilisation Sub-Committee</w:t>
    </w:r>
  </w:p>
  <w:p w14:paraId="106AC726" w14:textId="7A534CED" w:rsidR="00CA1AA9" w:rsidRPr="00CA347D" w:rsidRDefault="00CA1AA9" w:rsidP="00CA347D">
    <w:pPr>
      <w:pStyle w:val="Heading1"/>
    </w:pPr>
    <w:r w:rsidRPr="00CA347D">
      <w:rPr>
        <w:rStyle w:val="Heading1Char"/>
        <w:b/>
      </w:rPr>
      <w:t xml:space="preserve">Outcome Statement </w:t>
    </w:r>
    <w:r w:rsidR="00CE1361">
      <w:rPr>
        <w:rStyle w:val="Heading1Char"/>
        <w:b/>
      </w:rPr>
      <w:t>4 - 5</w:t>
    </w:r>
    <w:r w:rsidR="00674A52">
      <w:rPr>
        <w:rStyle w:val="Heading1Char"/>
        <w:b/>
      </w:rPr>
      <w:t xml:space="preserve"> </w:t>
    </w:r>
    <w:r w:rsidR="00CE1361">
      <w:rPr>
        <w:rStyle w:val="Heading1Char"/>
        <w:b/>
      </w:rPr>
      <w:t>February 2021</w:t>
    </w:r>
  </w:p>
  <w:p w14:paraId="6B66BBBE"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59B3"/>
    <w:multiLevelType w:val="hybridMultilevel"/>
    <w:tmpl w:val="E5048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F96167"/>
    <w:multiLevelType w:val="hybridMultilevel"/>
    <w:tmpl w:val="053C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B07B15"/>
    <w:multiLevelType w:val="hybridMultilevel"/>
    <w:tmpl w:val="F886C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0C22A1"/>
    <w:multiLevelType w:val="hybridMultilevel"/>
    <w:tmpl w:val="FE9E8D84"/>
    <w:lvl w:ilvl="0" w:tplc="D4E046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2880EB7"/>
    <w:multiLevelType w:val="hybridMultilevel"/>
    <w:tmpl w:val="8FE002E0"/>
    <w:lvl w:ilvl="0" w:tplc="0C090001">
      <w:start w:val="1"/>
      <w:numFmt w:val="bullet"/>
      <w:lvlText w:val=""/>
      <w:lvlJc w:val="left"/>
      <w:pPr>
        <w:ind w:left="360" w:hanging="360"/>
      </w:pPr>
      <w:rPr>
        <w:rFonts w:ascii="Symbol" w:hAnsi="Symbol" w:hint="default"/>
      </w:rPr>
    </w:lvl>
    <w:lvl w:ilvl="1" w:tplc="4E00BE3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2"/>
  </w:num>
  <w:num w:numId="4">
    <w:abstractNumId w:val="2"/>
  </w:num>
  <w:num w:numId="5">
    <w:abstractNumId w:val="6"/>
  </w:num>
  <w:num w:numId="6">
    <w:abstractNumId w:val="3"/>
  </w:num>
  <w:num w:numId="7">
    <w:abstractNumId w:val="1"/>
  </w:num>
  <w:num w:numId="8">
    <w:abstractNumId w:val="11"/>
  </w:num>
  <w:num w:numId="9">
    <w:abstractNumId w:val="5"/>
  </w:num>
  <w:num w:numId="10">
    <w:abstractNumId w:val="13"/>
  </w:num>
  <w:num w:numId="11">
    <w:abstractNumId w:val="9"/>
  </w:num>
  <w:num w:numId="12">
    <w:abstractNumId w:val="10"/>
  </w:num>
  <w:num w:numId="13">
    <w:abstractNumId w:val="8"/>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D8"/>
    <w:rsid w:val="0000190C"/>
    <w:rsid w:val="00002AE8"/>
    <w:rsid w:val="00006EF5"/>
    <w:rsid w:val="00007D7D"/>
    <w:rsid w:val="00010EA8"/>
    <w:rsid w:val="00011A32"/>
    <w:rsid w:val="000142CB"/>
    <w:rsid w:val="0001578A"/>
    <w:rsid w:val="00021898"/>
    <w:rsid w:val="00021AF3"/>
    <w:rsid w:val="000253E4"/>
    <w:rsid w:val="0002613B"/>
    <w:rsid w:val="00026898"/>
    <w:rsid w:val="00027AA0"/>
    <w:rsid w:val="000304CA"/>
    <w:rsid w:val="000308AD"/>
    <w:rsid w:val="00032252"/>
    <w:rsid w:val="0003541E"/>
    <w:rsid w:val="00037A0C"/>
    <w:rsid w:val="00040565"/>
    <w:rsid w:val="0004475E"/>
    <w:rsid w:val="00047105"/>
    <w:rsid w:val="0005073D"/>
    <w:rsid w:val="00054C1A"/>
    <w:rsid w:val="00055BF6"/>
    <w:rsid w:val="00060B95"/>
    <w:rsid w:val="00061505"/>
    <w:rsid w:val="0006189D"/>
    <w:rsid w:val="00061BD3"/>
    <w:rsid w:val="00070082"/>
    <w:rsid w:val="000701B8"/>
    <w:rsid w:val="00071505"/>
    <w:rsid w:val="00072921"/>
    <w:rsid w:val="0007382E"/>
    <w:rsid w:val="0007482C"/>
    <w:rsid w:val="00076E4C"/>
    <w:rsid w:val="00080B21"/>
    <w:rsid w:val="00080FDB"/>
    <w:rsid w:val="0009006A"/>
    <w:rsid w:val="00090474"/>
    <w:rsid w:val="00093ECA"/>
    <w:rsid w:val="00094597"/>
    <w:rsid w:val="00096B9B"/>
    <w:rsid w:val="0009747E"/>
    <w:rsid w:val="000A02F8"/>
    <w:rsid w:val="000A0713"/>
    <w:rsid w:val="000A13FE"/>
    <w:rsid w:val="000A31AD"/>
    <w:rsid w:val="000A53A6"/>
    <w:rsid w:val="000B14A0"/>
    <w:rsid w:val="000B52EE"/>
    <w:rsid w:val="000B5448"/>
    <w:rsid w:val="000C1D0B"/>
    <w:rsid w:val="000C58C8"/>
    <w:rsid w:val="000D2142"/>
    <w:rsid w:val="000D6712"/>
    <w:rsid w:val="000E178A"/>
    <w:rsid w:val="000E18F9"/>
    <w:rsid w:val="000F3387"/>
    <w:rsid w:val="000F4968"/>
    <w:rsid w:val="000F5C42"/>
    <w:rsid w:val="000F70AE"/>
    <w:rsid w:val="000F73FB"/>
    <w:rsid w:val="000F7CE1"/>
    <w:rsid w:val="00101877"/>
    <w:rsid w:val="00102579"/>
    <w:rsid w:val="00103AB0"/>
    <w:rsid w:val="001062BB"/>
    <w:rsid w:val="00106A1B"/>
    <w:rsid w:val="001071DA"/>
    <w:rsid w:val="001145B4"/>
    <w:rsid w:val="001215D4"/>
    <w:rsid w:val="00121F43"/>
    <w:rsid w:val="001223D1"/>
    <w:rsid w:val="00123237"/>
    <w:rsid w:val="00134CAD"/>
    <w:rsid w:val="00137CE5"/>
    <w:rsid w:val="00140B94"/>
    <w:rsid w:val="00140CAF"/>
    <w:rsid w:val="00141172"/>
    <w:rsid w:val="00142512"/>
    <w:rsid w:val="00144B72"/>
    <w:rsid w:val="00151940"/>
    <w:rsid w:val="00152272"/>
    <w:rsid w:val="001528A6"/>
    <w:rsid w:val="00153667"/>
    <w:rsid w:val="0015401F"/>
    <w:rsid w:val="00154D0A"/>
    <w:rsid w:val="00160EF6"/>
    <w:rsid w:val="00166CEB"/>
    <w:rsid w:val="00170E5B"/>
    <w:rsid w:val="00174AD8"/>
    <w:rsid w:val="00174F99"/>
    <w:rsid w:val="001776C6"/>
    <w:rsid w:val="001779FD"/>
    <w:rsid w:val="00181817"/>
    <w:rsid w:val="00182CE1"/>
    <w:rsid w:val="0018567C"/>
    <w:rsid w:val="00185ADA"/>
    <w:rsid w:val="00186DD1"/>
    <w:rsid w:val="0018700E"/>
    <w:rsid w:val="001902AC"/>
    <w:rsid w:val="001920C5"/>
    <w:rsid w:val="001933E2"/>
    <w:rsid w:val="0019724B"/>
    <w:rsid w:val="001A10FD"/>
    <w:rsid w:val="001A3F70"/>
    <w:rsid w:val="001A417C"/>
    <w:rsid w:val="001A449F"/>
    <w:rsid w:val="001A4CD7"/>
    <w:rsid w:val="001A535D"/>
    <w:rsid w:val="001A5FA2"/>
    <w:rsid w:val="001A7B67"/>
    <w:rsid w:val="001B1949"/>
    <w:rsid w:val="001B19E3"/>
    <w:rsid w:val="001B2A10"/>
    <w:rsid w:val="001B75D9"/>
    <w:rsid w:val="001C0316"/>
    <w:rsid w:val="001C5A7B"/>
    <w:rsid w:val="001C61FD"/>
    <w:rsid w:val="001C7C04"/>
    <w:rsid w:val="001E4D54"/>
    <w:rsid w:val="001E50B6"/>
    <w:rsid w:val="001E682A"/>
    <w:rsid w:val="001F33DA"/>
    <w:rsid w:val="001F4200"/>
    <w:rsid w:val="001F6850"/>
    <w:rsid w:val="001F7E8B"/>
    <w:rsid w:val="001F7F87"/>
    <w:rsid w:val="00200BA3"/>
    <w:rsid w:val="00203342"/>
    <w:rsid w:val="00203986"/>
    <w:rsid w:val="00204055"/>
    <w:rsid w:val="00206C78"/>
    <w:rsid w:val="00211F6D"/>
    <w:rsid w:val="002123C7"/>
    <w:rsid w:val="00213EAC"/>
    <w:rsid w:val="002168C1"/>
    <w:rsid w:val="00216CE7"/>
    <w:rsid w:val="00220B3C"/>
    <w:rsid w:val="00222116"/>
    <w:rsid w:val="00224079"/>
    <w:rsid w:val="00224DF5"/>
    <w:rsid w:val="00225034"/>
    <w:rsid w:val="00230732"/>
    <w:rsid w:val="00234FBD"/>
    <w:rsid w:val="00235EF9"/>
    <w:rsid w:val="002362A1"/>
    <w:rsid w:val="00237631"/>
    <w:rsid w:val="00240FA6"/>
    <w:rsid w:val="002421EE"/>
    <w:rsid w:val="00242420"/>
    <w:rsid w:val="00247102"/>
    <w:rsid w:val="00251409"/>
    <w:rsid w:val="002522B2"/>
    <w:rsid w:val="0025366B"/>
    <w:rsid w:val="00255919"/>
    <w:rsid w:val="00261915"/>
    <w:rsid w:val="00261ED7"/>
    <w:rsid w:val="0026571A"/>
    <w:rsid w:val="0026645D"/>
    <w:rsid w:val="002720C8"/>
    <w:rsid w:val="002722F2"/>
    <w:rsid w:val="00275278"/>
    <w:rsid w:val="00280C05"/>
    <w:rsid w:val="002820A6"/>
    <w:rsid w:val="00282C56"/>
    <w:rsid w:val="002860DD"/>
    <w:rsid w:val="002862A8"/>
    <w:rsid w:val="002871FC"/>
    <w:rsid w:val="0028771A"/>
    <w:rsid w:val="00291D51"/>
    <w:rsid w:val="00292E10"/>
    <w:rsid w:val="00294F3F"/>
    <w:rsid w:val="0029548B"/>
    <w:rsid w:val="002A2278"/>
    <w:rsid w:val="002A2676"/>
    <w:rsid w:val="002A2FEF"/>
    <w:rsid w:val="002A48D7"/>
    <w:rsid w:val="002A6291"/>
    <w:rsid w:val="002A6A51"/>
    <w:rsid w:val="002B0FD1"/>
    <w:rsid w:val="002B2B2F"/>
    <w:rsid w:val="002B4E60"/>
    <w:rsid w:val="002B4FA1"/>
    <w:rsid w:val="002B519D"/>
    <w:rsid w:val="002B7EE2"/>
    <w:rsid w:val="002C1B64"/>
    <w:rsid w:val="002D1148"/>
    <w:rsid w:val="002D1F79"/>
    <w:rsid w:val="002D3C76"/>
    <w:rsid w:val="002D3FC7"/>
    <w:rsid w:val="002D50B7"/>
    <w:rsid w:val="002D516C"/>
    <w:rsid w:val="002D734E"/>
    <w:rsid w:val="002E2765"/>
    <w:rsid w:val="002E6273"/>
    <w:rsid w:val="002E6F6A"/>
    <w:rsid w:val="002E7CA2"/>
    <w:rsid w:val="002E7E14"/>
    <w:rsid w:val="002F131D"/>
    <w:rsid w:val="002F24C4"/>
    <w:rsid w:val="002F281B"/>
    <w:rsid w:val="002F6C13"/>
    <w:rsid w:val="002F7138"/>
    <w:rsid w:val="003026E0"/>
    <w:rsid w:val="00303E60"/>
    <w:rsid w:val="00305306"/>
    <w:rsid w:val="00307F20"/>
    <w:rsid w:val="00312E8E"/>
    <w:rsid w:val="00313B7D"/>
    <w:rsid w:val="00313FED"/>
    <w:rsid w:val="00320032"/>
    <w:rsid w:val="0032170F"/>
    <w:rsid w:val="00324E38"/>
    <w:rsid w:val="00325C25"/>
    <w:rsid w:val="0032620A"/>
    <w:rsid w:val="00330ADB"/>
    <w:rsid w:val="0033439A"/>
    <w:rsid w:val="00334C67"/>
    <w:rsid w:val="00335BE5"/>
    <w:rsid w:val="003361C9"/>
    <w:rsid w:val="00336E3A"/>
    <w:rsid w:val="00337241"/>
    <w:rsid w:val="003409D6"/>
    <w:rsid w:val="003448FC"/>
    <w:rsid w:val="003468B6"/>
    <w:rsid w:val="003512F6"/>
    <w:rsid w:val="0035237B"/>
    <w:rsid w:val="0035266E"/>
    <w:rsid w:val="00352D12"/>
    <w:rsid w:val="0035418A"/>
    <w:rsid w:val="003555E8"/>
    <w:rsid w:val="00357332"/>
    <w:rsid w:val="0035787B"/>
    <w:rsid w:val="003620F9"/>
    <w:rsid w:val="00362581"/>
    <w:rsid w:val="00371376"/>
    <w:rsid w:val="00372609"/>
    <w:rsid w:val="0037338E"/>
    <w:rsid w:val="00373C2E"/>
    <w:rsid w:val="003749AF"/>
    <w:rsid w:val="0037748E"/>
    <w:rsid w:val="00377CBD"/>
    <w:rsid w:val="003833F2"/>
    <w:rsid w:val="00385962"/>
    <w:rsid w:val="003860EB"/>
    <w:rsid w:val="00387684"/>
    <w:rsid w:val="003917EE"/>
    <w:rsid w:val="003923CC"/>
    <w:rsid w:val="00395B29"/>
    <w:rsid w:val="003A4887"/>
    <w:rsid w:val="003A6327"/>
    <w:rsid w:val="003B1842"/>
    <w:rsid w:val="003B30B8"/>
    <w:rsid w:val="003B644D"/>
    <w:rsid w:val="003B7122"/>
    <w:rsid w:val="003C0453"/>
    <w:rsid w:val="003C1363"/>
    <w:rsid w:val="003C18A4"/>
    <w:rsid w:val="003C3E03"/>
    <w:rsid w:val="003C5342"/>
    <w:rsid w:val="003C7822"/>
    <w:rsid w:val="003C7935"/>
    <w:rsid w:val="003D0574"/>
    <w:rsid w:val="003D6109"/>
    <w:rsid w:val="003D62AA"/>
    <w:rsid w:val="003D6C07"/>
    <w:rsid w:val="003E1ED8"/>
    <w:rsid w:val="003E601F"/>
    <w:rsid w:val="003E60A4"/>
    <w:rsid w:val="003E7E2E"/>
    <w:rsid w:val="003F0120"/>
    <w:rsid w:val="003F021A"/>
    <w:rsid w:val="003F06C8"/>
    <w:rsid w:val="003F1DCA"/>
    <w:rsid w:val="00405743"/>
    <w:rsid w:val="00406FC4"/>
    <w:rsid w:val="00411CB6"/>
    <w:rsid w:val="00412451"/>
    <w:rsid w:val="004131AF"/>
    <w:rsid w:val="00414012"/>
    <w:rsid w:val="00415BE7"/>
    <w:rsid w:val="0042032E"/>
    <w:rsid w:val="00420E99"/>
    <w:rsid w:val="0042129E"/>
    <w:rsid w:val="00421874"/>
    <w:rsid w:val="00423C42"/>
    <w:rsid w:val="004279D6"/>
    <w:rsid w:val="00435449"/>
    <w:rsid w:val="004374C3"/>
    <w:rsid w:val="0044076B"/>
    <w:rsid w:val="0044367B"/>
    <w:rsid w:val="004438C3"/>
    <w:rsid w:val="0044413E"/>
    <w:rsid w:val="00445679"/>
    <w:rsid w:val="0044713E"/>
    <w:rsid w:val="00451ABF"/>
    <w:rsid w:val="004521E9"/>
    <w:rsid w:val="00455C86"/>
    <w:rsid w:val="004566A9"/>
    <w:rsid w:val="004600DF"/>
    <w:rsid w:val="00461EAF"/>
    <w:rsid w:val="00463497"/>
    <w:rsid w:val="004637FA"/>
    <w:rsid w:val="00463B7E"/>
    <w:rsid w:val="00465EED"/>
    <w:rsid w:val="00466242"/>
    <w:rsid w:val="00471240"/>
    <w:rsid w:val="00471899"/>
    <w:rsid w:val="00473DA7"/>
    <w:rsid w:val="00473E7A"/>
    <w:rsid w:val="0047415B"/>
    <w:rsid w:val="00477500"/>
    <w:rsid w:val="00477A9F"/>
    <w:rsid w:val="00477B65"/>
    <w:rsid w:val="004839FE"/>
    <w:rsid w:val="00484F63"/>
    <w:rsid w:val="00487B49"/>
    <w:rsid w:val="00491723"/>
    <w:rsid w:val="0049330F"/>
    <w:rsid w:val="0049403E"/>
    <w:rsid w:val="00496AC8"/>
    <w:rsid w:val="004A055D"/>
    <w:rsid w:val="004A41E8"/>
    <w:rsid w:val="004A4505"/>
    <w:rsid w:val="004A45ED"/>
    <w:rsid w:val="004B07E1"/>
    <w:rsid w:val="004B259A"/>
    <w:rsid w:val="004B37DD"/>
    <w:rsid w:val="004B3DA4"/>
    <w:rsid w:val="004B41AC"/>
    <w:rsid w:val="004B4E02"/>
    <w:rsid w:val="004C01CD"/>
    <w:rsid w:val="004C0C44"/>
    <w:rsid w:val="004C1966"/>
    <w:rsid w:val="004C3CFD"/>
    <w:rsid w:val="004C7FA9"/>
    <w:rsid w:val="004D0311"/>
    <w:rsid w:val="004D6303"/>
    <w:rsid w:val="004D75BE"/>
    <w:rsid w:val="004E5A1F"/>
    <w:rsid w:val="004F049D"/>
    <w:rsid w:val="004F083B"/>
    <w:rsid w:val="004F17CC"/>
    <w:rsid w:val="004F201C"/>
    <w:rsid w:val="004F60E0"/>
    <w:rsid w:val="004F6113"/>
    <w:rsid w:val="004F6927"/>
    <w:rsid w:val="00503251"/>
    <w:rsid w:val="00507DE4"/>
    <w:rsid w:val="005105BE"/>
    <w:rsid w:val="005121DF"/>
    <w:rsid w:val="00512CE1"/>
    <w:rsid w:val="00513E5D"/>
    <w:rsid w:val="00514817"/>
    <w:rsid w:val="005153B2"/>
    <w:rsid w:val="0051701B"/>
    <w:rsid w:val="00525347"/>
    <w:rsid w:val="0052725D"/>
    <w:rsid w:val="005317C8"/>
    <w:rsid w:val="005363CA"/>
    <w:rsid w:val="00536FAF"/>
    <w:rsid w:val="00540349"/>
    <w:rsid w:val="005414F3"/>
    <w:rsid w:val="00541A35"/>
    <w:rsid w:val="00543CD8"/>
    <w:rsid w:val="005468C1"/>
    <w:rsid w:val="00546A61"/>
    <w:rsid w:val="00547C8A"/>
    <w:rsid w:val="00550B68"/>
    <w:rsid w:val="00554F00"/>
    <w:rsid w:val="00554F6F"/>
    <w:rsid w:val="00556042"/>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1F05"/>
    <w:rsid w:val="005A4F6D"/>
    <w:rsid w:val="005A5F3B"/>
    <w:rsid w:val="005B0558"/>
    <w:rsid w:val="005B19CE"/>
    <w:rsid w:val="005C053B"/>
    <w:rsid w:val="005C148E"/>
    <w:rsid w:val="005D1BB0"/>
    <w:rsid w:val="005D4EB2"/>
    <w:rsid w:val="005D696D"/>
    <w:rsid w:val="005E116A"/>
    <w:rsid w:val="005E11DF"/>
    <w:rsid w:val="005E14B6"/>
    <w:rsid w:val="005E1E28"/>
    <w:rsid w:val="005E4D8D"/>
    <w:rsid w:val="005E6641"/>
    <w:rsid w:val="005E71D4"/>
    <w:rsid w:val="005E77F8"/>
    <w:rsid w:val="005E7DF8"/>
    <w:rsid w:val="005F20C5"/>
    <w:rsid w:val="005F20FE"/>
    <w:rsid w:val="005F3EF0"/>
    <w:rsid w:val="0060015D"/>
    <w:rsid w:val="006021F7"/>
    <w:rsid w:val="00602B28"/>
    <w:rsid w:val="00602DC3"/>
    <w:rsid w:val="00603A1E"/>
    <w:rsid w:val="00605905"/>
    <w:rsid w:val="00605D9C"/>
    <w:rsid w:val="00606F6A"/>
    <w:rsid w:val="006101FC"/>
    <w:rsid w:val="00610F72"/>
    <w:rsid w:val="006118CB"/>
    <w:rsid w:val="00613A63"/>
    <w:rsid w:val="006146D0"/>
    <w:rsid w:val="0061504D"/>
    <w:rsid w:val="0062222D"/>
    <w:rsid w:val="00622522"/>
    <w:rsid w:val="006231FB"/>
    <w:rsid w:val="0062459E"/>
    <w:rsid w:val="006255FF"/>
    <w:rsid w:val="00626FE7"/>
    <w:rsid w:val="006314E6"/>
    <w:rsid w:val="00635EA5"/>
    <w:rsid w:val="00640199"/>
    <w:rsid w:val="0064252F"/>
    <w:rsid w:val="006431B8"/>
    <w:rsid w:val="00645035"/>
    <w:rsid w:val="00647F2B"/>
    <w:rsid w:val="00651A8E"/>
    <w:rsid w:val="0065343B"/>
    <w:rsid w:val="00665A90"/>
    <w:rsid w:val="00667381"/>
    <w:rsid w:val="00670BD6"/>
    <w:rsid w:val="00670E22"/>
    <w:rsid w:val="006723D5"/>
    <w:rsid w:val="00674A52"/>
    <w:rsid w:val="00676304"/>
    <w:rsid w:val="00677B98"/>
    <w:rsid w:val="0068031D"/>
    <w:rsid w:val="006806A8"/>
    <w:rsid w:val="006814DF"/>
    <w:rsid w:val="006826C3"/>
    <w:rsid w:val="00683F49"/>
    <w:rsid w:val="006878A3"/>
    <w:rsid w:val="00692AAD"/>
    <w:rsid w:val="00692B74"/>
    <w:rsid w:val="006946E1"/>
    <w:rsid w:val="00695073"/>
    <w:rsid w:val="00695BF3"/>
    <w:rsid w:val="006969FE"/>
    <w:rsid w:val="00697BC7"/>
    <w:rsid w:val="006A0AB6"/>
    <w:rsid w:val="006A408D"/>
    <w:rsid w:val="006A71A2"/>
    <w:rsid w:val="006B13D5"/>
    <w:rsid w:val="006B1CD8"/>
    <w:rsid w:val="006B26D3"/>
    <w:rsid w:val="006B2AE4"/>
    <w:rsid w:val="006B33A6"/>
    <w:rsid w:val="006B3D40"/>
    <w:rsid w:val="006B5BFA"/>
    <w:rsid w:val="006B6AE0"/>
    <w:rsid w:val="006C0EEE"/>
    <w:rsid w:val="006C1E62"/>
    <w:rsid w:val="006C29FD"/>
    <w:rsid w:val="006C48FE"/>
    <w:rsid w:val="006C4C24"/>
    <w:rsid w:val="006C588F"/>
    <w:rsid w:val="006D0C9A"/>
    <w:rsid w:val="006D29CA"/>
    <w:rsid w:val="006D3F5D"/>
    <w:rsid w:val="006D69D9"/>
    <w:rsid w:val="006D6B4B"/>
    <w:rsid w:val="006D7038"/>
    <w:rsid w:val="006E08E0"/>
    <w:rsid w:val="006E0DDE"/>
    <w:rsid w:val="006E1094"/>
    <w:rsid w:val="006E1807"/>
    <w:rsid w:val="006E191B"/>
    <w:rsid w:val="006E2143"/>
    <w:rsid w:val="006E29E5"/>
    <w:rsid w:val="006E3AF2"/>
    <w:rsid w:val="006E4185"/>
    <w:rsid w:val="006E66AD"/>
    <w:rsid w:val="006E7FA3"/>
    <w:rsid w:val="006F09EF"/>
    <w:rsid w:val="006F45C6"/>
    <w:rsid w:val="006F60A7"/>
    <w:rsid w:val="006F7103"/>
    <w:rsid w:val="006F7466"/>
    <w:rsid w:val="006F7FAE"/>
    <w:rsid w:val="00702F49"/>
    <w:rsid w:val="00703C4C"/>
    <w:rsid w:val="007048E7"/>
    <w:rsid w:val="00704FED"/>
    <w:rsid w:val="00705DC6"/>
    <w:rsid w:val="00706AF7"/>
    <w:rsid w:val="00706F2D"/>
    <w:rsid w:val="0071514B"/>
    <w:rsid w:val="0071525A"/>
    <w:rsid w:val="0071558A"/>
    <w:rsid w:val="00715E10"/>
    <w:rsid w:val="007166A9"/>
    <w:rsid w:val="00722564"/>
    <w:rsid w:val="0072634E"/>
    <w:rsid w:val="007327B8"/>
    <w:rsid w:val="00735BBE"/>
    <w:rsid w:val="0073626D"/>
    <w:rsid w:val="007404D8"/>
    <w:rsid w:val="00741108"/>
    <w:rsid w:val="00741B42"/>
    <w:rsid w:val="0074244E"/>
    <w:rsid w:val="0074399F"/>
    <w:rsid w:val="00746212"/>
    <w:rsid w:val="00747495"/>
    <w:rsid w:val="00751B88"/>
    <w:rsid w:val="00753580"/>
    <w:rsid w:val="00753AE8"/>
    <w:rsid w:val="00753D42"/>
    <w:rsid w:val="00755BF3"/>
    <w:rsid w:val="0076008F"/>
    <w:rsid w:val="007605B0"/>
    <w:rsid w:val="00761116"/>
    <w:rsid w:val="00764AF4"/>
    <w:rsid w:val="00766D92"/>
    <w:rsid w:val="00766DBB"/>
    <w:rsid w:val="007830A6"/>
    <w:rsid w:val="00783E2D"/>
    <w:rsid w:val="0079098A"/>
    <w:rsid w:val="00792D24"/>
    <w:rsid w:val="007958F3"/>
    <w:rsid w:val="007A025D"/>
    <w:rsid w:val="007A06B9"/>
    <w:rsid w:val="007A1ABE"/>
    <w:rsid w:val="007A1C91"/>
    <w:rsid w:val="007A291C"/>
    <w:rsid w:val="007A312B"/>
    <w:rsid w:val="007A5016"/>
    <w:rsid w:val="007A5F03"/>
    <w:rsid w:val="007B072C"/>
    <w:rsid w:val="007B0C39"/>
    <w:rsid w:val="007B10CC"/>
    <w:rsid w:val="007B264F"/>
    <w:rsid w:val="007B45CE"/>
    <w:rsid w:val="007C0BB4"/>
    <w:rsid w:val="007C4782"/>
    <w:rsid w:val="007C4B1F"/>
    <w:rsid w:val="007D29DA"/>
    <w:rsid w:val="007D337E"/>
    <w:rsid w:val="007D3A05"/>
    <w:rsid w:val="007D4108"/>
    <w:rsid w:val="007D53F5"/>
    <w:rsid w:val="007D71F4"/>
    <w:rsid w:val="007E0FFA"/>
    <w:rsid w:val="007E3CDE"/>
    <w:rsid w:val="007E3E41"/>
    <w:rsid w:val="007E45EB"/>
    <w:rsid w:val="007E4699"/>
    <w:rsid w:val="007F03B3"/>
    <w:rsid w:val="007F224E"/>
    <w:rsid w:val="007F62FA"/>
    <w:rsid w:val="007F6799"/>
    <w:rsid w:val="00802343"/>
    <w:rsid w:val="00802954"/>
    <w:rsid w:val="008032CF"/>
    <w:rsid w:val="008032DE"/>
    <w:rsid w:val="00806FF3"/>
    <w:rsid w:val="00812097"/>
    <w:rsid w:val="00812A58"/>
    <w:rsid w:val="00812E43"/>
    <w:rsid w:val="00813C07"/>
    <w:rsid w:val="008164AB"/>
    <w:rsid w:val="008226BA"/>
    <w:rsid w:val="008232E9"/>
    <w:rsid w:val="00824D2F"/>
    <w:rsid w:val="00825E26"/>
    <w:rsid w:val="00833148"/>
    <w:rsid w:val="00833909"/>
    <w:rsid w:val="00834AC0"/>
    <w:rsid w:val="008376F6"/>
    <w:rsid w:val="0084274F"/>
    <w:rsid w:val="00843448"/>
    <w:rsid w:val="00844137"/>
    <w:rsid w:val="008443DF"/>
    <w:rsid w:val="00846370"/>
    <w:rsid w:val="00846541"/>
    <w:rsid w:val="00851077"/>
    <w:rsid w:val="00855B59"/>
    <w:rsid w:val="00857960"/>
    <w:rsid w:val="00861B30"/>
    <w:rsid w:val="00865608"/>
    <w:rsid w:val="008671AC"/>
    <w:rsid w:val="008730E5"/>
    <w:rsid w:val="0087516C"/>
    <w:rsid w:val="0088390C"/>
    <w:rsid w:val="00885679"/>
    <w:rsid w:val="00886FF7"/>
    <w:rsid w:val="00887242"/>
    <w:rsid w:val="008909B5"/>
    <w:rsid w:val="008933AA"/>
    <w:rsid w:val="00893956"/>
    <w:rsid w:val="008945B1"/>
    <w:rsid w:val="008952FA"/>
    <w:rsid w:val="00896489"/>
    <w:rsid w:val="008A1435"/>
    <w:rsid w:val="008A17E6"/>
    <w:rsid w:val="008A271D"/>
    <w:rsid w:val="008A27C1"/>
    <w:rsid w:val="008A2B60"/>
    <w:rsid w:val="008A5C6B"/>
    <w:rsid w:val="008B25F5"/>
    <w:rsid w:val="008B44FC"/>
    <w:rsid w:val="008B6054"/>
    <w:rsid w:val="008B6946"/>
    <w:rsid w:val="008B6E94"/>
    <w:rsid w:val="008C0C0B"/>
    <w:rsid w:val="008C0C44"/>
    <w:rsid w:val="008C1C17"/>
    <w:rsid w:val="008C2829"/>
    <w:rsid w:val="008C28B4"/>
    <w:rsid w:val="008C7ED8"/>
    <w:rsid w:val="008D0DA2"/>
    <w:rsid w:val="008E0DFD"/>
    <w:rsid w:val="008E66D2"/>
    <w:rsid w:val="008E763F"/>
    <w:rsid w:val="008E7888"/>
    <w:rsid w:val="008E7C67"/>
    <w:rsid w:val="008F1340"/>
    <w:rsid w:val="008F4AB2"/>
    <w:rsid w:val="008F7F63"/>
    <w:rsid w:val="00910BE5"/>
    <w:rsid w:val="009112F4"/>
    <w:rsid w:val="00911959"/>
    <w:rsid w:val="009132FD"/>
    <w:rsid w:val="00913F15"/>
    <w:rsid w:val="00914B86"/>
    <w:rsid w:val="00915D6E"/>
    <w:rsid w:val="009168AA"/>
    <w:rsid w:val="009230A9"/>
    <w:rsid w:val="009237FF"/>
    <w:rsid w:val="00923CBA"/>
    <w:rsid w:val="00923DCB"/>
    <w:rsid w:val="009245B3"/>
    <w:rsid w:val="00926116"/>
    <w:rsid w:val="009261D7"/>
    <w:rsid w:val="009307DE"/>
    <w:rsid w:val="00933D66"/>
    <w:rsid w:val="009341E3"/>
    <w:rsid w:val="00940287"/>
    <w:rsid w:val="009427BA"/>
    <w:rsid w:val="00943ADF"/>
    <w:rsid w:val="0094562D"/>
    <w:rsid w:val="009562F1"/>
    <w:rsid w:val="00957BA4"/>
    <w:rsid w:val="00957DBC"/>
    <w:rsid w:val="00965552"/>
    <w:rsid w:val="0096600D"/>
    <w:rsid w:val="0096605A"/>
    <w:rsid w:val="009671FF"/>
    <w:rsid w:val="00975BCB"/>
    <w:rsid w:val="00982C4C"/>
    <w:rsid w:val="00990492"/>
    <w:rsid w:val="009950E1"/>
    <w:rsid w:val="0099648E"/>
    <w:rsid w:val="00997DB5"/>
    <w:rsid w:val="009A22C0"/>
    <w:rsid w:val="009B25AF"/>
    <w:rsid w:val="009B62DA"/>
    <w:rsid w:val="009C32BA"/>
    <w:rsid w:val="009C4D57"/>
    <w:rsid w:val="009C5C1E"/>
    <w:rsid w:val="009C5FCE"/>
    <w:rsid w:val="009C6EB1"/>
    <w:rsid w:val="009D1661"/>
    <w:rsid w:val="009D1C4B"/>
    <w:rsid w:val="009D2858"/>
    <w:rsid w:val="009D3B7F"/>
    <w:rsid w:val="009D4354"/>
    <w:rsid w:val="009D71B6"/>
    <w:rsid w:val="009E130A"/>
    <w:rsid w:val="009E13E7"/>
    <w:rsid w:val="009E18B1"/>
    <w:rsid w:val="009E23F2"/>
    <w:rsid w:val="009E2CA6"/>
    <w:rsid w:val="009E5AA4"/>
    <w:rsid w:val="009E5D90"/>
    <w:rsid w:val="009E754B"/>
    <w:rsid w:val="009F1A70"/>
    <w:rsid w:val="009F37E6"/>
    <w:rsid w:val="009F44EE"/>
    <w:rsid w:val="009F597A"/>
    <w:rsid w:val="009F5D71"/>
    <w:rsid w:val="009F7D69"/>
    <w:rsid w:val="00A02C13"/>
    <w:rsid w:val="00A06FDB"/>
    <w:rsid w:val="00A1378E"/>
    <w:rsid w:val="00A13CD6"/>
    <w:rsid w:val="00A140B4"/>
    <w:rsid w:val="00A20CBD"/>
    <w:rsid w:val="00A23071"/>
    <w:rsid w:val="00A24070"/>
    <w:rsid w:val="00A258B3"/>
    <w:rsid w:val="00A27FE5"/>
    <w:rsid w:val="00A33086"/>
    <w:rsid w:val="00A340B2"/>
    <w:rsid w:val="00A372EE"/>
    <w:rsid w:val="00A42B7A"/>
    <w:rsid w:val="00A432AE"/>
    <w:rsid w:val="00A453E3"/>
    <w:rsid w:val="00A471E2"/>
    <w:rsid w:val="00A479B7"/>
    <w:rsid w:val="00A479D4"/>
    <w:rsid w:val="00A5019B"/>
    <w:rsid w:val="00A50646"/>
    <w:rsid w:val="00A50FB6"/>
    <w:rsid w:val="00A50FF8"/>
    <w:rsid w:val="00A52067"/>
    <w:rsid w:val="00A52E9A"/>
    <w:rsid w:val="00A5505E"/>
    <w:rsid w:val="00A57EA5"/>
    <w:rsid w:val="00A62C85"/>
    <w:rsid w:val="00A64459"/>
    <w:rsid w:val="00A64E13"/>
    <w:rsid w:val="00A72971"/>
    <w:rsid w:val="00A72A5F"/>
    <w:rsid w:val="00A744EA"/>
    <w:rsid w:val="00A75CE9"/>
    <w:rsid w:val="00A8138B"/>
    <w:rsid w:val="00A85479"/>
    <w:rsid w:val="00A8555D"/>
    <w:rsid w:val="00A86A36"/>
    <w:rsid w:val="00A96763"/>
    <w:rsid w:val="00AA5D66"/>
    <w:rsid w:val="00AA7FC1"/>
    <w:rsid w:val="00AB154D"/>
    <w:rsid w:val="00AB2981"/>
    <w:rsid w:val="00AB4A37"/>
    <w:rsid w:val="00AB6DF6"/>
    <w:rsid w:val="00AC42CE"/>
    <w:rsid w:val="00AC6543"/>
    <w:rsid w:val="00AD405E"/>
    <w:rsid w:val="00AD61AC"/>
    <w:rsid w:val="00AE0098"/>
    <w:rsid w:val="00AE2C4F"/>
    <w:rsid w:val="00AE46E7"/>
    <w:rsid w:val="00AE47EB"/>
    <w:rsid w:val="00AE5D15"/>
    <w:rsid w:val="00AE7D19"/>
    <w:rsid w:val="00AF1FCD"/>
    <w:rsid w:val="00AF54A2"/>
    <w:rsid w:val="00AF646A"/>
    <w:rsid w:val="00B0144A"/>
    <w:rsid w:val="00B028E7"/>
    <w:rsid w:val="00B12248"/>
    <w:rsid w:val="00B12B2F"/>
    <w:rsid w:val="00B13246"/>
    <w:rsid w:val="00B171C5"/>
    <w:rsid w:val="00B17AE9"/>
    <w:rsid w:val="00B17B4F"/>
    <w:rsid w:val="00B20125"/>
    <w:rsid w:val="00B20269"/>
    <w:rsid w:val="00B20546"/>
    <w:rsid w:val="00B25209"/>
    <w:rsid w:val="00B26023"/>
    <w:rsid w:val="00B2765B"/>
    <w:rsid w:val="00B41D14"/>
    <w:rsid w:val="00B434A2"/>
    <w:rsid w:val="00B471D0"/>
    <w:rsid w:val="00B47E46"/>
    <w:rsid w:val="00B51A8A"/>
    <w:rsid w:val="00B529E3"/>
    <w:rsid w:val="00B53CE1"/>
    <w:rsid w:val="00B54909"/>
    <w:rsid w:val="00B54AC5"/>
    <w:rsid w:val="00B54D25"/>
    <w:rsid w:val="00B561D0"/>
    <w:rsid w:val="00B613BB"/>
    <w:rsid w:val="00B636E4"/>
    <w:rsid w:val="00B66DA3"/>
    <w:rsid w:val="00B66FD7"/>
    <w:rsid w:val="00B73D79"/>
    <w:rsid w:val="00B73EC0"/>
    <w:rsid w:val="00B748A3"/>
    <w:rsid w:val="00B83E80"/>
    <w:rsid w:val="00B8425D"/>
    <w:rsid w:val="00B92105"/>
    <w:rsid w:val="00B93651"/>
    <w:rsid w:val="00B94D51"/>
    <w:rsid w:val="00B94E75"/>
    <w:rsid w:val="00BA0109"/>
    <w:rsid w:val="00BA193D"/>
    <w:rsid w:val="00BA1DAB"/>
    <w:rsid w:val="00BA3D51"/>
    <w:rsid w:val="00BB08CB"/>
    <w:rsid w:val="00BB0CB8"/>
    <w:rsid w:val="00BB0E48"/>
    <w:rsid w:val="00BB2314"/>
    <w:rsid w:val="00BB3B20"/>
    <w:rsid w:val="00BB52B3"/>
    <w:rsid w:val="00BC71C3"/>
    <w:rsid w:val="00BD43B4"/>
    <w:rsid w:val="00BD606B"/>
    <w:rsid w:val="00BE11AF"/>
    <w:rsid w:val="00BE14B6"/>
    <w:rsid w:val="00BE2B0F"/>
    <w:rsid w:val="00BE2C79"/>
    <w:rsid w:val="00BE786B"/>
    <w:rsid w:val="00BE7AE1"/>
    <w:rsid w:val="00BF1645"/>
    <w:rsid w:val="00BF1737"/>
    <w:rsid w:val="00BF1F11"/>
    <w:rsid w:val="00BF5017"/>
    <w:rsid w:val="00BF5414"/>
    <w:rsid w:val="00BF5B1D"/>
    <w:rsid w:val="00BF7758"/>
    <w:rsid w:val="00BF7B3F"/>
    <w:rsid w:val="00BF7E3D"/>
    <w:rsid w:val="00C04EF5"/>
    <w:rsid w:val="00C05DF1"/>
    <w:rsid w:val="00C071EA"/>
    <w:rsid w:val="00C10F2E"/>
    <w:rsid w:val="00C116AA"/>
    <w:rsid w:val="00C1278B"/>
    <w:rsid w:val="00C14149"/>
    <w:rsid w:val="00C14FE4"/>
    <w:rsid w:val="00C17CD9"/>
    <w:rsid w:val="00C201AF"/>
    <w:rsid w:val="00C20C99"/>
    <w:rsid w:val="00C23158"/>
    <w:rsid w:val="00C3139E"/>
    <w:rsid w:val="00C3191A"/>
    <w:rsid w:val="00C34468"/>
    <w:rsid w:val="00C372F8"/>
    <w:rsid w:val="00C37A17"/>
    <w:rsid w:val="00C41DF1"/>
    <w:rsid w:val="00C42588"/>
    <w:rsid w:val="00C427A0"/>
    <w:rsid w:val="00C42F38"/>
    <w:rsid w:val="00C432EB"/>
    <w:rsid w:val="00C43937"/>
    <w:rsid w:val="00C44022"/>
    <w:rsid w:val="00C45445"/>
    <w:rsid w:val="00C4627A"/>
    <w:rsid w:val="00C5080C"/>
    <w:rsid w:val="00C517B0"/>
    <w:rsid w:val="00C53506"/>
    <w:rsid w:val="00C5386C"/>
    <w:rsid w:val="00C57702"/>
    <w:rsid w:val="00C606AF"/>
    <w:rsid w:val="00C613EE"/>
    <w:rsid w:val="00C6282E"/>
    <w:rsid w:val="00C6490C"/>
    <w:rsid w:val="00C65ECB"/>
    <w:rsid w:val="00C6751B"/>
    <w:rsid w:val="00C70C00"/>
    <w:rsid w:val="00C70D16"/>
    <w:rsid w:val="00C720BE"/>
    <w:rsid w:val="00C721CF"/>
    <w:rsid w:val="00C72A99"/>
    <w:rsid w:val="00C73D5B"/>
    <w:rsid w:val="00C74A39"/>
    <w:rsid w:val="00C750B3"/>
    <w:rsid w:val="00C76321"/>
    <w:rsid w:val="00C77308"/>
    <w:rsid w:val="00C804FD"/>
    <w:rsid w:val="00C814DC"/>
    <w:rsid w:val="00C83918"/>
    <w:rsid w:val="00C844E5"/>
    <w:rsid w:val="00C85D05"/>
    <w:rsid w:val="00C9017B"/>
    <w:rsid w:val="00C93804"/>
    <w:rsid w:val="00C96777"/>
    <w:rsid w:val="00CA1100"/>
    <w:rsid w:val="00CA1A98"/>
    <w:rsid w:val="00CA1AA9"/>
    <w:rsid w:val="00CA347D"/>
    <w:rsid w:val="00CA6D48"/>
    <w:rsid w:val="00CA6D85"/>
    <w:rsid w:val="00CA78D9"/>
    <w:rsid w:val="00CB1889"/>
    <w:rsid w:val="00CC4E06"/>
    <w:rsid w:val="00CC4F1F"/>
    <w:rsid w:val="00CD1FF1"/>
    <w:rsid w:val="00CD3D32"/>
    <w:rsid w:val="00CD4F83"/>
    <w:rsid w:val="00CD748A"/>
    <w:rsid w:val="00CD7B6B"/>
    <w:rsid w:val="00CE106A"/>
    <w:rsid w:val="00CE1361"/>
    <w:rsid w:val="00CE18BF"/>
    <w:rsid w:val="00CE2340"/>
    <w:rsid w:val="00CE2E5D"/>
    <w:rsid w:val="00CE3022"/>
    <w:rsid w:val="00CE505F"/>
    <w:rsid w:val="00CE507E"/>
    <w:rsid w:val="00CE77BB"/>
    <w:rsid w:val="00CF2E8F"/>
    <w:rsid w:val="00CF773D"/>
    <w:rsid w:val="00D03704"/>
    <w:rsid w:val="00D06634"/>
    <w:rsid w:val="00D06EDB"/>
    <w:rsid w:val="00D12A6F"/>
    <w:rsid w:val="00D14024"/>
    <w:rsid w:val="00D144A5"/>
    <w:rsid w:val="00D16502"/>
    <w:rsid w:val="00D23DEB"/>
    <w:rsid w:val="00D24CB5"/>
    <w:rsid w:val="00D26F01"/>
    <w:rsid w:val="00D326B4"/>
    <w:rsid w:val="00D3696D"/>
    <w:rsid w:val="00D36D8C"/>
    <w:rsid w:val="00D37EA6"/>
    <w:rsid w:val="00D412C9"/>
    <w:rsid w:val="00D43FC3"/>
    <w:rsid w:val="00D50E3F"/>
    <w:rsid w:val="00D51FE0"/>
    <w:rsid w:val="00D55ED4"/>
    <w:rsid w:val="00D562AF"/>
    <w:rsid w:val="00D5726A"/>
    <w:rsid w:val="00D573C4"/>
    <w:rsid w:val="00D5754B"/>
    <w:rsid w:val="00D61A07"/>
    <w:rsid w:val="00D61C73"/>
    <w:rsid w:val="00D67AB7"/>
    <w:rsid w:val="00D716A5"/>
    <w:rsid w:val="00D71C23"/>
    <w:rsid w:val="00D71C86"/>
    <w:rsid w:val="00D73D6C"/>
    <w:rsid w:val="00D74700"/>
    <w:rsid w:val="00D75023"/>
    <w:rsid w:val="00D75B7D"/>
    <w:rsid w:val="00D75B8D"/>
    <w:rsid w:val="00D776E5"/>
    <w:rsid w:val="00D801D7"/>
    <w:rsid w:val="00D851E4"/>
    <w:rsid w:val="00D871B1"/>
    <w:rsid w:val="00D92B61"/>
    <w:rsid w:val="00D92CE5"/>
    <w:rsid w:val="00D95B83"/>
    <w:rsid w:val="00D95C30"/>
    <w:rsid w:val="00D960D9"/>
    <w:rsid w:val="00D97B8F"/>
    <w:rsid w:val="00DA019E"/>
    <w:rsid w:val="00DA0C9B"/>
    <w:rsid w:val="00DA3B72"/>
    <w:rsid w:val="00DA5030"/>
    <w:rsid w:val="00DA52B0"/>
    <w:rsid w:val="00DA5928"/>
    <w:rsid w:val="00DA7DAC"/>
    <w:rsid w:val="00DB34F7"/>
    <w:rsid w:val="00DB37E8"/>
    <w:rsid w:val="00DB40BE"/>
    <w:rsid w:val="00DB43B3"/>
    <w:rsid w:val="00DB4645"/>
    <w:rsid w:val="00DB499A"/>
    <w:rsid w:val="00DB4B02"/>
    <w:rsid w:val="00DB55D1"/>
    <w:rsid w:val="00DB5E1F"/>
    <w:rsid w:val="00DB63F6"/>
    <w:rsid w:val="00DB7938"/>
    <w:rsid w:val="00DC208E"/>
    <w:rsid w:val="00DC35B0"/>
    <w:rsid w:val="00DC5383"/>
    <w:rsid w:val="00DC669D"/>
    <w:rsid w:val="00DC76E4"/>
    <w:rsid w:val="00DD3F56"/>
    <w:rsid w:val="00DD472F"/>
    <w:rsid w:val="00DD508E"/>
    <w:rsid w:val="00DD62E2"/>
    <w:rsid w:val="00DD6BA4"/>
    <w:rsid w:val="00DD6C98"/>
    <w:rsid w:val="00DE2F42"/>
    <w:rsid w:val="00DE3430"/>
    <w:rsid w:val="00DE3FA2"/>
    <w:rsid w:val="00DE465A"/>
    <w:rsid w:val="00DE49A5"/>
    <w:rsid w:val="00DE6DED"/>
    <w:rsid w:val="00DF5BCC"/>
    <w:rsid w:val="00DF6D10"/>
    <w:rsid w:val="00E0093A"/>
    <w:rsid w:val="00E013AC"/>
    <w:rsid w:val="00E02342"/>
    <w:rsid w:val="00E058BC"/>
    <w:rsid w:val="00E05CA9"/>
    <w:rsid w:val="00E069B9"/>
    <w:rsid w:val="00E06E1E"/>
    <w:rsid w:val="00E1073E"/>
    <w:rsid w:val="00E10B17"/>
    <w:rsid w:val="00E13E1F"/>
    <w:rsid w:val="00E1448E"/>
    <w:rsid w:val="00E1494A"/>
    <w:rsid w:val="00E150D3"/>
    <w:rsid w:val="00E15343"/>
    <w:rsid w:val="00E15D96"/>
    <w:rsid w:val="00E202D8"/>
    <w:rsid w:val="00E219CC"/>
    <w:rsid w:val="00E21AB6"/>
    <w:rsid w:val="00E21F09"/>
    <w:rsid w:val="00E224FD"/>
    <w:rsid w:val="00E25B12"/>
    <w:rsid w:val="00E2641F"/>
    <w:rsid w:val="00E30D39"/>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2D7A"/>
    <w:rsid w:val="00E5392E"/>
    <w:rsid w:val="00E556EB"/>
    <w:rsid w:val="00E57443"/>
    <w:rsid w:val="00E60246"/>
    <w:rsid w:val="00E606DC"/>
    <w:rsid w:val="00E63B16"/>
    <w:rsid w:val="00E63C49"/>
    <w:rsid w:val="00E63C9A"/>
    <w:rsid w:val="00E72175"/>
    <w:rsid w:val="00E77E9D"/>
    <w:rsid w:val="00E855DB"/>
    <w:rsid w:val="00E867CE"/>
    <w:rsid w:val="00E91369"/>
    <w:rsid w:val="00E929BF"/>
    <w:rsid w:val="00E9717F"/>
    <w:rsid w:val="00E97D3B"/>
    <w:rsid w:val="00EA11C6"/>
    <w:rsid w:val="00EA1348"/>
    <w:rsid w:val="00EA266C"/>
    <w:rsid w:val="00EA2A8E"/>
    <w:rsid w:val="00EA4A72"/>
    <w:rsid w:val="00EA4C8E"/>
    <w:rsid w:val="00EA6068"/>
    <w:rsid w:val="00EA6638"/>
    <w:rsid w:val="00EB0314"/>
    <w:rsid w:val="00EB6D4F"/>
    <w:rsid w:val="00EB7979"/>
    <w:rsid w:val="00EC188E"/>
    <w:rsid w:val="00EC27B1"/>
    <w:rsid w:val="00EC48D1"/>
    <w:rsid w:val="00EC4D9B"/>
    <w:rsid w:val="00EC7AD6"/>
    <w:rsid w:val="00ED127B"/>
    <w:rsid w:val="00ED1541"/>
    <w:rsid w:val="00ED262E"/>
    <w:rsid w:val="00ED4688"/>
    <w:rsid w:val="00ED55CD"/>
    <w:rsid w:val="00EE3BF8"/>
    <w:rsid w:val="00EF17AE"/>
    <w:rsid w:val="00EF2F88"/>
    <w:rsid w:val="00EF43E9"/>
    <w:rsid w:val="00EF6034"/>
    <w:rsid w:val="00F00711"/>
    <w:rsid w:val="00F00BA6"/>
    <w:rsid w:val="00F0120B"/>
    <w:rsid w:val="00F02D45"/>
    <w:rsid w:val="00F05207"/>
    <w:rsid w:val="00F05674"/>
    <w:rsid w:val="00F07DC7"/>
    <w:rsid w:val="00F11D52"/>
    <w:rsid w:val="00F1203C"/>
    <w:rsid w:val="00F142BF"/>
    <w:rsid w:val="00F14436"/>
    <w:rsid w:val="00F22A1A"/>
    <w:rsid w:val="00F22B3B"/>
    <w:rsid w:val="00F24AD2"/>
    <w:rsid w:val="00F2511C"/>
    <w:rsid w:val="00F254F2"/>
    <w:rsid w:val="00F256FA"/>
    <w:rsid w:val="00F2717C"/>
    <w:rsid w:val="00F277EE"/>
    <w:rsid w:val="00F31CBF"/>
    <w:rsid w:val="00F328A6"/>
    <w:rsid w:val="00F33165"/>
    <w:rsid w:val="00F33F00"/>
    <w:rsid w:val="00F36509"/>
    <w:rsid w:val="00F375D4"/>
    <w:rsid w:val="00F429AA"/>
    <w:rsid w:val="00F42F71"/>
    <w:rsid w:val="00F43C06"/>
    <w:rsid w:val="00F4413F"/>
    <w:rsid w:val="00F45B22"/>
    <w:rsid w:val="00F50775"/>
    <w:rsid w:val="00F50B51"/>
    <w:rsid w:val="00F51D99"/>
    <w:rsid w:val="00F52BA8"/>
    <w:rsid w:val="00F55FF7"/>
    <w:rsid w:val="00F5721A"/>
    <w:rsid w:val="00F57CF8"/>
    <w:rsid w:val="00F64BDE"/>
    <w:rsid w:val="00F66C36"/>
    <w:rsid w:val="00F70D3F"/>
    <w:rsid w:val="00F7236A"/>
    <w:rsid w:val="00F7337C"/>
    <w:rsid w:val="00F747BC"/>
    <w:rsid w:val="00F7563D"/>
    <w:rsid w:val="00F776DD"/>
    <w:rsid w:val="00F77C55"/>
    <w:rsid w:val="00F80672"/>
    <w:rsid w:val="00F8217A"/>
    <w:rsid w:val="00F82AA2"/>
    <w:rsid w:val="00F84AB6"/>
    <w:rsid w:val="00F85AC0"/>
    <w:rsid w:val="00F85C3D"/>
    <w:rsid w:val="00F91611"/>
    <w:rsid w:val="00F972F1"/>
    <w:rsid w:val="00F97C51"/>
    <w:rsid w:val="00F97D62"/>
    <w:rsid w:val="00FA1200"/>
    <w:rsid w:val="00FA149F"/>
    <w:rsid w:val="00FA28A4"/>
    <w:rsid w:val="00FA2C8E"/>
    <w:rsid w:val="00FA5657"/>
    <w:rsid w:val="00FA5FD8"/>
    <w:rsid w:val="00FA7C40"/>
    <w:rsid w:val="00FB02FC"/>
    <w:rsid w:val="00FC1D32"/>
    <w:rsid w:val="00FC46A4"/>
    <w:rsid w:val="00FC7075"/>
    <w:rsid w:val="00FC796A"/>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2272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Numbered para"/>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Numbered para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 w:type="character" w:customStyle="1" w:styleId="acopre1">
    <w:name w:val="acopre1"/>
    <w:basedOn w:val="DefaultParagraphFont"/>
    <w:rsid w:val="0037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670959317">
      <w:bodyDiv w:val="1"/>
      <w:marLeft w:val="0"/>
      <w:marRight w:val="0"/>
      <w:marTop w:val="0"/>
      <w:marBottom w:val="0"/>
      <w:divBdr>
        <w:top w:val="none" w:sz="0" w:space="0" w:color="auto"/>
        <w:left w:val="none" w:sz="0" w:space="0" w:color="auto"/>
        <w:bottom w:val="none" w:sz="0" w:space="0" w:color="auto"/>
        <w:right w:val="none" w:sz="0" w:space="0" w:color="auto"/>
      </w:divBdr>
    </w:div>
    <w:div w:id="1203252379">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738283180">
      <w:bodyDiv w:val="1"/>
      <w:marLeft w:val="0"/>
      <w:marRight w:val="0"/>
      <w:marTop w:val="0"/>
      <w:marBottom w:val="0"/>
      <w:divBdr>
        <w:top w:val="none" w:sz="0" w:space="0" w:color="auto"/>
        <w:left w:val="none" w:sz="0" w:space="0" w:color="auto"/>
        <w:bottom w:val="none" w:sz="0" w:space="0" w:color="auto"/>
        <w:right w:val="none" w:sz="0" w:space="0" w:color="auto"/>
      </w:divBdr>
    </w:div>
    <w:div w:id="1743021473">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BAC_online_submission_for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bs.gov.au/pbs/industry/listing/elements/pbac-meetings/agenda/March-2020-PBAC-Meeting" TargetMode="External"/><Relationship Id="rId4" Type="http://schemas.openxmlformats.org/officeDocument/2006/relationships/settings" Target="settings.xml"/><Relationship Id="rId9" Type="http://schemas.openxmlformats.org/officeDocument/2006/relationships/hyperlink" Target="http://www.pbs.gov.au/pbs/industry/listing/elements/pbac-meetings/agenda/March-2020-PBAC-Meetin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BDC38-B71C-49C0-977F-6C548BCF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4243</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2021-02-26T02:29:00Z</dcterms:created>
  <dcterms:modified xsi:type="dcterms:W3CDTF">2021-02-28T22:41:00Z</dcterms:modified>
</cp:coreProperties>
</file>