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61BB9" w14:textId="77777777" w:rsidR="00A20CBD" w:rsidRPr="00F4413F" w:rsidRDefault="00A20CBD" w:rsidP="00855B59">
      <w:pPr>
        <w:ind w:left="2160" w:firstLine="720"/>
        <w:rPr>
          <w:b/>
        </w:rPr>
      </w:pPr>
    </w:p>
    <w:p w14:paraId="3442547C" w14:textId="77777777"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9F61DE">
        <w:rPr>
          <w:sz w:val="24"/>
          <w:szCs w:val="24"/>
        </w:rPr>
        <w:t>4</w:t>
      </w:r>
      <w:r w:rsidR="00D9041D">
        <w:rPr>
          <w:sz w:val="24"/>
          <w:szCs w:val="24"/>
          <w:vertAlign w:val="superscript"/>
        </w:rPr>
        <w:t>th</w:t>
      </w:r>
      <w:r w:rsidR="00CD70B0">
        <w:rPr>
          <w:sz w:val="24"/>
          <w:szCs w:val="24"/>
        </w:rPr>
        <w:t xml:space="preserve"> </w:t>
      </w:r>
      <w:r w:rsidRPr="005F3EF0">
        <w:rPr>
          <w:sz w:val="24"/>
          <w:szCs w:val="24"/>
        </w:rPr>
        <w:t xml:space="preserve">meeting on </w:t>
      </w:r>
      <w:r w:rsidR="00E4556A">
        <w:rPr>
          <w:sz w:val="24"/>
          <w:szCs w:val="24"/>
        </w:rPr>
        <w:t xml:space="preserve">the </w:t>
      </w:r>
      <w:r w:rsidR="009F61DE">
        <w:rPr>
          <w:sz w:val="24"/>
          <w:szCs w:val="24"/>
        </w:rPr>
        <w:t>3 February</w:t>
      </w:r>
      <w:r w:rsidR="00CE1361">
        <w:rPr>
          <w:sz w:val="24"/>
          <w:szCs w:val="24"/>
        </w:rPr>
        <w:t xml:space="preserve"> – </w:t>
      </w:r>
      <w:r w:rsidR="009F61DE">
        <w:rPr>
          <w:sz w:val="24"/>
          <w:szCs w:val="24"/>
        </w:rPr>
        <w:t>4 February</w:t>
      </w:r>
      <w:r w:rsidR="006D336D">
        <w:rPr>
          <w:sz w:val="24"/>
          <w:szCs w:val="24"/>
        </w:rPr>
        <w:t xml:space="preserve"> </w:t>
      </w:r>
      <w:r w:rsidR="00CE1361">
        <w:rPr>
          <w:sz w:val="24"/>
          <w:szCs w:val="24"/>
        </w:rPr>
        <w:t>202</w:t>
      </w:r>
      <w:r w:rsidR="009F61DE">
        <w:rPr>
          <w:sz w:val="24"/>
          <w:szCs w:val="24"/>
        </w:rPr>
        <w:t>2</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77777777"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77777777" w:rsidR="009237FF" w:rsidRDefault="00BE11AF" w:rsidP="008B6946">
      <w:pPr>
        <w:rPr>
          <w:sz w:val="24"/>
          <w:szCs w:val="24"/>
        </w:rPr>
      </w:pPr>
      <w:r w:rsidRPr="00A45D73">
        <w:rPr>
          <w:sz w:val="24"/>
          <w:szCs w:val="24"/>
        </w:rPr>
        <w:t xml:space="preserve">DUSC noted that </w:t>
      </w:r>
      <w:r w:rsidR="00A45D73" w:rsidRPr="00A45D73">
        <w:rPr>
          <w:sz w:val="24"/>
          <w:szCs w:val="24"/>
        </w:rPr>
        <w:t>four</w:t>
      </w:r>
      <w:r w:rsidR="000134E0" w:rsidRPr="00A45D73">
        <w:rPr>
          <w:sz w:val="24"/>
          <w:szCs w:val="24"/>
        </w:rPr>
        <w:t xml:space="preserve"> category 1, </w:t>
      </w:r>
      <w:r w:rsidR="00A45D73" w:rsidRPr="00A45D73">
        <w:rPr>
          <w:sz w:val="24"/>
          <w:szCs w:val="24"/>
        </w:rPr>
        <w:t>2</w:t>
      </w:r>
      <w:r w:rsidR="005F19FA" w:rsidRPr="00A45D73">
        <w:rPr>
          <w:sz w:val="24"/>
          <w:szCs w:val="24"/>
        </w:rPr>
        <w:t>6</w:t>
      </w:r>
      <w:r w:rsidR="000134E0" w:rsidRPr="00A45D73">
        <w:rPr>
          <w:sz w:val="24"/>
          <w:szCs w:val="24"/>
        </w:rPr>
        <w:t xml:space="preserve"> category 2</w:t>
      </w:r>
      <w:r w:rsidR="005F19FA" w:rsidRPr="00A45D73">
        <w:rPr>
          <w:sz w:val="24"/>
          <w:szCs w:val="24"/>
        </w:rPr>
        <w:t>,</w:t>
      </w:r>
      <w:r w:rsidR="000134E0" w:rsidRPr="00A45D73">
        <w:rPr>
          <w:sz w:val="24"/>
          <w:szCs w:val="24"/>
        </w:rPr>
        <w:t xml:space="preserve"> </w:t>
      </w:r>
      <w:r w:rsidR="00A45D73" w:rsidRPr="00A45D73">
        <w:rPr>
          <w:sz w:val="24"/>
          <w:szCs w:val="24"/>
        </w:rPr>
        <w:t>eight</w:t>
      </w:r>
      <w:r w:rsidR="005F19FA" w:rsidRPr="00A45D73">
        <w:rPr>
          <w:sz w:val="24"/>
          <w:szCs w:val="24"/>
        </w:rPr>
        <w:t xml:space="preserve"> </w:t>
      </w:r>
      <w:r w:rsidR="000134E0" w:rsidRPr="00A45D73">
        <w:rPr>
          <w:sz w:val="24"/>
          <w:szCs w:val="24"/>
        </w:rPr>
        <w:t>standard re-entry</w:t>
      </w:r>
      <w:r w:rsidR="003F06C8" w:rsidRPr="00A45D73">
        <w:rPr>
          <w:sz w:val="24"/>
          <w:szCs w:val="24"/>
        </w:rPr>
        <w:t xml:space="preserve"> submissions </w:t>
      </w:r>
      <w:r w:rsidR="005F19FA" w:rsidRPr="00A45D73">
        <w:rPr>
          <w:sz w:val="24"/>
          <w:szCs w:val="24"/>
        </w:rPr>
        <w:t xml:space="preserve">and </w:t>
      </w:r>
      <w:r w:rsidR="00A45D73" w:rsidRPr="00A45D73">
        <w:rPr>
          <w:sz w:val="24"/>
          <w:szCs w:val="24"/>
        </w:rPr>
        <w:t>one</w:t>
      </w:r>
      <w:r w:rsidR="005F19FA" w:rsidRPr="00A45D73">
        <w:rPr>
          <w:sz w:val="24"/>
          <w:szCs w:val="24"/>
        </w:rPr>
        <w:t xml:space="preserve"> early re-entry submissions </w:t>
      </w:r>
      <w:r w:rsidR="003F06C8" w:rsidRPr="00A45D73">
        <w:rPr>
          <w:sz w:val="24"/>
          <w:szCs w:val="24"/>
        </w:rPr>
        <w:t xml:space="preserve">had been received for the </w:t>
      </w:r>
      <w:r w:rsidR="00A45D73" w:rsidRPr="00A45D73">
        <w:rPr>
          <w:sz w:val="24"/>
          <w:szCs w:val="24"/>
        </w:rPr>
        <w:t>March 2022</w:t>
      </w:r>
      <w:r w:rsidR="003F06C8" w:rsidRPr="00A45D73">
        <w:rPr>
          <w:sz w:val="24"/>
          <w:szCs w:val="24"/>
        </w:rPr>
        <w:t xml:space="preserve"> meeting of PBAC. </w:t>
      </w:r>
      <w:r w:rsidR="008F7F63" w:rsidRPr="00A45D73">
        <w:rPr>
          <w:sz w:val="24"/>
          <w:szCs w:val="24"/>
        </w:rPr>
        <w:t xml:space="preserve">DUSC provided detailed advice to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 xml:space="preserve">for the </w:t>
      </w:r>
      <w:r w:rsidR="00A45D73" w:rsidRPr="00A45D73">
        <w:rPr>
          <w:sz w:val="24"/>
          <w:szCs w:val="24"/>
        </w:rPr>
        <w:t xml:space="preserve">March 2022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A45D73">
          <w:rPr>
            <w:rStyle w:val="Hyperlink"/>
            <w:sz w:val="24"/>
            <w:szCs w:val="24"/>
          </w:rPr>
          <w:t>PBS</w:t>
        </w:r>
        <w:r w:rsidR="006E3AF2" w:rsidRPr="00A45D73">
          <w:rPr>
            <w:rStyle w:val="Hyperlink"/>
            <w:sz w:val="24"/>
            <w:szCs w:val="24"/>
          </w:rPr>
          <w:t> </w:t>
        </w:r>
        <w:r w:rsidR="00E013AC" w:rsidRPr="00A45D73">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77777777"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77777777"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 xml:space="preserve">in </w:t>
      </w:r>
      <w:r w:rsidR="00AA23A2">
        <w:rPr>
          <w:sz w:val="24"/>
          <w:szCs w:val="24"/>
        </w:rPr>
        <w:t>February</w:t>
      </w:r>
      <w:r w:rsidR="00CE1361">
        <w:rPr>
          <w:sz w:val="24"/>
          <w:szCs w:val="24"/>
        </w:rPr>
        <w:t xml:space="preserve"> 202</w:t>
      </w:r>
      <w:r w:rsidR="00AA23A2">
        <w:rPr>
          <w:sz w:val="24"/>
          <w:szCs w:val="24"/>
        </w:rPr>
        <w:t>2</w:t>
      </w:r>
      <w:r w:rsidRPr="00B12248">
        <w:rPr>
          <w:sz w:val="24"/>
          <w:szCs w:val="24"/>
        </w:rPr>
        <w:t>:</w:t>
      </w:r>
    </w:p>
    <w:p w14:paraId="27F786B8" w14:textId="77777777" w:rsidR="00B636E4" w:rsidRDefault="00B636E4" w:rsidP="009F597A">
      <w:pPr>
        <w:rPr>
          <w:sz w:val="24"/>
          <w:szCs w:val="24"/>
        </w:rPr>
      </w:pPr>
    </w:p>
    <w:p w14:paraId="5DF80687" w14:textId="77777777" w:rsidR="00C23FF1" w:rsidRDefault="00C23FF1" w:rsidP="00C23FF1">
      <w:pPr>
        <w:rPr>
          <w:rFonts w:asciiTheme="minorHAnsi" w:hAnsiTheme="minorHAnsi" w:cstheme="minorHAnsi"/>
          <w:sz w:val="24"/>
          <w:szCs w:val="24"/>
        </w:rPr>
      </w:pPr>
      <w:r w:rsidRPr="00C23FF1">
        <w:rPr>
          <w:rFonts w:eastAsia="MS Mincho"/>
          <w:b/>
          <w:bCs/>
          <w:sz w:val="24"/>
          <w:szCs w:val="24"/>
        </w:rPr>
        <w:t>Avelumab for Merkel cell carcinoma</w:t>
      </w:r>
    </w:p>
    <w:p w14:paraId="0F1F400A" w14:textId="6443ECB0" w:rsidR="0079709F" w:rsidRPr="00C23FF1" w:rsidRDefault="0079709F" w:rsidP="0079709F">
      <w:pPr>
        <w:spacing w:after="200"/>
        <w:contextualSpacing/>
        <w:rPr>
          <w:rFonts w:eastAsia="MS Mincho"/>
          <w:sz w:val="24"/>
          <w:szCs w:val="24"/>
        </w:rPr>
      </w:pPr>
      <w:r>
        <w:rPr>
          <w:sz w:val="24"/>
          <w:szCs w:val="24"/>
        </w:rPr>
        <w:t>DUSC reviewed the use of a</w:t>
      </w:r>
      <w:r w:rsidRPr="000A4C6F">
        <w:rPr>
          <w:sz w:val="24"/>
          <w:szCs w:val="24"/>
        </w:rPr>
        <w:t>velumab for the treatment of Merkel cell carcinoma</w:t>
      </w:r>
      <w:r w:rsidR="005E1889">
        <w:rPr>
          <w:sz w:val="24"/>
          <w:szCs w:val="24"/>
        </w:rPr>
        <w:t>, a rare form of skin cancer</w:t>
      </w:r>
      <w:r w:rsidRPr="000A4C6F">
        <w:rPr>
          <w:sz w:val="24"/>
          <w:szCs w:val="24"/>
        </w:rPr>
        <w:t xml:space="preserve">. </w:t>
      </w:r>
      <w:r w:rsidRPr="000A4C6F">
        <w:rPr>
          <w:rFonts w:eastAsia="MS Mincho"/>
          <w:sz w:val="24"/>
          <w:szCs w:val="24"/>
        </w:rPr>
        <w:t xml:space="preserve">In the first three years of listing there were 182, 235 and 244 prevalent patients per year since May 2019 to the data cut-off to 30 November 2021. </w:t>
      </w:r>
      <w:r w:rsidRPr="00C23FF1">
        <w:rPr>
          <w:rFonts w:eastAsia="MS Mincho"/>
          <w:sz w:val="24"/>
          <w:szCs w:val="24"/>
        </w:rPr>
        <w:t xml:space="preserve">Since listing, avelumab has had a steady increase in utilisation with up to 20 newly initiating patients per month and a prevalent patient population that does not appear to have plateaued. </w:t>
      </w:r>
      <w:r w:rsidRPr="004219F6">
        <w:rPr>
          <w:rFonts w:eastAsia="MS Mincho"/>
          <w:sz w:val="24"/>
          <w:szCs w:val="24"/>
        </w:rPr>
        <w:t>The number of males undergoing treatment with avelumab was over three times greater than females in 2020</w:t>
      </w:r>
      <w:r>
        <w:rPr>
          <w:rFonts w:eastAsia="MS Mincho"/>
          <w:sz w:val="24"/>
          <w:szCs w:val="24"/>
        </w:rPr>
        <w:t xml:space="preserve"> with </w:t>
      </w:r>
      <w:r w:rsidR="00B85744">
        <w:rPr>
          <w:rFonts w:eastAsia="MS Mincho"/>
          <w:sz w:val="24"/>
          <w:szCs w:val="24"/>
        </w:rPr>
        <w:t xml:space="preserve">the </w:t>
      </w:r>
      <w:r w:rsidRPr="004219F6">
        <w:rPr>
          <w:rFonts w:eastAsia="MS Mincho"/>
          <w:sz w:val="24"/>
          <w:szCs w:val="24"/>
        </w:rPr>
        <w:t xml:space="preserve">median age </w:t>
      </w:r>
      <w:r>
        <w:rPr>
          <w:rFonts w:eastAsia="MS Mincho"/>
          <w:sz w:val="24"/>
          <w:szCs w:val="24"/>
        </w:rPr>
        <w:t>in females being</w:t>
      </w:r>
      <w:r w:rsidRPr="004219F6">
        <w:rPr>
          <w:rFonts w:eastAsia="MS Mincho"/>
          <w:sz w:val="24"/>
          <w:szCs w:val="24"/>
        </w:rPr>
        <w:t xml:space="preserve"> 79 years and 77 years in males.</w:t>
      </w:r>
    </w:p>
    <w:p w14:paraId="3CE86EB0" w14:textId="77777777" w:rsidR="00C23FF1" w:rsidRDefault="00C23FF1" w:rsidP="009F597A">
      <w:pPr>
        <w:rPr>
          <w:rFonts w:asciiTheme="minorHAnsi" w:eastAsia="MS Mincho" w:hAnsiTheme="minorHAnsi" w:cstheme="minorHAnsi"/>
          <w:b/>
          <w:sz w:val="24"/>
          <w:szCs w:val="24"/>
        </w:rPr>
      </w:pPr>
    </w:p>
    <w:p w14:paraId="3BEB3279" w14:textId="77777777" w:rsidR="00C23FF1" w:rsidRPr="00C23FF1" w:rsidRDefault="00C23FF1" w:rsidP="009F597A">
      <w:pPr>
        <w:rPr>
          <w:rFonts w:asciiTheme="minorHAnsi" w:eastAsia="MS Mincho" w:hAnsiTheme="minorHAnsi" w:cstheme="minorHAnsi"/>
          <w:bCs/>
          <w:sz w:val="24"/>
          <w:szCs w:val="24"/>
        </w:rPr>
      </w:pPr>
      <w:r w:rsidRPr="00C23FF1">
        <w:rPr>
          <w:rFonts w:asciiTheme="minorHAnsi" w:eastAsia="MS Mincho" w:hAnsiTheme="minorHAnsi" w:cstheme="minorHAnsi"/>
          <w:bCs/>
          <w:sz w:val="24"/>
          <w:szCs w:val="24"/>
        </w:rPr>
        <w:t>DUSC requested that the report be provided to the PBAC.</w:t>
      </w:r>
    </w:p>
    <w:p w14:paraId="48FC324F" w14:textId="77777777" w:rsidR="00C23FF1" w:rsidRDefault="00C23FF1" w:rsidP="009F597A">
      <w:pPr>
        <w:rPr>
          <w:rFonts w:asciiTheme="minorHAnsi" w:eastAsia="MS Mincho" w:hAnsiTheme="minorHAnsi" w:cstheme="minorHAnsi"/>
          <w:b/>
          <w:sz w:val="24"/>
          <w:szCs w:val="24"/>
        </w:rPr>
      </w:pPr>
    </w:p>
    <w:p w14:paraId="0E22DF30" w14:textId="77777777" w:rsidR="00AA23A2" w:rsidRDefault="00C23FF1" w:rsidP="009F597A">
      <w:pPr>
        <w:rPr>
          <w:sz w:val="24"/>
          <w:szCs w:val="24"/>
        </w:rPr>
      </w:pPr>
      <w:r w:rsidRPr="00C23FF1">
        <w:rPr>
          <w:rFonts w:asciiTheme="minorHAnsi" w:eastAsia="MS Mincho" w:hAnsiTheme="minorHAnsi" w:cstheme="minorHAnsi"/>
          <w:b/>
          <w:sz w:val="24"/>
          <w:szCs w:val="24"/>
        </w:rPr>
        <w:t>Review of Breast Cancer Listings</w:t>
      </w:r>
    </w:p>
    <w:p w14:paraId="6AD8E9C9" w14:textId="51ACB0C3" w:rsidR="000A4C6F" w:rsidRPr="000A4C6F" w:rsidRDefault="000A4C6F" w:rsidP="000A4C6F">
      <w:pPr>
        <w:rPr>
          <w:bCs/>
          <w:sz w:val="24"/>
          <w:szCs w:val="24"/>
        </w:rPr>
      </w:pPr>
      <w:r>
        <w:rPr>
          <w:bCs/>
          <w:sz w:val="24"/>
          <w:szCs w:val="24"/>
        </w:rPr>
        <w:t xml:space="preserve">DUSC </w:t>
      </w:r>
      <w:r w:rsidRPr="000A4C6F">
        <w:rPr>
          <w:bCs/>
          <w:sz w:val="24"/>
          <w:szCs w:val="24"/>
        </w:rPr>
        <w:t>review</w:t>
      </w:r>
      <w:r>
        <w:rPr>
          <w:bCs/>
          <w:sz w:val="24"/>
          <w:szCs w:val="24"/>
        </w:rPr>
        <w:t>ed</w:t>
      </w:r>
      <w:r w:rsidRPr="000A4C6F">
        <w:rPr>
          <w:bCs/>
          <w:sz w:val="24"/>
          <w:szCs w:val="24"/>
        </w:rPr>
        <w:t xml:space="preserve"> the utilisation of medicines for locally advanced and metastatic breast cancer</w:t>
      </w:r>
      <w:r w:rsidR="004A362A">
        <w:rPr>
          <w:bCs/>
          <w:sz w:val="24"/>
          <w:szCs w:val="24"/>
        </w:rPr>
        <w:t xml:space="preserve">. This </w:t>
      </w:r>
      <w:r w:rsidRPr="000A4C6F">
        <w:rPr>
          <w:bCs/>
          <w:sz w:val="24"/>
          <w:szCs w:val="24"/>
        </w:rPr>
        <w:t>includ</w:t>
      </w:r>
      <w:r w:rsidR="004A362A">
        <w:rPr>
          <w:bCs/>
          <w:sz w:val="24"/>
          <w:szCs w:val="24"/>
        </w:rPr>
        <w:t>ed</w:t>
      </w:r>
      <w:r w:rsidRPr="000A4C6F">
        <w:rPr>
          <w:bCs/>
          <w:sz w:val="24"/>
          <w:szCs w:val="24"/>
        </w:rPr>
        <w:t xml:space="preserve"> </w:t>
      </w:r>
      <w:r w:rsidR="00B85744">
        <w:rPr>
          <w:bCs/>
          <w:sz w:val="24"/>
          <w:szCs w:val="24"/>
        </w:rPr>
        <w:t xml:space="preserve">an </w:t>
      </w:r>
      <w:r w:rsidRPr="000A4C6F">
        <w:rPr>
          <w:bCs/>
          <w:sz w:val="24"/>
          <w:szCs w:val="24"/>
        </w:rPr>
        <w:t xml:space="preserve">analysis of </w:t>
      </w:r>
      <w:r w:rsidR="00B85744">
        <w:rPr>
          <w:bCs/>
          <w:sz w:val="24"/>
          <w:szCs w:val="24"/>
        </w:rPr>
        <w:t>p</w:t>
      </w:r>
      <w:r w:rsidRPr="000A4C6F">
        <w:rPr>
          <w:bCs/>
          <w:sz w:val="24"/>
          <w:szCs w:val="24"/>
        </w:rPr>
        <w:t xml:space="preserve">albociclib in the first 24 months of </w:t>
      </w:r>
      <w:r w:rsidR="004A362A">
        <w:rPr>
          <w:bCs/>
          <w:sz w:val="24"/>
          <w:szCs w:val="24"/>
        </w:rPr>
        <w:t xml:space="preserve">its </w:t>
      </w:r>
      <w:r w:rsidRPr="000A4C6F">
        <w:rPr>
          <w:bCs/>
          <w:sz w:val="24"/>
          <w:szCs w:val="24"/>
        </w:rPr>
        <w:t>listing.</w:t>
      </w:r>
      <w:r>
        <w:rPr>
          <w:bCs/>
          <w:sz w:val="24"/>
          <w:szCs w:val="24"/>
        </w:rPr>
        <w:t xml:space="preserve"> </w:t>
      </w:r>
      <w:r w:rsidRPr="000A4C6F">
        <w:rPr>
          <w:bCs/>
          <w:sz w:val="24"/>
          <w:szCs w:val="24"/>
        </w:rPr>
        <w:t>The utilisation of palbociclib ha</w:t>
      </w:r>
      <w:r w:rsidR="00B85744">
        <w:rPr>
          <w:bCs/>
          <w:sz w:val="24"/>
          <w:szCs w:val="24"/>
        </w:rPr>
        <w:t>d</w:t>
      </w:r>
      <w:r w:rsidRPr="000A4C6F">
        <w:rPr>
          <w:bCs/>
          <w:sz w:val="24"/>
          <w:szCs w:val="24"/>
        </w:rPr>
        <w:t xml:space="preserve"> been greater than predicted. The number of patients supplied palbociclib was 1,540 in Year 1 and 2,261 in Year 2. Of all </w:t>
      </w:r>
      <w:r w:rsidR="004A362A">
        <w:rPr>
          <w:bCs/>
          <w:sz w:val="24"/>
          <w:szCs w:val="24"/>
        </w:rPr>
        <w:t>breast cancer</w:t>
      </w:r>
      <w:r w:rsidR="004A362A" w:rsidRPr="000A4C6F">
        <w:rPr>
          <w:bCs/>
          <w:sz w:val="24"/>
          <w:szCs w:val="24"/>
        </w:rPr>
        <w:t xml:space="preserve"> </w:t>
      </w:r>
      <w:r w:rsidRPr="000A4C6F">
        <w:rPr>
          <w:bCs/>
          <w:sz w:val="24"/>
          <w:szCs w:val="24"/>
        </w:rPr>
        <w:t xml:space="preserve">listings, palbociclib had the highest PBS </w:t>
      </w:r>
      <w:r w:rsidRPr="000A4C6F">
        <w:rPr>
          <w:bCs/>
          <w:sz w:val="24"/>
          <w:szCs w:val="24"/>
        </w:rPr>
        <w:lastRenderedPageBreak/>
        <w:t>expenditure by 2021 Q3 based on the published list price.</w:t>
      </w:r>
      <w:r>
        <w:rPr>
          <w:bCs/>
          <w:sz w:val="24"/>
          <w:szCs w:val="24"/>
        </w:rPr>
        <w:t xml:space="preserve"> </w:t>
      </w:r>
      <w:r w:rsidRPr="000A4C6F">
        <w:rPr>
          <w:bCs/>
          <w:sz w:val="24"/>
          <w:szCs w:val="24"/>
        </w:rPr>
        <w:t xml:space="preserve">As at 2021 Q3, there were around 93,000 patients supplied a PBS listing for </w:t>
      </w:r>
      <w:r w:rsidR="00205AEF">
        <w:rPr>
          <w:bCs/>
          <w:sz w:val="24"/>
          <w:szCs w:val="24"/>
        </w:rPr>
        <w:t>breast cancer</w:t>
      </w:r>
      <w:r w:rsidRPr="000A4C6F">
        <w:rPr>
          <w:bCs/>
          <w:sz w:val="24"/>
          <w:szCs w:val="24"/>
        </w:rPr>
        <w:t>.</w:t>
      </w:r>
      <w:r>
        <w:rPr>
          <w:bCs/>
          <w:sz w:val="24"/>
          <w:szCs w:val="24"/>
        </w:rPr>
        <w:t xml:space="preserve"> </w:t>
      </w:r>
      <w:r w:rsidRPr="000A4C6F">
        <w:rPr>
          <w:bCs/>
          <w:sz w:val="24"/>
          <w:szCs w:val="24"/>
        </w:rPr>
        <w:t xml:space="preserve">The number of initiating patients on </w:t>
      </w:r>
      <w:r w:rsidR="00205AEF">
        <w:rPr>
          <w:bCs/>
          <w:sz w:val="24"/>
          <w:szCs w:val="24"/>
        </w:rPr>
        <w:t>breast cancer</w:t>
      </w:r>
      <w:r w:rsidRPr="000A4C6F">
        <w:rPr>
          <w:bCs/>
          <w:sz w:val="24"/>
          <w:szCs w:val="24"/>
        </w:rPr>
        <w:t xml:space="preserve"> listings has remained relatively stable at around 7,500 patients per quarter since 2019 Q3.</w:t>
      </w:r>
      <w:r>
        <w:rPr>
          <w:bCs/>
          <w:sz w:val="24"/>
          <w:szCs w:val="24"/>
        </w:rPr>
        <w:t xml:space="preserve"> </w:t>
      </w:r>
      <w:r w:rsidRPr="000A4C6F">
        <w:rPr>
          <w:bCs/>
          <w:sz w:val="24"/>
          <w:szCs w:val="24"/>
        </w:rPr>
        <w:t xml:space="preserve">Letrozole, anastrozole and tamoxifen had the highest utilisation to treat hormone receptor positive </w:t>
      </w:r>
      <w:r w:rsidR="00205AEF">
        <w:rPr>
          <w:bCs/>
          <w:sz w:val="24"/>
          <w:szCs w:val="24"/>
        </w:rPr>
        <w:t>breast cancer</w:t>
      </w:r>
      <w:r w:rsidRPr="000A4C6F">
        <w:rPr>
          <w:bCs/>
          <w:sz w:val="24"/>
          <w:szCs w:val="24"/>
        </w:rPr>
        <w:t xml:space="preserve">, the most common subtype of breast cancers. Government expenditure on hormone modulating </w:t>
      </w:r>
      <w:r w:rsidR="00205AEF">
        <w:rPr>
          <w:bCs/>
          <w:sz w:val="24"/>
          <w:szCs w:val="24"/>
        </w:rPr>
        <w:t>breast cancer</w:t>
      </w:r>
      <w:r w:rsidRPr="000A4C6F">
        <w:rPr>
          <w:bCs/>
          <w:sz w:val="24"/>
          <w:szCs w:val="24"/>
        </w:rPr>
        <w:t xml:space="preserve"> treatments, including letrozole, anastrozole, tamoxifen, exemestane and </w:t>
      </w:r>
      <w:proofErr w:type="spellStart"/>
      <w:r w:rsidRPr="000A4C6F">
        <w:rPr>
          <w:bCs/>
          <w:sz w:val="24"/>
          <w:szCs w:val="24"/>
        </w:rPr>
        <w:t>fulvestrant</w:t>
      </w:r>
      <w:proofErr w:type="spellEnd"/>
      <w:r w:rsidRPr="000A4C6F">
        <w:rPr>
          <w:bCs/>
          <w:sz w:val="24"/>
          <w:szCs w:val="24"/>
        </w:rPr>
        <w:t>, ha</w:t>
      </w:r>
      <w:r w:rsidR="00C4229D">
        <w:rPr>
          <w:bCs/>
          <w:sz w:val="24"/>
          <w:szCs w:val="24"/>
        </w:rPr>
        <w:t>d</w:t>
      </w:r>
      <w:r w:rsidRPr="000A4C6F">
        <w:rPr>
          <w:bCs/>
          <w:sz w:val="24"/>
          <w:szCs w:val="24"/>
        </w:rPr>
        <w:t xml:space="preserve"> significantly reduced over time due to several price reductions</w:t>
      </w:r>
      <w:r w:rsidR="00C4229D">
        <w:rPr>
          <w:bCs/>
          <w:sz w:val="24"/>
          <w:szCs w:val="24"/>
        </w:rPr>
        <w:t xml:space="preserve"> that</w:t>
      </w:r>
      <w:r w:rsidRPr="000A4C6F">
        <w:rPr>
          <w:bCs/>
          <w:sz w:val="24"/>
          <w:szCs w:val="24"/>
        </w:rPr>
        <w:t xml:space="preserve"> ha</w:t>
      </w:r>
      <w:r w:rsidR="00C4229D">
        <w:rPr>
          <w:bCs/>
          <w:sz w:val="24"/>
          <w:szCs w:val="24"/>
        </w:rPr>
        <w:t>d</w:t>
      </w:r>
      <w:r w:rsidRPr="000A4C6F">
        <w:rPr>
          <w:bCs/>
          <w:sz w:val="24"/>
          <w:szCs w:val="24"/>
        </w:rPr>
        <w:t xml:space="preserve"> been applied to these listings.</w:t>
      </w:r>
    </w:p>
    <w:p w14:paraId="1E8DAA73" w14:textId="77777777" w:rsidR="00AA23A2" w:rsidRDefault="00AA23A2" w:rsidP="009F597A">
      <w:pPr>
        <w:rPr>
          <w:sz w:val="24"/>
          <w:szCs w:val="24"/>
        </w:rPr>
      </w:pPr>
    </w:p>
    <w:p w14:paraId="3BD0BCF1" w14:textId="77777777" w:rsidR="000A4C6F" w:rsidRDefault="000A4C6F" w:rsidP="000A4C6F">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51ED481C" w14:textId="77777777" w:rsidR="00AA23A2" w:rsidRDefault="00AA23A2" w:rsidP="00C70C00">
      <w:pPr>
        <w:rPr>
          <w:rFonts w:asciiTheme="minorHAnsi" w:hAnsiTheme="minorHAnsi" w:cstheme="minorHAnsi"/>
          <w:sz w:val="24"/>
          <w:szCs w:val="24"/>
        </w:rPr>
      </w:pPr>
    </w:p>
    <w:p w14:paraId="16F43CDB" w14:textId="77777777" w:rsidR="00C23FF1" w:rsidRDefault="00C23FF1" w:rsidP="004213FB">
      <w:pPr>
        <w:rPr>
          <w:rFonts w:asciiTheme="minorHAnsi" w:hAnsiTheme="minorHAnsi" w:cstheme="minorHAnsi"/>
          <w:b/>
          <w:sz w:val="24"/>
          <w:szCs w:val="24"/>
        </w:rPr>
      </w:pPr>
      <w:r w:rsidRPr="00D9041D">
        <w:rPr>
          <w:rFonts w:asciiTheme="minorHAnsi" w:hAnsiTheme="minorHAnsi" w:cstheme="minorHAnsi"/>
          <w:b/>
          <w:bCs/>
          <w:sz w:val="24"/>
          <w:szCs w:val="24"/>
        </w:rPr>
        <w:t xml:space="preserve">Review of </w:t>
      </w:r>
      <w:r w:rsidR="00D9041D" w:rsidRPr="00D9041D">
        <w:rPr>
          <w:rFonts w:asciiTheme="minorHAnsi" w:hAnsiTheme="minorHAnsi" w:cstheme="minorHAnsi"/>
          <w:b/>
          <w:bCs/>
          <w:sz w:val="24"/>
          <w:szCs w:val="24"/>
        </w:rPr>
        <w:t>medicines</w:t>
      </w:r>
      <w:r w:rsidRPr="00D9041D">
        <w:rPr>
          <w:rFonts w:asciiTheme="minorHAnsi" w:hAnsiTheme="minorHAnsi" w:cstheme="minorHAnsi"/>
          <w:b/>
          <w:bCs/>
          <w:sz w:val="24"/>
          <w:szCs w:val="24"/>
        </w:rPr>
        <w:t xml:space="preserve"> for relapsing-remitting multiple sclerosis</w:t>
      </w:r>
      <w:r w:rsidRPr="00C23FF1">
        <w:rPr>
          <w:rFonts w:asciiTheme="minorHAnsi" w:hAnsiTheme="minorHAnsi" w:cstheme="minorHAnsi"/>
          <w:b/>
          <w:sz w:val="24"/>
          <w:szCs w:val="24"/>
        </w:rPr>
        <w:t xml:space="preserve"> </w:t>
      </w:r>
    </w:p>
    <w:p w14:paraId="32CF5981" w14:textId="77777777" w:rsidR="001173AC" w:rsidRPr="001173AC" w:rsidRDefault="001173AC" w:rsidP="001173AC">
      <w:pPr>
        <w:rPr>
          <w:rFonts w:asciiTheme="minorHAnsi" w:hAnsiTheme="minorHAnsi" w:cstheme="minorHAnsi"/>
          <w:sz w:val="24"/>
        </w:rPr>
      </w:pPr>
      <w:r w:rsidRPr="001173AC">
        <w:rPr>
          <w:rFonts w:cstheme="minorHAnsi"/>
          <w:sz w:val="24"/>
        </w:rPr>
        <w:t xml:space="preserve">DUSC reviewed PBS listed medicines for relapsing-remitting multiple sclerosis (RRMS). </w:t>
      </w:r>
      <w:r w:rsidRPr="001173AC">
        <w:rPr>
          <w:sz w:val="24"/>
        </w:rPr>
        <w:t xml:space="preserve">In 2019, 179,907 RRMS prescriptions were supplied to 22,153 patients. In 2020, 177,884 RRMS prescriptions were supplied to 22,714 patients. Oral RRMS medicines were the most supplied form of therapy. Additionally, DUSC reviewed cladribine for RRMS. </w:t>
      </w:r>
      <w:r w:rsidRPr="001173AC">
        <w:rPr>
          <w:rFonts w:asciiTheme="minorHAnsi" w:hAnsiTheme="minorHAnsi" w:cstheme="minorHAnsi"/>
          <w:sz w:val="24"/>
        </w:rPr>
        <w:t>In 2019, 1,130 patients were supplied 3,295 cladribine prescriptions. In 2020, 1,407 patie</w:t>
      </w:r>
      <w:r w:rsidR="00127795">
        <w:rPr>
          <w:rFonts w:asciiTheme="minorHAnsi" w:hAnsiTheme="minorHAnsi" w:cstheme="minorHAnsi"/>
          <w:sz w:val="24"/>
        </w:rPr>
        <w:t xml:space="preserve">nts were supplied 4,417 cladribine </w:t>
      </w:r>
      <w:r w:rsidRPr="001173AC">
        <w:rPr>
          <w:rFonts w:asciiTheme="minorHAnsi" w:hAnsiTheme="minorHAnsi" w:cstheme="minorHAnsi"/>
          <w:sz w:val="24"/>
        </w:rPr>
        <w:t>prescriptions. Utilisation of cladribine had not yet stabilised.</w:t>
      </w:r>
    </w:p>
    <w:p w14:paraId="57A96954" w14:textId="77777777" w:rsidR="001173AC" w:rsidRPr="001173AC" w:rsidRDefault="001173AC" w:rsidP="001173AC">
      <w:pPr>
        <w:rPr>
          <w:sz w:val="24"/>
        </w:rPr>
      </w:pPr>
    </w:p>
    <w:p w14:paraId="193A8F96" w14:textId="77777777" w:rsidR="001173AC" w:rsidRPr="001173AC" w:rsidRDefault="001173AC" w:rsidP="001173AC">
      <w:pPr>
        <w:rPr>
          <w:rFonts w:asciiTheme="minorHAnsi" w:hAnsiTheme="minorHAnsi" w:cstheme="minorHAnsi"/>
          <w:sz w:val="24"/>
        </w:rPr>
      </w:pPr>
      <w:r w:rsidRPr="001173AC">
        <w:rPr>
          <w:rFonts w:asciiTheme="minorHAnsi" w:hAnsiTheme="minorHAnsi" w:cstheme="minorHAnsi"/>
          <w:sz w:val="24"/>
        </w:rPr>
        <w:t xml:space="preserve">DUSC requested that the report be provided to the PBAC. </w:t>
      </w:r>
    </w:p>
    <w:p w14:paraId="76A33FAF" w14:textId="77777777" w:rsidR="00C23FF1" w:rsidRDefault="00C23FF1" w:rsidP="008B6946">
      <w:pPr>
        <w:pStyle w:val="Heading2"/>
      </w:pPr>
    </w:p>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790E1EC3"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has</w:t>
      </w:r>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2DBF13A8" w14:textId="77777777" w:rsidR="00513E5D" w:rsidRPr="0062222D" w:rsidRDefault="00513E5D" w:rsidP="008B6946">
      <w:pPr>
        <w:rPr>
          <w:sz w:val="24"/>
          <w:szCs w:val="24"/>
          <w:highlight w:val="yellow"/>
        </w:rPr>
      </w:pPr>
    </w:p>
    <w:p w14:paraId="1661CE67" w14:textId="77777777" w:rsidR="000A4C6F" w:rsidRDefault="007C4782" w:rsidP="000A4C6F">
      <w:pPr>
        <w:pStyle w:val="ListParagraph"/>
        <w:autoSpaceDE w:val="0"/>
        <w:autoSpaceDN w:val="0"/>
        <w:adjustRightInd w:val="0"/>
        <w:ind w:left="0"/>
        <w:contextualSpacing/>
        <w:rPr>
          <w:b/>
          <w:szCs w:val="24"/>
        </w:rPr>
      </w:pPr>
      <w:r w:rsidRPr="007C4782">
        <w:rPr>
          <w:b/>
          <w:szCs w:val="24"/>
        </w:rPr>
        <w:t>Predicted versus Actual Utilisation Analysis</w:t>
      </w:r>
    </w:p>
    <w:p w14:paraId="41380C00" w14:textId="77777777" w:rsidR="004279D6" w:rsidRPr="000A4C6F" w:rsidRDefault="000A4C6F" w:rsidP="000A4C6F">
      <w:pPr>
        <w:pStyle w:val="ListParagraph"/>
        <w:numPr>
          <w:ilvl w:val="0"/>
          <w:numId w:val="18"/>
        </w:numPr>
        <w:autoSpaceDE w:val="0"/>
        <w:autoSpaceDN w:val="0"/>
        <w:adjustRightInd w:val="0"/>
        <w:contextualSpacing/>
        <w:rPr>
          <w:b/>
          <w:szCs w:val="24"/>
        </w:rPr>
      </w:pPr>
      <w:r w:rsidRPr="000A4C6F">
        <w:rPr>
          <w:szCs w:val="24"/>
        </w:rPr>
        <w:t>Teduglutide for Type III (chronic) intestinal failure associated with short bowel syndrome.</w:t>
      </w:r>
    </w:p>
    <w:p w14:paraId="1E3139E3" w14:textId="77777777" w:rsidR="000A4C6F" w:rsidRPr="000A4C6F" w:rsidRDefault="000A4C6F" w:rsidP="000A4C6F">
      <w:pPr>
        <w:autoSpaceDE w:val="0"/>
        <w:autoSpaceDN w:val="0"/>
        <w:adjustRightInd w:val="0"/>
        <w:ind w:left="360"/>
        <w:contextualSpacing/>
        <w:rPr>
          <w:b/>
          <w:szCs w:val="24"/>
        </w:rPr>
      </w:pPr>
    </w:p>
    <w:p w14:paraId="618683CB" w14:textId="77777777" w:rsidR="007F7611" w:rsidRPr="007F7611" w:rsidRDefault="007C4782" w:rsidP="007F7611">
      <w:pPr>
        <w:pStyle w:val="ListParagraph"/>
        <w:autoSpaceDE w:val="0"/>
        <w:autoSpaceDN w:val="0"/>
        <w:adjustRightInd w:val="0"/>
        <w:ind w:left="0"/>
        <w:contextualSpacing/>
        <w:rPr>
          <w:b/>
          <w:szCs w:val="24"/>
        </w:rPr>
      </w:pPr>
      <w:r w:rsidRPr="007C4782">
        <w:rPr>
          <w:b/>
          <w:szCs w:val="24"/>
        </w:rPr>
        <w:t>Analysis of single or multiple medicines in a treatment area</w:t>
      </w:r>
    </w:p>
    <w:p w14:paraId="007AE3C8" w14:textId="77777777" w:rsidR="000A4C6F" w:rsidRPr="007F7611" w:rsidRDefault="007F7611" w:rsidP="00763A09">
      <w:pPr>
        <w:pStyle w:val="ListParagraph"/>
        <w:numPr>
          <w:ilvl w:val="0"/>
          <w:numId w:val="18"/>
        </w:numPr>
        <w:rPr>
          <w:szCs w:val="24"/>
        </w:rPr>
      </w:pPr>
      <w:r w:rsidRPr="007F7611">
        <w:rPr>
          <w:rFonts w:asciiTheme="minorHAnsi" w:hAnsiTheme="minorHAnsi" w:cstheme="minorHAnsi"/>
          <w:color w:val="000000"/>
          <w:szCs w:val="21"/>
          <w:shd w:val="clear" w:color="auto" w:fill="FFFFFF"/>
        </w:rPr>
        <w:t>Proton pump inhibitors used in the management of gastrointestinal acid related disorders.</w:t>
      </w:r>
    </w:p>
    <w:p w14:paraId="05812BC1" w14:textId="77777777" w:rsidR="000A4C6F" w:rsidRPr="000A4C6F" w:rsidRDefault="000A4C6F" w:rsidP="000A4C6F">
      <w:pPr>
        <w:ind w:left="360"/>
        <w:rPr>
          <w:szCs w:val="24"/>
        </w:rPr>
      </w:pPr>
    </w:p>
    <w:p w14:paraId="47783227"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7777777" w:rsidR="00002AE8" w:rsidRPr="00144B72" w:rsidRDefault="00002AE8" w:rsidP="008B6946">
      <w:pPr>
        <w:rPr>
          <w:sz w:val="24"/>
          <w:szCs w:val="24"/>
        </w:rPr>
      </w:pPr>
      <w:r w:rsidRPr="00144B72">
        <w:rPr>
          <w:sz w:val="24"/>
          <w:szCs w:val="24"/>
        </w:rPr>
        <w:t xml:space="preserve">Professor </w:t>
      </w:r>
      <w:r w:rsidR="009341E3" w:rsidRPr="00144B72">
        <w:rPr>
          <w:sz w:val="24"/>
          <w:szCs w:val="24"/>
        </w:rPr>
        <w:t>Chris</w:t>
      </w:r>
      <w:r w:rsidR="00303E60" w:rsidRPr="00144B72">
        <w:rPr>
          <w:sz w:val="24"/>
          <w:szCs w:val="24"/>
        </w:rPr>
        <w:t>topher</w:t>
      </w:r>
      <w:r w:rsidR="009341E3" w:rsidRPr="00144B72">
        <w:rPr>
          <w:sz w:val="24"/>
          <w:szCs w:val="24"/>
        </w:rPr>
        <w:t xml:space="preserve"> Etherton-Beer</w:t>
      </w:r>
    </w:p>
    <w:p w14:paraId="4945D4ED" w14:textId="77777777" w:rsidR="00002AE8" w:rsidRPr="00144B72" w:rsidRDefault="00002AE8" w:rsidP="008B6946">
      <w:pPr>
        <w:rPr>
          <w:sz w:val="24"/>
          <w:szCs w:val="24"/>
        </w:rPr>
      </w:pPr>
      <w:r w:rsidRPr="00144B72">
        <w:rPr>
          <w:sz w:val="24"/>
          <w:szCs w:val="24"/>
        </w:rPr>
        <w:t>Chair</w:t>
      </w:r>
    </w:p>
    <w:p w14:paraId="17065713"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footerReference w:type="default" r:id="rId11"/>
      <w:headerReference w:type="first" r:id="rId12"/>
      <w:footerReference w:type="first" r:id="rId13"/>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18FB3" w14:textId="77777777" w:rsidR="00756332" w:rsidRDefault="00756332">
      <w:r>
        <w:separator/>
      </w:r>
    </w:p>
  </w:endnote>
  <w:endnote w:type="continuationSeparator" w:id="0">
    <w:p w14:paraId="7C039B21" w14:textId="77777777" w:rsidR="00756332" w:rsidRDefault="0075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1EF7" w14:textId="77777777" w:rsidR="00CA1AA9" w:rsidRDefault="00CA1AA9">
    <w:pPr>
      <w:pStyle w:val="Footer"/>
      <w:jc w:val="center"/>
    </w:pPr>
    <w:r>
      <w:fldChar w:fldCharType="begin"/>
    </w:r>
    <w:r>
      <w:instrText xml:space="preserve"> PAGE   \* MERGEFORMAT </w:instrText>
    </w:r>
    <w:r>
      <w:fldChar w:fldCharType="separate"/>
    </w:r>
    <w:r w:rsidR="002914DA">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53FA1" w14:textId="77777777" w:rsidR="00CA1AA9" w:rsidRDefault="00CA1AA9">
    <w:pPr>
      <w:pStyle w:val="Footer"/>
      <w:jc w:val="center"/>
    </w:pPr>
    <w:r>
      <w:fldChar w:fldCharType="begin"/>
    </w:r>
    <w:r>
      <w:instrText xml:space="preserve"> PAGE   \* MERGEFORMAT </w:instrText>
    </w:r>
    <w:r>
      <w:fldChar w:fldCharType="separate"/>
    </w:r>
    <w:r w:rsidR="00660972">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10C9E" w14:textId="77777777" w:rsidR="00756332" w:rsidRDefault="00756332">
      <w:r>
        <w:separator/>
      </w:r>
    </w:p>
  </w:footnote>
  <w:footnote w:type="continuationSeparator" w:id="0">
    <w:p w14:paraId="0E63C3DB" w14:textId="77777777" w:rsidR="00756332" w:rsidRDefault="0075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77777777" w:rsidR="00CA1AA9" w:rsidRPr="00CA347D" w:rsidRDefault="00CA1AA9" w:rsidP="00CA347D">
    <w:pPr>
      <w:pStyle w:val="Heading1"/>
    </w:pPr>
    <w:r w:rsidRPr="00CA347D">
      <w:rPr>
        <w:rStyle w:val="Heading1Char"/>
        <w:b/>
      </w:rPr>
      <w:t xml:space="preserve">Outcome Statement </w:t>
    </w:r>
    <w:r w:rsidR="009F61DE">
      <w:rPr>
        <w:rStyle w:val="Heading1Char"/>
        <w:b/>
      </w:rPr>
      <w:t>3</w:t>
    </w:r>
    <w:r w:rsidR="001F55F5">
      <w:rPr>
        <w:rStyle w:val="Heading1Char"/>
        <w:b/>
      </w:rPr>
      <w:t xml:space="preserve"> </w:t>
    </w:r>
    <w:r w:rsidR="009F61DE">
      <w:rPr>
        <w:rStyle w:val="Heading1Char"/>
        <w:b/>
      </w:rPr>
      <w:t>February</w:t>
    </w:r>
    <w:r w:rsidR="001F55F5">
      <w:rPr>
        <w:rStyle w:val="Heading1Char"/>
        <w:b/>
      </w:rPr>
      <w:t xml:space="preserve"> – </w:t>
    </w:r>
    <w:r w:rsidR="009F61DE">
      <w:rPr>
        <w:rStyle w:val="Heading1Char"/>
        <w:b/>
      </w:rPr>
      <w:t>4</w:t>
    </w:r>
    <w:r w:rsidR="001F55F5">
      <w:rPr>
        <w:rStyle w:val="Heading1Char"/>
        <w:b/>
      </w:rPr>
      <w:t xml:space="preserve"> </w:t>
    </w:r>
    <w:r w:rsidR="009F61DE">
      <w:rPr>
        <w:rStyle w:val="Heading1Char"/>
        <w:b/>
      </w:rPr>
      <w:t>February</w:t>
    </w:r>
    <w:r w:rsidR="00CE1361">
      <w:rPr>
        <w:rStyle w:val="Heading1Char"/>
        <w:b/>
      </w:rPr>
      <w:t xml:space="preserve"> 202</w:t>
    </w:r>
    <w:r w:rsidR="009F61DE">
      <w:rPr>
        <w:rStyle w:val="Heading1Char"/>
        <w:b/>
      </w:rPr>
      <w:t>2</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5"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6"/>
  </w:num>
  <w:num w:numId="4">
    <w:abstractNumId w:val="3"/>
  </w:num>
  <w:num w:numId="5">
    <w:abstractNumId w:val="8"/>
  </w:num>
  <w:num w:numId="6">
    <w:abstractNumId w:val="5"/>
  </w:num>
  <w:num w:numId="7">
    <w:abstractNumId w:val="2"/>
  </w:num>
  <w:num w:numId="8">
    <w:abstractNumId w:val="14"/>
  </w:num>
  <w:num w:numId="9">
    <w:abstractNumId w:val="7"/>
  </w:num>
  <w:num w:numId="10">
    <w:abstractNumId w:val="17"/>
  </w:num>
  <w:num w:numId="11">
    <w:abstractNumId w:val="12"/>
  </w:num>
  <w:num w:numId="12">
    <w:abstractNumId w:val="13"/>
  </w:num>
  <w:num w:numId="13">
    <w:abstractNumId w:val="10"/>
  </w:num>
  <w:num w:numId="14">
    <w:abstractNumId w:val="1"/>
  </w:num>
  <w:num w:numId="15">
    <w:abstractNumId w:val="11"/>
  </w:num>
  <w:num w:numId="16">
    <w:abstractNumId w:val="4"/>
  </w:num>
  <w:num w:numId="17">
    <w:abstractNumId w:val="15"/>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578A"/>
    <w:rsid w:val="00021898"/>
    <w:rsid w:val="00021AF3"/>
    <w:rsid w:val="000253E4"/>
    <w:rsid w:val="0002613B"/>
    <w:rsid w:val="00026898"/>
    <w:rsid w:val="00027AA0"/>
    <w:rsid w:val="000304CA"/>
    <w:rsid w:val="000308AD"/>
    <w:rsid w:val="00032252"/>
    <w:rsid w:val="0003541E"/>
    <w:rsid w:val="00037A0C"/>
    <w:rsid w:val="00040565"/>
    <w:rsid w:val="0004475E"/>
    <w:rsid w:val="00047105"/>
    <w:rsid w:val="0005073D"/>
    <w:rsid w:val="00054C1A"/>
    <w:rsid w:val="00055BF6"/>
    <w:rsid w:val="0006057A"/>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4C6F"/>
    <w:rsid w:val="000A53A6"/>
    <w:rsid w:val="000B14A0"/>
    <w:rsid w:val="000B52EE"/>
    <w:rsid w:val="000B5448"/>
    <w:rsid w:val="000C1D0B"/>
    <w:rsid w:val="000C2B83"/>
    <w:rsid w:val="000C58C8"/>
    <w:rsid w:val="000D2142"/>
    <w:rsid w:val="000D6712"/>
    <w:rsid w:val="000E178A"/>
    <w:rsid w:val="000E18F9"/>
    <w:rsid w:val="000E23E6"/>
    <w:rsid w:val="000F3387"/>
    <w:rsid w:val="000F4968"/>
    <w:rsid w:val="000F5C42"/>
    <w:rsid w:val="000F70AE"/>
    <w:rsid w:val="000F73FB"/>
    <w:rsid w:val="000F7CE1"/>
    <w:rsid w:val="00101877"/>
    <w:rsid w:val="00102579"/>
    <w:rsid w:val="00103AB0"/>
    <w:rsid w:val="001062BB"/>
    <w:rsid w:val="00106A1B"/>
    <w:rsid w:val="001071DA"/>
    <w:rsid w:val="001145B4"/>
    <w:rsid w:val="001173AC"/>
    <w:rsid w:val="001215D4"/>
    <w:rsid w:val="00121F43"/>
    <w:rsid w:val="001223D1"/>
    <w:rsid w:val="00123237"/>
    <w:rsid w:val="00127795"/>
    <w:rsid w:val="00134CAD"/>
    <w:rsid w:val="00136203"/>
    <w:rsid w:val="00137CE5"/>
    <w:rsid w:val="00140B94"/>
    <w:rsid w:val="00140CAF"/>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67A9"/>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6C85"/>
    <w:rsid w:val="001C7C04"/>
    <w:rsid w:val="001D07EF"/>
    <w:rsid w:val="001D6301"/>
    <w:rsid w:val="001E2022"/>
    <w:rsid w:val="001E4D54"/>
    <w:rsid w:val="001E50B6"/>
    <w:rsid w:val="001E682A"/>
    <w:rsid w:val="001F33DA"/>
    <w:rsid w:val="001F4200"/>
    <w:rsid w:val="001F55F5"/>
    <w:rsid w:val="001F6850"/>
    <w:rsid w:val="001F7E8B"/>
    <w:rsid w:val="001F7F87"/>
    <w:rsid w:val="00200BA3"/>
    <w:rsid w:val="00203342"/>
    <w:rsid w:val="00203986"/>
    <w:rsid w:val="00204055"/>
    <w:rsid w:val="00205AEF"/>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13AE"/>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26E0"/>
    <w:rsid w:val="00303E60"/>
    <w:rsid w:val="00305306"/>
    <w:rsid w:val="00307211"/>
    <w:rsid w:val="00307F20"/>
    <w:rsid w:val="00312E8E"/>
    <w:rsid w:val="00313B7D"/>
    <w:rsid w:val="00313FED"/>
    <w:rsid w:val="00320032"/>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47E17"/>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87891"/>
    <w:rsid w:val="003917EE"/>
    <w:rsid w:val="003923CC"/>
    <w:rsid w:val="00394958"/>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1ED8"/>
    <w:rsid w:val="003E601F"/>
    <w:rsid w:val="003E60A4"/>
    <w:rsid w:val="003E70CA"/>
    <w:rsid w:val="003E7E2E"/>
    <w:rsid w:val="003F0120"/>
    <w:rsid w:val="003F021A"/>
    <w:rsid w:val="003F06C8"/>
    <w:rsid w:val="003F1DCA"/>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39FE"/>
    <w:rsid w:val="00484F63"/>
    <w:rsid w:val="00487B49"/>
    <w:rsid w:val="00491723"/>
    <w:rsid w:val="0049330F"/>
    <w:rsid w:val="0049403E"/>
    <w:rsid w:val="00496AC8"/>
    <w:rsid w:val="004A055D"/>
    <w:rsid w:val="004A362A"/>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57FE"/>
    <w:rsid w:val="004F60E0"/>
    <w:rsid w:val="004F6113"/>
    <w:rsid w:val="004F6927"/>
    <w:rsid w:val="004F6E52"/>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C6E50"/>
    <w:rsid w:val="005D1BB0"/>
    <w:rsid w:val="005D4EB2"/>
    <w:rsid w:val="005D696D"/>
    <w:rsid w:val="005E116A"/>
    <w:rsid w:val="005E11DF"/>
    <w:rsid w:val="005E14B6"/>
    <w:rsid w:val="005E1889"/>
    <w:rsid w:val="005E1E28"/>
    <w:rsid w:val="005E4D8D"/>
    <w:rsid w:val="005E6641"/>
    <w:rsid w:val="005E71D4"/>
    <w:rsid w:val="005E77F8"/>
    <w:rsid w:val="005E7DF8"/>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31FB"/>
    <w:rsid w:val="0062459E"/>
    <w:rsid w:val="006255FF"/>
    <w:rsid w:val="00626FE7"/>
    <w:rsid w:val="006314E6"/>
    <w:rsid w:val="00635EA5"/>
    <w:rsid w:val="00640199"/>
    <w:rsid w:val="0064252F"/>
    <w:rsid w:val="006431B8"/>
    <w:rsid w:val="00645035"/>
    <w:rsid w:val="00647F2B"/>
    <w:rsid w:val="00651A8E"/>
    <w:rsid w:val="0065343B"/>
    <w:rsid w:val="00660972"/>
    <w:rsid w:val="00665A90"/>
    <w:rsid w:val="00667381"/>
    <w:rsid w:val="00670BD6"/>
    <w:rsid w:val="00670E22"/>
    <w:rsid w:val="006723D5"/>
    <w:rsid w:val="00673FCC"/>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36D"/>
    <w:rsid w:val="006D3D4A"/>
    <w:rsid w:val="006D3F5D"/>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5DC6"/>
    <w:rsid w:val="00706AF7"/>
    <w:rsid w:val="00706F2D"/>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5BF3"/>
    <w:rsid w:val="00756332"/>
    <w:rsid w:val="0076008F"/>
    <w:rsid w:val="007605B0"/>
    <w:rsid w:val="00761116"/>
    <w:rsid w:val="00764AF4"/>
    <w:rsid w:val="00766D92"/>
    <w:rsid w:val="00766DBB"/>
    <w:rsid w:val="007830A6"/>
    <w:rsid w:val="00783E2D"/>
    <w:rsid w:val="0079098A"/>
    <w:rsid w:val="00792D24"/>
    <w:rsid w:val="00795727"/>
    <w:rsid w:val="007958F3"/>
    <w:rsid w:val="0079709F"/>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4F4"/>
    <w:rsid w:val="007C4782"/>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68CC"/>
    <w:rsid w:val="008376F6"/>
    <w:rsid w:val="0084274F"/>
    <w:rsid w:val="00843448"/>
    <w:rsid w:val="00844137"/>
    <w:rsid w:val="008443DF"/>
    <w:rsid w:val="00846370"/>
    <w:rsid w:val="00846541"/>
    <w:rsid w:val="00851077"/>
    <w:rsid w:val="00855B59"/>
    <w:rsid w:val="00857960"/>
    <w:rsid w:val="00861968"/>
    <w:rsid w:val="00861B30"/>
    <w:rsid w:val="00865608"/>
    <w:rsid w:val="008671AC"/>
    <w:rsid w:val="008730E5"/>
    <w:rsid w:val="0087516C"/>
    <w:rsid w:val="008828B6"/>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4D0B"/>
    <w:rsid w:val="008C7ED8"/>
    <w:rsid w:val="008D0DA2"/>
    <w:rsid w:val="008D40EE"/>
    <w:rsid w:val="008E0DFD"/>
    <w:rsid w:val="008E4589"/>
    <w:rsid w:val="008E66D2"/>
    <w:rsid w:val="008E75E5"/>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57DBC"/>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3860"/>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378E"/>
    <w:rsid w:val="00A13CD6"/>
    <w:rsid w:val="00A140B4"/>
    <w:rsid w:val="00A20CBD"/>
    <w:rsid w:val="00A23071"/>
    <w:rsid w:val="00A24070"/>
    <w:rsid w:val="00A258B3"/>
    <w:rsid w:val="00A27FE5"/>
    <w:rsid w:val="00A33086"/>
    <w:rsid w:val="00A340B2"/>
    <w:rsid w:val="00A34A8E"/>
    <w:rsid w:val="00A372EE"/>
    <w:rsid w:val="00A42B7A"/>
    <w:rsid w:val="00A432AE"/>
    <w:rsid w:val="00A453E3"/>
    <w:rsid w:val="00A45D73"/>
    <w:rsid w:val="00A471E2"/>
    <w:rsid w:val="00A479B7"/>
    <w:rsid w:val="00A479D4"/>
    <w:rsid w:val="00A5019B"/>
    <w:rsid w:val="00A50646"/>
    <w:rsid w:val="00A50FB6"/>
    <w:rsid w:val="00A50FF8"/>
    <w:rsid w:val="00A52067"/>
    <w:rsid w:val="00A52E9A"/>
    <w:rsid w:val="00A5505E"/>
    <w:rsid w:val="00A57EA5"/>
    <w:rsid w:val="00A62C85"/>
    <w:rsid w:val="00A64459"/>
    <w:rsid w:val="00A64E13"/>
    <w:rsid w:val="00A72971"/>
    <w:rsid w:val="00A72A5F"/>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42CE"/>
    <w:rsid w:val="00AC6543"/>
    <w:rsid w:val="00AD405E"/>
    <w:rsid w:val="00AD52F5"/>
    <w:rsid w:val="00AD61AC"/>
    <w:rsid w:val="00AE0098"/>
    <w:rsid w:val="00AE0F62"/>
    <w:rsid w:val="00AE2C4F"/>
    <w:rsid w:val="00AE46E7"/>
    <w:rsid w:val="00AE47EB"/>
    <w:rsid w:val="00AE5D15"/>
    <w:rsid w:val="00AE7D19"/>
    <w:rsid w:val="00AF1FCD"/>
    <w:rsid w:val="00AF54A2"/>
    <w:rsid w:val="00AF646A"/>
    <w:rsid w:val="00B0144A"/>
    <w:rsid w:val="00B028E7"/>
    <w:rsid w:val="00B12248"/>
    <w:rsid w:val="00B12B2F"/>
    <w:rsid w:val="00B13246"/>
    <w:rsid w:val="00B171C5"/>
    <w:rsid w:val="00B17AE9"/>
    <w:rsid w:val="00B17B4F"/>
    <w:rsid w:val="00B20125"/>
    <w:rsid w:val="00B20269"/>
    <w:rsid w:val="00B20546"/>
    <w:rsid w:val="00B25209"/>
    <w:rsid w:val="00B26023"/>
    <w:rsid w:val="00B2765B"/>
    <w:rsid w:val="00B36BA0"/>
    <w:rsid w:val="00B41D14"/>
    <w:rsid w:val="00B434A2"/>
    <w:rsid w:val="00B471D0"/>
    <w:rsid w:val="00B47E46"/>
    <w:rsid w:val="00B51A8A"/>
    <w:rsid w:val="00B529E3"/>
    <w:rsid w:val="00B53CE1"/>
    <w:rsid w:val="00B54909"/>
    <w:rsid w:val="00B54AC5"/>
    <w:rsid w:val="00B54D25"/>
    <w:rsid w:val="00B561D0"/>
    <w:rsid w:val="00B60A40"/>
    <w:rsid w:val="00B613BB"/>
    <w:rsid w:val="00B636E4"/>
    <w:rsid w:val="00B66DA3"/>
    <w:rsid w:val="00B66FD7"/>
    <w:rsid w:val="00B679AA"/>
    <w:rsid w:val="00B721AD"/>
    <w:rsid w:val="00B73D79"/>
    <w:rsid w:val="00B73EC0"/>
    <w:rsid w:val="00B748A3"/>
    <w:rsid w:val="00B83E80"/>
    <w:rsid w:val="00B8425D"/>
    <w:rsid w:val="00B85744"/>
    <w:rsid w:val="00B92105"/>
    <w:rsid w:val="00B93651"/>
    <w:rsid w:val="00B94D51"/>
    <w:rsid w:val="00B94E75"/>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786B"/>
    <w:rsid w:val="00BE7AE1"/>
    <w:rsid w:val="00BF1645"/>
    <w:rsid w:val="00BF1737"/>
    <w:rsid w:val="00BF1F11"/>
    <w:rsid w:val="00BF5017"/>
    <w:rsid w:val="00BF5414"/>
    <w:rsid w:val="00BF5B1D"/>
    <w:rsid w:val="00BF7758"/>
    <w:rsid w:val="00BF7B3F"/>
    <w:rsid w:val="00BF7E3D"/>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B29E2"/>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58BC"/>
    <w:rsid w:val="00E05CA9"/>
    <w:rsid w:val="00E069B9"/>
    <w:rsid w:val="00E06E1E"/>
    <w:rsid w:val="00E1073E"/>
    <w:rsid w:val="00E10B17"/>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B16"/>
    <w:rsid w:val="00E63C49"/>
    <w:rsid w:val="00E63C9A"/>
    <w:rsid w:val="00E6555F"/>
    <w:rsid w:val="00E72175"/>
    <w:rsid w:val="00E77E9D"/>
    <w:rsid w:val="00E855DB"/>
    <w:rsid w:val="00E867CE"/>
    <w:rsid w:val="00E91369"/>
    <w:rsid w:val="00E929BF"/>
    <w:rsid w:val="00E9717F"/>
    <w:rsid w:val="00E97D3B"/>
    <w:rsid w:val="00EA11C6"/>
    <w:rsid w:val="00EA1348"/>
    <w:rsid w:val="00EA266C"/>
    <w:rsid w:val="00EA2A8E"/>
    <w:rsid w:val="00EA4A72"/>
    <w:rsid w:val="00EA4C8E"/>
    <w:rsid w:val="00EA6068"/>
    <w:rsid w:val="00EA6638"/>
    <w:rsid w:val="00EB0314"/>
    <w:rsid w:val="00EB6D4F"/>
    <w:rsid w:val="00EB7979"/>
    <w:rsid w:val="00EC188E"/>
    <w:rsid w:val="00EC27B1"/>
    <w:rsid w:val="00EC48D1"/>
    <w:rsid w:val="00EC4D9B"/>
    <w:rsid w:val="00EC7AD6"/>
    <w:rsid w:val="00ED088C"/>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75D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3AF"/>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bs.gov.au/pbs/industry/listing/elements/pbac-meetings/agenda/March-2020-PBAC-Meeting" TargetMode="External"/><Relationship Id="rId4" Type="http://schemas.openxmlformats.org/officeDocument/2006/relationships/settings" Target="settings.xml"/><Relationship Id="rId9" Type="http://schemas.openxmlformats.org/officeDocument/2006/relationships/hyperlink" Target="http://www.pbs.gov.au/pbs/industry/listing/elements/pbac-meetings/agenda/March-2020-PBAC-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AA52-0A8B-44FE-917C-2BAD1291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4578</Characters>
  <Application>Microsoft Office Word</Application>
  <DocSecurity>0</DocSecurity>
  <Lines>111</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2022-03-02T05:47:00Z</dcterms:created>
  <dcterms:modified xsi:type="dcterms:W3CDTF">2022-03-02T22:08:00Z</dcterms:modified>
</cp:coreProperties>
</file>