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9258E" w14:textId="77777777" w:rsidR="00A20CBD" w:rsidRPr="00F4413F" w:rsidRDefault="00A20CBD" w:rsidP="00855B59">
      <w:pPr>
        <w:ind w:left="2160" w:firstLine="720"/>
        <w:rPr>
          <w:b/>
        </w:rPr>
      </w:pPr>
    </w:p>
    <w:p w14:paraId="60727EA4" w14:textId="77777777"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10</w:t>
      </w:r>
      <w:r w:rsidR="00CD70B0">
        <w:rPr>
          <w:sz w:val="24"/>
          <w:szCs w:val="24"/>
        </w:rPr>
        <w:t>2</w:t>
      </w:r>
      <w:r w:rsidR="00CD70B0" w:rsidRPr="00CD70B0">
        <w:rPr>
          <w:sz w:val="24"/>
          <w:szCs w:val="24"/>
          <w:vertAlign w:val="superscript"/>
        </w:rPr>
        <w:t>nd</w:t>
      </w:r>
      <w:r w:rsidR="00CD70B0">
        <w:rPr>
          <w:sz w:val="24"/>
          <w:szCs w:val="24"/>
        </w:rPr>
        <w:t xml:space="preserve"> </w:t>
      </w:r>
      <w:r w:rsidRPr="005F3EF0">
        <w:rPr>
          <w:sz w:val="24"/>
          <w:szCs w:val="24"/>
        </w:rPr>
        <w:t xml:space="preserve">meeting on </w:t>
      </w:r>
      <w:r w:rsidR="00E4556A">
        <w:rPr>
          <w:sz w:val="24"/>
          <w:szCs w:val="24"/>
        </w:rPr>
        <w:t xml:space="preserve">the </w:t>
      </w:r>
      <w:r w:rsidR="00CD70B0">
        <w:rPr>
          <w:sz w:val="24"/>
          <w:szCs w:val="24"/>
        </w:rPr>
        <w:t>3</w:t>
      </w:r>
      <w:r w:rsidR="00CE1361">
        <w:rPr>
          <w:sz w:val="24"/>
          <w:szCs w:val="24"/>
        </w:rPr>
        <w:t xml:space="preserve"> – </w:t>
      </w:r>
      <w:r w:rsidR="00CD70B0">
        <w:rPr>
          <w:sz w:val="24"/>
          <w:szCs w:val="24"/>
        </w:rPr>
        <w:t>4</w:t>
      </w:r>
      <w:r w:rsidR="00CE1361">
        <w:rPr>
          <w:sz w:val="24"/>
          <w:szCs w:val="24"/>
        </w:rPr>
        <w:t xml:space="preserve"> </w:t>
      </w:r>
      <w:r w:rsidR="00CD70B0">
        <w:rPr>
          <w:sz w:val="24"/>
          <w:szCs w:val="24"/>
        </w:rPr>
        <w:t>June</w:t>
      </w:r>
      <w:r w:rsidR="00CE1361">
        <w:rPr>
          <w:sz w:val="24"/>
          <w:szCs w:val="24"/>
        </w:rPr>
        <w:t xml:space="preserve"> 2021</w:t>
      </w:r>
      <w:r w:rsidRPr="005F3EF0">
        <w:rPr>
          <w:sz w:val="24"/>
          <w:szCs w:val="24"/>
        </w:rPr>
        <w:t>.</w:t>
      </w:r>
    </w:p>
    <w:p w14:paraId="2371536A" w14:textId="77777777" w:rsidR="003F06C8" w:rsidRDefault="003F06C8" w:rsidP="008B6946">
      <w:pPr>
        <w:tabs>
          <w:tab w:val="left" w:pos="4820"/>
          <w:tab w:val="left" w:pos="8931"/>
          <w:tab w:val="left" w:pos="9028"/>
          <w:tab w:val="left" w:pos="9072"/>
        </w:tabs>
        <w:rPr>
          <w:sz w:val="24"/>
          <w:szCs w:val="24"/>
        </w:rPr>
      </w:pPr>
    </w:p>
    <w:p w14:paraId="4D99CA52"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1FF38A33" w14:textId="77777777" w:rsidR="00855B59" w:rsidRDefault="00855B59" w:rsidP="008B6946">
      <w:pPr>
        <w:tabs>
          <w:tab w:val="left" w:pos="4820"/>
          <w:tab w:val="left" w:pos="8931"/>
          <w:tab w:val="left" w:pos="9028"/>
          <w:tab w:val="left" w:pos="9072"/>
        </w:tabs>
        <w:rPr>
          <w:sz w:val="24"/>
          <w:szCs w:val="24"/>
        </w:rPr>
      </w:pPr>
    </w:p>
    <w:p w14:paraId="5D099B45" w14:textId="77777777"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5496909D" w14:textId="77777777" w:rsidR="00204055" w:rsidRPr="00B12248" w:rsidRDefault="00204055" w:rsidP="00204055">
      <w:pPr>
        <w:rPr>
          <w:sz w:val="24"/>
          <w:szCs w:val="24"/>
        </w:rPr>
      </w:pPr>
    </w:p>
    <w:p w14:paraId="2F36BC1D" w14:textId="77777777" w:rsidR="004566A9" w:rsidRPr="00855B59" w:rsidRDefault="00855B59" w:rsidP="008B6946">
      <w:pPr>
        <w:pStyle w:val="Heading2"/>
      </w:pPr>
      <w:r w:rsidRPr="00855B59">
        <w:t>Su</w:t>
      </w:r>
      <w:r w:rsidR="004566A9" w:rsidRPr="00855B59">
        <w:t>bmissions to the PBAC</w:t>
      </w:r>
    </w:p>
    <w:p w14:paraId="61DB7FA5" w14:textId="77777777" w:rsidR="009237FF" w:rsidRDefault="00BE11AF" w:rsidP="008B6946">
      <w:pPr>
        <w:rPr>
          <w:sz w:val="24"/>
          <w:szCs w:val="24"/>
        </w:rPr>
      </w:pPr>
      <w:r>
        <w:rPr>
          <w:sz w:val="24"/>
          <w:szCs w:val="24"/>
        </w:rPr>
        <w:t xml:space="preserve">DUSC noted that </w:t>
      </w:r>
      <w:r w:rsidR="000134E0">
        <w:rPr>
          <w:sz w:val="24"/>
          <w:szCs w:val="24"/>
        </w:rPr>
        <w:t>nine category 1, 14 category 2 and three standard re-entry</w:t>
      </w:r>
      <w:r w:rsidR="003F06C8" w:rsidRPr="0035237B">
        <w:rPr>
          <w:sz w:val="24"/>
          <w:szCs w:val="24"/>
        </w:rPr>
        <w:t xml:space="preserve"> submissions had been received for the </w:t>
      </w:r>
      <w:r w:rsidR="00CD70B0">
        <w:rPr>
          <w:sz w:val="24"/>
          <w:szCs w:val="24"/>
        </w:rPr>
        <w:t>July</w:t>
      </w:r>
      <w:r w:rsidR="00CE1361">
        <w:rPr>
          <w:sz w:val="24"/>
          <w:szCs w:val="24"/>
        </w:rPr>
        <w:t xml:space="preserve"> 2021</w:t>
      </w:r>
      <w:r w:rsidR="003F06C8"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3F06C8" w:rsidRPr="0035237B">
        <w:rPr>
          <w:sz w:val="24"/>
          <w:szCs w:val="24"/>
        </w:rPr>
        <w:t>submissions</w:t>
      </w:r>
      <w:r w:rsidR="00C814DC" w:rsidRPr="0035237B">
        <w:rPr>
          <w:sz w:val="24"/>
          <w:szCs w:val="24"/>
        </w:rPr>
        <w:t xml:space="preserve"> where there </w:t>
      </w:r>
      <w:r w:rsidR="005B19CE">
        <w:rPr>
          <w:sz w:val="24"/>
          <w:szCs w:val="24"/>
        </w:rPr>
        <w:t>wa</w:t>
      </w:r>
      <w:r w:rsidR="005B19CE" w:rsidRPr="0035237B">
        <w:rPr>
          <w:sz w:val="24"/>
          <w:szCs w:val="24"/>
        </w:rPr>
        <w:t xml:space="preserve">s </w:t>
      </w:r>
      <w:r w:rsidR="00C814DC" w:rsidRPr="0035237B">
        <w:rPr>
          <w:sz w:val="24"/>
          <w:szCs w:val="24"/>
        </w:rPr>
        <w:t>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CD70B0">
        <w:rPr>
          <w:sz w:val="24"/>
          <w:szCs w:val="24"/>
        </w:rPr>
        <w:t>July</w:t>
      </w:r>
      <w:r w:rsidR="00CE1361">
        <w:rPr>
          <w:sz w:val="24"/>
          <w:szCs w:val="24"/>
        </w:rPr>
        <w:t xml:space="preserve"> 2021</w:t>
      </w:r>
      <w:r w:rsidR="005C053B" w:rsidRPr="0035237B">
        <w:rPr>
          <w:sz w:val="24"/>
          <w:szCs w:val="24"/>
        </w:rPr>
        <w:t xml:space="preserve"> PBAC meeting </w:t>
      </w:r>
      <w:r w:rsidR="008F7F63" w:rsidRPr="0035237B">
        <w:rPr>
          <w:sz w:val="24"/>
          <w:szCs w:val="24"/>
        </w:rPr>
        <w:t xml:space="preserve">can be found </w:t>
      </w:r>
      <w:r w:rsidR="00E013AC" w:rsidRPr="0035237B">
        <w:rPr>
          <w:sz w:val="24"/>
          <w:szCs w:val="24"/>
        </w:rPr>
        <w:t xml:space="preserve">on the </w:t>
      </w:r>
      <w:hyperlink r:id="rId9" w:history="1">
        <w:r w:rsidR="00E013AC" w:rsidRPr="0035237B">
          <w:rPr>
            <w:rStyle w:val="Hyperlink"/>
            <w:sz w:val="24"/>
            <w:szCs w:val="24"/>
          </w:rPr>
          <w:t>PBS</w:t>
        </w:r>
        <w:r w:rsidR="006E3AF2">
          <w:rPr>
            <w:rStyle w:val="Hyperlink"/>
            <w:sz w:val="24"/>
            <w:szCs w:val="24"/>
          </w:rPr>
          <w:t> </w:t>
        </w:r>
        <w:r w:rsidR="00E013AC" w:rsidRPr="0035237B">
          <w:rPr>
            <w:rStyle w:val="Hyperlink"/>
            <w:sz w:val="24"/>
            <w:szCs w:val="24"/>
          </w:rPr>
          <w:t>website</w:t>
        </w:r>
      </w:hyperlink>
      <w:r w:rsidR="00E013AC" w:rsidRPr="0035237B">
        <w:rPr>
          <w:sz w:val="24"/>
          <w:szCs w:val="24"/>
        </w:rPr>
        <w:t>.</w:t>
      </w:r>
    </w:p>
    <w:p w14:paraId="3CBCD859" w14:textId="77777777" w:rsidR="00A453E3" w:rsidRDefault="00A453E3" w:rsidP="008B6946">
      <w:pPr>
        <w:rPr>
          <w:sz w:val="24"/>
          <w:szCs w:val="24"/>
        </w:rPr>
      </w:pPr>
    </w:p>
    <w:p w14:paraId="33C4AE64"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1B6306ED" w14:textId="77777777"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are subsequently provided to the PBAC.</w:t>
      </w:r>
    </w:p>
    <w:p w14:paraId="410D6859" w14:textId="77777777" w:rsidR="00021AF3" w:rsidRPr="00B12248" w:rsidRDefault="00021AF3" w:rsidP="00D97B8F">
      <w:pPr>
        <w:rPr>
          <w:sz w:val="24"/>
          <w:szCs w:val="24"/>
        </w:rPr>
      </w:pPr>
    </w:p>
    <w:p w14:paraId="3A68E54A" w14:textId="77777777"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 xml:space="preserve">in </w:t>
      </w:r>
      <w:r w:rsidR="00CD70B0">
        <w:rPr>
          <w:sz w:val="24"/>
          <w:szCs w:val="24"/>
        </w:rPr>
        <w:t>June</w:t>
      </w:r>
      <w:r w:rsidR="00CE1361">
        <w:rPr>
          <w:sz w:val="24"/>
          <w:szCs w:val="24"/>
        </w:rPr>
        <w:t xml:space="preserve"> 2021</w:t>
      </w:r>
      <w:r w:rsidRPr="00B12248">
        <w:rPr>
          <w:sz w:val="24"/>
          <w:szCs w:val="24"/>
        </w:rPr>
        <w:t>:</w:t>
      </w:r>
    </w:p>
    <w:p w14:paraId="6531223F" w14:textId="77777777" w:rsidR="00B636E4" w:rsidRDefault="00B636E4" w:rsidP="009F597A">
      <w:pPr>
        <w:rPr>
          <w:sz w:val="24"/>
          <w:szCs w:val="24"/>
        </w:rPr>
      </w:pPr>
    </w:p>
    <w:p w14:paraId="28FBA6FA" w14:textId="77777777" w:rsidR="00D71C23" w:rsidRPr="00D71C23" w:rsidRDefault="00CD70B0" w:rsidP="00D71C23">
      <w:pPr>
        <w:rPr>
          <w:rFonts w:asciiTheme="minorHAnsi" w:eastAsia="MS Mincho" w:hAnsiTheme="minorHAnsi" w:cstheme="minorHAnsi"/>
          <w:b/>
          <w:sz w:val="24"/>
          <w:szCs w:val="24"/>
        </w:rPr>
      </w:pPr>
      <w:proofErr w:type="spellStart"/>
      <w:r w:rsidRPr="00CD70B0">
        <w:rPr>
          <w:rFonts w:asciiTheme="minorHAnsi" w:eastAsia="MS Mincho" w:hAnsiTheme="minorHAnsi" w:cstheme="minorHAnsi"/>
          <w:b/>
          <w:sz w:val="24"/>
          <w:szCs w:val="24"/>
        </w:rPr>
        <w:t>Evolocumab</w:t>
      </w:r>
      <w:proofErr w:type="spellEnd"/>
      <w:r w:rsidRPr="00CD70B0">
        <w:rPr>
          <w:rFonts w:asciiTheme="minorHAnsi" w:eastAsia="MS Mincho" w:hAnsiTheme="minorHAnsi" w:cstheme="minorHAnsi"/>
          <w:b/>
          <w:sz w:val="24"/>
          <w:szCs w:val="24"/>
        </w:rPr>
        <w:t xml:space="preserve"> for heterozygous </w:t>
      </w:r>
      <w:r w:rsidR="004213FB" w:rsidRPr="00CD70B0">
        <w:rPr>
          <w:rFonts w:asciiTheme="minorHAnsi" w:eastAsia="MS Mincho" w:hAnsiTheme="minorHAnsi" w:cstheme="minorHAnsi"/>
          <w:b/>
          <w:sz w:val="24"/>
          <w:szCs w:val="24"/>
        </w:rPr>
        <w:t xml:space="preserve">familial </w:t>
      </w:r>
      <w:r w:rsidRPr="00CD70B0">
        <w:rPr>
          <w:rFonts w:asciiTheme="minorHAnsi" w:eastAsia="MS Mincho" w:hAnsiTheme="minorHAnsi" w:cstheme="minorHAnsi"/>
          <w:b/>
          <w:sz w:val="24"/>
          <w:szCs w:val="24"/>
        </w:rPr>
        <w:t>hypercholesterolaemia</w:t>
      </w:r>
    </w:p>
    <w:p w14:paraId="5941815C" w14:textId="7B10AC22" w:rsidR="00D71C23" w:rsidRDefault="008368CC" w:rsidP="00D71C23">
      <w:pPr>
        <w:rPr>
          <w:rFonts w:asciiTheme="minorHAnsi" w:hAnsiTheme="minorHAnsi" w:cstheme="minorHAnsi"/>
          <w:sz w:val="24"/>
          <w:szCs w:val="24"/>
        </w:rPr>
      </w:pPr>
      <w:r w:rsidRPr="008368CC">
        <w:rPr>
          <w:rFonts w:asciiTheme="minorHAnsi" w:hAnsiTheme="minorHAnsi" w:cstheme="minorHAnsi"/>
          <w:sz w:val="24"/>
          <w:szCs w:val="24"/>
        </w:rPr>
        <w:t xml:space="preserve">DUSC reviewed the use of </w:t>
      </w:r>
      <w:proofErr w:type="spellStart"/>
      <w:r w:rsidRPr="008368CC">
        <w:rPr>
          <w:rFonts w:asciiTheme="minorHAnsi" w:hAnsiTheme="minorHAnsi" w:cstheme="minorHAnsi"/>
          <w:sz w:val="24"/>
          <w:szCs w:val="24"/>
        </w:rPr>
        <w:t>evolocumab</w:t>
      </w:r>
      <w:proofErr w:type="spellEnd"/>
      <w:r w:rsidRPr="008368CC">
        <w:rPr>
          <w:rFonts w:asciiTheme="minorHAnsi" w:hAnsiTheme="minorHAnsi" w:cstheme="minorHAnsi"/>
          <w:sz w:val="24"/>
          <w:szCs w:val="24"/>
        </w:rPr>
        <w:t xml:space="preserve"> for the treatment of heterozygous familial hypercholesterolaemia.</w:t>
      </w:r>
      <w:r w:rsidR="004213FB">
        <w:rPr>
          <w:rFonts w:asciiTheme="minorHAnsi" w:hAnsiTheme="minorHAnsi" w:cstheme="minorHAnsi"/>
          <w:sz w:val="24"/>
          <w:szCs w:val="24"/>
        </w:rPr>
        <w:t xml:space="preserve"> </w:t>
      </w:r>
      <w:r w:rsidR="004213FB" w:rsidRPr="004213FB">
        <w:rPr>
          <w:rFonts w:asciiTheme="minorHAnsi" w:hAnsiTheme="minorHAnsi" w:cstheme="minorHAnsi"/>
          <w:sz w:val="24"/>
          <w:szCs w:val="24"/>
        </w:rPr>
        <w:t xml:space="preserve">The </w:t>
      </w:r>
      <w:r w:rsidR="00795727">
        <w:rPr>
          <w:rFonts w:asciiTheme="minorHAnsi" w:hAnsiTheme="minorHAnsi" w:cstheme="minorHAnsi"/>
          <w:sz w:val="24"/>
          <w:szCs w:val="24"/>
        </w:rPr>
        <w:t>submission was</w:t>
      </w:r>
      <w:r w:rsidR="004213FB" w:rsidRPr="004213FB">
        <w:rPr>
          <w:rFonts w:asciiTheme="minorHAnsi" w:hAnsiTheme="minorHAnsi" w:cstheme="minorHAnsi"/>
          <w:sz w:val="24"/>
          <w:szCs w:val="24"/>
        </w:rPr>
        <w:t xml:space="preserve"> based on familial hypercholesterolaemia; both homozygous </w:t>
      </w:r>
      <w:proofErr w:type="gramStart"/>
      <w:r w:rsidR="004213FB" w:rsidRPr="004213FB">
        <w:rPr>
          <w:rFonts w:asciiTheme="minorHAnsi" w:hAnsiTheme="minorHAnsi" w:cstheme="minorHAnsi"/>
          <w:sz w:val="24"/>
          <w:szCs w:val="24"/>
        </w:rPr>
        <w:t>or</w:t>
      </w:r>
      <w:proofErr w:type="gramEnd"/>
      <w:r w:rsidR="004213FB" w:rsidRPr="004213FB">
        <w:rPr>
          <w:rFonts w:asciiTheme="minorHAnsi" w:hAnsiTheme="minorHAnsi" w:cstheme="minorHAnsi"/>
          <w:sz w:val="24"/>
          <w:szCs w:val="24"/>
        </w:rPr>
        <w:t xml:space="preserve"> heterozygous.</w:t>
      </w:r>
      <w:r w:rsidRPr="008368CC">
        <w:rPr>
          <w:rFonts w:asciiTheme="minorHAnsi" w:hAnsiTheme="minorHAnsi" w:cstheme="minorHAnsi"/>
          <w:sz w:val="24"/>
          <w:szCs w:val="24"/>
        </w:rPr>
        <w:t xml:space="preserve"> In 2020, 2,693 patients were supplied at least one prescription for familial hypercholesterolaemia and, of these, 923 patients were supplied their first PBS-subsidised </w:t>
      </w:r>
      <w:proofErr w:type="spellStart"/>
      <w:r w:rsidRPr="008368CC">
        <w:rPr>
          <w:rFonts w:asciiTheme="minorHAnsi" w:hAnsiTheme="minorHAnsi" w:cstheme="minorHAnsi"/>
          <w:sz w:val="24"/>
          <w:szCs w:val="24"/>
        </w:rPr>
        <w:t>evolocumab</w:t>
      </w:r>
      <w:proofErr w:type="spellEnd"/>
      <w:r w:rsidRPr="008368CC">
        <w:rPr>
          <w:rFonts w:asciiTheme="minorHAnsi" w:hAnsiTheme="minorHAnsi" w:cstheme="minorHAnsi"/>
          <w:sz w:val="24"/>
          <w:szCs w:val="24"/>
        </w:rPr>
        <w:t xml:space="preserve"> prescription for this indication. </w:t>
      </w:r>
      <w:proofErr w:type="spellStart"/>
      <w:r w:rsidRPr="008368CC">
        <w:rPr>
          <w:rFonts w:asciiTheme="minorHAnsi" w:hAnsiTheme="minorHAnsi" w:cstheme="minorHAnsi"/>
          <w:sz w:val="24"/>
          <w:szCs w:val="24"/>
        </w:rPr>
        <w:t>Evolocumab</w:t>
      </w:r>
      <w:proofErr w:type="spellEnd"/>
      <w:r w:rsidRPr="008368CC">
        <w:rPr>
          <w:rFonts w:asciiTheme="minorHAnsi" w:hAnsiTheme="minorHAnsi" w:cstheme="minorHAnsi"/>
          <w:sz w:val="24"/>
          <w:szCs w:val="24"/>
        </w:rPr>
        <w:t xml:space="preserve"> is </w:t>
      </w:r>
      <w:r w:rsidR="004213FB">
        <w:rPr>
          <w:rFonts w:asciiTheme="minorHAnsi" w:hAnsiTheme="minorHAnsi" w:cstheme="minorHAnsi"/>
          <w:sz w:val="24"/>
          <w:szCs w:val="24"/>
        </w:rPr>
        <w:t>most frequently</w:t>
      </w:r>
      <w:r w:rsidR="004213FB" w:rsidRPr="008368CC">
        <w:rPr>
          <w:rFonts w:asciiTheme="minorHAnsi" w:hAnsiTheme="minorHAnsi" w:cstheme="minorHAnsi"/>
          <w:sz w:val="24"/>
          <w:szCs w:val="24"/>
        </w:rPr>
        <w:t xml:space="preserve"> </w:t>
      </w:r>
      <w:r w:rsidRPr="008368CC">
        <w:rPr>
          <w:rFonts w:asciiTheme="minorHAnsi" w:hAnsiTheme="minorHAnsi" w:cstheme="minorHAnsi"/>
          <w:sz w:val="24"/>
          <w:szCs w:val="24"/>
        </w:rPr>
        <w:t xml:space="preserve">supplied as a dose of 280 mg or 420 mg </w:t>
      </w:r>
      <w:r w:rsidR="00D758A2">
        <w:rPr>
          <w:rFonts w:asciiTheme="minorHAnsi" w:hAnsiTheme="minorHAnsi" w:cstheme="minorHAnsi"/>
          <w:sz w:val="24"/>
          <w:szCs w:val="24"/>
        </w:rPr>
        <w:t>in</w:t>
      </w:r>
      <w:r w:rsidR="00D758A2" w:rsidRPr="008368CC">
        <w:rPr>
          <w:rFonts w:asciiTheme="minorHAnsi" w:hAnsiTheme="minorHAnsi" w:cstheme="minorHAnsi"/>
          <w:sz w:val="24"/>
          <w:szCs w:val="24"/>
        </w:rPr>
        <w:t xml:space="preserve"> </w:t>
      </w:r>
      <w:r w:rsidRPr="008368CC">
        <w:rPr>
          <w:rFonts w:asciiTheme="minorHAnsi" w:hAnsiTheme="minorHAnsi" w:cstheme="minorHAnsi"/>
          <w:sz w:val="24"/>
          <w:szCs w:val="24"/>
        </w:rPr>
        <w:t xml:space="preserve">quantities of two or three 140 mg/mL pen devices. In 2020, 88% (17,181) of </w:t>
      </w:r>
      <w:proofErr w:type="spellStart"/>
      <w:r w:rsidRPr="008368CC">
        <w:rPr>
          <w:rFonts w:asciiTheme="minorHAnsi" w:hAnsiTheme="minorHAnsi" w:cstheme="minorHAnsi"/>
          <w:sz w:val="24"/>
          <w:szCs w:val="24"/>
        </w:rPr>
        <w:t>evolocumab</w:t>
      </w:r>
      <w:proofErr w:type="spellEnd"/>
      <w:r w:rsidRPr="008368CC">
        <w:rPr>
          <w:rFonts w:asciiTheme="minorHAnsi" w:hAnsiTheme="minorHAnsi" w:cstheme="minorHAnsi"/>
          <w:sz w:val="24"/>
          <w:szCs w:val="24"/>
        </w:rPr>
        <w:t xml:space="preserve"> prescriptions and 95% (43,675) of the total quantity supplied for familial hypercholesterolaemia were for the 140 mg/mL pen device.</w:t>
      </w:r>
    </w:p>
    <w:p w14:paraId="410C9DA2" w14:textId="77777777" w:rsidR="00CD70B0" w:rsidRPr="00D71C23" w:rsidRDefault="00CD70B0" w:rsidP="00D71C23">
      <w:pPr>
        <w:rPr>
          <w:rFonts w:asciiTheme="minorHAnsi" w:hAnsiTheme="minorHAnsi" w:cstheme="minorHAnsi"/>
          <w:sz w:val="24"/>
          <w:szCs w:val="24"/>
        </w:rPr>
      </w:pPr>
    </w:p>
    <w:p w14:paraId="1C082952" w14:textId="77777777" w:rsidR="00D71C23" w:rsidRPr="00D71C23" w:rsidRDefault="00D71C23" w:rsidP="00D71C23">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0025DDA0" w14:textId="77777777" w:rsidR="00D71C23" w:rsidRDefault="00D71C23" w:rsidP="009F597A">
      <w:pPr>
        <w:rPr>
          <w:sz w:val="24"/>
          <w:szCs w:val="24"/>
        </w:rPr>
      </w:pPr>
    </w:p>
    <w:p w14:paraId="47B3E465" w14:textId="77777777" w:rsidR="004279D6" w:rsidRDefault="00CD70B0" w:rsidP="00674A52">
      <w:pPr>
        <w:rPr>
          <w:rFonts w:eastAsia="MS Mincho"/>
          <w:b/>
          <w:sz w:val="24"/>
          <w:szCs w:val="24"/>
        </w:rPr>
      </w:pPr>
      <w:r w:rsidRPr="00CD70B0">
        <w:rPr>
          <w:rFonts w:eastAsia="MS Mincho"/>
          <w:b/>
          <w:sz w:val="24"/>
          <w:szCs w:val="24"/>
        </w:rPr>
        <w:t>Guanfacine for ADHD</w:t>
      </w:r>
    </w:p>
    <w:p w14:paraId="5B4DC30B" w14:textId="6A06C0FC" w:rsidR="000E23E6" w:rsidRPr="000E23E6" w:rsidRDefault="000E23E6" w:rsidP="000E23E6">
      <w:pPr>
        <w:rPr>
          <w:rFonts w:asciiTheme="minorHAnsi" w:hAnsiTheme="minorHAnsi" w:cstheme="minorHAnsi"/>
          <w:sz w:val="24"/>
          <w:szCs w:val="24"/>
        </w:rPr>
      </w:pPr>
      <w:r w:rsidRPr="000E23E6">
        <w:rPr>
          <w:rFonts w:asciiTheme="minorHAnsi" w:hAnsiTheme="minorHAnsi" w:cstheme="minorHAnsi"/>
          <w:sz w:val="24"/>
          <w:szCs w:val="24"/>
        </w:rPr>
        <w:t xml:space="preserve">DUSC reviewed the use of ADHD medications with particular attention to guanfacine. Over the </w:t>
      </w:r>
      <w:proofErr w:type="gramStart"/>
      <w:r w:rsidRPr="000E23E6">
        <w:rPr>
          <w:rFonts w:asciiTheme="minorHAnsi" w:hAnsiTheme="minorHAnsi" w:cstheme="minorHAnsi"/>
          <w:sz w:val="24"/>
          <w:szCs w:val="24"/>
        </w:rPr>
        <w:t>seven year</w:t>
      </w:r>
      <w:proofErr w:type="gramEnd"/>
      <w:r w:rsidRPr="000E23E6">
        <w:rPr>
          <w:rFonts w:asciiTheme="minorHAnsi" w:hAnsiTheme="minorHAnsi" w:cstheme="minorHAnsi"/>
          <w:sz w:val="24"/>
          <w:szCs w:val="24"/>
        </w:rPr>
        <w:t xml:space="preserve"> period 2014-2020 the number of prevalent patients treated with R/PBS medicines for ADHD had risen at a yearly average growth rate of 12%. From 2014-2017 the yearly average growth rate was </w:t>
      </w:r>
      <w:r w:rsidR="00D758A2">
        <w:rPr>
          <w:rFonts w:asciiTheme="minorHAnsi" w:hAnsiTheme="minorHAnsi" w:cstheme="minorHAnsi"/>
          <w:sz w:val="24"/>
          <w:szCs w:val="24"/>
        </w:rPr>
        <w:t>10</w:t>
      </w:r>
      <w:r w:rsidRPr="000E23E6">
        <w:rPr>
          <w:rFonts w:asciiTheme="minorHAnsi" w:hAnsiTheme="minorHAnsi" w:cstheme="minorHAnsi"/>
          <w:sz w:val="24"/>
          <w:szCs w:val="24"/>
        </w:rPr>
        <w:t xml:space="preserve">%, whereas from 2018-2020 the yearly growth rate was 16%. The </w:t>
      </w:r>
      <w:r w:rsidRPr="000E23E6">
        <w:rPr>
          <w:rFonts w:asciiTheme="minorHAnsi" w:hAnsiTheme="minorHAnsi" w:cstheme="minorHAnsi"/>
          <w:sz w:val="24"/>
          <w:szCs w:val="24"/>
        </w:rPr>
        <w:lastRenderedPageBreak/>
        <w:t xml:space="preserve">substantial increase since 2018 was due to the listing of guanfacine in September 2018. The most commonly used medicine in terms of prevalent patients was the modified-release formulation of </w:t>
      </w:r>
      <w:proofErr w:type="spellStart"/>
      <w:r w:rsidRPr="000E23E6">
        <w:rPr>
          <w:rFonts w:asciiTheme="minorHAnsi" w:hAnsiTheme="minorHAnsi" w:cstheme="minorHAnsi"/>
          <w:sz w:val="24"/>
          <w:szCs w:val="24"/>
        </w:rPr>
        <w:t>methylphenidate.For</w:t>
      </w:r>
      <w:proofErr w:type="spellEnd"/>
      <w:r w:rsidRPr="000E23E6">
        <w:rPr>
          <w:rFonts w:asciiTheme="minorHAnsi" w:hAnsiTheme="minorHAnsi" w:cstheme="minorHAnsi"/>
          <w:sz w:val="24"/>
          <w:szCs w:val="24"/>
        </w:rPr>
        <w:t xml:space="preserve"> all age groups more males than females were treated. For &gt;6 year olds, 76% of prevalent patients were boys and for 6-12 year 72% of prevalent patients were boys. Children aged 6-12 years accounted for 43% of patients supplied ADHD medications while adults  aged over 19 years accounted for 33%.</w:t>
      </w:r>
    </w:p>
    <w:p w14:paraId="514068BE" w14:textId="77777777" w:rsidR="000E23E6" w:rsidRPr="000E23E6" w:rsidRDefault="000E23E6" w:rsidP="000E23E6">
      <w:pPr>
        <w:rPr>
          <w:rFonts w:asciiTheme="minorHAnsi" w:hAnsiTheme="minorHAnsi" w:cstheme="minorHAnsi"/>
          <w:sz w:val="24"/>
          <w:szCs w:val="24"/>
        </w:rPr>
      </w:pPr>
    </w:p>
    <w:p w14:paraId="2EFF2282" w14:textId="77777777" w:rsidR="000E23E6" w:rsidRPr="000E23E6" w:rsidRDefault="000E23E6" w:rsidP="000E23E6">
      <w:pPr>
        <w:rPr>
          <w:rFonts w:asciiTheme="minorHAnsi" w:hAnsiTheme="minorHAnsi" w:cstheme="minorHAnsi"/>
          <w:sz w:val="24"/>
          <w:szCs w:val="24"/>
        </w:rPr>
      </w:pPr>
      <w:r w:rsidRPr="000E23E6">
        <w:rPr>
          <w:rFonts w:asciiTheme="minorHAnsi" w:hAnsiTheme="minorHAnsi" w:cstheme="minorHAnsi"/>
          <w:sz w:val="24"/>
          <w:szCs w:val="24"/>
        </w:rPr>
        <w:t xml:space="preserve">The listing of guanfacine in September 2018 had contributed towards an increase in the use of ADHD medicines. The listing of guanfacine had not resulted in substitution of ADHD medicines and thus a corresponding reduction in the use of other ADHD medications. There were 18,030 and 25,580 prevalent R/PBS patients treated with guanfacine in 2019 and 2020 respectively. </w:t>
      </w:r>
    </w:p>
    <w:p w14:paraId="0CDB94C5" w14:textId="77777777" w:rsidR="000E23E6" w:rsidRPr="000E23E6" w:rsidRDefault="000E23E6" w:rsidP="000E23E6">
      <w:pPr>
        <w:rPr>
          <w:rFonts w:asciiTheme="minorHAnsi" w:hAnsiTheme="minorHAnsi" w:cstheme="minorHAnsi"/>
          <w:sz w:val="24"/>
          <w:szCs w:val="24"/>
        </w:rPr>
      </w:pPr>
    </w:p>
    <w:p w14:paraId="5EE6FE3D" w14:textId="77777777" w:rsidR="000E23E6" w:rsidRPr="00C70C00" w:rsidRDefault="000E23E6" w:rsidP="000E23E6">
      <w:pPr>
        <w:rPr>
          <w:rFonts w:asciiTheme="minorHAnsi" w:hAnsiTheme="minorHAnsi" w:cstheme="minorHAnsi"/>
          <w:sz w:val="24"/>
          <w:szCs w:val="24"/>
        </w:rPr>
      </w:pPr>
      <w:r w:rsidRPr="000E23E6">
        <w:rPr>
          <w:rFonts w:asciiTheme="minorHAnsi" w:hAnsiTheme="minorHAnsi" w:cstheme="minorHAnsi"/>
          <w:sz w:val="24"/>
          <w:szCs w:val="24"/>
        </w:rPr>
        <w:t xml:space="preserve">DUSC </w:t>
      </w:r>
      <w:r w:rsidR="006D3D4A">
        <w:rPr>
          <w:rFonts w:asciiTheme="minorHAnsi" w:hAnsiTheme="minorHAnsi" w:cstheme="minorHAnsi"/>
          <w:sz w:val="24"/>
          <w:szCs w:val="24"/>
        </w:rPr>
        <w:t>considered</w:t>
      </w:r>
      <w:r w:rsidRPr="000E23E6">
        <w:rPr>
          <w:rFonts w:asciiTheme="minorHAnsi" w:hAnsiTheme="minorHAnsi" w:cstheme="minorHAnsi"/>
          <w:sz w:val="24"/>
          <w:szCs w:val="24"/>
        </w:rPr>
        <w:t xml:space="preserve"> that</w:t>
      </w:r>
      <w:r w:rsidR="006D3D4A">
        <w:rPr>
          <w:rFonts w:asciiTheme="minorHAnsi" w:hAnsiTheme="minorHAnsi" w:cstheme="minorHAnsi"/>
          <w:sz w:val="24"/>
          <w:szCs w:val="24"/>
        </w:rPr>
        <w:t xml:space="preserve"> it was unclear whether there was overdiagnosis of ADHD in children and adolescents. </w:t>
      </w:r>
      <w:r w:rsidR="00394958">
        <w:rPr>
          <w:rFonts w:asciiTheme="minorHAnsi" w:hAnsiTheme="minorHAnsi" w:cstheme="minorHAnsi"/>
          <w:sz w:val="24"/>
          <w:szCs w:val="24"/>
        </w:rPr>
        <w:t xml:space="preserve">DUSC noted the harms associated with untreated ADHD and that the decision to use medication for this condition was influenced by several factors, including the attitude of parents. </w:t>
      </w:r>
    </w:p>
    <w:p w14:paraId="5EB45E99" w14:textId="77777777" w:rsidR="004279D6" w:rsidRDefault="004279D6" w:rsidP="00674A52">
      <w:pPr>
        <w:rPr>
          <w:rFonts w:eastAsia="MS Mincho"/>
          <w:b/>
          <w:sz w:val="24"/>
          <w:szCs w:val="24"/>
        </w:rPr>
      </w:pPr>
    </w:p>
    <w:p w14:paraId="489DF7C3" w14:textId="77777777" w:rsidR="00C70C00" w:rsidRDefault="00C70C00" w:rsidP="00C70C00">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6F36C80F" w14:textId="77777777" w:rsidR="00CD70B0" w:rsidRDefault="00CD70B0" w:rsidP="00C70C00">
      <w:pPr>
        <w:rPr>
          <w:rFonts w:asciiTheme="minorHAnsi" w:hAnsiTheme="minorHAnsi" w:cstheme="minorHAnsi"/>
          <w:sz w:val="24"/>
          <w:szCs w:val="24"/>
        </w:rPr>
      </w:pPr>
    </w:p>
    <w:p w14:paraId="23A5C796" w14:textId="77777777" w:rsidR="00CD70B0" w:rsidRDefault="00CD70B0" w:rsidP="00C70C00">
      <w:pPr>
        <w:rPr>
          <w:rFonts w:asciiTheme="minorHAnsi" w:hAnsiTheme="minorHAnsi" w:cstheme="minorHAnsi"/>
          <w:b/>
          <w:sz w:val="24"/>
          <w:szCs w:val="24"/>
        </w:rPr>
      </w:pPr>
      <w:r w:rsidRPr="00CD70B0">
        <w:rPr>
          <w:rFonts w:asciiTheme="minorHAnsi" w:hAnsiTheme="minorHAnsi" w:cstheme="minorHAnsi"/>
          <w:b/>
          <w:sz w:val="24"/>
          <w:szCs w:val="24"/>
        </w:rPr>
        <w:t>Somatropin</w:t>
      </w:r>
    </w:p>
    <w:p w14:paraId="29E67AC5" w14:textId="77777777" w:rsidR="00CD70B0" w:rsidRDefault="001D6301" w:rsidP="004213FB">
      <w:pPr>
        <w:rPr>
          <w:rFonts w:asciiTheme="minorHAnsi" w:hAnsiTheme="minorHAnsi" w:cstheme="minorHAnsi"/>
          <w:sz w:val="24"/>
          <w:szCs w:val="24"/>
        </w:rPr>
      </w:pPr>
      <w:r w:rsidRPr="001D6301">
        <w:rPr>
          <w:rFonts w:asciiTheme="minorHAnsi" w:hAnsiTheme="minorHAnsi" w:cstheme="minorHAnsi"/>
          <w:sz w:val="24"/>
          <w:szCs w:val="24"/>
        </w:rPr>
        <w:t xml:space="preserve">DUSC reviewed the use of somatropin for growth hormone therapy. In 2018, 2,174 patients were dispensed 6,373 scripts. In 2019, 2,717 patients were dispensed 8,595 somatropin scripts. In 2020 3,178 patients were dispensed 12,439 scripts. Paediatric patients were most commonly treated with somatropin for short stature and slow growth whilst adult patients were most commonly treated with somatropin for severe growth hormone deficiency. </w:t>
      </w:r>
    </w:p>
    <w:p w14:paraId="0A0090AA" w14:textId="77777777" w:rsidR="004213FB" w:rsidRPr="001D6301" w:rsidRDefault="004213FB" w:rsidP="004213FB">
      <w:pPr>
        <w:rPr>
          <w:rFonts w:asciiTheme="minorHAnsi" w:hAnsiTheme="minorHAnsi" w:cstheme="minorHAnsi"/>
          <w:sz w:val="24"/>
          <w:szCs w:val="24"/>
        </w:rPr>
      </w:pPr>
    </w:p>
    <w:p w14:paraId="52BA8CF8" w14:textId="77777777" w:rsidR="00CD70B0" w:rsidRDefault="00CD70B0" w:rsidP="004213FB">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59BEDD4F" w14:textId="77777777" w:rsidR="00CE1361" w:rsidRDefault="00CE1361" w:rsidP="00CD70B0"/>
    <w:p w14:paraId="0A3D0A07"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62B6585A" w14:textId="77777777"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has</w:t>
      </w:r>
      <w:r w:rsidR="00D55ED4" w:rsidRPr="00144B72">
        <w:rPr>
          <w:sz w:val="24"/>
          <w:szCs w:val="24"/>
        </w:rPr>
        <w:t xml:space="preserve"> been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08685C2D" w14:textId="77777777" w:rsidR="00513E5D" w:rsidRPr="0062222D" w:rsidRDefault="00513E5D" w:rsidP="008B6946">
      <w:pPr>
        <w:rPr>
          <w:sz w:val="24"/>
          <w:szCs w:val="24"/>
          <w:highlight w:val="yellow"/>
        </w:rPr>
      </w:pPr>
    </w:p>
    <w:p w14:paraId="26A4D7E8" w14:textId="77777777" w:rsidR="007C4782" w:rsidRPr="007C4782" w:rsidRDefault="007C4782" w:rsidP="007C4782">
      <w:pPr>
        <w:pStyle w:val="ListParagraph"/>
        <w:autoSpaceDE w:val="0"/>
        <w:autoSpaceDN w:val="0"/>
        <w:adjustRightInd w:val="0"/>
        <w:ind w:left="0"/>
        <w:contextualSpacing/>
        <w:rPr>
          <w:b/>
          <w:szCs w:val="24"/>
        </w:rPr>
      </w:pPr>
      <w:r w:rsidRPr="007C4782">
        <w:rPr>
          <w:b/>
          <w:szCs w:val="24"/>
        </w:rPr>
        <w:t>Predicted versus Actual Utilisation Analysis</w:t>
      </w:r>
    </w:p>
    <w:p w14:paraId="1CFBA38B" w14:textId="77777777" w:rsidR="004279D6" w:rsidRDefault="004213FB" w:rsidP="004213FB">
      <w:pPr>
        <w:pStyle w:val="ListParagraph"/>
        <w:numPr>
          <w:ilvl w:val="0"/>
          <w:numId w:val="14"/>
        </w:numPr>
        <w:autoSpaceDE w:val="0"/>
        <w:autoSpaceDN w:val="0"/>
        <w:adjustRightInd w:val="0"/>
        <w:contextualSpacing/>
        <w:rPr>
          <w:szCs w:val="24"/>
        </w:rPr>
      </w:pPr>
      <w:r>
        <w:rPr>
          <w:szCs w:val="24"/>
        </w:rPr>
        <w:t>G</w:t>
      </w:r>
      <w:r w:rsidRPr="004213FB">
        <w:rPr>
          <w:szCs w:val="24"/>
        </w:rPr>
        <w:t xml:space="preserve">olimumab for the treatment of non-radiographic axial </w:t>
      </w:r>
      <w:proofErr w:type="spellStart"/>
      <w:r w:rsidRPr="004213FB">
        <w:rPr>
          <w:szCs w:val="24"/>
        </w:rPr>
        <w:t>spondyloarthritis</w:t>
      </w:r>
      <w:proofErr w:type="spellEnd"/>
      <w:r>
        <w:rPr>
          <w:szCs w:val="24"/>
        </w:rPr>
        <w:t>.</w:t>
      </w:r>
    </w:p>
    <w:p w14:paraId="7CBDD12D" w14:textId="77777777" w:rsidR="004213FB" w:rsidRDefault="004213FB" w:rsidP="004213FB">
      <w:pPr>
        <w:pStyle w:val="ListParagraph"/>
        <w:numPr>
          <w:ilvl w:val="0"/>
          <w:numId w:val="14"/>
        </w:numPr>
        <w:autoSpaceDE w:val="0"/>
        <w:autoSpaceDN w:val="0"/>
        <w:adjustRightInd w:val="0"/>
        <w:contextualSpacing/>
        <w:rPr>
          <w:szCs w:val="24"/>
        </w:rPr>
      </w:pPr>
      <w:r>
        <w:rPr>
          <w:szCs w:val="24"/>
        </w:rPr>
        <w:t>N</w:t>
      </w:r>
      <w:r w:rsidRPr="004213FB">
        <w:rPr>
          <w:szCs w:val="24"/>
        </w:rPr>
        <w:t xml:space="preserve">ivolumab </w:t>
      </w:r>
      <w:r>
        <w:rPr>
          <w:szCs w:val="24"/>
        </w:rPr>
        <w:t xml:space="preserve">in combination with ipilimumab </w:t>
      </w:r>
      <w:r w:rsidRPr="004213FB">
        <w:rPr>
          <w:szCs w:val="24"/>
        </w:rPr>
        <w:t>as the first line treatment of Stage IV clear cell variant renal cell carcinoma</w:t>
      </w:r>
      <w:r>
        <w:rPr>
          <w:szCs w:val="24"/>
        </w:rPr>
        <w:t>.</w:t>
      </w:r>
    </w:p>
    <w:p w14:paraId="190EA8B5" w14:textId="77777777" w:rsidR="004213FB" w:rsidRDefault="004213FB" w:rsidP="004213FB">
      <w:pPr>
        <w:pStyle w:val="ListParagraph"/>
        <w:numPr>
          <w:ilvl w:val="0"/>
          <w:numId w:val="14"/>
        </w:numPr>
        <w:autoSpaceDE w:val="0"/>
        <w:autoSpaceDN w:val="0"/>
        <w:adjustRightInd w:val="0"/>
        <w:contextualSpacing/>
        <w:rPr>
          <w:szCs w:val="24"/>
        </w:rPr>
      </w:pPr>
      <w:r>
        <w:rPr>
          <w:szCs w:val="24"/>
        </w:rPr>
        <w:t>P</w:t>
      </w:r>
      <w:r w:rsidRPr="004213FB">
        <w:rPr>
          <w:szCs w:val="24"/>
        </w:rPr>
        <w:t>embrolizumab for the</w:t>
      </w:r>
      <w:r>
        <w:rPr>
          <w:szCs w:val="24"/>
        </w:rPr>
        <w:t xml:space="preserve"> treatment of locally advanced </w:t>
      </w:r>
      <w:r w:rsidRPr="004213FB">
        <w:rPr>
          <w:szCs w:val="24"/>
        </w:rPr>
        <w:t>or metastatic urothelial cancer</w:t>
      </w:r>
      <w:r>
        <w:rPr>
          <w:szCs w:val="24"/>
        </w:rPr>
        <w:t>.</w:t>
      </w:r>
    </w:p>
    <w:p w14:paraId="626AD6E2" w14:textId="77777777" w:rsidR="004213FB" w:rsidRDefault="004213FB" w:rsidP="004213FB">
      <w:pPr>
        <w:pStyle w:val="ListParagraph"/>
        <w:numPr>
          <w:ilvl w:val="0"/>
          <w:numId w:val="14"/>
        </w:numPr>
        <w:autoSpaceDE w:val="0"/>
        <w:autoSpaceDN w:val="0"/>
        <w:adjustRightInd w:val="0"/>
        <w:contextualSpacing/>
        <w:rPr>
          <w:szCs w:val="24"/>
        </w:rPr>
      </w:pPr>
      <w:r>
        <w:rPr>
          <w:szCs w:val="24"/>
        </w:rPr>
        <w:t xml:space="preserve">Tolvaptan for the </w:t>
      </w:r>
      <w:r w:rsidRPr="004213FB">
        <w:rPr>
          <w:szCs w:val="24"/>
        </w:rPr>
        <w:t>treatment of autosomal dominant polycystic kidney disease</w:t>
      </w:r>
      <w:r>
        <w:rPr>
          <w:szCs w:val="24"/>
        </w:rPr>
        <w:t>.</w:t>
      </w:r>
    </w:p>
    <w:p w14:paraId="37C27F9B" w14:textId="77777777" w:rsidR="004279D6" w:rsidRPr="00CE1361" w:rsidRDefault="004279D6" w:rsidP="004279D6">
      <w:pPr>
        <w:pStyle w:val="ListParagraph"/>
        <w:autoSpaceDE w:val="0"/>
        <w:autoSpaceDN w:val="0"/>
        <w:adjustRightInd w:val="0"/>
        <w:contextualSpacing/>
        <w:rPr>
          <w:szCs w:val="24"/>
        </w:rPr>
      </w:pPr>
    </w:p>
    <w:p w14:paraId="3BA63F8A" w14:textId="77777777" w:rsidR="007C4782" w:rsidRPr="007C4782" w:rsidRDefault="007C4782" w:rsidP="007C4782">
      <w:pPr>
        <w:pStyle w:val="ListParagraph"/>
        <w:autoSpaceDE w:val="0"/>
        <w:autoSpaceDN w:val="0"/>
        <w:adjustRightInd w:val="0"/>
        <w:ind w:left="0"/>
        <w:contextualSpacing/>
        <w:rPr>
          <w:b/>
          <w:szCs w:val="24"/>
        </w:rPr>
      </w:pPr>
      <w:r w:rsidRPr="007C4782">
        <w:rPr>
          <w:b/>
          <w:szCs w:val="24"/>
        </w:rPr>
        <w:t>Analysis of single or multiple medicines in a treatment area</w:t>
      </w:r>
    </w:p>
    <w:p w14:paraId="73E06FFD" w14:textId="77777777" w:rsidR="004213FB" w:rsidRPr="004213FB" w:rsidRDefault="004213FB" w:rsidP="004213FB">
      <w:pPr>
        <w:pStyle w:val="ListParagraph"/>
        <w:numPr>
          <w:ilvl w:val="0"/>
          <w:numId w:val="13"/>
        </w:numPr>
        <w:autoSpaceDE w:val="0"/>
        <w:autoSpaceDN w:val="0"/>
        <w:adjustRightInd w:val="0"/>
        <w:contextualSpacing/>
        <w:rPr>
          <w:szCs w:val="24"/>
        </w:rPr>
      </w:pPr>
      <w:r>
        <w:rPr>
          <w:szCs w:val="24"/>
        </w:rPr>
        <w:t xml:space="preserve">Medicines for the treatment or prevention of HIV, including a </w:t>
      </w:r>
      <w:r w:rsidRPr="004213FB">
        <w:rPr>
          <w:szCs w:val="24"/>
        </w:rPr>
        <w:t>predicted versus actual utilisation analysis</w:t>
      </w:r>
      <w:r>
        <w:rPr>
          <w:szCs w:val="24"/>
        </w:rPr>
        <w:t xml:space="preserve"> of </w:t>
      </w:r>
      <w:proofErr w:type="spellStart"/>
      <w:r w:rsidRPr="004213FB">
        <w:rPr>
          <w:szCs w:val="24"/>
        </w:rPr>
        <w:t>bictegravir</w:t>
      </w:r>
      <w:proofErr w:type="spellEnd"/>
      <w:r w:rsidRPr="004213FB">
        <w:rPr>
          <w:szCs w:val="24"/>
        </w:rPr>
        <w:t xml:space="preserve"> + emtricitabine + tenofovir alafenamide</w:t>
      </w:r>
      <w:r>
        <w:rPr>
          <w:szCs w:val="24"/>
        </w:rPr>
        <w:t xml:space="preserve"> and a </w:t>
      </w:r>
      <w:r w:rsidRPr="004213FB">
        <w:rPr>
          <w:szCs w:val="24"/>
        </w:rPr>
        <w:t>predicted versus actual utilisation analysis</w:t>
      </w:r>
      <w:r>
        <w:rPr>
          <w:szCs w:val="24"/>
        </w:rPr>
        <w:t xml:space="preserve"> of </w:t>
      </w:r>
      <w:r w:rsidRPr="004213FB">
        <w:rPr>
          <w:szCs w:val="24"/>
        </w:rPr>
        <w:t xml:space="preserve">dolutegravir + </w:t>
      </w:r>
      <w:proofErr w:type="spellStart"/>
      <w:r w:rsidRPr="004213FB">
        <w:rPr>
          <w:szCs w:val="24"/>
        </w:rPr>
        <w:t>rilpivirine</w:t>
      </w:r>
      <w:proofErr w:type="spellEnd"/>
      <w:r>
        <w:rPr>
          <w:szCs w:val="24"/>
        </w:rPr>
        <w:t>.</w:t>
      </w:r>
    </w:p>
    <w:p w14:paraId="04353B78" w14:textId="77777777" w:rsidR="004213FB" w:rsidRPr="00CD70B0" w:rsidRDefault="004213FB" w:rsidP="00CD70B0">
      <w:pPr>
        <w:pStyle w:val="ListParagraph"/>
        <w:numPr>
          <w:ilvl w:val="0"/>
          <w:numId w:val="13"/>
        </w:numPr>
        <w:autoSpaceDE w:val="0"/>
        <w:autoSpaceDN w:val="0"/>
        <w:adjustRightInd w:val="0"/>
        <w:contextualSpacing/>
        <w:rPr>
          <w:szCs w:val="24"/>
        </w:rPr>
      </w:pPr>
      <w:r>
        <w:rPr>
          <w:szCs w:val="24"/>
        </w:rPr>
        <w:t xml:space="preserve">Medicines for the treatment of </w:t>
      </w:r>
      <w:r w:rsidR="00BE21C3">
        <w:rPr>
          <w:szCs w:val="24"/>
        </w:rPr>
        <w:t>multiple sclerosis</w:t>
      </w:r>
      <w:r>
        <w:rPr>
          <w:szCs w:val="24"/>
        </w:rPr>
        <w:t xml:space="preserve">, including a </w:t>
      </w:r>
      <w:r w:rsidRPr="004213FB">
        <w:rPr>
          <w:szCs w:val="24"/>
        </w:rPr>
        <w:t>predicted versus actual utilisation analysis</w:t>
      </w:r>
      <w:r>
        <w:rPr>
          <w:szCs w:val="24"/>
        </w:rPr>
        <w:t xml:space="preserve"> of cladribine.</w:t>
      </w:r>
    </w:p>
    <w:p w14:paraId="09371621" w14:textId="77777777" w:rsidR="00462695" w:rsidRDefault="00462695" w:rsidP="009D2858">
      <w:pPr>
        <w:rPr>
          <w:sz w:val="24"/>
          <w:szCs w:val="24"/>
        </w:rPr>
      </w:pPr>
    </w:p>
    <w:p w14:paraId="2158B7EC" w14:textId="77777777"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63949A98" w14:textId="77777777" w:rsidR="00313B7D" w:rsidRPr="0062222D" w:rsidRDefault="00313B7D" w:rsidP="008B6946">
      <w:pPr>
        <w:rPr>
          <w:sz w:val="24"/>
          <w:szCs w:val="24"/>
          <w:highlight w:val="yellow"/>
        </w:rPr>
      </w:pPr>
    </w:p>
    <w:p w14:paraId="56FBAC75" w14:textId="77777777" w:rsidR="009B25AF" w:rsidRPr="0062222D" w:rsidRDefault="009B25AF" w:rsidP="008B6946">
      <w:pPr>
        <w:rPr>
          <w:sz w:val="24"/>
          <w:szCs w:val="24"/>
          <w:highlight w:val="yellow"/>
        </w:rPr>
      </w:pPr>
    </w:p>
    <w:p w14:paraId="1013EC48" w14:textId="77777777" w:rsidR="00002AE8" w:rsidRPr="00144B72" w:rsidRDefault="00002AE8" w:rsidP="008B6946">
      <w:pPr>
        <w:rPr>
          <w:sz w:val="24"/>
          <w:szCs w:val="24"/>
        </w:rPr>
      </w:pPr>
      <w:r w:rsidRPr="00144B72">
        <w:rPr>
          <w:sz w:val="24"/>
          <w:szCs w:val="24"/>
        </w:rPr>
        <w:t xml:space="preserve">Professor </w:t>
      </w:r>
      <w:r w:rsidR="009341E3" w:rsidRPr="00144B72">
        <w:rPr>
          <w:sz w:val="24"/>
          <w:szCs w:val="24"/>
        </w:rPr>
        <w:t>Chris</w:t>
      </w:r>
      <w:r w:rsidR="00303E60" w:rsidRPr="00144B72">
        <w:rPr>
          <w:sz w:val="24"/>
          <w:szCs w:val="24"/>
        </w:rPr>
        <w:t>topher</w:t>
      </w:r>
      <w:r w:rsidR="009341E3" w:rsidRPr="00144B72">
        <w:rPr>
          <w:sz w:val="24"/>
          <w:szCs w:val="24"/>
        </w:rPr>
        <w:t xml:space="preserve"> </w:t>
      </w:r>
      <w:proofErr w:type="spellStart"/>
      <w:r w:rsidR="009341E3" w:rsidRPr="00144B72">
        <w:rPr>
          <w:sz w:val="24"/>
          <w:szCs w:val="24"/>
        </w:rPr>
        <w:t>Etherton</w:t>
      </w:r>
      <w:proofErr w:type="spellEnd"/>
      <w:r w:rsidR="009341E3" w:rsidRPr="00144B72">
        <w:rPr>
          <w:sz w:val="24"/>
          <w:szCs w:val="24"/>
        </w:rPr>
        <w:t>-Beer</w:t>
      </w:r>
    </w:p>
    <w:p w14:paraId="675C4F95" w14:textId="77777777" w:rsidR="00002AE8" w:rsidRPr="00144B72" w:rsidRDefault="00002AE8" w:rsidP="008B6946">
      <w:pPr>
        <w:rPr>
          <w:sz w:val="24"/>
          <w:szCs w:val="24"/>
        </w:rPr>
      </w:pPr>
      <w:r w:rsidRPr="00144B72">
        <w:rPr>
          <w:sz w:val="24"/>
          <w:szCs w:val="24"/>
        </w:rPr>
        <w:t>Chair</w:t>
      </w:r>
    </w:p>
    <w:p w14:paraId="5B6607A1"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headerReference w:type="even" r:id="rId11"/>
      <w:headerReference w:type="default" r:id="rId12"/>
      <w:footerReference w:type="even" r:id="rId13"/>
      <w:footerReference w:type="default" r:id="rId14"/>
      <w:headerReference w:type="first" r:id="rId15"/>
      <w:footerReference w:type="first" r:id="rId16"/>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46D4F" w14:textId="77777777" w:rsidR="00F23B59" w:rsidRDefault="00F23B59">
      <w:r>
        <w:separator/>
      </w:r>
    </w:p>
  </w:endnote>
  <w:endnote w:type="continuationSeparator" w:id="0">
    <w:p w14:paraId="2E87632E" w14:textId="77777777" w:rsidR="00F23B59" w:rsidRDefault="00F2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9F18C" w14:textId="77777777" w:rsidR="00CE1361" w:rsidRDefault="00CE1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3283" w14:textId="77777777" w:rsidR="00CA1AA9" w:rsidRDefault="00CA1AA9">
    <w:pPr>
      <w:pStyle w:val="Footer"/>
      <w:jc w:val="center"/>
    </w:pPr>
    <w:r>
      <w:fldChar w:fldCharType="begin"/>
    </w:r>
    <w:r>
      <w:instrText xml:space="preserve"> PAGE   \* MERGEFORMAT </w:instrText>
    </w:r>
    <w:r>
      <w:fldChar w:fldCharType="separate"/>
    </w:r>
    <w:r w:rsidR="00D758A2">
      <w:rPr>
        <w:noProof/>
      </w:rPr>
      <w:t>2</w:t>
    </w:r>
    <w:r>
      <w:rPr>
        <w:noProof/>
      </w:rPr>
      <w:fldChar w:fldCharType="end"/>
    </w:r>
  </w:p>
  <w:p w14:paraId="17C1A3A2"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52A4" w14:textId="77777777" w:rsidR="00CA1AA9" w:rsidRDefault="00CA1AA9">
    <w:pPr>
      <w:pStyle w:val="Footer"/>
      <w:jc w:val="center"/>
    </w:pPr>
    <w:r>
      <w:fldChar w:fldCharType="begin"/>
    </w:r>
    <w:r>
      <w:instrText xml:space="preserve"> PAGE   \* MERGEFORMAT </w:instrText>
    </w:r>
    <w:r>
      <w:fldChar w:fldCharType="separate"/>
    </w:r>
    <w:r w:rsidR="00D758A2">
      <w:rPr>
        <w:noProof/>
      </w:rPr>
      <w:t>1</w:t>
    </w:r>
    <w:r>
      <w:rPr>
        <w:noProof/>
      </w:rPr>
      <w:fldChar w:fldCharType="end"/>
    </w:r>
  </w:p>
  <w:p w14:paraId="1757565E"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60925" w14:textId="77777777" w:rsidR="00F23B59" w:rsidRDefault="00F23B59">
      <w:r>
        <w:separator/>
      </w:r>
    </w:p>
  </w:footnote>
  <w:footnote w:type="continuationSeparator" w:id="0">
    <w:p w14:paraId="08D8A037" w14:textId="77777777" w:rsidR="00F23B59" w:rsidRDefault="00F2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AFC2" w14:textId="77777777" w:rsidR="00CE1361" w:rsidRDefault="00CE1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F5D8" w14:textId="77777777" w:rsidR="00CE1361" w:rsidRDefault="00CE1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B8DE" w14:textId="77777777" w:rsidR="00CA1AA9" w:rsidRDefault="00D562AF">
    <w:pPr>
      <w:pStyle w:val="Header"/>
    </w:pPr>
    <w:r>
      <w:rPr>
        <w:noProof/>
      </w:rPr>
      <w:drawing>
        <wp:inline distT="0" distB="0" distL="0" distR="0" wp14:anchorId="717B4C6E" wp14:editId="22300D73">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48B5E1F5" w14:textId="77777777" w:rsidR="00CA1AA9" w:rsidRPr="00CA347D" w:rsidRDefault="00CA1AA9" w:rsidP="00CA347D">
    <w:pPr>
      <w:pStyle w:val="Heading1"/>
      <w:rPr>
        <w:rStyle w:val="Heading1Char"/>
        <w:b/>
      </w:rPr>
    </w:pPr>
    <w:r w:rsidRPr="00CA347D">
      <w:rPr>
        <w:rStyle w:val="Heading1Char"/>
        <w:b/>
      </w:rPr>
      <w:t>Drug Utilisation Sub-Committee</w:t>
    </w:r>
  </w:p>
  <w:p w14:paraId="04AA4E85" w14:textId="77777777" w:rsidR="00CA1AA9" w:rsidRPr="00CA347D" w:rsidRDefault="00CA1AA9" w:rsidP="00CA347D">
    <w:pPr>
      <w:pStyle w:val="Heading1"/>
    </w:pPr>
    <w:r w:rsidRPr="00CA347D">
      <w:rPr>
        <w:rStyle w:val="Heading1Char"/>
        <w:b/>
      </w:rPr>
      <w:t xml:space="preserve">Outcome Statement </w:t>
    </w:r>
    <w:r w:rsidR="00CD70B0">
      <w:rPr>
        <w:rStyle w:val="Heading1Char"/>
        <w:b/>
      </w:rPr>
      <w:t>3 - 4</w:t>
    </w:r>
    <w:r w:rsidR="00674A52">
      <w:rPr>
        <w:rStyle w:val="Heading1Char"/>
        <w:b/>
      </w:rPr>
      <w:t xml:space="preserve"> </w:t>
    </w:r>
    <w:r w:rsidR="00CD70B0">
      <w:rPr>
        <w:rStyle w:val="Heading1Char"/>
        <w:b/>
      </w:rPr>
      <w:t>June</w:t>
    </w:r>
    <w:r w:rsidR="00CE1361">
      <w:rPr>
        <w:rStyle w:val="Heading1Char"/>
        <w:b/>
      </w:rPr>
      <w:t xml:space="preserve"> 2021</w:t>
    </w:r>
  </w:p>
  <w:p w14:paraId="149307FB"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2"/>
  </w:num>
  <w:num w:numId="4">
    <w:abstractNumId w:val="2"/>
  </w:num>
  <w:num w:numId="5">
    <w:abstractNumId w:val="6"/>
  </w:num>
  <w:num w:numId="6">
    <w:abstractNumId w:val="3"/>
  </w:num>
  <w:num w:numId="7">
    <w:abstractNumId w:val="1"/>
  </w:num>
  <w:num w:numId="8">
    <w:abstractNumId w:val="11"/>
  </w:num>
  <w:num w:numId="9">
    <w:abstractNumId w:val="5"/>
  </w:num>
  <w:num w:numId="10">
    <w:abstractNumId w:val="13"/>
  </w:num>
  <w:num w:numId="11">
    <w:abstractNumId w:val="9"/>
  </w:num>
  <w:num w:numId="12">
    <w:abstractNumId w:val="10"/>
  </w:num>
  <w:num w:numId="13">
    <w:abstractNumId w:val="8"/>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578A"/>
    <w:rsid w:val="00021898"/>
    <w:rsid w:val="00021AF3"/>
    <w:rsid w:val="000253E4"/>
    <w:rsid w:val="0002613B"/>
    <w:rsid w:val="00026898"/>
    <w:rsid w:val="00027AA0"/>
    <w:rsid w:val="000304CA"/>
    <w:rsid w:val="000308AD"/>
    <w:rsid w:val="00032252"/>
    <w:rsid w:val="0003541E"/>
    <w:rsid w:val="00037A0C"/>
    <w:rsid w:val="00040565"/>
    <w:rsid w:val="0004475E"/>
    <w:rsid w:val="00047105"/>
    <w:rsid w:val="0005073D"/>
    <w:rsid w:val="00054C1A"/>
    <w:rsid w:val="00055BF6"/>
    <w:rsid w:val="0006057A"/>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53A6"/>
    <w:rsid w:val="000B14A0"/>
    <w:rsid w:val="000B52EE"/>
    <w:rsid w:val="000B5448"/>
    <w:rsid w:val="000C1D0B"/>
    <w:rsid w:val="000C58C8"/>
    <w:rsid w:val="000D2142"/>
    <w:rsid w:val="000D6712"/>
    <w:rsid w:val="000E178A"/>
    <w:rsid w:val="000E18F9"/>
    <w:rsid w:val="000E23E6"/>
    <w:rsid w:val="000F3387"/>
    <w:rsid w:val="000F4968"/>
    <w:rsid w:val="000F5C42"/>
    <w:rsid w:val="000F70AE"/>
    <w:rsid w:val="000F73FB"/>
    <w:rsid w:val="000F7CE1"/>
    <w:rsid w:val="00101877"/>
    <w:rsid w:val="00102579"/>
    <w:rsid w:val="00103AB0"/>
    <w:rsid w:val="001062BB"/>
    <w:rsid w:val="00106A1B"/>
    <w:rsid w:val="001071DA"/>
    <w:rsid w:val="001145B4"/>
    <w:rsid w:val="001215D4"/>
    <w:rsid w:val="00121F43"/>
    <w:rsid w:val="001223D1"/>
    <w:rsid w:val="00123237"/>
    <w:rsid w:val="00134CAD"/>
    <w:rsid w:val="00137CE5"/>
    <w:rsid w:val="00140B94"/>
    <w:rsid w:val="00140CAF"/>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724B"/>
    <w:rsid w:val="001A10FD"/>
    <w:rsid w:val="001A3F70"/>
    <w:rsid w:val="001A417C"/>
    <w:rsid w:val="001A449F"/>
    <w:rsid w:val="001A4CD7"/>
    <w:rsid w:val="001A535D"/>
    <w:rsid w:val="001A5FA2"/>
    <w:rsid w:val="001A7B67"/>
    <w:rsid w:val="001B1949"/>
    <w:rsid w:val="001B19E3"/>
    <w:rsid w:val="001B2A10"/>
    <w:rsid w:val="001B75D9"/>
    <w:rsid w:val="001C0316"/>
    <w:rsid w:val="001C5A7B"/>
    <w:rsid w:val="001C61FD"/>
    <w:rsid w:val="001C7C04"/>
    <w:rsid w:val="001D6301"/>
    <w:rsid w:val="001E2022"/>
    <w:rsid w:val="001E4D54"/>
    <w:rsid w:val="001E50B6"/>
    <w:rsid w:val="001E682A"/>
    <w:rsid w:val="001F33DA"/>
    <w:rsid w:val="001F4200"/>
    <w:rsid w:val="001F6850"/>
    <w:rsid w:val="001F7E8B"/>
    <w:rsid w:val="001F7F87"/>
    <w:rsid w:val="00200BA3"/>
    <w:rsid w:val="00203342"/>
    <w:rsid w:val="00203986"/>
    <w:rsid w:val="00204055"/>
    <w:rsid w:val="00206C78"/>
    <w:rsid w:val="00211F6D"/>
    <w:rsid w:val="002123C7"/>
    <w:rsid w:val="00213EAC"/>
    <w:rsid w:val="002168C1"/>
    <w:rsid w:val="00216CE7"/>
    <w:rsid w:val="00220B3C"/>
    <w:rsid w:val="00222116"/>
    <w:rsid w:val="00224079"/>
    <w:rsid w:val="00224DF5"/>
    <w:rsid w:val="00225034"/>
    <w:rsid w:val="00230732"/>
    <w:rsid w:val="00234FBD"/>
    <w:rsid w:val="00235EF9"/>
    <w:rsid w:val="002362A1"/>
    <w:rsid w:val="00237631"/>
    <w:rsid w:val="00240FA6"/>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0DD"/>
    <w:rsid w:val="002862A8"/>
    <w:rsid w:val="002871FC"/>
    <w:rsid w:val="0028771A"/>
    <w:rsid w:val="00291D51"/>
    <w:rsid w:val="00292E10"/>
    <w:rsid w:val="00294F3F"/>
    <w:rsid w:val="0029548B"/>
    <w:rsid w:val="002A2278"/>
    <w:rsid w:val="002A2676"/>
    <w:rsid w:val="002A2FEF"/>
    <w:rsid w:val="002A48D7"/>
    <w:rsid w:val="002A6291"/>
    <w:rsid w:val="002A6A51"/>
    <w:rsid w:val="002B0FD1"/>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26E0"/>
    <w:rsid w:val="00303E60"/>
    <w:rsid w:val="00305306"/>
    <w:rsid w:val="00307F20"/>
    <w:rsid w:val="00312E8E"/>
    <w:rsid w:val="00313B7D"/>
    <w:rsid w:val="00313FED"/>
    <w:rsid w:val="00320032"/>
    <w:rsid w:val="0032170F"/>
    <w:rsid w:val="00324E38"/>
    <w:rsid w:val="00325C25"/>
    <w:rsid w:val="0032620A"/>
    <w:rsid w:val="00330ADB"/>
    <w:rsid w:val="0033439A"/>
    <w:rsid w:val="00334C67"/>
    <w:rsid w:val="00335BE5"/>
    <w:rsid w:val="003361C9"/>
    <w:rsid w:val="00336E3A"/>
    <w:rsid w:val="00337241"/>
    <w:rsid w:val="003409D6"/>
    <w:rsid w:val="003448FC"/>
    <w:rsid w:val="003468B6"/>
    <w:rsid w:val="003512F6"/>
    <w:rsid w:val="0035237B"/>
    <w:rsid w:val="0035266E"/>
    <w:rsid w:val="00352D12"/>
    <w:rsid w:val="0035418A"/>
    <w:rsid w:val="003555E8"/>
    <w:rsid w:val="00357332"/>
    <w:rsid w:val="0035787B"/>
    <w:rsid w:val="003620F9"/>
    <w:rsid w:val="00362581"/>
    <w:rsid w:val="00371376"/>
    <w:rsid w:val="00372609"/>
    <w:rsid w:val="0037338E"/>
    <w:rsid w:val="00373C2E"/>
    <w:rsid w:val="003749AF"/>
    <w:rsid w:val="0037748E"/>
    <w:rsid w:val="00377CBD"/>
    <w:rsid w:val="003833F2"/>
    <w:rsid w:val="00385962"/>
    <w:rsid w:val="003860EB"/>
    <w:rsid w:val="00387684"/>
    <w:rsid w:val="003917EE"/>
    <w:rsid w:val="003923CC"/>
    <w:rsid w:val="00394958"/>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6109"/>
    <w:rsid w:val="003D62AA"/>
    <w:rsid w:val="003D6C07"/>
    <w:rsid w:val="003E1ED8"/>
    <w:rsid w:val="003E601F"/>
    <w:rsid w:val="003E60A4"/>
    <w:rsid w:val="003E7E2E"/>
    <w:rsid w:val="003F0120"/>
    <w:rsid w:val="003F021A"/>
    <w:rsid w:val="003F06C8"/>
    <w:rsid w:val="003F1DCA"/>
    <w:rsid w:val="00405743"/>
    <w:rsid w:val="00406FC4"/>
    <w:rsid w:val="00411CB6"/>
    <w:rsid w:val="00412451"/>
    <w:rsid w:val="004131AF"/>
    <w:rsid w:val="00414012"/>
    <w:rsid w:val="00415BE7"/>
    <w:rsid w:val="0042032E"/>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600DF"/>
    <w:rsid w:val="00461EAF"/>
    <w:rsid w:val="00462695"/>
    <w:rsid w:val="00463497"/>
    <w:rsid w:val="004637FA"/>
    <w:rsid w:val="00463B7E"/>
    <w:rsid w:val="00465EED"/>
    <w:rsid w:val="00466242"/>
    <w:rsid w:val="00471240"/>
    <w:rsid w:val="00471899"/>
    <w:rsid w:val="00473DA7"/>
    <w:rsid w:val="00473E7A"/>
    <w:rsid w:val="0047415B"/>
    <w:rsid w:val="00477500"/>
    <w:rsid w:val="00477A9F"/>
    <w:rsid w:val="00477B65"/>
    <w:rsid w:val="004839FE"/>
    <w:rsid w:val="00484F63"/>
    <w:rsid w:val="00487B49"/>
    <w:rsid w:val="00491723"/>
    <w:rsid w:val="0049330F"/>
    <w:rsid w:val="0049403E"/>
    <w:rsid w:val="00496AC8"/>
    <w:rsid w:val="004A055D"/>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60E0"/>
    <w:rsid w:val="004F6113"/>
    <w:rsid w:val="004F6927"/>
    <w:rsid w:val="004F6E52"/>
    <w:rsid w:val="00503251"/>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D1BB0"/>
    <w:rsid w:val="005D4EB2"/>
    <w:rsid w:val="005D696D"/>
    <w:rsid w:val="005E116A"/>
    <w:rsid w:val="005E11DF"/>
    <w:rsid w:val="005E14B6"/>
    <w:rsid w:val="005E1E28"/>
    <w:rsid w:val="005E4D8D"/>
    <w:rsid w:val="005E6641"/>
    <w:rsid w:val="005E71D4"/>
    <w:rsid w:val="005E77F8"/>
    <w:rsid w:val="005E7DF8"/>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3A63"/>
    <w:rsid w:val="006146D0"/>
    <w:rsid w:val="0061504D"/>
    <w:rsid w:val="0062222D"/>
    <w:rsid w:val="00622522"/>
    <w:rsid w:val="006231FB"/>
    <w:rsid w:val="0062459E"/>
    <w:rsid w:val="006255FF"/>
    <w:rsid w:val="00626FE7"/>
    <w:rsid w:val="006314E6"/>
    <w:rsid w:val="00635EA5"/>
    <w:rsid w:val="00640199"/>
    <w:rsid w:val="0064252F"/>
    <w:rsid w:val="006431B8"/>
    <w:rsid w:val="00645035"/>
    <w:rsid w:val="00647F2B"/>
    <w:rsid w:val="00651A8E"/>
    <w:rsid w:val="0065343B"/>
    <w:rsid w:val="00665A90"/>
    <w:rsid w:val="00667381"/>
    <w:rsid w:val="00670BD6"/>
    <w:rsid w:val="00670E22"/>
    <w:rsid w:val="006723D5"/>
    <w:rsid w:val="00674A52"/>
    <w:rsid w:val="00676304"/>
    <w:rsid w:val="00677B98"/>
    <w:rsid w:val="0068031D"/>
    <w:rsid w:val="006806A8"/>
    <w:rsid w:val="006814DF"/>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D4A"/>
    <w:rsid w:val="006D3F5D"/>
    <w:rsid w:val="006D69D9"/>
    <w:rsid w:val="006D6B4B"/>
    <w:rsid w:val="006D7038"/>
    <w:rsid w:val="006E08E0"/>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5DC6"/>
    <w:rsid w:val="00706AF7"/>
    <w:rsid w:val="00706F2D"/>
    <w:rsid w:val="0071514B"/>
    <w:rsid w:val="0071525A"/>
    <w:rsid w:val="0071558A"/>
    <w:rsid w:val="00715E10"/>
    <w:rsid w:val="007166A9"/>
    <w:rsid w:val="00722564"/>
    <w:rsid w:val="0072634E"/>
    <w:rsid w:val="007327B8"/>
    <w:rsid w:val="00735BBE"/>
    <w:rsid w:val="0073626D"/>
    <w:rsid w:val="007404D8"/>
    <w:rsid w:val="00741108"/>
    <w:rsid w:val="00741B42"/>
    <w:rsid w:val="0074244E"/>
    <w:rsid w:val="0074399F"/>
    <w:rsid w:val="007444F1"/>
    <w:rsid w:val="00746212"/>
    <w:rsid w:val="00747495"/>
    <w:rsid w:val="00751B88"/>
    <w:rsid w:val="00753580"/>
    <w:rsid w:val="00753AE8"/>
    <w:rsid w:val="00753D42"/>
    <w:rsid w:val="00755BF3"/>
    <w:rsid w:val="0076008F"/>
    <w:rsid w:val="007605B0"/>
    <w:rsid w:val="00761116"/>
    <w:rsid w:val="00764AF4"/>
    <w:rsid w:val="00766D92"/>
    <w:rsid w:val="00766DBB"/>
    <w:rsid w:val="007830A6"/>
    <w:rsid w:val="00783E2D"/>
    <w:rsid w:val="0079098A"/>
    <w:rsid w:val="00792D24"/>
    <w:rsid w:val="00795727"/>
    <w:rsid w:val="007958F3"/>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782"/>
    <w:rsid w:val="007C4B1F"/>
    <w:rsid w:val="007D29DA"/>
    <w:rsid w:val="007D337E"/>
    <w:rsid w:val="007D3A05"/>
    <w:rsid w:val="007D4108"/>
    <w:rsid w:val="007D53F5"/>
    <w:rsid w:val="007D71F4"/>
    <w:rsid w:val="007E0FFA"/>
    <w:rsid w:val="007E3CDE"/>
    <w:rsid w:val="007E3E41"/>
    <w:rsid w:val="007E45EB"/>
    <w:rsid w:val="007E4699"/>
    <w:rsid w:val="007F03B3"/>
    <w:rsid w:val="007F224E"/>
    <w:rsid w:val="007F62FA"/>
    <w:rsid w:val="007F6799"/>
    <w:rsid w:val="00802343"/>
    <w:rsid w:val="00802954"/>
    <w:rsid w:val="008032CF"/>
    <w:rsid w:val="008032DE"/>
    <w:rsid w:val="00806FF3"/>
    <w:rsid w:val="00812097"/>
    <w:rsid w:val="00812A58"/>
    <w:rsid w:val="00812E43"/>
    <w:rsid w:val="00813C07"/>
    <w:rsid w:val="008164AB"/>
    <w:rsid w:val="008226BA"/>
    <w:rsid w:val="008232E9"/>
    <w:rsid w:val="00824D2F"/>
    <w:rsid w:val="00825E26"/>
    <w:rsid w:val="00833148"/>
    <w:rsid w:val="00833909"/>
    <w:rsid w:val="00834AC0"/>
    <w:rsid w:val="008368CC"/>
    <w:rsid w:val="008376F6"/>
    <w:rsid w:val="0084274F"/>
    <w:rsid w:val="00843448"/>
    <w:rsid w:val="00844137"/>
    <w:rsid w:val="008443DF"/>
    <w:rsid w:val="00846370"/>
    <w:rsid w:val="00846541"/>
    <w:rsid w:val="00851077"/>
    <w:rsid w:val="00855B59"/>
    <w:rsid w:val="00857960"/>
    <w:rsid w:val="00861B30"/>
    <w:rsid w:val="00865608"/>
    <w:rsid w:val="008671AC"/>
    <w:rsid w:val="008730E5"/>
    <w:rsid w:val="0087516C"/>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7ED8"/>
    <w:rsid w:val="008D0DA2"/>
    <w:rsid w:val="008E0DFD"/>
    <w:rsid w:val="008E4589"/>
    <w:rsid w:val="008E66D2"/>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57DBC"/>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AA4"/>
    <w:rsid w:val="009E5D90"/>
    <w:rsid w:val="009E754B"/>
    <w:rsid w:val="009F1A70"/>
    <w:rsid w:val="009F37E6"/>
    <w:rsid w:val="009F44EE"/>
    <w:rsid w:val="009F597A"/>
    <w:rsid w:val="009F5D71"/>
    <w:rsid w:val="009F7D69"/>
    <w:rsid w:val="00A02C13"/>
    <w:rsid w:val="00A06FDB"/>
    <w:rsid w:val="00A1378E"/>
    <w:rsid w:val="00A13CD6"/>
    <w:rsid w:val="00A140B4"/>
    <w:rsid w:val="00A20CBD"/>
    <w:rsid w:val="00A23071"/>
    <w:rsid w:val="00A24070"/>
    <w:rsid w:val="00A258B3"/>
    <w:rsid w:val="00A27FE5"/>
    <w:rsid w:val="00A33086"/>
    <w:rsid w:val="00A340B2"/>
    <w:rsid w:val="00A372EE"/>
    <w:rsid w:val="00A42B7A"/>
    <w:rsid w:val="00A432AE"/>
    <w:rsid w:val="00A453E3"/>
    <w:rsid w:val="00A471E2"/>
    <w:rsid w:val="00A479B7"/>
    <w:rsid w:val="00A479D4"/>
    <w:rsid w:val="00A5019B"/>
    <w:rsid w:val="00A50646"/>
    <w:rsid w:val="00A50FB6"/>
    <w:rsid w:val="00A50FF8"/>
    <w:rsid w:val="00A52067"/>
    <w:rsid w:val="00A52E9A"/>
    <w:rsid w:val="00A5505E"/>
    <w:rsid w:val="00A57EA5"/>
    <w:rsid w:val="00A62C85"/>
    <w:rsid w:val="00A64459"/>
    <w:rsid w:val="00A64E13"/>
    <w:rsid w:val="00A72971"/>
    <w:rsid w:val="00A72A5F"/>
    <w:rsid w:val="00A744EA"/>
    <w:rsid w:val="00A75CE9"/>
    <w:rsid w:val="00A8138B"/>
    <w:rsid w:val="00A85479"/>
    <w:rsid w:val="00A8555D"/>
    <w:rsid w:val="00A86A36"/>
    <w:rsid w:val="00A96763"/>
    <w:rsid w:val="00AA5D66"/>
    <w:rsid w:val="00AA7FC1"/>
    <w:rsid w:val="00AB154D"/>
    <w:rsid w:val="00AB2981"/>
    <w:rsid w:val="00AB4A37"/>
    <w:rsid w:val="00AB6DF6"/>
    <w:rsid w:val="00AC42CE"/>
    <w:rsid w:val="00AC6543"/>
    <w:rsid w:val="00AD405E"/>
    <w:rsid w:val="00AD61AC"/>
    <w:rsid w:val="00AE0098"/>
    <w:rsid w:val="00AE2C4F"/>
    <w:rsid w:val="00AE46E7"/>
    <w:rsid w:val="00AE47EB"/>
    <w:rsid w:val="00AE5D15"/>
    <w:rsid w:val="00AE7D19"/>
    <w:rsid w:val="00AF1FCD"/>
    <w:rsid w:val="00AF54A2"/>
    <w:rsid w:val="00AF646A"/>
    <w:rsid w:val="00B0144A"/>
    <w:rsid w:val="00B028E7"/>
    <w:rsid w:val="00B12248"/>
    <w:rsid w:val="00B12B2F"/>
    <w:rsid w:val="00B13246"/>
    <w:rsid w:val="00B171C5"/>
    <w:rsid w:val="00B17AE9"/>
    <w:rsid w:val="00B17B4F"/>
    <w:rsid w:val="00B20125"/>
    <w:rsid w:val="00B20269"/>
    <w:rsid w:val="00B20546"/>
    <w:rsid w:val="00B25209"/>
    <w:rsid w:val="00B26023"/>
    <w:rsid w:val="00B2765B"/>
    <w:rsid w:val="00B41D14"/>
    <w:rsid w:val="00B434A2"/>
    <w:rsid w:val="00B471D0"/>
    <w:rsid w:val="00B47E46"/>
    <w:rsid w:val="00B51A8A"/>
    <w:rsid w:val="00B529E3"/>
    <w:rsid w:val="00B53CE1"/>
    <w:rsid w:val="00B54909"/>
    <w:rsid w:val="00B54AC5"/>
    <w:rsid w:val="00B54D25"/>
    <w:rsid w:val="00B561D0"/>
    <w:rsid w:val="00B613BB"/>
    <w:rsid w:val="00B636E4"/>
    <w:rsid w:val="00B66DA3"/>
    <w:rsid w:val="00B66FD7"/>
    <w:rsid w:val="00B73D79"/>
    <w:rsid w:val="00B73EC0"/>
    <w:rsid w:val="00B748A3"/>
    <w:rsid w:val="00B83E80"/>
    <w:rsid w:val="00B8425D"/>
    <w:rsid w:val="00B92105"/>
    <w:rsid w:val="00B93651"/>
    <w:rsid w:val="00B94D51"/>
    <w:rsid w:val="00B94E75"/>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1C3"/>
    <w:rsid w:val="00BE2B0F"/>
    <w:rsid w:val="00BE2C79"/>
    <w:rsid w:val="00BE786B"/>
    <w:rsid w:val="00BE7AE1"/>
    <w:rsid w:val="00BF1645"/>
    <w:rsid w:val="00BF1737"/>
    <w:rsid w:val="00BF1F11"/>
    <w:rsid w:val="00BF5017"/>
    <w:rsid w:val="00BF5414"/>
    <w:rsid w:val="00BF5B1D"/>
    <w:rsid w:val="00BF7758"/>
    <w:rsid w:val="00BF7B3F"/>
    <w:rsid w:val="00BF7E3D"/>
    <w:rsid w:val="00C04EF5"/>
    <w:rsid w:val="00C05DF1"/>
    <w:rsid w:val="00C071EA"/>
    <w:rsid w:val="00C10F2E"/>
    <w:rsid w:val="00C116AA"/>
    <w:rsid w:val="00C1278B"/>
    <w:rsid w:val="00C14149"/>
    <w:rsid w:val="00C14FE4"/>
    <w:rsid w:val="00C17CD9"/>
    <w:rsid w:val="00C201AF"/>
    <w:rsid w:val="00C20C99"/>
    <w:rsid w:val="00C23158"/>
    <w:rsid w:val="00C3139E"/>
    <w:rsid w:val="00C3191A"/>
    <w:rsid w:val="00C34468"/>
    <w:rsid w:val="00C372F8"/>
    <w:rsid w:val="00C37A17"/>
    <w:rsid w:val="00C41DF1"/>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F2E8F"/>
    <w:rsid w:val="00CF773D"/>
    <w:rsid w:val="00D03704"/>
    <w:rsid w:val="00D06634"/>
    <w:rsid w:val="00D06EDB"/>
    <w:rsid w:val="00D12A6F"/>
    <w:rsid w:val="00D14024"/>
    <w:rsid w:val="00D144A5"/>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2B61"/>
    <w:rsid w:val="00D92CE5"/>
    <w:rsid w:val="00D95B83"/>
    <w:rsid w:val="00D95C30"/>
    <w:rsid w:val="00D960D9"/>
    <w:rsid w:val="00D97B8F"/>
    <w:rsid w:val="00DA019E"/>
    <w:rsid w:val="00DA0C9B"/>
    <w:rsid w:val="00DA3B72"/>
    <w:rsid w:val="00DA5030"/>
    <w:rsid w:val="00DA52B0"/>
    <w:rsid w:val="00DA5928"/>
    <w:rsid w:val="00DA7DAC"/>
    <w:rsid w:val="00DB34F7"/>
    <w:rsid w:val="00DB37E8"/>
    <w:rsid w:val="00DB40BE"/>
    <w:rsid w:val="00DB43B3"/>
    <w:rsid w:val="00DB4645"/>
    <w:rsid w:val="00DB499A"/>
    <w:rsid w:val="00DB4B02"/>
    <w:rsid w:val="00DB55D1"/>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D10"/>
    <w:rsid w:val="00E0093A"/>
    <w:rsid w:val="00E013AC"/>
    <w:rsid w:val="00E02342"/>
    <w:rsid w:val="00E058BC"/>
    <w:rsid w:val="00E05CA9"/>
    <w:rsid w:val="00E069B9"/>
    <w:rsid w:val="00E06E1E"/>
    <w:rsid w:val="00E1073E"/>
    <w:rsid w:val="00E10B17"/>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B16"/>
    <w:rsid w:val="00E63C49"/>
    <w:rsid w:val="00E63C9A"/>
    <w:rsid w:val="00E72175"/>
    <w:rsid w:val="00E77E9D"/>
    <w:rsid w:val="00E855DB"/>
    <w:rsid w:val="00E867CE"/>
    <w:rsid w:val="00E91369"/>
    <w:rsid w:val="00E929BF"/>
    <w:rsid w:val="00E9717F"/>
    <w:rsid w:val="00E97D3B"/>
    <w:rsid w:val="00EA11C6"/>
    <w:rsid w:val="00EA1348"/>
    <w:rsid w:val="00EA266C"/>
    <w:rsid w:val="00EA2A8E"/>
    <w:rsid w:val="00EA4A72"/>
    <w:rsid w:val="00EA4C8E"/>
    <w:rsid w:val="00EA6068"/>
    <w:rsid w:val="00EA6638"/>
    <w:rsid w:val="00EB0314"/>
    <w:rsid w:val="00EB6D4F"/>
    <w:rsid w:val="00EB7979"/>
    <w:rsid w:val="00EC188E"/>
    <w:rsid w:val="00EC27B1"/>
    <w:rsid w:val="00EC48D1"/>
    <w:rsid w:val="00EC4D9B"/>
    <w:rsid w:val="00EC7AD6"/>
    <w:rsid w:val="00ED088C"/>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6509"/>
    <w:rsid w:val="00F375D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73AF"/>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6F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bs.gov.au/pbs/industry/listing/elements/pbac-meetings/agenda/March-2020-PBAC-Meeting" TargetMode="External"/><Relationship Id="rId4" Type="http://schemas.openxmlformats.org/officeDocument/2006/relationships/settings" Target="settings.xml"/><Relationship Id="rId9" Type="http://schemas.openxmlformats.org/officeDocument/2006/relationships/hyperlink" Target="http://www.pbs.gov.au/pbs/industry/listing/elements/pbac-meetings/agenda/March-2020-PBAC-Meetin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90CB8-6364-4060-BA44-78309C96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6267</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2021-06-29T02:57:00Z</dcterms:created>
  <dcterms:modified xsi:type="dcterms:W3CDTF">2021-06-29T02:57:00Z</dcterms:modified>
</cp:coreProperties>
</file>