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1BB9" w14:textId="77777777" w:rsidR="00A20CBD" w:rsidRPr="00F4413F" w:rsidRDefault="00A20CBD" w:rsidP="00855B59">
      <w:pPr>
        <w:ind w:left="2160" w:firstLine="720"/>
        <w:rPr>
          <w:b/>
        </w:rPr>
      </w:pPr>
    </w:p>
    <w:p w14:paraId="3442547C" w14:textId="458297DF"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E86E76">
        <w:rPr>
          <w:sz w:val="24"/>
          <w:szCs w:val="24"/>
        </w:rPr>
        <w:t>5</w:t>
      </w:r>
      <w:r w:rsidR="00A10603" w:rsidRPr="00A10603">
        <w:rPr>
          <w:sz w:val="24"/>
          <w:szCs w:val="24"/>
          <w:vertAlign w:val="superscript"/>
        </w:rPr>
        <w:t>th</w:t>
      </w:r>
      <w:r w:rsidR="00A10603">
        <w:rPr>
          <w:sz w:val="24"/>
          <w:szCs w:val="24"/>
        </w:rPr>
        <w:t xml:space="preserve"> </w:t>
      </w:r>
      <w:r w:rsidRPr="005F3EF0">
        <w:rPr>
          <w:sz w:val="24"/>
          <w:szCs w:val="24"/>
        </w:rPr>
        <w:t xml:space="preserve">meeting on </w:t>
      </w:r>
      <w:r w:rsidR="00E4556A">
        <w:rPr>
          <w:sz w:val="24"/>
          <w:szCs w:val="24"/>
        </w:rPr>
        <w:t xml:space="preserve">the </w:t>
      </w:r>
      <w:r w:rsidR="00E86E76">
        <w:rPr>
          <w:sz w:val="24"/>
          <w:szCs w:val="24"/>
        </w:rPr>
        <w:t>2</w:t>
      </w:r>
      <w:r w:rsidR="00E86E76" w:rsidRPr="00E86E76">
        <w:rPr>
          <w:sz w:val="24"/>
          <w:szCs w:val="24"/>
          <w:vertAlign w:val="superscript"/>
        </w:rPr>
        <w:t>nd</w:t>
      </w:r>
      <w:r w:rsidR="00E86E76">
        <w:rPr>
          <w:sz w:val="24"/>
          <w:szCs w:val="24"/>
        </w:rPr>
        <w:t xml:space="preserve"> June</w:t>
      </w:r>
      <w:r w:rsidR="00CE1361">
        <w:rPr>
          <w:sz w:val="24"/>
          <w:szCs w:val="24"/>
        </w:rPr>
        <w:t xml:space="preserve"> – </w:t>
      </w:r>
      <w:r w:rsidR="00E86E76">
        <w:rPr>
          <w:sz w:val="24"/>
          <w:szCs w:val="24"/>
        </w:rPr>
        <w:t>3</w:t>
      </w:r>
      <w:r w:rsidR="00E86E76" w:rsidRPr="00E86E76">
        <w:rPr>
          <w:sz w:val="24"/>
          <w:szCs w:val="24"/>
          <w:vertAlign w:val="superscript"/>
        </w:rPr>
        <w:t>rd</w:t>
      </w:r>
      <w:r w:rsidR="00E86E76">
        <w:rPr>
          <w:sz w:val="24"/>
          <w:szCs w:val="24"/>
        </w:rPr>
        <w:t xml:space="preserve"> June</w:t>
      </w:r>
      <w:r w:rsidR="006D336D">
        <w:rPr>
          <w:sz w:val="24"/>
          <w:szCs w:val="24"/>
        </w:rPr>
        <w:t xml:space="preserve"> </w:t>
      </w:r>
      <w:r w:rsidR="00CE1361">
        <w:rPr>
          <w:sz w:val="24"/>
          <w:szCs w:val="24"/>
        </w:rPr>
        <w:t>202</w:t>
      </w:r>
      <w:r w:rsidR="009F61DE">
        <w:rPr>
          <w:sz w:val="24"/>
          <w:szCs w:val="24"/>
        </w:rPr>
        <w:t>2</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035EFF91" w:rsidR="009237FF" w:rsidRDefault="00BE11AF" w:rsidP="008B6946">
      <w:pPr>
        <w:rPr>
          <w:sz w:val="24"/>
          <w:szCs w:val="24"/>
        </w:rPr>
      </w:pPr>
      <w:r w:rsidRPr="00A45D73">
        <w:rPr>
          <w:sz w:val="24"/>
          <w:szCs w:val="24"/>
        </w:rPr>
        <w:t xml:space="preserve">DUSC noted that </w:t>
      </w:r>
      <w:r w:rsidR="00E86E76">
        <w:rPr>
          <w:sz w:val="24"/>
          <w:szCs w:val="24"/>
        </w:rPr>
        <w:t>ten</w:t>
      </w:r>
      <w:r w:rsidR="000134E0" w:rsidRPr="00A45D73">
        <w:rPr>
          <w:sz w:val="24"/>
          <w:szCs w:val="24"/>
        </w:rPr>
        <w:t xml:space="preserve"> category 1, </w:t>
      </w:r>
      <w:r w:rsidR="00E86E76">
        <w:rPr>
          <w:sz w:val="24"/>
          <w:szCs w:val="24"/>
        </w:rPr>
        <w:t>17</w:t>
      </w:r>
      <w:r w:rsidR="000134E0" w:rsidRPr="00A45D73">
        <w:rPr>
          <w:sz w:val="24"/>
          <w:szCs w:val="24"/>
        </w:rPr>
        <w:t xml:space="preserve"> category 2</w:t>
      </w:r>
      <w:r w:rsidR="005F19FA" w:rsidRPr="00A45D73">
        <w:rPr>
          <w:sz w:val="24"/>
          <w:szCs w:val="24"/>
        </w:rPr>
        <w:t>,</w:t>
      </w:r>
      <w:r w:rsidR="000134E0" w:rsidRPr="00A45D73">
        <w:rPr>
          <w:sz w:val="24"/>
          <w:szCs w:val="24"/>
        </w:rPr>
        <w:t xml:space="preserve"> </w:t>
      </w:r>
      <w:r w:rsidR="00E86E76">
        <w:rPr>
          <w:sz w:val="24"/>
          <w:szCs w:val="24"/>
        </w:rPr>
        <w:t>three</w:t>
      </w:r>
      <w:r w:rsidR="005F19FA" w:rsidRPr="00A45D73">
        <w:rPr>
          <w:sz w:val="24"/>
          <w:szCs w:val="24"/>
        </w:rPr>
        <w:t xml:space="preserve"> </w:t>
      </w:r>
      <w:r w:rsidR="000134E0" w:rsidRPr="00A45D73">
        <w:rPr>
          <w:sz w:val="24"/>
          <w:szCs w:val="24"/>
        </w:rPr>
        <w:t>standard re-entry</w:t>
      </w:r>
      <w:r w:rsidR="00E86E76">
        <w:rPr>
          <w:sz w:val="24"/>
          <w:szCs w:val="24"/>
        </w:rPr>
        <w:t>, two early-resolution,</w:t>
      </w:r>
      <w:r w:rsidR="003F06C8" w:rsidRPr="00A45D73">
        <w:rPr>
          <w:sz w:val="24"/>
          <w:szCs w:val="24"/>
        </w:rPr>
        <w:t xml:space="preserve"> </w:t>
      </w:r>
      <w:r w:rsidR="005F19FA" w:rsidRPr="00A45D73">
        <w:rPr>
          <w:sz w:val="24"/>
          <w:szCs w:val="24"/>
        </w:rPr>
        <w:t xml:space="preserve">and </w:t>
      </w:r>
      <w:r w:rsidR="00E86E76">
        <w:rPr>
          <w:sz w:val="24"/>
          <w:szCs w:val="24"/>
        </w:rPr>
        <w:t>three</w:t>
      </w:r>
      <w:r w:rsidR="005F19FA" w:rsidRPr="00A45D73">
        <w:rPr>
          <w:sz w:val="24"/>
          <w:szCs w:val="24"/>
        </w:rPr>
        <w:t xml:space="preserve"> early re-entry submissions </w:t>
      </w:r>
      <w:r w:rsidR="003F06C8" w:rsidRPr="00A45D73">
        <w:rPr>
          <w:sz w:val="24"/>
          <w:szCs w:val="24"/>
        </w:rPr>
        <w:t xml:space="preserve">had been received for the </w:t>
      </w:r>
      <w:r w:rsidR="00481254">
        <w:rPr>
          <w:sz w:val="24"/>
          <w:szCs w:val="24"/>
        </w:rPr>
        <w:t>July</w:t>
      </w:r>
      <w:r w:rsidR="00A45D73" w:rsidRPr="00A45D73">
        <w:rPr>
          <w:sz w:val="24"/>
          <w:szCs w:val="24"/>
        </w:rPr>
        <w:t xml:space="preserve"> 2022</w:t>
      </w:r>
      <w:r w:rsidR="003F06C8" w:rsidRPr="00A45D73">
        <w:rPr>
          <w:sz w:val="24"/>
          <w:szCs w:val="24"/>
        </w:rPr>
        <w:t xml:space="preserve"> meeting of PBAC. </w:t>
      </w:r>
      <w:r w:rsidR="008F7F63" w:rsidRPr="00A45D73">
        <w:rPr>
          <w:sz w:val="24"/>
          <w:szCs w:val="24"/>
        </w:rPr>
        <w:t xml:space="preserve">DUSC provided detailed advice to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 xml:space="preserve">for the </w:t>
      </w:r>
      <w:r w:rsidR="00E86E76">
        <w:rPr>
          <w:sz w:val="24"/>
          <w:szCs w:val="24"/>
        </w:rPr>
        <w:t>July</w:t>
      </w:r>
      <w:r w:rsidR="00A45D73" w:rsidRPr="00A45D73">
        <w:rPr>
          <w:sz w:val="24"/>
          <w:szCs w:val="24"/>
        </w:rPr>
        <w:t xml:space="preserve"> 2022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A45D73">
          <w:rPr>
            <w:rStyle w:val="Hyperlink"/>
            <w:sz w:val="24"/>
            <w:szCs w:val="24"/>
          </w:rPr>
          <w:t>PBS</w:t>
        </w:r>
        <w:r w:rsidR="006E3AF2" w:rsidRPr="00A45D73">
          <w:rPr>
            <w:rStyle w:val="Hyperlink"/>
            <w:sz w:val="24"/>
            <w:szCs w:val="24"/>
          </w:rPr>
          <w:t> </w:t>
        </w:r>
        <w:r w:rsidR="00E013AC" w:rsidRPr="00A45D73">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77777777"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592CCA59"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 xml:space="preserve">in </w:t>
      </w:r>
      <w:r w:rsidR="00E86E76">
        <w:rPr>
          <w:sz w:val="24"/>
          <w:szCs w:val="24"/>
        </w:rPr>
        <w:t>June</w:t>
      </w:r>
      <w:r w:rsidR="00CE1361">
        <w:rPr>
          <w:sz w:val="24"/>
          <w:szCs w:val="24"/>
        </w:rPr>
        <w:t xml:space="preserve"> 202</w:t>
      </w:r>
      <w:r w:rsidR="00AA23A2">
        <w:rPr>
          <w:sz w:val="24"/>
          <w:szCs w:val="24"/>
        </w:rPr>
        <w:t>2</w:t>
      </w:r>
      <w:r w:rsidRPr="00B12248">
        <w:rPr>
          <w:sz w:val="24"/>
          <w:szCs w:val="24"/>
        </w:rPr>
        <w:t>:</w:t>
      </w:r>
    </w:p>
    <w:p w14:paraId="27F786B8" w14:textId="77777777" w:rsidR="00B636E4" w:rsidRDefault="00B636E4" w:rsidP="009F597A">
      <w:pPr>
        <w:rPr>
          <w:sz w:val="24"/>
          <w:szCs w:val="24"/>
        </w:rPr>
      </w:pPr>
    </w:p>
    <w:p w14:paraId="5DF80687" w14:textId="50AA838F" w:rsidR="00C23FF1" w:rsidRDefault="00E86E76" w:rsidP="00C23FF1">
      <w:pPr>
        <w:rPr>
          <w:rFonts w:asciiTheme="minorHAnsi" w:hAnsiTheme="minorHAnsi" w:cstheme="minorHAnsi"/>
          <w:sz w:val="24"/>
          <w:szCs w:val="24"/>
        </w:rPr>
      </w:pPr>
      <w:r>
        <w:rPr>
          <w:rFonts w:eastAsia="MS Mincho"/>
          <w:b/>
          <w:bCs/>
          <w:sz w:val="24"/>
          <w:szCs w:val="24"/>
        </w:rPr>
        <w:t>Teduglutide for Type III</w:t>
      </w:r>
      <w:r w:rsidR="00F36829">
        <w:rPr>
          <w:rFonts w:eastAsia="MS Mincho"/>
          <w:b/>
          <w:bCs/>
          <w:sz w:val="24"/>
          <w:szCs w:val="24"/>
        </w:rPr>
        <w:t xml:space="preserve"> </w:t>
      </w:r>
      <w:r>
        <w:rPr>
          <w:rFonts w:eastAsia="MS Mincho"/>
          <w:b/>
          <w:bCs/>
          <w:sz w:val="24"/>
          <w:szCs w:val="24"/>
        </w:rPr>
        <w:t>(chronic) intestinal failure associated with short bowel syndrome</w:t>
      </w:r>
      <w:r w:rsidR="00A10603">
        <w:rPr>
          <w:rFonts w:eastAsia="MS Mincho"/>
          <w:b/>
          <w:bCs/>
          <w:sz w:val="24"/>
          <w:szCs w:val="24"/>
        </w:rPr>
        <w:t xml:space="preserve"> (SBS)</w:t>
      </w:r>
    </w:p>
    <w:p w14:paraId="2A87EE1D" w14:textId="77D32A95" w:rsidR="00A10603" w:rsidRPr="00A10603" w:rsidRDefault="00A10603" w:rsidP="00A10603">
      <w:pPr>
        <w:pStyle w:val="NoSpacing"/>
        <w:rPr>
          <w:rFonts w:asciiTheme="minorHAnsi" w:hAnsiTheme="minorHAnsi" w:cstheme="minorHAnsi"/>
        </w:rPr>
      </w:pPr>
      <w:r w:rsidRPr="00A10603">
        <w:rPr>
          <w:rFonts w:asciiTheme="minorHAnsi" w:hAnsiTheme="minorHAnsi" w:cstheme="minorHAnsi"/>
        </w:rPr>
        <w:t>DUSC reviewed the use of teduglutide for the treatment of SBS. In the first year of listing, 24 patients were dispensed 215 prescriptions. In the second year of listing, 33 patients were dispensed 277 prescriptions. Overall utilisation of teduglutide was lower than estimated. DUSC noted advice from Parenteral Nutrition Down Under that there was a need to increase awareness about the availability of teduglutide to clinicians and patients.</w:t>
      </w:r>
    </w:p>
    <w:p w14:paraId="02E7D2D3" w14:textId="77777777" w:rsidR="00A10603" w:rsidRDefault="00A10603" w:rsidP="009F597A">
      <w:pPr>
        <w:rPr>
          <w:rFonts w:asciiTheme="minorHAnsi" w:eastAsia="MS Mincho" w:hAnsiTheme="minorHAnsi" w:cstheme="minorHAnsi"/>
          <w:bCs/>
          <w:sz w:val="24"/>
          <w:szCs w:val="24"/>
        </w:rPr>
      </w:pPr>
    </w:p>
    <w:p w14:paraId="1E8DAA73" w14:textId="3A21A662" w:rsidR="00AA23A2" w:rsidRPr="00EA0199" w:rsidRDefault="00C23FF1" w:rsidP="009F597A">
      <w:pPr>
        <w:rPr>
          <w:rFonts w:asciiTheme="minorHAnsi" w:eastAsia="MS Mincho" w:hAnsiTheme="minorHAnsi" w:cstheme="minorHAnsi"/>
          <w:bCs/>
          <w:sz w:val="24"/>
          <w:szCs w:val="24"/>
        </w:rPr>
      </w:pPr>
      <w:r w:rsidRPr="00C23FF1">
        <w:rPr>
          <w:rFonts w:asciiTheme="minorHAnsi" w:eastAsia="MS Mincho" w:hAnsiTheme="minorHAnsi" w:cstheme="minorHAnsi"/>
          <w:bCs/>
          <w:sz w:val="24"/>
          <w:szCs w:val="24"/>
        </w:rPr>
        <w:t>DUSC requested that the report be provided to the PBAC.</w:t>
      </w:r>
    </w:p>
    <w:p w14:paraId="5A256DF3" w14:textId="77777777" w:rsidR="00EA0199" w:rsidRDefault="00EA0199" w:rsidP="00EA0199">
      <w:pPr>
        <w:pStyle w:val="BodyText3"/>
        <w:jc w:val="left"/>
        <w:rPr>
          <w:b/>
          <w:bCs/>
          <w:color w:val="auto"/>
        </w:rPr>
      </w:pPr>
    </w:p>
    <w:p w14:paraId="68F7F431" w14:textId="77777777" w:rsidR="00EA0199" w:rsidRDefault="00EA0199" w:rsidP="00EA0199">
      <w:pPr>
        <w:rPr>
          <w:rFonts w:asciiTheme="minorHAnsi" w:eastAsia="MS Mincho" w:hAnsiTheme="minorHAnsi" w:cstheme="minorHAnsi"/>
          <w:bCs/>
          <w:sz w:val="24"/>
          <w:szCs w:val="24"/>
        </w:rPr>
      </w:pPr>
      <w:r w:rsidRPr="001D4FF1">
        <w:rPr>
          <w:rFonts w:asciiTheme="minorHAnsi" w:hAnsiTheme="minorHAnsi" w:cs="Arial"/>
          <w:b/>
          <w:bCs/>
          <w:snapToGrid w:val="0"/>
          <w:sz w:val="24"/>
          <w:szCs w:val="24"/>
          <w:lang w:eastAsia="en-US"/>
        </w:rPr>
        <w:t>PBS-listed proton pump inhibitor (PPI) medicines used in the management of gastrointestinal acid related disorders</w:t>
      </w:r>
    </w:p>
    <w:p w14:paraId="0B5FF1BE" w14:textId="77777777" w:rsidR="00EA0199" w:rsidRDefault="00EA0199" w:rsidP="00EA0199">
      <w:pPr>
        <w:rPr>
          <w:rFonts w:asciiTheme="minorHAnsi" w:eastAsia="MS Mincho" w:hAnsiTheme="minorHAnsi" w:cstheme="minorHAnsi"/>
          <w:bCs/>
          <w:sz w:val="24"/>
          <w:szCs w:val="24"/>
        </w:rPr>
      </w:pPr>
    </w:p>
    <w:p w14:paraId="7AC9B5C0" w14:textId="50A5FA3F" w:rsidR="00EA0199" w:rsidRPr="001D4FF1" w:rsidRDefault="00EA0199" w:rsidP="00EA0199">
      <w:pPr>
        <w:rPr>
          <w:rFonts w:eastAsiaTheme="minorEastAsia"/>
          <w:sz w:val="24"/>
          <w:szCs w:val="24"/>
        </w:rPr>
      </w:pPr>
      <w:r w:rsidRPr="001D4FF1">
        <w:rPr>
          <w:bCs/>
          <w:sz w:val="24"/>
          <w:szCs w:val="24"/>
        </w:rPr>
        <w:t xml:space="preserve">DUSC reviewed the utilisation of </w:t>
      </w:r>
      <w:r w:rsidRPr="001D4FF1">
        <w:rPr>
          <w:rFonts w:eastAsiaTheme="minorEastAsia"/>
          <w:sz w:val="24"/>
          <w:szCs w:val="24"/>
        </w:rPr>
        <w:t>PBS-listed proton pump inhibitor (PPI) medicines used in the management of gastrointestinal acid related disorders following Pharmaceutical Benefits Scheme (PBS) listing changes in May 2019 and March 2021.</w:t>
      </w:r>
      <w:r w:rsidRPr="001D4FF1">
        <w:t xml:space="preserve"> </w:t>
      </w:r>
      <w:r w:rsidRPr="001D4FF1">
        <w:rPr>
          <w:rFonts w:eastAsiaTheme="minorEastAsia"/>
          <w:sz w:val="24"/>
          <w:szCs w:val="24"/>
        </w:rPr>
        <w:t xml:space="preserve">In 2017 there were 611,154 </w:t>
      </w:r>
      <w:r w:rsidRPr="001D4FF1">
        <w:rPr>
          <w:rFonts w:eastAsiaTheme="minorEastAsia"/>
          <w:sz w:val="24"/>
          <w:szCs w:val="24"/>
        </w:rPr>
        <w:lastRenderedPageBreak/>
        <w:t>initiating patients on PPI medication and in 2020 there were 494,347 initiating patients on PPI medication. In 2017 there were 145,903 (24%) patients starting on a high dose of PPI medication. However, in 2020 there were 8,026 (2%) initiating patients on high dose of PPI. For initiators in 2017, 20,309 (3%) patients went from a standard dose to high dose medication and in 2020 there was 5,896 (1%) patients starting on standard dose who transitioned to a high dose. The Defined Daily Doses (DDDs) analysis show</w:t>
      </w:r>
      <w:r>
        <w:rPr>
          <w:rFonts w:eastAsiaTheme="minorEastAsia"/>
          <w:sz w:val="24"/>
          <w:szCs w:val="24"/>
        </w:rPr>
        <w:t>ed</w:t>
      </w:r>
      <w:r w:rsidRPr="001D4FF1">
        <w:rPr>
          <w:rFonts w:eastAsiaTheme="minorEastAsia"/>
          <w:sz w:val="24"/>
          <w:szCs w:val="24"/>
        </w:rPr>
        <w:t xml:space="preserve"> that there </w:t>
      </w:r>
      <w:r>
        <w:rPr>
          <w:rFonts w:eastAsiaTheme="minorEastAsia"/>
          <w:sz w:val="24"/>
          <w:szCs w:val="24"/>
        </w:rPr>
        <w:t>was</w:t>
      </w:r>
      <w:r w:rsidRPr="001D4FF1">
        <w:rPr>
          <w:rFonts w:eastAsiaTheme="minorEastAsia"/>
          <w:sz w:val="24"/>
          <w:szCs w:val="24"/>
        </w:rPr>
        <w:t xml:space="preserve"> a reduction in the DDDs for high dose listings. The overall DDDs for all PPIs show</w:t>
      </w:r>
      <w:r>
        <w:rPr>
          <w:rFonts w:eastAsiaTheme="minorEastAsia"/>
          <w:sz w:val="24"/>
          <w:szCs w:val="24"/>
        </w:rPr>
        <w:t>ed</w:t>
      </w:r>
      <w:r w:rsidRPr="001D4FF1">
        <w:rPr>
          <w:rFonts w:eastAsiaTheme="minorEastAsia"/>
          <w:sz w:val="24"/>
          <w:szCs w:val="24"/>
        </w:rPr>
        <w:t xml:space="preserve"> there </w:t>
      </w:r>
      <w:r>
        <w:rPr>
          <w:rFonts w:eastAsiaTheme="minorEastAsia"/>
          <w:sz w:val="24"/>
          <w:szCs w:val="24"/>
        </w:rPr>
        <w:t>wa</w:t>
      </w:r>
      <w:r w:rsidRPr="001D4FF1">
        <w:rPr>
          <w:rFonts w:eastAsiaTheme="minorEastAsia"/>
          <w:sz w:val="24"/>
          <w:szCs w:val="24"/>
        </w:rPr>
        <w:t>s an overall reduction in DDDs following the restriction changes. Even though total script utilisation (across all drugs) increased after the May 2019 restriction changes, the total number of DDDs decreased</w:t>
      </w:r>
      <w:r w:rsidR="00AD3D16">
        <w:rPr>
          <w:rFonts w:eastAsiaTheme="minorEastAsia"/>
          <w:sz w:val="24"/>
          <w:szCs w:val="24"/>
        </w:rPr>
        <w:t xml:space="preserve"> indicating that patients were moving to lower dose PPIs</w:t>
      </w:r>
      <w:r w:rsidRPr="001D4FF1">
        <w:rPr>
          <w:rFonts w:eastAsiaTheme="minorEastAsia"/>
          <w:sz w:val="24"/>
          <w:szCs w:val="24"/>
        </w:rPr>
        <w:t>.</w:t>
      </w:r>
      <w:r w:rsidR="00866941">
        <w:rPr>
          <w:rFonts w:eastAsiaTheme="minorEastAsia"/>
          <w:sz w:val="24"/>
          <w:szCs w:val="24"/>
        </w:rPr>
        <w:t xml:space="preserve"> DUSC considered further</w:t>
      </w:r>
      <w:r w:rsidR="00866941" w:rsidRPr="00866941">
        <w:rPr>
          <w:rFonts w:eastAsiaTheme="minorEastAsia"/>
          <w:sz w:val="24"/>
          <w:szCs w:val="24"/>
        </w:rPr>
        <w:t xml:space="preserve"> investigation was warranted at a later time as total DDDs appeared to be on an upward trend </w:t>
      </w:r>
      <w:r w:rsidR="00944C79">
        <w:rPr>
          <w:rFonts w:eastAsiaTheme="minorEastAsia"/>
          <w:sz w:val="24"/>
          <w:szCs w:val="24"/>
        </w:rPr>
        <w:t xml:space="preserve">based on more recent data </w:t>
      </w:r>
      <w:r w:rsidR="00866941" w:rsidRPr="00866941">
        <w:rPr>
          <w:rFonts w:eastAsiaTheme="minorEastAsia"/>
          <w:sz w:val="24"/>
          <w:szCs w:val="24"/>
        </w:rPr>
        <w:t xml:space="preserve">and </w:t>
      </w:r>
      <w:r w:rsidR="00AD3D16">
        <w:rPr>
          <w:rFonts w:eastAsiaTheme="minorEastAsia"/>
          <w:sz w:val="24"/>
          <w:szCs w:val="24"/>
        </w:rPr>
        <w:t>over-the-counter (</w:t>
      </w:r>
      <w:r w:rsidR="00866941" w:rsidRPr="00866941">
        <w:rPr>
          <w:rFonts w:eastAsiaTheme="minorEastAsia"/>
          <w:sz w:val="24"/>
          <w:szCs w:val="24"/>
        </w:rPr>
        <w:t>OTC</w:t>
      </w:r>
      <w:r w:rsidR="00AD3D16">
        <w:rPr>
          <w:rFonts w:eastAsiaTheme="minorEastAsia"/>
          <w:sz w:val="24"/>
          <w:szCs w:val="24"/>
        </w:rPr>
        <w:t>)</w:t>
      </w:r>
      <w:r w:rsidR="00866941" w:rsidRPr="00866941">
        <w:rPr>
          <w:rFonts w:eastAsiaTheme="minorEastAsia"/>
          <w:sz w:val="24"/>
          <w:szCs w:val="24"/>
        </w:rPr>
        <w:t xml:space="preserve"> and private prescription data were not included in the analysis.</w:t>
      </w:r>
    </w:p>
    <w:p w14:paraId="274E7BA4" w14:textId="77777777" w:rsidR="00EA0199" w:rsidRDefault="00EA0199" w:rsidP="00EA0199">
      <w:pPr>
        <w:rPr>
          <w:rFonts w:asciiTheme="minorHAnsi" w:eastAsia="MS Mincho" w:hAnsiTheme="minorHAnsi" w:cstheme="minorHAnsi"/>
          <w:bCs/>
          <w:sz w:val="24"/>
          <w:szCs w:val="24"/>
        </w:rPr>
      </w:pPr>
    </w:p>
    <w:p w14:paraId="08EA03D8" w14:textId="77777777" w:rsidR="00EA0199" w:rsidRPr="00C23FF1" w:rsidRDefault="00EA0199" w:rsidP="00EA0199">
      <w:pPr>
        <w:rPr>
          <w:rFonts w:asciiTheme="minorHAnsi" w:eastAsia="MS Mincho" w:hAnsiTheme="minorHAnsi" w:cstheme="minorHAnsi"/>
          <w:bCs/>
          <w:sz w:val="24"/>
          <w:szCs w:val="24"/>
        </w:rPr>
      </w:pPr>
      <w:r w:rsidRPr="00C23FF1">
        <w:rPr>
          <w:rFonts w:asciiTheme="minorHAnsi" w:eastAsia="MS Mincho" w:hAnsiTheme="minorHAnsi" w:cstheme="minorHAnsi"/>
          <w:bCs/>
          <w:sz w:val="24"/>
          <w:szCs w:val="24"/>
        </w:rPr>
        <w:t>DUSC requested that the report be provided to the PBAC.</w:t>
      </w:r>
    </w:p>
    <w:p w14:paraId="76A33FAF" w14:textId="77777777" w:rsidR="00C23FF1" w:rsidRPr="00A10603" w:rsidRDefault="00C23FF1"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790E1EC3"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2DBF13A8" w14:textId="77777777" w:rsidR="00513E5D" w:rsidRPr="0062222D" w:rsidRDefault="00513E5D" w:rsidP="008B6946">
      <w:pPr>
        <w:rPr>
          <w:sz w:val="24"/>
          <w:szCs w:val="24"/>
          <w:highlight w:val="yellow"/>
        </w:rPr>
      </w:pPr>
    </w:p>
    <w:p w14:paraId="1661CE67" w14:textId="77777777" w:rsidR="000A4C6F" w:rsidRDefault="007C4782" w:rsidP="000A4C6F">
      <w:pPr>
        <w:pStyle w:val="ListParagraph"/>
        <w:autoSpaceDE w:val="0"/>
        <w:autoSpaceDN w:val="0"/>
        <w:adjustRightInd w:val="0"/>
        <w:ind w:left="0"/>
        <w:contextualSpacing/>
        <w:rPr>
          <w:b/>
          <w:szCs w:val="24"/>
        </w:rPr>
      </w:pPr>
      <w:r w:rsidRPr="007C4782">
        <w:rPr>
          <w:b/>
          <w:szCs w:val="24"/>
        </w:rPr>
        <w:t>Predicted versus Actual Utilisation Analysis</w:t>
      </w:r>
    </w:p>
    <w:p w14:paraId="41380C00" w14:textId="0100B021" w:rsidR="004279D6" w:rsidRPr="000A4C6F" w:rsidRDefault="00E86E76" w:rsidP="000A4C6F">
      <w:pPr>
        <w:pStyle w:val="ListParagraph"/>
        <w:numPr>
          <w:ilvl w:val="0"/>
          <w:numId w:val="18"/>
        </w:numPr>
        <w:autoSpaceDE w:val="0"/>
        <w:autoSpaceDN w:val="0"/>
        <w:adjustRightInd w:val="0"/>
        <w:contextualSpacing/>
        <w:rPr>
          <w:b/>
          <w:szCs w:val="24"/>
        </w:rPr>
      </w:pPr>
      <w:r>
        <w:rPr>
          <w:szCs w:val="24"/>
        </w:rPr>
        <w:t>Atezolizumab for small-cell lung cancer</w:t>
      </w:r>
    </w:p>
    <w:p w14:paraId="1E3139E3" w14:textId="77777777" w:rsidR="000A4C6F" w:rsidRPr="000A4C6F" w:rsidRDefault="000A4C6F" w:rsidP="000A4C6F">
      <w:pPr>
        <w:autoSpaceDE w:val="0"/>
        <w:autoSpaceDN w:val="0"/>
        <w:adjustRightInd w:val="0"/>
        <w:ind w:left="360"/>
        <w:contextualSpacing/>
        <w:rPr>
          <w:b/>
          <w:szCs w:val="24"/>
        </w:rPr>
      </w:pPr>
    </w:p>
    <w:p w14:paraId="618683CB" w14:textId="77777777" w:rsidR="007F7611" w:rsidRPr="007F7611" w:rsidRDefault="007C4782" w:rsidP="007F7611">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007AE3C8" w14:textId="45BE6549" w:rsidR="000A4C6F" w:rsidRPr="00E86E76" w:rsidRDefault="00E86E76" w:rsidP="00763A09">
      <w:pPr>
        <w:pStyle w:val="ListParagraph"/>
        <w:numPr>
          <w:ilvl w:val="0"/>
          <w:numId w:val="18"/>
        </w:numPr>
        <w:rPr>
          <w:szCs w:val="24"/>
        </w:rPr>
      </w:pPr>
      <w:r>
        <w:rPr>
          <w:rFonts w:asciiTheme="minorHAnsi" w:hAnsiTheme="minorHAnsi" w:cstheme="minorHAnsi"/>
          <w:color w:val="000000"/>
          <w:szCs w:val="21"/>
          <w:shd w:val="clear" w:color="auto" w:fill="FFFFFF"/>
        </w:rPr>
        <w:t>Durvalumab for stage III non-small-cell lung cancer and market review</w:t>
      </w:r>
    </w:p>
    <w:p w14:paraId="34407D88" w14:textId="51D33F19" w:rsidR="00E86E76" w:rsidRPr="007F7611" w:rsidRDefault="00E86E76" w:rsidP="00763A09">
      <w:pPr>
        <w:pStyle w:val="ListParagraph"/>
        <w:numPr>
          <w:ilvl w:val="0"/>
          <w:numId w:val="18"/>
        </w:numPr>
        <w:rPr>
          <w:szCs w:val="24"/>
        </w:rPr>
      </w:pPr>
      <w:r>
        <w:rPr>
          <w:rFonts w:asciiTheme="minorHAnsi" w:hAnsiTheme="minorHAnsi" w:cstheme="minorHAnsi"/>
          <w:color w:val="000000"/>
          <w:szCs w:val="21"/>
          <w:shd w:val="clear" w:color="auto" w:fill="FFFFFF"/>
        </w:rPr>
        <w:t>Nivolumab for adjuvant melanoma and melanoma market review</w:t>
      </w:r>
    </w:p>
    <w:p w14:paraId="05812BC1" w14:textId="77777777" w:rsidR="000A4C6F" w:rsidRPr="000A4C6F" w:rsidRDefault="000A4C6F" w:rsidP="000A4C6F">
      <w:pPr>
        <w:ind w:left="360"/>
        <w:rPr>
          <w:szCs w:val="24"/>
        </w:rPr>
      </w:pPr>
    </w:p>
    <w:p w14:paraId="4778322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footerReference w:type="default" r:id="rId11"/>
      <w:headerReference w:type="first" r:id="rId12"/>
      <w:footerReference w:type="first" r:id="rId13"/>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7212" w14:textId="77777777" w:rsidR="003E082E" w:rsidRDefault="003E082E">
      <w:r>
        <w:separator/>
      </w:r>
    </w:p>
  </w:endnote>
  <w:endnote w:type="continuationSeparator" w:id="0">
    <w:p w14:paraId="22A9DB1C" w14:textId="77777777" w:rsidR="003E082E" w:rsidRDefault="003E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3C72F" w14:textId="77777777" w:rsidR="003E082E" w:rsidRDefault="003E082E">
      <w:r>
        <w:separator/>
      </w:r>
    </w:p>
  </w:footnote>
  <w:footnote w:type="continuationSeparator" w:id="0">
    <w:p w14:paraId="70E1CC80" w14:textId="77777777" w:rsidR="003E082E" w:rsidRDefault="003E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16755703" w:rsidR="00CA1AA9" w:rsidRPr="00CA347D" w:rsidRDefault="00CA1AA9" w:rsidP="00CA347D">
    <w:pPr>
      <w:pStyle w:val="Heading1"/>
    </w:pPr>
    <w:r w:rsidRPr="00CA347D">
      <w:rPr>
        <w:rStyle w:val="Heading1Char"/>
        <w:b/>
      </w:rPr>
      <w:t xml:space="preserve">Outcome Statement </w:t>
    </w:r>
    <w:r w:rsidR="00E86E76">
      <w:rPr>
        <w:rStyle w:val="Heading1Char"/>
        <w:b/>
      </w:rPr>
      <w:t>2</w:t>
    </w:r>
    <w:r w:rsidR="001F55F5">
      <w:rPr>
        <w:rStyle w:val="Heading1Char"/>
        <w:b/>
      </w:rPr>
      <w:t xml:space="preserve"> </w:t>
    </w:r>
    <w:r w:rsidR="00E86E76">
      <w:rPr>
        <w:rStyle w:val="Heading1Char"/>
        <w:b/>
      </w:rPr>
      <w:t>June</w:t>
    </w:r>
    <w:r w:rsidR="001F55F5">
      <w:rPr>
        <w:rStyle w:val="Heading1Char"/>
        <w:b/>
      </w:rPr>
      <w:t xml:space="preserve"> – </w:t>
    </w:r>
    <w:r w:rsidR="00E86E76">
      <w:rPr>
        <w:rStyle w:val="Heading1Char"/>
        <w:b/>
      </w:rPr>
      <w:t>3 June</w:t>
    </w:r>
    <w:r w:rsidR="00CE1361">
      <w:rPr>
        <w:rStyle w:val="Heading1Char"/>
        <w:b/>
      </w:rPr>
      <w:t xml:space="preserve"> 202</w:t>
    </w:r>
    <w:r w:rsidR="009F61DE">
      <w:rPr>
        <w:rStyle w:val="Heading1Char"/>
        <w:b/>
      </w:rPr>
      <w:t>2</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5"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3"/>
  </w:num>
  <w:num w:numId="5">
    <w:abstractNumId w:val="8"/>
  </w:num>
  <w:num w:numId="6">
    <w:abstractNumId w:val="5"/>
  </w:num>
  <w:num w:numId="7">
    <w:abstractNumId w:val="2"/>
  </w:num>
  <w:num w:numId="8">
    <w:abstractNumId w:val="14"/>
  </w:num>
  <w:num w:numId="9">
    <w:abstractNumId w:val="7"/>
  </w:num>
  <w:num w:numId="10">
    <w:abstractNumId w:val="17"/>
  </w:num>
  <w:num w:numId="11">
    <w:abstractNumId w:val="12"/>
  </w:num>
  <w:num w:numId="12">
    <w:abstractNumId w:val="13"/>
  </w:num>
  <w:num w:numId="13">
    <w:abstractNumId w:val="10"/>
  </w:num>
  <w:num w:numId="14">
    <w:abstractNumId w:val="1"/>
  </w:num>
  <w:num w:numId="15">
    <w:abstractNumId w:val="11"/>
  </w:num>
  <w:num w:numId="16">
    <w:abstractNumId w:val="4"/>
  </w:num>
  <w:num w:numId="17">
    <w:abstractNumId w:val="15"/>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4C6F"/>
    <w:rsid w:val="000A53A6"/>
    <w:rsid w:val="000B14A0"/>
    <w:rsid w:val="000B52EE"/>
    <w:rsid w:val="000B5448"/>
    <w:rsid w:val="000C1D0B"/>
    <w:rsid w:val="000C2B83"/>
    <w:rsid w:val="000C58C8"/>
    <w:rsid w:val="000D2142"/>
    <w:rsid w:val="000D6712"/>
    <w:rsid w:val="000E178A"/>
    <w:rsid w:val="000E18F9"/>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3237"/>
    <w:rsid w:val="00127795"/>
    <w:rsid w:val="00134CAD"/>
    <w:rsid w:val="00136203"/>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67A9"/>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6C85"/>
    <w:rsid w:val="001C7C04"/>
    <w:rsid w:val="001D07EF"/>
    <w:rsid w:val="001D6301"/>
    <w:rsid w:val="001E2022"/>
    <w:rsid w:val="001E4D54"/>
    <w:rsid w:val="001E50B6"/>
    <w:rsid w:val="001E682A"/>
    <w:rsid w:val="001F33DA"/>
    <w:rsid w:val="001F4200"/>
    <w:rsid w:val="001F55F5"/>
    <w:rsid w:val="001F6850"/>
    <w:rsid w:val="001F7E8B"/>
    <w:rsid w:val="001F7F87"/>
    <w:rsid w:val="00200BA3"/>
    <w:rsid w:val="00203342"/>
    <w:rsid w:val="00203986"/>
    <w:rsid w:val="00204055"/>
    <w:rsid w:val="00205AEF"/>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063F"/>
    <w:rsid w:val="003026E0"/>
    <w:rsid w:val="00303E60"/>
    <w:rsid w:val="00305306"/>
    <w:rsid w:val="00307211"/>
    <w:rsid w:val="00307F20"/>
    <w:rsid w:val="00312E8E"/>
    <w:rsid w:val="00313B7D"/>
    <w:rsid w:val="00313FED"/>
    <w:rsid w:val="00320032"/>
    <w:rsid w:val="00321450"/>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082E"/>
    <w:rsid w:val="003E1ED8"/>
    <w:rsid w:val="003E601F"/>
    <w:rsid w:val="003E60A4"/>
    <w:rsid w:val="003E70CA"/>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1254"/>
    <w:rsid w:val="004839FE"/>
    <w:rsid w:val="00484F63"/>
    <w:rsid w:val="00487B49"/>
    <w:rsid w:val="00491723"/>
    <w:rsid w:val="0049330F"/>
    <w:rsid w:val="0049403E"/>
    <w:rsid w:val="00496AC8"/>
    <w:rsid w:val="004A055D"/>
    <w:rsid w:val="004A362A"/>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C6E50"/>
    <w:rsid w:val="005D1BB0"/>
    <w:rsid w:val="005D4EB2"/>
    <w:rsid w:val="005D696D"/>
    <w:rsid w:val="005E116A"/>
    <w:rsid w:val="005E11DF"/>
    <w:rsid w:val="005E14B6"/>
    <w:rsid w:val="005E1889"/>
    <w:rsid w:val="005E1E28"/>
    <w:rsid w:val="005E4D8D"/>
    <w:rsid w:val="005E6641"/>
    <w:rsid w:val="005E71D4"/>
    <w:rsid w:val="005E77F8"/>
    <w:rsid w:val="005E7DF8"/>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5BF3"/>
    <w:rsid w:val="00756332"/>
    <w:rsid w:val="0076008F"/>
    <w:rsid w:val="007605B0"/>
    <w:rsid w:val="00761116"/>
    <w:rsid w:val="00764AF4"/>
    <w:rsid w:val="00766D92"/>
    <w:rsid w:val="00766DBB"/>
    <w:rsid w:val="007830A6"/>
    <w:rsid w:val="00783E2D"/>
    <w:rsid w:val="0079098A"/>
    <w:rsid w:val="00792D24"/>
    <w:rsid w:val="00795727"/>
    <w:rsid w:val="007958F3"/>
    <w:rsid w:val="0079709F"/>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4F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4D0B"/>
    <w:rsid w:val="008C7ED8"/>
    <w:rsid w:val="008D0DA2"/>
    <w:rsid w:val="008D40EE"/>
    <w:rsid w:val="008E0DFD"/>
    <w:rsid w:val="008E4589"/>
    <w:rsid w:val="008E66D2"/>
    <w:rsid w:val="008E75E5"/>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3D16"/>
    <w:rsid w:val="00AD405E"/>
    <w:rsid w:val="00AD52F5"/>
    <w:rsid w:val="00AD61AC"/>
    <w:rsid w:val="00AE0098"/>
    <w:rsid w:val="00AE0F62"/>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B29E2"/>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3AF"/>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july-2022-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2022-06-28T23:53:00Z</dcterms:created>
  <dcterms:modified xsi:type="dcterms:W3CDTF">2022-06-28T23:53:00Z</dcterms:modified>
</cp:coreProperties>
</file>