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FE53E" w14:textId="77777777" w:rsidR="00A20CBD" w:rsidRDefault="00A20CBD" w:rsidP="00855B59">
      <w:pPr>
        <w:ind w:left="2160" w:firstLine="720"/>
        <w:rPr>
          <w:b/>
          <w:sz w:val="24"/>
          <w:szCs w:val="24"/>
        </w:rPr>
      </w:pPr>
    </w:p>
    <w:p w14:paraId="29FA5404" w14:textId="77777777"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B92105">
        <w:rPr>
          <w:sz w:val="24"/>
          <w:szCs w:val="24"/>
        </w:rPr>
        <w:t>92nd</w:t>
      </w:r>
      <w:r w:rsidR="000A0713" w:rsidRPr="005F3EF0">
        <w:rPr>
          <w:sz w:val="24"/>
          <w:szCs w:val="24"/>
        </w:rPr>
        <w:t xml:space="preserve"> </w:t>
      </w:r>
      <w:r w:rsidRPr="005F3EF0">
        <w:rPr>
          <w:sz w:val="24"/>
          <w:szCs w:val="24"/>
        </w:rPr>
        <w:t xml:space="preserve">meeting on </w:t>
      </w:r>
      <w:r w:rsidR="00B92105">
        <w:rPr>
          <w:sz w:val="24"/>
          <w:szCs w:val="24"/>
        </w:rPr>
        <w:t>1</w:t>
      </w:r>
      <w:r w:rsidR="00B92105" w:rsidRPr="00B92105">
        <w:rPr>
          <w:sz w:val="24"/>
          <w:szCs w:val="24"/>
          <w:vertAlign w:val="superscript"/>
        </w:rPr>
        <w:t>st</w:t>
      </w:r>
      <w:r w:rsidR="00B92105">
        <w:rPr>
          <w:sz w:val="24"/>
          <w:szCs w:val="24"/>
        </w:rPr>
        <w:t xml:space="preserve"> of February 2018</w:t>
      </w:r>
      <w:r w:rsidRPr="005F3EF0">
        <w:rPr>
          <w:sz w:val="24"/>
          <w:szCs w:val="24"/>
        </w:rPr>
        <w:t>.</w:t>
      </w:r>
    </w:p>
    <w:p w14:paraId="0375E4CA" w14:textId="77777777" w:rsidR="003F06C8" w:rsidRDefault="003F06C8" w:rsidP="008B6946">
      <w:pPr>
        <w:tabs>
          <w:tab w:val="left" w:pos="4820"/>
          <w:tab w:val="left" w:pos="8931"/>
          <w:tab w:val="left" w:pos="9028"/>
          <w:tab w:val="left" w:pos="9072"/>
        </w:tabs>
        <w:rPr>
          <w:sz w:val="24"/>
          <w:szCs w:val="24"/>
        </w:rPr>
      </w:pPr>
    </w:p>
    <w:p w14:paraId="5CD6C9DC" w14:textId="77777777" w:rsidR="00855B59" w:rsidRDefault="003833F2" w:rsidP="008B6946">
      <w:pPr>
        <w:tabs>
          <w:tab w:val="left" w:pos="4820"/>
          <w:tab w:val="left" w:pos="8931"/>
          <w:tab w:val="left" w:pos="9028"/>
          <w:tab w:val="left" w:pos="9072"/>
        </w:tabs>
        <w:rPr>
          <w:sz w:val="24"/>
          <w:szCs w:val="24"/>
        </w:rPr>
      </w:pPr>
      <w:r>
        <w:rPr>
          <w:sz w:val="24"/>
          <w:szCs w:val="24"/>
        </w:rPr>
        <w:t>DUSC has</w:t>
      </w:r>
      <w:r w:rsidR="001071DA" w:rsidRPr="001071DA">
        <w:rPr>
          <w:sz w:val="24"/>
          <w:szCs w:val="24"/>
        </w:rPr>
        <w:t xml:space="preserve"> a national focus of excellence in collecting, analysing and interpreting data on the utilisation of medicines in Australia</w:t>
      </w:r>
      <w:r w:rsidR="00855B59">
        <w:rPr>
          <w:sz w:val="24"/>
          <w:szCs w:val="24"/>
        </w:rPr>
        <w:t xml:space="preserve"> for use by the PBAC</w:t>
      </w:r>
      <w:r w:rsidR="001071DA" w:rsidRPr="001071DA">
        <w:rPr>
          <w:sz w:val="24"/>
          <w:szCs w:val="24"/>
        </w:rPr>
        <w:t xml:space="preserve">. </w:t>
      </w:r>
      <w:r w:rsidR="003361C9">
        <w:rPr>
          <w:sz w:val="24"/>
          <w:szCs w:val="24"/>
        </w:rPr>
        <w:t>Review of the</w:t>
      </w:r>
      <w:r w:rsidR="001071DA" w:rsidRPr="001071DA">
        <w:rPr>
          <w:sz w:val="24"/>
          <w:szCs w:val="24"/>
        </w:rPr>
        <w:t xml:space="preserve"> </w:t>
      </w:r>
      <w:r w:rsidR="003361C9">
        <w:rPr>
          <w:sz w:val="24"/>
          <w:szCs w:val="24"/>
        </w:rPr>
        <w:t>u</w:t>
      </w:r>
      <w:r w:rsidR="001071DA" w:rsidRPr="001071DA">
        <w:rPr>
          <w:sz w:val="24"/>
          <w:szCs w:val="24"/>
        </w:rPr>
        <w:t>tilisation of medicines is an essential management tool in facilitating the objectives of the National Medicines Policy</w:t>
      </w:r>
      <w:r w:rsidR="00387684">
        <w:rPr>
          <w:sz w:val="24"/>
          <w:szCs w:val="24"/>
        </w:rPr>
        <w:t>.</w:t>
      </w:r>
    </w:p>
    <w:p w14:paraId="370AEAC5" w14:textId="77777777" w:rsidR="00855B59" w:rsidRDefault="00855B59" w:rsidP="008B6946">
      <w:pPr>
        <w:tabs>
          <w:tab w:val="left" w:pos="4820"/>
          <w:tab w:val="left" w:pos="8931"/>
          <w:tab w:val="left" w:pos="9028"/>
          <w:tab w:val="left" w:pos="9072"/>
        </w:tabs>
        <w:rPr>
          <w:sz w:val="24"/>
          <w:szCs w:val="24"/>
        </w:rPr>
      </w:pPr>
    </w:p>
    <w:p w14:paraId="38DD45FC" w14:textId="77777777" w:rsidR="004566A9" w:rsidRPr="00855B59" w:rsidRDefault="00855B59" w:rsidP="008B6946">
      <w:pPr>
        <w:pStyle w:val="Heading2"/>
      </w:pPr>
      <w:r w:rsidRPr="00855B59">
        <w:t>Su</w:t>
      </w:r>
      <w:r w:rsidR="004566A9" w:rsidRPr="00855B59">
        <w:t>bmissions to the PBAC</w:t>
      </w:r>
    </w:p>
    <w:p w14:paraId="1BD293CA" w14:textId="77777777" w:rsidR="009237FF" w:rsidRDefault="003F06C8" w:rsidP="008B6946">
      <w:pPr>
        <w:rPr>
          <w:sz w:val="24"/>
          <w:szCs w:val="24"/>
        </w:rPr>
      </w:pPr>
      <w:r w:rsidRPr="0035237B">
        <w:rPr>
          <w:sz w:val="24"/>
          <w:szCs w:val="24"/>
        </w:rPr>
        <w:t xml:space="preserve">DUSC noted that </w:t>
      </w:r>
      <w:r w:rsidR="00334C67" w:rsidRPr="0035237B">
        <w:rPr>
          <w:sz w:val="24"/>
          <w:szCs w:val="24"/>
        </w:rPr>
        <w:t>24</w:t>
      </w:r>
      <w:r w:rsidRPr="0035237B">
        <w:rPr>
          <w:sz w:val="24"/>
          <w:szCs w:val="24"/>
        </w:rPr>
        <w:t xml:space="preserve"> major submissions had been received for the </w:t>
      </w:r>
      <w:r w:rsidR="00F2511C" w:rsidRPr="0035237B">
        <w:rPr>
          <w:sz w:val="24"/>
          <w:szCs w:val="24"/>
        </w:rPr>
        <w:t>March</w:t>
      </w:r>
      <w:r w:rsidR="001E4D54" w:rsidRPr="0035237B">
        <w:rPr>
          <w:sz w:val="24"/>
          <w:szCs w:val="24"/>
        </w:rPr>
        <w:t xml:space="preserve"> 2018</w:t>
      </w:r>
      <w:r w:rsidRPr="0035237B">
        <w:rPr>
          <w:sz w:val="24"/>
          <w:szCs w:val="24"/>
        </w:rPr>
        <w:t xml:space="preserve"> meeting of PBAC. </w:t>
      </w:r>
      <w:r w:rsidR="008F7F63" w:rsidRPr="0035237B">
        <w:rPr>
          <w:sz w:val="24"/>
          <w:szCs w:val="24"/>
        </w:rPr>
        <w:t xml:space="preserve">DUSC provided detailed advice to the PBAC on </w:t>
      </w:r>
      <w:r w:rsidR="009230A9" w:rsidRPr="0035237B">
        <w:rPr>
          <w:sz w:val="24"/>
          <w:szCs w:val="24"/>
        </w:rPr>
        <w:t xml:space="preserve">projected usage and financial cost for </w:t>
      </w:r>
      <w:r w:rsidR="003833F2" w:rsidRPr="0035237B">
        <w:rPr>
          <w:sz w:val="24"/>
          <w:szCs w:val="24"/>
        </w:rPr>
        <w:t xml:space="preserve">the </w:t>
      </w:r>
      <w:r w:rsidR="005C053B" w:rsidRPr="0035237B">
        <w:rPr>
          <w:sz w:val="24"/>
          <w:szCs w:val="24"/>
        </w:rPr>
        <w:t>major</w:t>
      </w:r>
      <w:r w:rsidRPr="0035237B">
        <w:rPr>
          <w:sz w:val="24"/>
          <w:szCs w:val="24"/>
        </w:rPr>
        <w:t xml:space="preserve"> submissions</w:t>
      </w:r>
      <w:r w:rsidR="00C814DC" w:rsidRPr="0035237B">
        <w:rPr>
          <w:sz w:val="24"/>
          <w:szCs w:val="24"/>
        </w:rPr>
        <w:t xml:space="preserve"> where there is high cost, uncertain utilisation</w:t>
      </w:r>
      <w:r w:rsidR="00FA149F" w:rsidRPr="0035237B">
        <w:rPr>
          <w:sz w:val="24"/>
          <w:szCs w:val="24"/>
        </w:rPr>
        <w:t xml:space="preserve">, first </w:t>
      </w:r>
      <w:r w:rsidR="007D4108" w:rsidRPr="0035237B">
        <w:rPr>
          <w:sz w:val="24"/>
          <w:szCs w:val="24"/>
        </w:rPr>
        <w:t xml:space="preserve">medicine </w:t>
      </w:r>
      <w:r w:rsidR="00FA149F" w:rsidRPr="0035237B">
        <w:rPr>
          <w:sz w:val="24"/>
          <w:szCs w:val="24"/>
        </w:rPr>
        <w:t xml:space="preserve">in class or </w:t>
      </w:r>
      <w:r w:rsidR="003361C9" w:rsidRPr="0035237B">
        <w:rPr>
          <w:sz w:val="24"/>
          <w:szCs w:val="24"/>
        </w:rPr>
        <w:t>q</w:t>
      </w:r>
      <w:r w:rsidR="00FA149F" w:rsidRPr="0035237B">
        <w:rPr>
          <w:sz w:val="24"/>
          <w:szCs w:val="24"/>
        </w:rPr>
        <w:t xml:space="preserve">uality </w:t>
      </w:r>
      <w:r w:rsidR="003361C9" w:rsidRPr="0035237B">
        <w:rPr>
          <w:sz w:val="24"/>
          <w:szCs w:val="24"/>
        </w:rPr>
        <w:t>u</w:t>
      </w:r>
      <w:r w:rsidR="00FA149F" w:rsidRPr="0035237B">
        <w:rPr>
          <w:sz w:val="24"/>
          <w:szCs w:val="24"/>
        </w:rPr>
        <w:t xml:space="preserve">se of </w:t>
      </w:r>
      <w:r w:rsidR="003361C9" w:rsidRPr="0035237B">
        <w:rPr>
          <w:sz w:val="24"/>
          <w:szCs w:val="24"/>
        </w:rPr>
        <w:t>m</w:t>
      </w:r>
      <w:r w:rsidR="00FA149F" w:rsidRPr="0035237B">
        <w:rPr>
          <w:sz w:val="24"/>
          <w:szCs w:val="24"/>
        </w:rPr>
        <w:t xml:space="preserve">edicines </w:t>
      </w:r>
      <w:r w:rsidR="0042129E" w:rsidRPr="0035237B">
        <w:rPr>
          <w:sz w:val="24"/>
          <w:szCs w:val="24"/>
        </w:rPr>
        <w:t>concerns</w:t>
      </w:r>
      <w:r w:rsidR="005C053B" w:rsidRPr="0035237B">
        <w:rPr>
          <w:sz w:val="24"/>
          <w:szCs w:val="24"/>
        </w:rPr>
        <w:t xml:space="preserve">. </w:t>
      </w:r>
      <w:r w:rsidR="008F7F63" w:rsidRPr="0035237B">
        <w:rPr>
          <w:sz w:val="24"/>
          <w:szCs w:val="24"/>
        </w:rPr>
        <w:t xml:space="preserve">The </w:t>
      </w:r>
      <w:r w:rsidR="005C053B" w:rsidRPr="0035237B">
        <w:rPr>
          <w:sz w:val="24"/>
          <w:szCs w:val="24"/>
        </w:rPr>
        <w:t>a</w:t>
      </w:r>
      <w:r w:rsidR="008F7F63" w:rsidRPr="0035237B">
        <w:rPr>
          <w:sz w:val="24"/>
          <w:szCs w:val="24"/>
        </w:rPr>
        <w:t xml:space="preserve">genda </w:t>
      </w:r>
      <w:r w:rsidR="005C053B" w:rsidRPr="0035237B">
        <w:rPr>
          <w:sz w:val="24"/>
          <w:szCs w:val="24"/>
        </w:rPr>
        <w:t xml:space="preserve">for the </w:t>
      </w:r>
      <w:r w:rsidR="00F2511C" w:rsidRPr="0035237B">
        <w:rPr>
          <w:sz w:val="24"/>
          <w:szCs w:val="24"/>
        </w:rPr>
        <w:t xml:space="preserve">March </w:t>
      </w:r>
      <w:r w:rsidR="00C93804" w:rsidRPr="0035237B">
        <w:rPr>
          <w:sz w:val="24"/>
          <w:szCs w:val="24"/>
        </w:rPr>
        <w:t>2018</w:t>
      </w:r>
      <w:r w:rsidR="005C053B" w:rsidRPr="0035237B">
        <w:rPr>
          <w:sz w:val="24"/>
          <w:szCs w:val="24"/>
        </w:rPr>
        <w:t xml:space="preserve"> PBAC meeting </w:t>
      </w:r>
      <w:r w:rsidR="008F7F63" w:rsidRPr="0035237B">
        <w:rPr>
          <w:sz w:val="24"/>
          <w:szCs w:val="24"/>
        </w:rPr>
        <w:t xml:space="preserve">can be found </w:t>
      </w:r>
      <w:r w:rsidR="00E013AC" w:rsidRPr="0035237B">
        <w:rPr>
          <w:sz w:val="24"/>
          <w:szCs w:val="24"/>
        </w:rPr>
        <w:t xml:space="preserve">on the </w:t>
      </w:r>
      <w:hyperlink r:id="rId9" w:history="1">
        <w:r w:rsidR="00E013AC" w:rsidRPr="0035237B">
          <w:rPr>
            <w:rStyle w:val="Hyperlink"/>
            <w:sz w:val="24"/>
            <w:szCs w:val="24"/>
          </w:rPr>
          <w:t>PBS website</w:t>
        </w:r>
      </w:hyperlink>
      <w:r w:rsidR="00E013AC" w:rsidRPr="0035237B">
        <w:rPr>
          <w:sz w:val="24"/>
          <w:szCs w:val="24"/>
        </w:rPr>
        <w:t>.</w:t>
      </w:r>
    </w:p>
    <w:p w14:paraId="787C6B8B" w14:textId="77777777" w:rsidR="00A453E3" w:rsidRDefault="00A453E3" w:rsidP="008B6946">
      <w:pPr>
        <w:rPr>
          <w:sz w:val="24"/>
          <w:szCs w:val="24"/>
        </w:rPr>
      </w:pPr>
    </w:p>
    <w:p w14:paraId="5836B86B" w14:textId="77777777" w:rsidR="004566A9" w:rsidRPr="004566A9" w:rsidRDefault="00DA5030" w:rsidP="008B6946">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14:paraId="464DC3B4" w14:textId="77777777" w:rsidR="00B0144A" w:rsidRPr="00B12248" w:rsidRDefault="00CD4F83" w:rsidP="008B6946">
      <w:pPr>
        <w:rPr>
          <w:sz w:val="24"/>
          <w:szCs w:val="24"/>
        </w:rPr>
      </w:pPr>
      <w:r w:rsidRPr="00B12248">
        <w:rPr>
          <w:sz w:val="24"/>
          <w:szCs w:val="24"/>
        </w:rPr>
        <w:t xml:space="preserve">DUSC </w:t>
      </w:r>
      <w:r w:rsidR="001071DA" w:rsidRPr="00B12248">
        <w:rPr>
          <w:sz w:val="24"/>
          <w:szCs w:val="24"/>
        </w:rPr>
        <w:t xml:space="preserve">regularly </w:t>
      </w:r>
      <w:r w:rsidR="00DA5030" w:rsidRPr="00B12248">
        <w:rPr>
          <w:sz w:val="24"/>
          <w:szCs w:val="24"/>
        </w:rPr>
        <w:t>examines</w:t>
      </w:r>
      <w:r w:rsidRPr="00B12248">
        <w:rPr>
          <w:sz w:val="24"/>
          <w:szCs w:val="24"/>
        </w:rPr>
        <w:t xml:space="preserve"> </w:t>
      </w:r>
      <w:r w:rsidR="00DA5030" w:rsidRPr="00B12248">
        <w:rPr>
          <w:sz w:val="24"/>
          <w:szCs w:val="24"/>
        </w:rPr>
        <w:t xml:space="preserve">utilisation of </w:t>
      </w:r>
      <w:r w:rsidR="00F77C55" w:rsidRPr="00B12248">
        <w:rPr>
          <w:sz w:val="24"/>
          <w:szCs w:val="24"/>
        </w:rPr>
        <w:t xml:space="preserve">PBS items when there is at least </w:t>
      </w:r>
      <w:r w:rsidR="00D144A5" w:rsidRPr="00B12248">
        <w:rPr>
          <w:sz w:val="24"/>
          <w:szCs w:val="24"/>
        </w:rPr>
        <w:t>24</w:t>
      </w:r>
      <w:r w:rsidRPr="00B12248">
        <w:rPr>
          <w:sz w:val="24"/>
          <w:szCs w:val="24"/>
        </w:rPr>
        <w:t xml:space="preserve"> months of prescription data </w:t>
      </w:r>
      <w:r w:rsidR="00F77C55" w:rsidRPr="00B12248">
        <w:rPr>
          <w:sz w:val="24"/>
          <w:szCs w:val="24"/>
        </w:rPr>
        <w:t xml:space="preserve">available </w:t>
      </w:r>
      <w:r w:rsidRPr="00B12248">
        <w:rPr>
          <w:sz w:val="24"/>
          <w:szCs w:val="24"/>
        </w:rPr>
        <w:t xml:space="preserve">and where DUSC </w:t>
      </w:r>
      <w:r w:rsidR="00590036" w:rsidRPr="00B12248">
        <w:rPr>
          <w:sz w:val="24"/>
          <w:szCs w:val="24"/>
        </w:rPr>
        <w:t xml:space="preserve">or the PBAC </w:t>
      </w:r>
      <w:r w:rsidRPr="00B12248">
        <w:rPr>
          <w:sz w:val="24"/>
          <w:szCs w:val="24"/>
        </w:rPr>
        <w:t xml:space="preserve">has highlighted items of interest. </w:t>
      </w:r>
      <w:r w:rsidR="00FA149F" w:rsidRPr="00B12248">
        <w:rPr>
          <w:sz w:val="24"/>
          <w:szCs w:val="24"/>
        </w:rPr>
        <w:t>When a</w:t>
      </w:r>
      <w:r w:rsidR="003D6C07" w:rsidRPr="00B12248">
        <w:rPr>
          <w:sz w:val="24"/>
          <w:szCs w:val="24"/>
        </w:rPr>
        <w:t>n analysis</w:t>
      </w:r>
      <w:r w:rsidR="00DA5030" w:rsidRPr="00B12248">
        <w:rPr>
          <w:sz w:val="24"/>
          <w:szCs w:val="24"/>
        </w:rPr>
        <w:t xml:space="preserve"> of u</w:t>
      </w:r>
      <w:r w:rsidR="003D6C07" w:rsidRPr="00B12248">
        <w:rPr>
          <w:sz w:val="24"/>
          <w:szCs w:val="24"/>
        </w:rPr>
        <w:t>tilisation</w:t>
      </w:r>
      <w:r w:rsidR="001071DA" w:rsidRPr="00B12248">
        <w:rPr>
          <w:sz w:val="24"/>
          <w:szCs w:val="24"/>
        </w:rPr>
        <w:t xml:space="preserve"> is to be undertaken</w:t>
      </w:r>
      <w:r w:rsidR="00FA149F" w:rsidRPr="00B12248">
        <w:rPr>
          <w:sz w:val="24"/>
          <w:szCs w:val="24"/>
        </w:rPr>
        <w:t xml:space="preserve"> sponsors are notified,</w:t>
      </w:r>
      <w:r w:rsidR="001071DA" w:rsidRPr="00B12248">
        <w:rPr>
          <w:sz w:val="24"/>
          <w:szCs w:val="24"/>
        </w:rPr>
        <w:t xml:space="preserve"> </w:t>
      </w:r>
      <w:r w:rsidR="00FA149F" w:rsidRPr="00B12248">
        <w:rPr>
          <w:sz w:val="24"/>
          <w:szCs w:val="24"/>
        </w:rPr>
        <w:t>provided with a copy of the re</w:t>
      </w:r>
      <w:r w:rsidR="00DA5030" w:rsidRPr="00B12248">
        <w:rPr>
          <w:sz w:val="24"/>
          <w:szCs w:val="24"/>
        </w:rPr>
        <w:t>port</w:t>
      </w:r>
      <w:r w:rsidR="00FA149F" w:rsidRPr="00B12248">
        <w:rPr>
          <w:sz w:val="24"/>
          <w:szCs w:val="24"/>
        </w:rPr>
        <w:t xml:space="preserve"> and an opportunity to comment</w:t>
      </w:r>
      <w:r w:rsidR="001071DA" w:rsidRPr="00B12248">
        <w:rPr>
          <w:sz w:val="24"/>
          <w:szCs w:val="24"/>
        </w:rPr>
        <w:t xml:space="preserve"> prior to the DUSC meeting.</w:t>
      </w:r>
      <w:r w:rsidR="00591C2B" w:rsidRPr="00B12248">
        <w:rPr>
          <w:sz w:val="24"/>
          <w:szCs w:val="24"/>
        </w:rPr>
        <w:t xml:space="preserve"> Reviews to be considered by the PBAC are also published </w:t>
      </w:r>
      <w:r w:rsidR="00021AF3" w:rsidRPr="00B12248">
        <w:rPr>
          <w:sz w:val="24"/>
          <w:szCs w:val="24"/>
        </w:rPr>
        <w:t>in</w:t>
      </w:r>
      <w:r w:rsidR="00591C2B" w:rsidRPr="00B12248">
        <w:rPr>
          <w:sz w:val="24"/>
          <w:szCs w:val="24"/>
        </w:rPr>
        <w:t xml:space="preserve"> the </w:t>
      </w:r>
      <w:hyperlink r:id="rId10" w:history="1">
        <w:r w:rsidR="00591C2B" w:rsidRPr="00B12248">
          <w:rPr>
            <w:rStyle w:val="Hyperlink"/>
            <w:sz w:val="24"/>
            <w:szCs w:val="24"/>
          </w:rPr>
          <w:t xml:space="preserve">PBAC </w:t>
        </w:r>
        <w:r w:rsidR="00021AF3" w:rsidRPr="00B12248">
          <w:rPr>
            <w:rStyle w:val="Hyperlink"/>
            <w:sz w:val="24"/>
            <w:szCs w:val="24"/>
          </w:rPr>
          <w:t>meeting</w:t>
        </w:r>
        <w:r w:rsidR="00591C2B" w:rsidRPr="00B12248">
          <w:rPr>
            <w:rStyle w:val="Hyperlink"/>
            <w:sz w:val="24"/>
            <w:szCs w:val="24"/>
          </w:rPr>
          <w:t xml:space="preserve"> agenda</w:t>
        </w:r>
      </w:hyperlink>
      <w:r w:rsidR="00591C2B" w:rsidRPr="00B12248">
        <w:rPr>
          <w:sz w:val="24"/>
          <w:szCs w:val="24"/>
        </w:rPr>
        <w:t>.</w:t>
      </w:r>
    </w:p>
    <w:p w14:paraId="30599A45" w14:textId="77777777" w:rsidR="00591C2B" w:rsidRPr="00B12248" w:rsidRDefault="00591C2B" w:rsidP="008B6946">
      <w:pPr>
        <w:rPr>
          <w:sz w:val="24"/>
          <w:szCs w:val="24"/>
        </w:rPr>
      </w:pPr>
    </w:p>
    <w:p w14:paraId="788026A6" w14:textId="77777777" w:rsidR="00591C2B" w:rsidRPr="00B12248" w:rsidRDefault="00B0144A" w:rsidP="00D97B8F">
      <w:pPr>
        <w:rPr>
          <w:sz w:val="24"/>
          <w:szCs w:val="24"/>
        </w:rPr>
      </w:pPr>
      <w:r w:rsidRPr="00B12248">
        <w:rPr>
          <w:sz w:val="24"/>
          <w:szCs w:val="24"/>
        </w:rPr>
        <w:t>All repo</w:t>
      </w:r>
      <w:r w:rsidR="003833F2" w:rsidRPr="00B12248">
        <w:rPr>
          <w:sz w:val="24"/>
          <w:szCs w:val="24"/>
        </w:rPr>
        <w:t>rts, Sponsor comments and DUSC assessment</w:t>
      </w:r>
      <w:r w:rsidRPr="00B12248">
        <w:rPr>
          <w:sz w:val="24"/>
          <w:szCs w:val="24"/>
        </w:rPr>
        <w:t xml:space="preserve"> of the reports are subsequently provided to the PBAC.</w:t>
      </w:r>
    </w:p>
    <w:p w14:paraId="6757A97C" w14:textId="77777777" w:rsidR="00591C2B" w:rsidRPr="00B12248" w:rsidRDefault="00591C2B" w:rsidP="00D97B8F">
      <w:pPr>
        <w:rPr>
          <w:sz w:val="24"/>
          <w:szCs w:val="24"/>
        </w:rPr>
      </w:pPr>
    </w:p>
    <w:p w14:paraId="290DEB91" w14:textId="77777777" w:rsidR="00D97B8F" w:rsidRPr="00B12248" w:rsidRDefault="00591C2B" w:rsidP="00D97B8F">
      <w:pPr>
        <w:rPr>
          <w:sz w:val="24"/>
          <w:szCs w:val="24"/>
        </w:rPr>
      </w:pPr>
      <w:r w:rsidRPr="00B12248">
        <w:rPr>
          <w:sz w:val="24"/>
          <w:szCs w:val="24"/>
        </w:rPr>
        <w:t xml:space="preserve">The PBAC is committed to understanding consumer perspectives and integrating them into its consideration of medicines and vaccines. </w:t>
      </w:r>
      <w:r w:rsidR="00D97B8F" w:rsidRPr="00B12248">
        <w:rPr>
          <w:sz w:val="24"/>
          <w:szCs w:val="24"/>
        </w:rPr>
        <w:t xml:space="preserve">Consumers are able to </w:t>
      </w:r>
      <w:r w:rsidRPr="00B12248">
        <w:rPr>
          <w:sz w:val="24"/>
          <w:szCs w:val="24"/>
        </w:rPr>
        <w:t>provide their views about medicine utilisation reviews</w:t>
      </w:r>
      <w:r w:rsidR="00D97B8F" w:rsidRPr="00B12248">
        <w:rPr>
          <w:sz w:val="24"/>
          <w:szCs w:val="24"/>
        </w:rPr>
        <w:t xml:space="preserve"> to the PBAC via</w:t>
      </w:r>
      <w:r w:rsidRPr="00B12248">
        <w:rPr>
          <w:sz w:val="24"/>
          <w:szCs w:val="24"/>
        </w:rPr>
        <w:t xml:space="preserve"> a </w:t>
      </w:r>
      <w:hyperlink r:id="rId11" w:history="1">
        <w:r w:rsidRPr="00B12248">
          <w:rPr>
            <w:rStyle w:val="Hyperlink"/>
            <w:sz w:val="24"/>
            <w:szCs w:val="24"/>
          </w:rPr>
          <w:t>web interface</w:t>
        </w:r>
      </w:hyperlink>
      <w:r w:rsidRPr="00B12248">
        <w:rPr>
          <w:sz w:val="24"/>
          <w:szCs w:val="24"/>
        </w:rPr>
        <w:t>.</w:t>
      </w:r>
    </w:p>
    <w:p w14:paraId="1612D446" w14:textId="77777777" w:rsidR="00021AF3" w:rsidRPr="00B12248" w:rsidRDefault="00021AF3" w:rsidP="00D97B8F">
      <w:pPr>
        <w:rPr>
          <w:sz w:val="24"/>
          <w:szCs w:val="24"/>
        </w:rPr>
      </w:pPr>
    </w:p>
    <w:p w14:paraId="6B66368D" w14:textId="77777777" w:rsidR="00FA149F" w:rsidRPr="00B12248" w:rsidRDefault="00FD755C" w:rsidP="008B6946">
      <w:pPr>
        <w:rPr>
          <w:sz w:val="24"/>
          <w:szCs w:val="24"/>
        </w:rPr>
      </w:pPr>
      <w:r w:rsidRPr="00B12248">
        <w:rPr>
          <w:sz w:val="24"/>
          <w:szCs w:val="24"/>
        </w:rPr>
        <w:t xml:space="preserve">Full restrictions for PBS listed </w:t>
      </w:r>
      <w:r w:rsidR="007D4108" w:rsidRPr="00B12248">
        <w:rPr>
          <w:sz w:val="24"/>
          <w:szCs w:val="24"/>
        </w:rPr>
        <w:t xml:space="preserve">medicines </w:t>
      </w:r>
      <w:r w:rsidRPr="00B12248">
        <w:rPr>
          <w:sz w:val="24"/>
          <w:szCs w:val="24"/>
        </w:rPr>
        <w:t xml:space="preserve">are available in the </w:t>
      </w:r>
      <w:hyperlink r:id="rId12" w:history="1">
        <w:r w:rsidRPr="00B12248">
          <w:rPr>
            <w:rStyle w:val="Hyperlink"/>
            <w:sz w:val="24"/>
            <w:szCs w:val="24"/>
          </w:rPr>
          <w:t>PBS Schedule</w:t>
        </w:r>
      </w:hyperlink>
      <w:r w:rsidR="00EF43E9" w:rsidRPr="00B12248">
        <w:rPr>
          <w:sz w:val="24"/>
          <w:szCs w:val="24"/>
        </w:rPr>
        <w:t>.</w:t>
      </w:r>
    </w:p>
    <w:p w14:paraId="4B47B71C" w14:textId="77777777" w:rsidR="00FD755C" w:rsidRPr="002A2278" w:rsidRDefault="00FD755C" w:rsidP="008B6946">
      <w:pPr>
        <w:rPr>
          <w:sz w:val="24"/>
          <w:szCs w:val="24"/>
          <w:highlight w:val="yellow"/>
        </w:rPr>
      </w:pPr>
    </w:p>
    <w:p w14:paraId="194878A1" w14:textId="77777777" w:rsidR="00101877" w:rsidRPr="00CA347D" w:rsidRDefault="00101877" w:rsidP="008B6946">
      <w:pPr>
        <w:rPr>
          <w:sz w:val="24"/>
          <w:szCs w:val="24"/>
        </w:rPr>
      </w:pPr>
      <w:r w:rsidRPr="00B12248">
        <w:rPr>
          <w:sz w:val="24"/>
          <w:szCs w:val="24"/>
        </w:rPr>
        <w:t xml:space="preserve">DUSC </w:t>
      </w:r>
      <w:r w:rsidR="003D6C07" w:rsidRPr="00B12248">
        <w:rPr>
          <w:sz w:val="24"/>
          <w:szCs w:val="24"/>
        </w:rPr>
        <w:t>reviewed</w:t>
      </w:r>
      <w:r w:rsidRPr="00B12248">
        <w:rPr>
          <w:sz w:val="24"/>
          <w:szCs w:val="24"/>
        </w:rPr>
        <w:t xml:space="preserve"> the utilisation of the following PBS medicines</w:t>
      </w:r>
      <w:r w:rsidR="001071DA" w:rsidRPr="00B12248">
        <w:rPr>
          <w:sz w:val="24"/>
          <w:szCs w:val="24"/>
        </w:rPr>
        <w:t xml:space="preserve"> in </w:t>
      </w:r>
      <w:r w:rsidR="00B12248" w:rsidRPr="00B12248">
        <w:rPr>
          <w:sz w:val="24"/>
          <w:szCs w:val="24"/>
        </w:rPr>
        <w:t>February 2018</w:t>
      </w:r>
      <w:r w:rsidRPr="00B12248">
        <w:rPr>
          <w:sz w:val="24"/>
          <w:szCs w:val="24"/>
        </w:rPr>
        <w:t>:</w:t>
      </w:r>
    </w:p>
    <w:p w14:paraId="0C486899" w14:textId="77777777" w:rsidR="00101877" w:rsidRDefault="00101877" w:rsidP="008B6946">
      <w:pPr>
        <w:rPr>
          <w:sz w:val="24"/>
          <w:szCs w:val="24"/>
        </w:rPr>
      </w:pPr>
    </w:p>
    <w:p w14:paraId="50E15A39" w14:textId="77777777" w:rsidR="00CA78D9" w:rsidRPr="00BB52B3" w:rsidRDefault="00174F99" w:rsidP="008B6946">
      <w:pPr>
        <w:rPr>
          <w:b/>
          <w:sz w:val="24"/>
          <w:szCs w:val="24"/>
        </w:rPr>
      </w:pPr>
      <w:r w:rsidRPr="00BB52B3">
        <w:rPr>
          <w:b/>
          <w:sz w:val="24"/>
          <w:szCs w:val="24"/>
        </w:rPr>
        <w:t>Ivacaftor for cystic fibrosis</w:t>
      </w:r>
    </w:p>
    <w:p w14:paraId="704F0FBA" w14:textId="77777777" w:rsidR="001A417C" w:rsidRPr="00BB52B3" w:rsidRDefault="00174F99" w:rsidP="008A2B60">
      <w:pPr>
        <w:contextualSpacing/>
        <w:rPr>
          <w:rFonts w:eastAsia="MS Mincho"/>
          <w:sz w:val="24"/>
          <w:szCs w:val="24"/>
        </w:rPr>
      </w:pPr>
      <w:r w:rsidRPr="00BB52B3">
        <w:rPr>
          <w:rFonts w:eastAsia="MS Mincho"/>
          <w:sz w:val="24"/>
          <w:szCs w:val="24"/>
        </w:rPr>
        <w:t>DUSC reviewed a predicted versus actual utilisation analysis for ivacaftor for the treatment of cystic fibrosis (CF).</w:t>
      </w:r>
      <w:r w:rsidR="009562F1" w:rsidRPr="00BB52B3">
        <w:rPr>
          <w:rFonts w:eastAsia="MS Mincho"/>
          <w:sz w:val="24"/>
          <w:szCs w:val="24"/>
        </w:rPr>
        <w:t xml:space="preserve"> </w:t>
      </w:r>
      <w:r w:rsidR="001A417C" w:rsidRPr="00BB52B3">
        <w:rPr>
          <w:rFonts w:eastAsia="MS Mincho"/>
          <w:sz w:val="24"/>
          <w:szCs w:val="24"/>
        </w:rPr>
        <w:t xml:space="preserve">Since </w:t>
      </w:r>
      <w:proofErr w:type="gramStart"/>
      <w:r w:rsidR="001A417C" w:rsidRPr="00BB52B3">
        <w:rPr>
          <w:rFonts w:eastAsia="MS Mincho"/>
          <w:sz w:val="24"/>
          <w:szCs w:val="24"/>
        </w:rPr>
        <w:t>listing in December 2014, a total of 268 patients have</w:t>
      </w:r>
      <w:proofErr w:type="gramEnd"/>
      <w:r w:rsidR="001A417C" w:rsidRPr="00BB52B3">
        <w:rPr>
          <w:rFonts w:eastAsia="MS Mincho"/>
          <w:sz w:val="24"/>
          <w:szCs w:val="24"/>
        </w:rPr>
        <w:t xml:space="preserve"> been supplied ivacaftor for CF. </w:t>
      </w:r>
      <w:r w:rsidR="009562F1" w:rsidRPr="00BB52B3">
        <w:rPr>
          <w:rFonts w:eastAsia="MS Mincho"/>
          <w:sz w:val="24"/>
          <w:szCs w:val="24"/>
        </w:rPr>
        <w:t xml:space="preserve">The actual number of patients treated with ivacaftor was less than predicted in the first two years of listing. </w:t>
      </w:r>
      <w:r w:rsidR="001A417C" w:rsidRPr="00BB52B3">
        <w:rPr>
          <w:rFonts w:eastAsia="MS Mincho"/>
          <w:sz w:val="24"/>
          <w:szCs w:val="24"/>
        </w:rPr>
        <w:t xml:space="preserve">The DUSC considered that this may </w:t>
      </w:r>
      <w:r w:rsidR="00B53CE1">
        <w:rPr>
          <w:rFonts w:eastAsia="MS Mincho"/>
          <w:sz w:val="24"/>
          <w:szCs w:val="24"/>
        </w:rPr>
        <w:t>have been</w:t>
      </w:r>
      <w:r w:rsidR="00B53CE1" w:rsidRPr="00BB52B3">
        <w:rPr>
          <w:rFonts w:eastAsia="MS Mincho"/>
          <w:sz w:val="24"/>
          <w:szCs w:val="24"/>
        </w:rPr>
        <w:t xml:space="preserve"> </w:t>
      </w:r>
      <w:r w:rsidR="001A417C" w:rsidRPr="00BB52B3">
        <w:rPr>
          <w:rFonts w:eastAsia="MS Mincho"/>
          <w:sz w:val="24"/>
          <w:szCs w:val="24"/>
        </w:rPr>
        <w:t xml:space="preserve">due to </w:t>
      </w:r>
      <w:r w:rsidR="007E3CDE" w:rsidRPr="00BB52B3">
        <w:rPr>
          <w:rFonts w:eastAsia="MS Mincho"/>
          <w:sz w:val="24"/>
          <w:szCs w:val="24"/>
        </w:rPr>
        <w:t xml:space="preserve">the initial submission </w:t>
      </w:r>
      <w:r w:rsidR="00F05207">
        <w:rPr>
          <w:rFonts w:eastAsia="MS Mincho"/>
          <w:sz w:val="24"/>
          <w:szCs w:val="24"/>
        </w:rPr>
        <w:t>over-</w:t>
      </w:r>
      <w:r w:rsidR="00BB52B3" w:rsidRPr="00BB52B3">
        <w:rPr>
          <w:rFonts w:eastAsia="MS Mincho"/>
          <w:sz w:val="24"/>
          <w:szCs w:val="24"/>
        </w:rPr>
        <w:t xml:space="preserve">estimating </w:t>
      </w:r>
      <w:r w:rsidR="001A417C" w:rsidRPr="00BB52B3">
        <w:rPr>
          <w:rFonts w:eastAsia="MS Mincho"/>
          <w:sz w:val="24"/>
          <w:szCs w:val="24"/>
        </w:rPr>
        <w:t xml:space="preserve">the proportion of </w:t>
      </w:r>
      <w:r w:rsidR="007E3CDE" w:rsidRPr="00BB52B3">
        <w:rPr>
          <w:rFonts w:eastAsia="MS Mincho"/>
          <w:sz w:val="24"/>
          <w:szCs w:val="24"/>
        </w:rPr>
        <w:t xml:space="preserve">the </w:t>
      </w:r>
      <w:r w:rsidR="001A417C" w:rsidRPr="00BB52B3">
        <w:rPr>
          <w:rFonts w:eastAsia="MS Mincho"/>
          <w:sz w:val="24"/>
          <w:szCs w:val="24"/>
        </w:rPr>
        <w:t>CF populat</w:t>
      </w:r>
      <w:r w:rsidR="007E3CDE" w:rsidRPr="00BB52B3">
        <w:rPr>
          <w:rFonts w:eastAsia="MS Mincho"/>
          <w:sz w:val="24"/>
          <w:szCs w:val="24"/>
        </w:rPr>
        <w:t>ion with a G551D mutation</w:t>
      </w:r>
      <w:r w:rsidR="001A417C" w:rsidRPr="00BB52B3">
        <w:rPr>
          <w:rFonts w:eastAsia="MS Mincho"/>
          <w:sz w:val="24"/>
          <w:szCs w:val="24"/>
        </w:rPr>
        <w:t>.</w:t>
      </w:r>
    </w:p>
    <w:p w14:paraId="241B364D" w14:textId="77777777" w:rsidR="001A417C" w:rsidRPr="00BB52B3" w:rsidRDefault="001A417C" w:rsidP="008A2B60">
      <w:pPr>
        <w:contextualSpacing/>
        <w:rPr>
          <w:rFonts w:eastAsia="MS Mincho"/>
          <w:sz w:val="24"/>
          <w:szCs w:val="24"/>
        </w:rPr>
      </w:pPr>
    </w:p>
    <w:p w14:paraId="42FEF8D2" w14:textId="7B8BE669" w:rsidR="001A417C" w:rsidRPr="00BB52B3" w:rsidRDefault="009562F1" w:rsidP="008A2B60">
      <w:pPr>
        <w:contextualSpacing/>
        <w:rPr>
          <w:rFonts w:eastAsia="MS Mincho"/>
          <w:sz w:val="24"/>
          <w:szCs w:val="24"/>
        </w:rPr>
      </w:pPr>
      <w:r w:rsidRPr="00BB52B3">
        <w:rPr>
          <w:rFonts w:eastAsia="MS Mincho"/>
          <w:sz w:val="24"/>
          <w:szCs w:val="24"/>
        </w:rPr>
        <w:t xml:space="preserve">In contrast, the number of prescriptions per patient was higher than predicted. </w:t>
      </w:r>
      <w:r w:rsidR="001A417C" w:rsidRPr="00BB52B3">
        <w:rPr>
          <w:rFonts w:eastAsia="MS Mincho"/>
          <w:sz w:val="24"/>
          <w:szCs w:val="24"/>
        </w:rPr>
        <w:t xml:space="preserve">This may </w:t>
      </w:r>
      <w:r w:rsidR="00B53CE1">
        <w:rPr>
          <w:rFonts w:eastAsia="MS Mincho"/>
          <w:sz w:val="24"/>
          <w:szCs w:val="24"/>
        </w:rPr>
        <w:t>have been</w:t>
      </w:r>
      <w:r w:rsidR="00B53CE1" w:rsidRPr="00BB52B3">
        <w:rPr>
          <w:rFonts w:eastAsia="MS Mincho"/>
          <w:sz w:val="24"/>
          <w:szCs w:val="24"/>
        </w:rPr>
        <w:t xml:space="preserve"> </w:t>
      </w:r>
      <w:r w:rsidR="001A417C" w:rsidRPr="00BB52B3">
        <w:rPr>
          <w:rFonts w:eastAsia="MS Mincho"/>
          <w:sz w:val="24"/>
          <w:szCs w:val="24"/>
        </w:rPr>
        <w:t>due to higher adherence or fewer dose reduction</w:t>
      </w:r>
      <w:r w:rsidR="00F05207">
        <w:rPr>
          <w:rFonts w:eastAsia="MS Mincho"/>
          <w:sz w:val="24"/>
          <w:szCs w:val="24"/>
        </w:rPr>
        <w:t>s than anticipated</w:t>
      </w:r>
      <w:r w:rsidR="001A417C" w:rsidRPr="00BB52B3">
        <w:rPr>
          <w:rFonts w:eastAsia="MS Mincho"/>
          <w:sz w:val="24"/>
          <w:szCs w:val="24"/>
        </w:rPr>
        <w:t xml:space="preserve"> in patients with hepatic impairment or concomitant CYP3A4 inhibitor use.</w:t>
      </w:r>
    </w:p>
    <w:p w14:paraId="4A9C69C1" w14:textId="77777777" w:rsidR="00C3191A" w:rsidRPr="00BB52B3" w:rsidRDefault="00C3191A" w:rsidP="008A2B60">
      <w:pPr>
        <w:contextualSpacing/>
        <w:rPr>
          <w:rFonts w:eastAsia="MS Mincho"/>
          <w:sz w:val="24"/>
          <w:szCs w:val="24"/>
        </w:rPr>
      </w:pPr>
    </w:p>
    <w:p w14:paraId="6D91E64E" w14:textId="77777777" w:rsidR="00692AAD" w:rsidRDefault="00692AAD" w:rsidP="00692AAD">
      <w:pPr>
        <w:contextualSpacing/>
        <w:rPr>
          <w:rFonts w:eastAsia="MS Mincho"/>
          <w:sz w:val="24"/>
          <w:szCs w:val="24"/>
        </w:rPr>
      </w:pPr>
      <w:r w:rsidRPr="00BB52B3">
        <w:rPr>
          <w:rFonts w:eastAsia="MS Mincho"/>
          <w:sz w:val="24"/>
          <w:szCs w:val="24"/>
        </w:rPr>
        <w:t>DUSC requested that the report be provided to the PBAC.</w:t>
      </w:r>
    </w:p>
    <w:p w14:paraId="113D2C55" w14:textId="77777777" w:rsidR="00802343" w:rsidRDefault="00802343" w:rsidP="00692AAD">
      <w:pPr>
        <w:contextualSpacing/>
        <w:rPr>
          <w:rFonts w:eastAsia="MS Mincho"/>
          <w:sz w:val="24"/>
          <w:szCs w:val="24"/>
        </w:rPr>
      </w:pPr>
    </w:p>
    <w:p w14:paraId="72DA853A" w14:textId="77777777" w:rsidR="00846541" w:rsidRPr="00303BC1" w:rsidRDefault="00846541" w:rsidP="00846541">
      <w:pPr>
        <w:contextualSpacing/>
        <w:rPr>
          <w:b/>
          <w:sz w:val="24"/>
          <w:szCs w:val="24"/>
        </w:rPr>
      </w:pPr>
      <w:r w:rsidRPr="00303BC1">
        <w:rPr>
          <w:b/>
          <w:sz w:val="24"/>
          <w:szCs w:val="24"/>
        </w:rPr>
        <w:t>Cetuximab, bevacizumab and panitumumab for metastatic colorectal cancer</w:t>
      </w:r>
    </w:p>
    <w:p w14:paraId="443605CB" w14:textId="5BA4985C" w:rsidR="00240FA6" w:rsidRDefault="00846541" w:rsidP="00846541">
      <w:pPr>
        <w:rPr>
          <w:sz w:val="24"/>
          <w:szCs w:val="24"/>
        </w:rPr>
      </w:pPr>
      <w:r w:rsidRPr="00303BC1">
        <w:rPr>
          <w:sz w:val="24"/>
          <w:szCs w:val="24"/>
        </w:rPr>
        <w:t xml:space="preserve">The growth in the utilisation of bevacizumab, cetuximab and panitumumab </w:t>
      </w:r>
      <w:r w:rsidRPr="00846541">
        <w:rPr>
          <w:sz w:val="24"/>
          <w:szCs w:val="24"/>
        </w:rPr>
        <w:t xml:space="preserve">(“targeted therapies”) </w:t>
      </w:r>
      <w:r w:rsidRPr="00303BC1">
        <w:rPr>
          <w:sz w:val="24"/>
          <w:szCs w:val="24"/>
        </w:rPr>
        <w:t xml:space="preserve">began to decline from 2013 and had stabilised by 2016. In 2016, a total of 5,177 patients were treated with these medicines. </w:t>
      </w:r>
      <w:r w:rsidRPr="004A45ED">
        <w:rPr>
          <w:sz w:val="24"/>
          <w:szCs w:val="24"/>
        </w:rPr>
        <w:t>DUSC noted most patients were treated with bevacizumab in first-line.</w:t>
      </w:r>
      <w:r w:rsidRPr="00846541">
        <w:rPr>
          <w:sz w:val="24"/>
          <w:szCs w:val="24"/>
        </w:rPr>
        <w:t xml:space="preserve"> DUSC considered that there may have been a preference for bevacizumab over cetuximab and panitumumab as side effects from this therapy </w:t>
      </w:r>
      <w:r w:rsidR="00AE47EB">
        <w:rPr>
          <w:sz w:val="24"/>
          <w:szCs w:val="24"/>
        </w:rPr>
        <w:t>are less common</w:t>
      </w:r>
      <w:r w:rsidRPr="00846541">
        <w:rPr>
          <w:sz w:val="24"/>
          <w:szCs w:val="24"/>
        </w:rPr>
        <w:t xml:space="preserve">. </w:t>
      </w:r>
    </w:p>
    <w:p w14:paraId="6789232C" w14:textId="77777777" w:rsidR="00240FA6" w:rsidRDefault="00240FA6" w:rsidP="00846541">
      <w:pPr>
        <w:rPr>
          <w:sz w:val="24"/>
          <w:szCs w:val="24"/>
        </w:rPr>
      </w:pPr>
    </w:p>
    <w:p w14:paraId="13173471" w14:textId="074243E8" w:rsidR="007830A6" w:rsidRDefault="00846541" w:rsidP="00846541">
      <w:pPr>
        <w:rPr>
          <w:sz w:val="24"/>
          <w:szCs w:val="24"/>
        </w:rPr>
      </w:pPr>
      <w:r w:rsidRPr="00846541">
        <w:rPr>
          <w:sz w:val="24"/>
          <w:szCs w:val="24"/>
        </w:rPr>
        <w:t>DUSC considered that bevacizumab was potentially being used to treat progressive disease</w:t>
      </w:r>
      <w:r w:rsidR="004A45ED">
        <w:rPr>
          <w:sz w:val="24"/>
          <w:szCs w:val="24"/>
        </w:rPr>
        <w:t>;</w:t>
      </w:r>
      <w:r w:rsidRPr="00846541">
        <w:rPr>
          <w:sz w:val="24"/>
          <w:szCs w:val="24"/>
        </w:rPr>
        <w:t xml:space="preserve"> which was not </w:t>
      </w:r>
      <w:r w:rsidR="00040565">
        <w:rPr>
          <w:sz w:val="24"/>
          <w:szCs w:val="24"/>
        </w:rPr>
        <w:t>permitted</w:t>
      </w:r>
      <w:r w:rsidR="00040565" w:rsidRPr="00846541">
        <w:rPr>
          <w:sz w:val="24"/>
          <w:szCs w:val="24"/>
        </w:rPr>
        <w:t xml:space="preserve"> </w:t>
      </w:r>
      <w:r w:rsidRPr="00846541">
        <w:rPr>
          <w:sz w:val="24"/>
          <w:szCs w:val="24"/>
        </w:rPr>
        <w:t>within its restrictions. DUSC noted that the duration of therapy with bevacizumab was longer than that observed in clinical trials.</w:t>
      </w:r>
    </w:p>
    <w:p w14:paraId="7C438446" w14:textId="77777777" w:rsidR="007830A6" w:rsidRDefault="007830A6" w:rsidP="00846541">
      <w:pPr>
        <w:rPr>
          <w:sz w:val="24"/>
          <w:szCs w:val="24"/>
        </w:rPr>
      </w:pPr>
    </w:p>
    <w:p w14:paraId="45367E98" w14:textId="77777777" w:rsidR="00846541" w:rsidRPr="00846541" w:rsidRDefault="00640199" w:rsidP="00846541">
      <w:pPr>
        <w:rPr>
          <w:sz w:val="24"/>
          <w:szCs w:val="24"/>
        </w:rPr>
      </w:pPr>
      <w:r w:rsidRPr="00846541">
        <w:rPr>
          <w:sz w:val="24"/>
          <w:szCs w:val="24"/>
        </w:rPr>
        <w:t xml:space="preserve">Bevacizumab is required to be given in combination with chemotherapy. DUSC noted that </w:t>
      </w:r>
      <w:r w:rsidR="004A45ED">
        <w:rPr>
          <w:sz w:val="24"/>
          <w:szCs w:val="24"/>
        </w:rPr>
        <w:t>the number of</w:t>
      </w:r>
      <w:r w:rsidRPr="00846541">
        <w:rPr>
          <w:sz w:val="24"/>
          <w:szCs w:val="24"/>
        </w:rPr>
        <w:t xml:space="preserve"> cases where bevacizumab may have been used alone</w:t>
      </w:r>
      <w:r w:rsidR="004A45ED">
        <w:rPr>
          <w:sz w:val="24"/>
          <w:szCs w:val="24"/>
        </w:rPr>
        <w:t xml:space="preserve"> was negligible</w:t>
      </w:r>
      <w:r w:rsidRPr="00846541">
        <w:rPr>
          <w:sz w:val="24"/>
          <w:szCs w:val="24"/>
        </w:rPr>
        <w:t>.</w:t>
      </w:r>
      <w:r w:rsidR="0000190C">
        <w:rPr>
          <w:sz w:val="24"/>
          <w:szCs w:val="24"/>
        </w:rPr>
        <w:t xml:space="preserve"> </w:t>
      </w:r>
      <w:r w:rsidR="00846541" w:rsidRPr="00846541">
        <w:rPr>
          <w:sz w:val="24"/>
          <w:szCs w:val="24"/>
        </w:rPr>
        <w:t xml:space="preserve">Under the restrictions for the targeted therapies, they cannot be co-administered with each other. </w:t>
      </w:r>
      <w:r>
        <w:rPr>
          <w:sz w:val="24"/>
          <w:szCs w:val="24"/>
        </w:rPr>
        <w:t>DUSC noted that there were n</w:t>
      </w:r>
      <w:r w:rsidR="00846541" w:rsidRPr="00846541">
        <w:rPr>
          <w:sz w:val="24"/>
          <w:szCs w:val="24"/>
        </w:rPr>
        <w:t xml:space="preserve">o </w:t>
      </w:r>
      <w:r>
        <w:rPr>
          <w:sz w:val="24"/>
          <w:szCs w:val="24"/>
        </w:rPr>
        <w:t xml:space="preserve">identified </w:t>
      </w:r>
      <w:r w:rsidR="00846541" w:rsidRPr="00846541">
        <w:rPr>
          <w:sz w:val="24"/>
          <w:szCs w:val="24"/>
        </w:rPr>
        <w:t>cases of potential c</w:t>
      </w:r>
      <w:r>
        <w:rPr>
          <w:sz w:val="24"/>
          <w:szCs w:val="24"/>
        </w:rPr>
        <w:t>o-administration of these therapies</w:t>
      </w:r>
      <w:r w:rsidR="00846541" w:rsidRPr="00846541">
        <w:rPr>
          <w:sz w:val="24"/>
          <w:szCs w:val="24"/>
        </w:rPr>
        <w:t xml:space="preserve">. </w:t>
      </w:r>
    </w:p>
    <w:p w14:paraId="56A36F26" w14:textId="77777777" w:rsidR="00846541" w:rsidRPr="00846541" w:rsidRDefault="00846541" w:rsidP="00846541">
      <w:pPr>
        <w:rPr>
          <w:sz w:val="24"/>
          <w:szCs w:val="24"/>
        </w:rPr>
      </w:pPr>
    </w:p>
    <w:p w14:paraId="56EBEE27" w14:textId="1DCFD638" w:rsidR="00846541" w:rsidRDefault="00846541" w:rsidP="00846541">
      <w:pPr>
        <w:rPr>
          <w:sz w:val="24"/>
          <w:szCs w:val="24"/>
        </w:rPr>
      </w:pPr>
      <w:r w:rsidRPr="00846541">
        <w:rPr>
          <w:sz w:val="24"/>
          <w:szCs w:val="24"/>
        </w:rPr>
        <w:t xml:space="preserve">DUSC noted the results from a broader </w:t>
      </w:r>
      <w:proofErr w:type="gramStart"/>
      <w:r w:rsidRPr="00846541">
        <w:rPr>
          <w:sz w:val="24"/>
          <w:szCs w:val="24"/>
        </w:rPr>
        <w:t>analysis  which</w:t>
      </w:r>
      <w:proofErr w:type="gramEnd"/>
      <w:r w:rsidRPr="00846541">
        <w:rPr>
          <w:sz w:val="24"/>
          <w:szCs w:val="24"/>
        </w:rPr>
        <w:t xml:space="preserve"> attempted to identify chemotherapy regimens used with the targeted therapies by line of therapy. DUSC noted the difficulties in performing such an analysis using PBS data. Particular limitations that were noted included: an inability to identify the stage of disease and line of therapy from unrestricted chemotherapy listings; and defining appropriate assumptions to detect the co-administration of drugs that are part of a chemotherapy regimen.</w:t>
      </w:r>
      <w:r w:rsidR="00181817">
        <w:rPr>
          <w:sz w:val="24"/>
          <w:szCs w:val="24"/>
        </w:rPr>
        <w:t xml:space="preserve"> </w:t>
      </w:r>
      <w:bookmarkStart w:id="0" w:name="_GoBack"/>
      <w:bookmarkEnd w:id="0"/>
    </w:p>
    <w:p w14:paraId="341C36D8" w14:textId="77777777" w:rsidR="00846541" w:rsidRDefault="00846541" w:rsidP="00846541">
      <w:pPr>
        <w:rPr>
          <w:sz w:val="24"/>
          <w:szCs w:val="24"/>
        </w:rPr>
      </w:pPr>
    </w:p>
    <w:p w14:paraId="3970CCCB" w14:textId="77777777" w:rsidR="00846541" w:rsidRPr="00846541" w:rsidRDefault="00846541" w:rsidP="00846541">
      <w:pPr>
        <w:contextualSpacing/>
        <w:rPr>
          <w:rFonts w:eastAsia="MS Mincho"/>
          <w:sz w:val="24"/>
          <w:szCs w:val="24"/>
        </w:rPr>
      </w:pPr>
      <w:r w:rsidRPr="00BB52B3">
        <w:rPr>
          <w:rFonts w:eastAsia="MS Mincho"/>
          <w:sz w:val="24"/>
          <w:szCs w:val="24"/>
        </w:rPr>
        <w:t>DUSC requested that the report be provided to the PBAC.</w:t>
      </w:r>
      <w:r>
        <w:rPr>
          <w:rFonts w:eastAsia="MS Mincho"/>
          <w:sz w:val="24"/>
          <w:szCs w:val="24"/>
        </w:rPr>
        <w:t xml:space="preserve"> </w:t>
      </w:r>
    </w:p>
    <w:p w14:paraId="376D56CC" w14:textId="77777777" w:rsidR="00846541" w:rsidRDefault="00846541" w:rsidP="00692AAD">
      <w:pPr>
        <w:contextualSpacing/>
        <w:rPr>
          <w:rFonts w:eastAsia="MS Mincho"/>
          <w:sz w:val="24"/>
          <w:szCs w:val="24"/>
        </w:rPr>
      </w:pPr>
    </w:p>
    <w:p w14:paraId="78A79BC9" w14:textId="77777777" w:rsidR="001A417C" w:rsidRPr="00BF1737" w:rsidRDefault="00BF1737" w:rsidP="00692AAD">
      <w:pPr>
        <w:contextualSpacing/>
        <w:rPr>
          <w:rFonts w:eastAsia="MS Mincho"/>
          <w:b/>
          <w:sz w:val="24"/>
          <w:szCs w:val="24"/>
          <w:highlight w:val="yellow"/>
        </w:rPr>
      </w:pPr>
      <w:r w:rsidRPr="00BF1737">
        <w:rPr>
          <w:rFonts w:eastAsia="MS Mincho"/>
          <w:b/>
          <w:sz w:val="24"/>
          <w:szCs w:val="24"/>
        </w:rPr>
        <w:t>Medicines for the treatment of HER2 positive metastatic breast cancer</w:t>
      </w:r>
    </w:p>
    <w:p w14:paraId="51105964" w14:textId="1433D641" w:rsidR="00EA2A8E" w:rsidRDefault="00DD62E2" w:rsidP="00FA5FD8">
      <w:pPr>
        <w:contextualSpacing/>
        <w:rPr>
          <w:rFonts w:eastAsia="MS Mincho"/>
          <w:sz w:val="24"/>
          <w:szCs w:val="24"/>
        </w:rPr>
      </w:pPr>
      <w:r>
        <w:rPr>
          <w:rFonts w:eastAsia="MS Mincho"/>
          <w:sz w:val="24"/>
          <w:szCs w:val="24"/>
        </w:rPr>
        <w:t>DUSC reviewed a predicted versus actual utilisation analysis for trastuzumab, pertuzumab and trastuzumab emtansine for the treatment of metastatic breast cancer. Since PBS listing in July 2015, t</w:t>
      </w:r>
      <w:r w:rsidR="003E60A4">
        <w:rPr>
          <w:rFonts w:eastAsia="MS Mincho"/>
          <w:sz w:val="24"/>
          <w:szCs w:val="24"/>
        </w:rPr>
        <w:t>he</w:t>
      </w:r>
      <w:r w:rsidR="00FA5FD8" w:rsidRPr="00FA5FD8">
        <w:rPr>
          <w:rFonts w:eastAsia="MS Mincho"/>
          <w:sz w:val="24"/>
          <w:szCs w:val="24"/>
        </w:rPr>
        <w:t xml:space="preserve"> number of </w:t>
      </w:r>
      <w:r>
        <w:rPr>
          <w:rFonts w:eastAsia="MS Mincho"/>
          <w:sz w:val="24"/>
          <w:szCs w:val="24"/>
        </w:rPr>
        <w:t>people</w:t>
      </w:r>
      <w:r w:rsidR="00FA5FD8" w:rsidRPr="00FA5FD8">
        <w:rPr>
          <w:rFonts w:eastAsia="MS Mincho"/>
          <w:sz w:val="24"/>
          <w:szCs w:val="24"/>
        </w:rPr>
        <w:t xml:space="preserve"> </w:t>
      </w:r>
      <w:r w:rsidR="003E60A4">
        <w:rPr>
          <w:rFonts w:eastAsia="MS Mincho"/>
          <w:sz w:val="24"/>
          <w:szCs w:val="24"/>
        </w:rPr>
        <w:t xml:space="preserve">treated with </w:t>
      </w:r>
      <w:r w:rsidR="00FA5FD8" w:rsidRPr="00FA5FD8">
        <w:rPr>
          <w:rFonts w:eastAsia="MS Mincho"/>
          <w:sz w:val="24"/>
          <w:szCs w:val="24"/>
        </w:rPr>
        <w:t xml:space="preserve">pertuzumab </w:t>
      </w:r>
      <w:r>
        <w:rPr>
          <w:rFonts w:eastAsia="MS Mincho"/>
          <w:sz w:val="24"/>
          <w:szCs w:val="24"/>
        </w:rPr>
        <w:t>h</w:t>
      </w:r>
      <w:r w:rsidR="003E60A4">
        <w:rPr>
          <w:rFonts w:eastAsia="MS Mincho"/>
          <w:sz w:val="24"/>
          <w:szCs w:val="24"/>
        </w:rPr>
        <w:t xml:space="preserve">as </w:t>
      </w:r>
      <w:r>
        <w:rPr>
          <w:rFonts w:eastAsia="MS Mincho"/>
          <w:sz w:val="24"/>
          <w:szCs w:val="24"/>
        </w:rPr>
        <w:t xml:space="preserve">been </w:t>
      </w:r>
      <w:r w:rsidR="003E60A4">
        <w:rPr>
          <w:rFonts w:eastAsia="MS Mincho"/>
          <w:sz w:val="24"/>
          <w:szCs w:val="24"/>
        </w:rPr>
        <w:t>slightly higher than expected</w:t>
      </w:r>
      <w:r>
        <w:rPr>
          <w:rFonts w:eastAsia="MS Mincho"/>
          <w:sz w:val="24"/>
          <w:szCs w:val="24"/>
        </w:rPr>
        <w:t xml:space="preserve"> and the number of people treated with trastuzumab has been higher than expected. </w:t>
      </w:r>
    </w:p>
    <w:p w14:paraId="7B423667" w14:textId="77777777" w:rsidR="00EA2A8E" w:rsidRDefault="00EA2A8E" w:rsidP="00FA5FD8">
      <w:pPr>
        <w:contextualSpacing/>
        <w:rPr>
          <w:rFonts w:eastAsia="MS Mincho"/>
          <w:sz w:val="24"/>
          <w:szCs w:val="24"/>
        </w:rPr>
      </w:pPr>
    </w:p>
    <w:p w14:paraId="362E0EE5" w14:textId="2EC26F51" w:rsidR="00FA5FD8" w:rsidRPr="00FA5FD8" w:rsidRDefault="003E60A4" w:rsidP="00FA5FD8">
      <w:pPr>
        <w:contextualSpacing/>
        <w:rPr>
          <w:rFonts w:eastAsia="MS Mincho"/>
          <w:sz w:val="24"/>
          <w:szCs w:val="24"/>
        </w:rPr>
      </w:pPr>
      <w:r w:rsidRPr="003E60A4">
        <w:rPr>
          <w:rFonts w:eastAsia="MS Mincho"/>
          <w:sz w:val="24"/>
          <w:szCs w:val="24"/>
        </w:rPr>
        <w:t xml:space="preserve">DUSC noted that trastuzumab </w:t>
      </w:r>
      <w:r w:rsidR="00B53CE1">
        <w:rPr>
          <w:rFonts w:eastAsia="MS Mincho"/>
          <w:sz w:val="24"/>
          <w:szCs w:val="24"/>
        </w:rPr>
        <w:t>was used</w:t>
      </w:r>
      <w:r w:rsidRPr="003E60A4">
        <w:rPr>
          <w:rFonts w:eastAsia="MS Mincho"/>
          <w:sz w:val="24"/>
          <w:szCs w:val="24"/>
        </w:rPr>
        <w:t xml:space="preserve"> more than pertuzumab. This difference occurred even though pertuzumab is partnered with trastuzumab in </w:t>
      </w:r>
      <w:r w:rsidR="00DD6BA4">
        <w:rPr>
          <w:rFonts w:eastAsia="MS Mincho"/>
          <w:sz w:val="24"/>
          <w:szCs w:val="24"/>
        </w:rPr>
        <w:t xml:space="preserve">first line </w:t>
      </w:r>
      <w:r w:rsidRPr="003E60A4">
        <w:rPr>
          <w:rFonts w:eastAsia="MS Mincho"/>
          <w:sz w:val="24"/>
          <w:szCs w:val="24"/>
        </w:rPr>
        <w:t xml:space="preserve">treatment.  </w:t>
      </w:r>
      <w:r w:rsidR="00F33F00">
        <w:rPr>
          <w:rFonts w:eastAsia="MS Mincho"/>
          <w:sz w:val="24"/>
          <w:szCs w:val="24"/>
        </w:rPr>
        <w:t>S</w:t>
      </w:r>
      <w:r w:rsidRPr="003E60A4">
        <w:rPr>
          <w:rFonts w:eastAsia="MS Mincho"/>
          <w:sz w:val="24"/>
          <w:szCs w:val="24"/>
        </w:rPr>
        <w:t xml:space="preserve">ome use of trastuzumab without pertuzumab </w:t>
      </w:r>
      <w:r w:rsidR="00B53CE1">
        <w:rPr>
          <w:rFonts w:eastAsia="MS Mincho"/>
          <w:sz w:val="24"/>
          <w:szCs w:val="24"/>
        </w:rPr>
        <w:t>was</w:t>
      </w:r>
      <w:r w:rsidR="00B53CE1" w:rsidRPr="003E60A4">
        <w:rPr>
          <w:rFonts w:eastAsia="MS Mincho"/>
          <w:sz w:val="24"/>
          <w:szCs w:val="24"/>
        </w:rPr>
        <w:t xml:space="preserve"> </w:t>
      </w:r>
      <w:r w:rsidRPr="003E60A4">
        <w:rPr>
          <w:rFonts w:eastAsia="MS Mincho"/>
          <w:sz w:val="24"/>
          <w:szCs w:val="24"/>
        </w:rPr>
        <w:t xml:space="preserve">expected in patients </w:t>
      </w:r>
      <w:r w:rsidR="00220B3C">
        <w:rPr>
          <w:rFonts w:eastAsia="MS Mincho"/>
          <w:sz w:val="24"/>
          <w:szCs w:val="24"/>
        </w:rPr>
        <w:t>with later stage disease</w:t>
      </w:r>
      <w:r w:rsidR="00F33F00">
        <w:rPr>
          <w:rFonts w:eastAsia="MS Mincho"/>
          <w:sz w:val="24"/>
          <w:szCs w:val="24"/>
        </w:rPr>
        <w:t>. This would include patients</w:t>
      </w:r>
      <w:r w:rsidR="00DD6BA4">
        <w:rPr>
          <w:rFonts w:eastAsia="MS Mincho"/>
          <w:sz w:val="24"/>
          <w:szCs w:val="24"/>
        </w:rPr>
        <w:t xml:space="preserve"> </w:t>
      </w:r>
      <w:r w:rsidRPr="003E60A4">
        <w:rPr>
          <w:rFonts w:eastAsia="MS Mincho"/>
          <w:sz w:val="24"/>
          <w:szCs w:val="24"/>
        </w:rPr>
        <w:t>transitioning from the Herceptin Program</w:t>
      </w:r>
      <w:r w:rsidR="00F33F00">
        <w:rPr>
          <w:rFonts w:eastAsia="MS Mincho"/>
          <w:sz w:val="24"/>
          <w:szCs w:val="24"/>
        </w:rPr>
        <w:t>,</w:t>
      </w:r>
      <w:r w:rsidRPr="003E60A4">
        <w:rPr>
          <w:rFonts w:eastAsia="MS Mincho"/>
          <w:sz w:val="24"/>
          <w:szCs w:val="24"/>
        </w:rPr>
        <w:t xml:space="preserve"> </w:t>
      </w:r>
      <w:r w:rsidR="00F33F00">
        <w:rPr>
          <w:rFonts w:eastAsia="MS Mincho"/>
          <w:sz w:val="24"/>
          <w:szCs w:val="24"/>
        </w:rPr>
        <w:t>those</w:t>
      </w:r>
      <w:r w:rsidR="00F33F00" w:rsidRPr="003E60A4">
        <w:rPr>
          <w:rFonts w:eastAsia="MS Mincho"/>
          <w:sz w:val="24"/>
          <w:szCs w:val="24"/>
        </w:rPr>
        <w:t xml:space="preserve"> </w:t>
      </w:r>
      <w:r w:rsidRPr="003E60A4">
        <w:rPr>
          <w:rFonts w:eastAsia="MS Mincho"/>
          <w:sz w:val="24"/>
          <w:szCs w:val="24"/>
        </w:rPr>
        <w:t>with metastatic disease classified in the data as having early breast cancer</w:t>
      </w:r>
      <w:r w:rsidR="00F33F00">
        <w:rPr>
          <w:rFonts w:eastAsia="MS Mincho"/>
          <w:sz w:val="24"/>
          <w:szCs w:val="24"/>
        </w:rPr>
        <w:t xml:space="preserve"> or </w:t>
      </w:r>
      <w:proofErr w:type="gramStart"/>
      <w:r w:rsidR="00F33F00">
        <w:rPr>
          <w:rFonts w:eastAsia="MS Mincho"/>
          <w:sz w:val="24"/>
          <w:szCs w:val="24"/>
        </w:rPr>
        <w:t xml:space="preserve">the </w:t>
      </w:r>
      <w:r w:rsidRPr="003E60A4">
        <w:rPr>
          <w:rFonts w:eastAsia="MS Mincho"/>
          <w:sz w:val="24"/>
          <w:szCs w:val="24"/>
        </w:rPr>
        <w:t xml:space="preserve"> group</w:t>
      </w:r>
      <w:proofErr w:type="gramEnd"/>
      <w:r w:rsidRPr="003E60A4">
        <w:rPr>
          <w:rFonts w:eastAsia="MS Mincho"/>
          <w:sz w:val="24"/>
          <w:szCs w:val="24"/>
        </w:rPr>
        <w:t xml:space="preserve"> of metastatic breast cancer patients who </w:t>
      </w:r>
      <w:r w:rsidR="00DD6BA4">
        <w:rPr>
          <w:rFonts w:eastAsia="MS Mincho"/>
          <w:sz w:val="24"/>
          <w:szCs w:val="24"/>
        </w:rPr>
        <w:t xml:space="preserve">may </w:t>
      </w:r>
      <w:r w:rsidR="0005073D">
        <w:rPr>
          <w:rFonts w:eastAsia="MS Mincho"/>
          <w:sz w:val="24"/>
          <w:szCs w:val="24"/>
        </w:rPr>
        <w:t xml:space="preserve">be </w:t>
      </w:r>
      <w:r w:rsidR="00DD6BA4">
        <w:rPr>
          <w:rFonts w:eastAsia="MS Mincho"/>
          <w:sz w:val="24"/>
          <w:szCs w:val="24"/>
        </w:rPr>
        <w:t xml:space="preserve">receiving first line trastuzumab </w:t>
      </w:r>
      <w:r w:rsidR="00F33F00">
        <w:rPr>
          <w:rFonts w:eastAsia="MS Mincho"/>
          <w:sz w:val="24"/>
          <w:szCs w:val="24"/>
        </w:rPr>
        <w:t>without</w:t>
      </w:r>
      <w:r w:rsidR="00DD6BA4">
        <w:rPr>
          <w:rFonts w:eastAsia="MS Mincho"/>
          <w:sz w:val="24"/>
          <w:szCs w:val="24"/>
        </w:rPr>
        <w:t xml:space="preserve"> </w:t>
      </w:r>
      <w:r w:rsidRPr="003E60A4">
        <w:rPr>
          <w:rFonts w:eastAsia="MS Mincho"/>
          <w:sz w:val="24"/>
          <w:szCs w:val="24"/>
        </w:rPr>
        <w:t>pertuzumab</w:t>
      </w:r>
      <w:r w:rsidR="00DD6BA4">
        <w:rPr>
          <w:rFonts w:eastAsia="MS Mincho"/>
          <w:sz w:val="24"/>
          <w:szCs w:val="24"/>
        </w:rPr>
        <w:t>.</w:t>
      </w:r>
      <w:r w:rsidRPr="003E60A4">
        <w:rPr>
          <w:rFonts w:eastAsia="MS Mincho"/>
          <w:sz w:val="24"/>
          <w:szCs w:val="24"/>
        </w:rPr>
        <w:t xml:space="preserve"> Given the clinical trial results showed significant </w:t>
      </w:r>
      <w:r w:rsidR="0032170F" w:rsidRPr="0032170F">
        <w:rPr>
          <w:rFonts w:eastAsia="MS Mincho"/>
          <w:sz w:val="24"/>
          <w:szCs w:val="24"/>
        </w:rPr>
        <w:t xml:space="preserve">overall survival gain </w:t>
      </w:r>
      <w:r w:rsidR="0032170F">
        <w:rPr>
          <w:rFonts w:eastAsia="MS Mincho"/>
          <w:sz w:val="24"/>
          <w:szCs w:val="24"/>
        </w:rPr>
        <w:t>w</w:t>
      </w:r>
      <w:r w:rsidRPr="003E60A4">
        <w:rPr>
          <w:rFonts w:eastAsia="MS Mincho"/>
          <w:sz w:val="24"/>
          <w:szCs w:val="24"/>
        </w:rPr>
        <w:t>ith pertuzumab</w:t>
      </w:r>
      <w:r w:rsidR="00B53CE1">
        <w:rPr>
          <w:rFonts w:eastAsia="MS Mincho"/>
          <w:sz w:val="24"/>
          <w:szCs w:val="24"/>
        </w:rPr>
        <w:t>,</w:t>
      </w:r>
      <w:r w:rsidRPr="003E60A4">
        <w:rPr>
          <w:rFonts w:eastAsia="MS Mincho"/>
          <w:sz w:val="24"/>
          <w:szCs w:val="24"/>
        </w:rPr>
        <w:t xml:space="preserve"> it is not clear why </w:t>
      </w:r>
      <w:r w:rsidR="00DD6BA4">
        <w:rPr>
          <w:rFonts w:eastAsia="MS Mincho"/>
          <w:sz w:val="24"/>
          <w:szCs w:val="24"/>
        </w:rPr>
        <w:t>this is the case</w:t>
      </w:r>
      <w:r w:rsidRPr="003E60A4">
        <w:rPr>
          <w:rFonts w:eastAsia="MS Mincho"/>
          <w:sz w:val="24"/>
          <w:szCs w:val="24"/>
        </w:rPr>
        <w:t>.</w:t>
      </w:r>
    </w:p>
    <w:p w14:paraId="1FFE3C3D" w14:textId="77777777" w:rsidR="003E60A4" w:rsidRDefault="003E60A4" w:rsidP="00FA5FD8">
      <w:pPr>
        <w:contextualSpacing/>
        <w:rPr>
          <w:rFonts w:eastAsia="MS Mincho"/>
          <w:sz w:val="24"/>
          <w:szCs w:val="24"/>
        </w:rPr>
      </w:pPr>
    </w:p>
    <w:p w14:paraId="7759A9DA" w14:textId="35D1053B" w:rsidR="00BF1737" w:rsidRDefault="00FA5FD8" w:rsidP="00FA5FD8">
      <w:pPr>
        <w:contextualSpacing/>
        <w:rPr>
          <w:rFonts w:eastAsia="MS Mincho"/>
          <w:sz w:val="24"/>
          <w:szCs w:val="24"/>
        </w:rPr>
      </w:pPr>
      <w:r w:rsidRPr="00FA5FD8">
        <w:rPr>
          <w:rFonts w:eastAsia="MS Mincho"/>
          <w:sz w:val="24"/>
          <w:szCs w:val="24"/>
        </w:rPr>
        <w:t>Lower numbers of patients used</w:t>
      </w:r>
      <w:r w:rsidR="003E60A4">
        <w:rPr>
          <w:rFonts w:eastAsia="MS Mincho"/>
          <w:sz w:val="24"/>
          <w:szCs w:val="24"/>
        </w:rPr>
        <w:t xml:space="preserve"> trastuzumab emtansine</w:t>
      </w:r>
      <w:r w:rsidR="0032170F">
        <w:rPr>
          <w:rFonts w:eastAsia="MS Mincho"/>
          <w:sz w:val="24"/>
          <w:szCs w:val="24"/>
        </w:rPr>
        <w:t xml:space="preserve"> (T-DM1)</w:t>
      </w:r>
      <w:r w:rsidR="003E60A4">
        <w:rPr>
          <w:rFonts w:eastAsia="MS Mincho"/>
          <w:sz w:val="24"/>
          <w:szCs w:val="24"/>
        </w:rPr>
        <w:t xml:space="preserve"> </w:t>
      </w:r>
      <w:r w:rsidRPr="00FA5FD8">
        <w:rPr>
          <w:rFonts w:eastAsia="MS Mincho"/>
          <w:sz w:val="24"/>
          <w:szCs w:val="24"/>
        </w:rPr>
        <w:t>than predicted. A contributing factor could be patients staying on pertuzumab</w:t>
      </w:r>
      <w:r w:rsidR="0032170F">
        <w:rPr>
          <w:rFonts w:eastAsia="MS Mincho"/>
          <w:sz w:val="24"/>
          <w:szCs w:val="24"/>
        </w:rPr>
        <w:t xml:space="preserve"> and trastuzumab</w:t>
      </w:r>
      <w:r w:rsidRPr="00FA5FD8">
        <w:rPr>
          <w:rFonts w:eastAsia="MS Mincho"/>
          <w:sz w:val="24"/>
          <w:szCs w:val="24"/>
        </w:rPr>
        <w:t xml:space="preserve"> and so not </w:t>
      </w:r>
      <w:r w:rsidR="00220B3C">
        <w:rPr>
          <w:rFonts w:eastAsia="MS Mincho"/>
          <w:sz w:val="24"/>
          <w:szCs w:val="24"/>
        </w:rPr>
        <w:t>transitioning</w:t>
      </w:r>
      <w:r w:rsidR="00220B3C" w:rsidRPr="00FA5FD8">
        <w:rPr>
          <w:rFonts w:eastAsia="MS Mincho"/>
          <w:sz w:val="24"/>
          <w:szCs w:val="24"/>
        </w:rPr>
        <w:t xml:space="preserve"> </w:t>
      </w:r>
      <w:r w:rsidRPr="00FA5FD8">
        <w:rPr>
          <w:rFonts w:eastAsia="MS Mincho"/>
          <w:sz w:val="24"/>
          <w:szCs w:val="24"/>
        </w:rPr>
        <w:t>to T-DM1.</w:t>
      </w:r>
    </w:p>
    <w:p w14:paraId="45D60B27" w14:textId="77777777" w:rsidR="0032170F" w:rsidRDefault="0032170F" w:rsidP="00FA5FD8">
      <w:pPr>
        <w:contextualSpacing/>
        <w:rPr>
          <w:rFonts w:eastAsia="MS Mincho"/>
          <w:sz w:val="24"/>
          <w:szCs w:val="24"/>
        </w:rPr>
      </w:pPr>
    </w:p>
    <w:p w14:paraId="3F76B3DB" w14:textId="3B5DDD7F" w:rsidR="00FA5FD8" w:rsidRDefault="0032170F" w:rsidP="00FA5FD8">
      <w:pPr>
        <w:contextualSpacing/>
        <w:rPr>
          <w:rFonts w:eastAsia="MS Mincho"/>
          <w:sz w:val="24"/>
          <w:szCs w:val="24"/>
        </w:rPr>
      </w:pPr>
      <w:r>
        <w:rPr>
          <w:rFonts w:eastAsia="MS Mincho"/>
          <w:sz w:val="24"/>
          <w:szCs w:val="24"/>
        </w:rPr>
        <w:t>DUSC considered that</w:t>
      </w:r>
      <w:r w:rsidR="00B53CE1">
        <w:rPr>
          <w:rFonts w:eastAsia="MS Mincho"/>
          <w:sz w:val="24"/>
          <w:szCs w:val="24"/>
        </w:rPr>
        <w:t xml:space="preserve"> as</w:t>
      </w:r>
      <w:r>
        <w:rPr>
          <w:rFonts w:eastAsia="MS Mincho"/>
          <w:sz w:val="24"/>
          <w:szCs w:val="24"/>
        </w:rPr>
        <w:t xml:space="preserve"> the </w:t>
      </w:r>
      <w:r w:rsidRPr="0032170F">
        <w:rPr>
          <w:rFonts w:eastAsia="MS Mincho"/>
          <w:sz w:val="24"/>
          <w:szCs w:val="24"/>
        </w:rPr>
        <w:t>pertuzumab and T-DM1 utilisation data is still immature</w:t>
      </w:r>
      <w:r w:rsidR="00B53CE1">
        <w:rPr>
          <w:rFonts w:eastAsia="MS Mincho"/>
          <w:sz w:val="24"/>
          <w:szCs w:val="24"/>
        </w:rPr>
        <w:t>,</w:t>
      </w:r>
      <w:r>
        <w:rPr>
          <w:rFonts w:eastAsia="MS Mincho"/>
          <w:sz w:val="24"/>
          <w:szCs w:val="24"/>
        </w:rPr>
        <w:t xml:space="preserve"> time on treatment cannot yet be reliably determined</w:t>
      </w:r>
      <w:r w:rsidRPr="0032170F">
        <w:rPr>
          <w:rFonts w:eastAsia="MS Mincho"/>
          <w:sz w:val="24"/>
          <w:szCs w:val="24"/>
        </w:rPr>
        <w:t xml:space="preserve">. </w:t>
      </w:r>
      <w:r>
        <w:rPr>
          <w:rFonts w:eastAsia="MS Mincho"/>
          <w:sz w:val="24"/>
          <w:szCs w:val="24"/>
        </w:rPr>
        <w:t xml:space="preserve">DUSC recommended a further review of utilisation of </w:t>
      </w:r>
      <w:r w:rsidRPr="0032170F">
        <w:rPr>
          <w:rFonts w:eastAsia="MS Mincho"/>
          <w:sz w:val="24"/>
          <w:szCs w:val="24"/>
        </w:rPr>
        <w:t>trastuzumab, pertuzumab and T-DM1 in 24 months</w:t>
      </w:r>
      <w:r>
        <w:rPr>
          <w:rFonts w:eastAsia="MS Mincho"/>
          <w:sz w:val="24"/>
          <w:szCs w:val="24"/>
        </w:rPr>
        <w:t>.</w:t>
      </w:r>
    </w:p>
    <w:p w14:paraId="47DEA67C" w14:textId="77777777" w:rsidR="0032170F" w:rsidRDefault="0032170F" w:rsidP="00FA5FD8">
      <w:pPr>
        <w:contextualSpacing/>
        <w:rPr>
          <w:rFonts w:eastAsia="MS Mincho"/>
          <w:sz w:val="24"/>
          <w:szCs w:val="24"/>
          <w:highlight w:val="yellow"/>
        </w:rPr>
      </w:pPr>
    </w:p>
    <w:p w14:paraId="43A5B94A" w14:textId="77777777" w:rsidR="00813C07" w:rsidRPr="00144B72" w:rsidRDefault="00EC27B1" w:rsidP="008B6946">
      <w:pPr>
        <w:pStyle w:val="Heading2"/>
      </w:pPr>
      <w:r w:rsidRPr="00144B72">
        <w:t>Upcoming</w:t>
      </w:r>
      <w:r w:rsidR="00813C07" w:rsidRPr="00144B72">
        <w:t xml:space="preserve"> </w:t>
      </w:r>
      <w:r w:rsidR="00006EF5" w:rsidRPr="00144B72">
        <w:t>U</w:t>
      </w:r>
      <w:r w:rsidR="00E60246" w:rsidRPr="00144B72">
        <w:t xml:space="preserve">tilisation </w:t>
      </w:r>
      <w:r w:rsidR="00006EF5" w:rsidRPr="00144B72">
        <w:t>A</w:t>
      </w:r>
      <w:r w:rsidR="00E60246" w:rsidRPr="00144B72">
        <w:t xml:space="preserve">nalysis </w:t>
      </w:r>
      <w:r w:rsidR="00006EF5" w:rsidRPr="00144B72">
        <w:t>of PBS L</w:t>
      </w:r>
      <w:r w:rsidR="00813C07" w:rsidRPr="00144B72">
        <w:t xml:space="preserve">isted </w:t>
      </w:r>
      <w:r w:rsidR="007D4108" w:rsidRPr="00144B72">
        <w:t>Medicines</w:t>
      </w:r>
    </w:p>
    <w:p w14:paraId="47C22858" w14:textId="77777777" w:rsidR="00D06634" w:rsidRPr="00144B72" w:rsidRDefault="002B7EE2" w:rsidP="008B6946">
      <w:pPr>
        <w:rPr>
          <w:sz w:val="24"/>
          <w:szCs w:val="24"/>
        </w:rPr>
      </w:pPr>
      <w:proofErr w:type="gramStart"/>
      <w:r w:rsidRPr="00144B72">
        <w:rPr>
          <w:sz w:val="24"/>
          <w:szCs w:val="24"/>
        </w:rPr>
        <w:t xml:space="preserve">Utilisation </w:t>
      </w:r>
      <w:r w:rsidR="00DA5030" w:rsidRPr="00144B72">
        <w:rPr>
          <w:sz w:val="24"/>
          <w:szCs w:val="24"/>
        </w:rPr>
        <w:t>of t</w:t>
      </w:r>
      <w:r w:rsidR="005E1E28" w:rsidRPr="00144B72">
        <w:rPr>
          <w:sz w:val="24"/>
          <w:szCs w:val="24"/>
        </w:rPr>
        <w:t xml:space="preserve">he following </w:t>
      </w:r>
      <w:r w:rsidR="007D4108" w:rsidRPr="00144B72">
        <w:rPr>
          <w:sz w:val="24"/>
          <w:szCs w:val="24"/>
        </w:rPr>
        <w:t xml:space="preserve">medicines </w:t>
      </w:r>
      <w:r w:rsidR="00D55ED4" w:rsidRPr="00144B72">
        <w:rPr>
          <w:sz w:val="24"/>
          <w:szCs w:val="24"/>
        </w:rPr>
        <w:t>and therapeutic areas have</w:t>
      </w:r>
      <w:proofErr w:type="gramEnd"/>
      <w:r w:rsidR="00D55ED4" w:rsidRPr="00144B72">
        <w:rPr>
          <w:sz w:val="24"/>
          <w:szCs w:val="24"/>
        </w:rPr>
        <w:t xml:space="preserve"> been </w:t>
      </w:r>
      <w:r w:rsidR="00EC27B1" w:rsidRPr="00144B72">
        <w:rPr>
          <w:sz w:val="24"/>
          <w:szCs w:val="24"/>
        </w:rPr>
        <w:t>selected for</w:t>
      </w:r>
      <w:r w:rsidR="005E1E28" w:rsidRPr="00144B72">
        <w:rPr>
          <w:sz w:val="24"/>
          <w:szCs w:val="24"/>
        </w:rPr>
        <w:t xml:space="preserve"> </w:t>
      </w:r>
      <w:r w:rsidRPr="00144B72">
        <w:rPr>
          <w:sz w:val="24"/>
          <w:szCs w:val="24"/>
        </w:rPr>
        <w:t xml:space="preserve">consideration </w:t>
      </w:r>
      <w:r w:rsidR="005E1E28" w:rsidRPr="00144B72">
        <w:rPr>
          <w:sz w:val="24"/>
          <w:szCs w:val="24"/>
        </w:rPr>
        <w:t xml:space="preserve">at </w:t>
      </w:r>
      <w:r w:rsidR="00AE46E7" w:rsidRPr="00144B72">
        <w:rPr>
          <w:sz w:val="24"/>
          <w:szCs w:val="24"/>
        </w:rPr>
        <w:t xml:space="preserve">future </w:t>
      </w:r>
      <w:r w:rsidR="005E1E28" w:rsidRPr="00144B72">
        <w:rPr>
          <w:sz w:val="24"/>
          <w:szCs w:val="24"/>
        </w:rPr>
        <w:t>DUSC meetin</w:t>
      </w:r>
      <w:r w:rsidR="00094597" w:rsidRPr="00144B72">
        <w:rPr>
          <w:sz w:val="24"/>
          <w:szCs w:val="24"/>
        </w:rPr>
        <w:t>g</w:t>
      </w:r>
      <w:r w:rsidR="00AE46E7" w:rsidRPr="00144B72">
        <w:rPr>
          <w:sz w:val="24"/>
          <w:szCs w:val="24"/>
        </w:rPr>
        <w:t>s.</w:t>
      </w:r>
    </w:p>
    <w:p w14:paraId="7E929759" w14:textId="77777777" w:rsidR="00513E5D" w:rsidRPr="0062222D" w:rsidRDefault="00513E5D" w:rsidP="008B6946">
      <w:pPr>
        <w:rPr>
          <w:sz w:val="24"/>
          <w:szCs w:val="24"/>
          <w:highlight w:val="yellow"/>
        </w:rPr>
      </w:pPr>
    </w:p>
    <w:p w14:paraId="58C53A4D" w14:textId="77777777" w:rsidR="00C3191A" w:rsidRPr="00AA7FC1" w:rsidRDefault="00C3191A" w:rsidP="00C3191A">
      <w:pPr>
        <w:pStyle w:val="ListParagraph"/>
        <w:autoSpaceDE w:val="0"/>
        <w:autoSpaceDN w:val="0"/>
        <w:adjustRightInd w:val="0"/>
        <w:ind w:left="0"/>
        <w:contextualSpacing/>
        <w:rPr>
          <w:b/>
          <w:szCs w:val="24"/>
        </w:rPr>
      </w:pPr>
      <w:r w:rsidRPr="00AA7FC1">
        <w:rPr>
          <w:b/>
          <w:szCs w:val="24"/>
        </w:rPr>
        <w:t>Predicted versus Actual Utilisation Analysis</w:t>
      </w:r>
    </w:p>
    <w:p w14:paraId="215A7750" w14:textId="77777777" w:rsidR="00C3191A" w:rsidRPr="00AA7FC1" w:rsidRDefault="0087516C" w:rsidP="0087516C">
      <w:pPr>
        <w:pStyle w:val="ListParagraph"/>
        <w:numPr>
          <w:ilvl w:val="0"/>
          <w:numId w:val="6"/>
        </w:numPr>
        <w:autoSpaceDE w:val="0"/>
        <w:autoSpaceDN w:val="0"/>
        <w:adjustRightInd w:val="0"/>
        <w:contextualSpacing/>
        <w:rPr>
          <w:szCs w:val="24"/>
        </w:rPr>
      </w:pPr>
      <w:r w:rsidRPr="00AA7FC1">
        <w:rPr>
          <w:szCs w:val="24"/>
        </w:rPr>
        <w:t>Pos</w:t>
      </w:r>
      <w:r w:rsidR="00B53CE1">
        <w:rPr>
          <w:szCs w:val="24"/>
        </w:rPr>
        <w:t>a</w:t>
      </w:r>
      <w:r w:rsidRPr="00AA7FC1">
        <w:rPr>
          <w:szCs w:val="24"/>
        </w:rPr>
        <w:t xml:space="preserve">conazole tablets for </w:t>
      </w:r>
      <w:r w:rsidR="00943ADF">
        <w:rPr>
          <w:szCs w:val="24"/>
        </w:rPr>
        <w:t xml:space="preserve">prophylaxis and treatment of </w:t>
      </w:r>
      <w:r w:rsidRPr="00AA7FC1">
        <w:rPr>
          <w:szCs w:val="24"/>
        </w:rPr>
        <w:t>fungal infections</w:t>
      </w:r>
    </w:p>
    <w:p w14:paraId="269FFBA6" w14:textId="77777777" w:rsidR="002123C7" w:rsidRPr="00AA7FC1" w:rsidRDefault="002123C7" w:rsidP="0087516C">
      <w:pPr>
        <w:pStyle w:val="ListParagraph"/>
        <w:numPr>
          <w:ilvl w:val="0"/>
          <w:numId w:val="6"/>
        </w:numPr>
        <w:autoSpaceDE w:val="0"/>
        <w:autoSpaceDN w:val="0"/>
        <w:adjustRightInd w:val="0"/>
        <w:contextualSpacing/>
        <w:rPr>
          <w:szCs w:val="24"/>
        </w:rPr>
      </w:pPr>
      <w:proofErr w:type="spellStart"/>
      <w:r w:rsidRPr="00AA7FC1">
        <w:rPr>
          <w:szCs w:val="24"/>
        </w:rPr>
        <w:t>Obinutuzumab</w:t>
      </w:r>
      <w:proofErr w:type="spellEnd"/>
      <w:r w:rsidRPr="00AA7FC1">
        <w:rPr>
          <w:szCs w:val="24"/>
        </w:rPr>
        <w:t xml:space="preserve"> </w:t>
      </w:r>
      <w:r w:rsidR="00943ADF">
        <w:rPr>
          <w:szCs w:val="24"/>
        </w:rPr>
        <w:t xml:space="preserve">and </w:t>
      </w:r>
      <w:proofErr w:type="spellStart"/>
      <w:r w:rsidR="00943ADF">
        <w:rPr>
          <w:szCs w:val="24"/>
        </w:rPr>
        <w:t>ofatumumab</w:t>
      </w:r>
      <w:proofErr w:type="spellEnd"/>
      <w:r w:rsidR="00943ADF">
        <w:rPr>
          <w:szCs w:val="24"/>
        </w:rPr>
        <w:t xml:space="preserve"> </w:t>
      </w:r>
      <w:r w:rsidRPr="00AA7FC1">
        <w:rPr>
          <w:szCs w:val="24"/>
        </w:rPr>
        <w:t>for the treatment of chronic lymphocytic leukaemia</w:t>
      </w:r>
    </w:p>
    <w:p w14:paraId="6285E2FF" w14:textId="77777777" w:rsidR="0087516C" w:rsidRPr="00AA7FC1" w:rsidRDefault="002123C7" w:rsidP="002123C7">
      <w:pPr>
        <w:pStyle w:val="ListParagraph"/>
        <w:numPr>
          <w:ilvl w:val="0"/>
          <w:numId w:val="6"/>
        </w:numPr>
        <w:autoSpaceDE w:val="0"/>
        <w:autoSpaceDN w:val="0"/>
        <w:adjustRightInd w:val="0"/>
        <w:contextualSpacing/>
        <w:rPr>
          <w:szCs w:val="24"/>
        </w:rPr>
      </w:pPr>
      <w:r w:rsidRPr="00AA7FC1">
        <w:rPr>
          <w:szCs w:val="24"/>
        </w:rPr>
        <w:t>Feb</w:t>
      </w:r>
      <w:r w:rsidR="00B53CE1">
        <w:rPr>
          <w:szCs w:val="24"/>
        </w:rPr>
        <w:t>u</w:t>
      </w:r>
      <w:r w:rsidRPr="00AA7FC1">
        <w:rPr>
          <w:szCs w:val="24"/>
        </w:rPr>
        <w:t>x</w:t>
      </w:r>
      <w:r w:rsidR="00B53CE1">
        <w:rPr>
          <w:szCs w:val="24"/>
        </w:rPr>
        <w:t>o</w:t>
      </w:r>
      <w:r w:rsidRPr="00AA7FC1">
        <w:rPr>
          <w:szCs w:val="24"/>
        </w:rPr>
        <w:t xml:space="preserve">stat for gout </w:t>
      </w:r>
    </w:p>
    <w:p w14:paraId="45624CB8" w14:textId="77777777" w:rsidR="00C3191A" w:rsidRPr="00AA7FC1" w:rsidRDefault="00C3191A" w:rsidP="0099648E">
      <w:pPr>
        <w:pStyle w:val="ListParagraph"/>
        <w:autoSpaceDE w:val="0"/>
        <w:autoSpaceDN w:val="0"/>
        <w:adjustRightInd w:val="0"/>
        <w:ind w:left="0"/>
        <w:contextualSpacing/>
        <w:rPr>
          <w:b/>
          <w:szCs w:val="24"/>
        </w:rPr>
      </w:pPr>
    </w:p>
    <w:p w14:paraId="672600E3" w14:textId="77777777" w:rsidR="0099648E" w:rsidRPr="00AA7FC1" w:rsidRDefault="0099648E" w:rsidP="0099648E">
      <w:pPr>
        <w:pStyle w:val="ListParagraph"/>
        <w:autoSpaceDE w:val="0"/>
        <w:autoSpaceDN w:val="0"/>
        <w:adjustRightInd w:val="0"/>
        <w:ind w:left="0"/>
        <w:contextualSpacing/>
        <w:rPr>
          <w:b/>
          <w:szCs w:val="24"/>
        </w:rPr>
      </w:pPr>
      <w:r w:rsidRPr="00AA7FC1">
        <w:rPr>
          <w:b/>
          <w:szCs w:val="24"/>
        </w:rPr>
        <w:t>Analysis of multiple medicines in a treatment area</w:t>
      </w:r>
    </w:p>
    <w:p w14:paraId="37FD00B2" w14:textId="77777777" w:rsidR="00324E38" w:rsidRPr="00AA7FC1" w:rsidRDefault="00943ADF" w:rsidP="00943ADF">
      <w:pPr>
        <w:pStyle w:val="ListParagraph"/>
        <w:numPr>
          <w:ilvl w:val="0"/>
          <w:numId w:val="1"/>
        </w:numPr>
        <w:autoSpaceDE w:val="0"/>
        <w:autoSpaceDN w:val="0"/>
        <w:adjustRightInd w:val="0"/>
        <w:contextualSpacing/>
        <w:rPr>
          <w:szCs w:val="24"/>
        </w:rPr>
      </w:pPr>
      <w:r>
        <w:rPr>
          <w:szCs w:val="24"/>
        </w:rPr>
        <w:t>T</w:t>
      </w:r>
      <w:r w:rsidRPr="00943ADF">
        <w:rPr>
          <w:szCs w:val="24"/>
        </w:rPr>
        <w:t>arge</w:t>
      </w:r>
      <w:r>
        <w:rPr>
          <w:szCs w:val="24"/>
        </w:rPr>
        <w:t xml:space="preserve">ted and immunomodulatory therapies </w:t>
      </w:r>
      <w:r w:rsidR="002123C7" w:rsidRPr="00AA7FC1">
        <w:rPr>
          <w:szCs w:val="24"/>
        </w:rPr>
        <w:t>for the tr</w:t>
      </w:r>
      <w:r>
        <w:rPr>
          <w:szCs w:val="24"/>
        </w:rPr>
        <w:t>eatment of melanoma</w:t>
      </w:r>
    </w:p>
    <w:p w14:paraId="00108CA7" w14:textId="77777777" w:rsidR="002B4E60" w:rsidRPr="00AA7FC1" w:rsidRDefault="002123C7" w:rsidP="00943ADF">
      <w:pPr>
        <w:pStyle w:val="ListParagraph"/>
        <w:numPr>
          <w:ilvl w:val="0"/>
          <w:numId w:val="1"/>
        </w:numPr>
        <w:autoSpaceDE w:val="0"/>
        <w:autoSpaceDN w:val="0"/>
        <w:adjustRightInd w:val="0"/>
        <w:contextualSpacing/>
        <w:rPr>
          <w:szCs w:val="24"/>
        </w:rPr>
      </w:pPr>
      <w:r w:rsidRPr="00AA7FC1">
        <w:rPr>
          <w:szCs w:val="24"/>
        </w:rPr>
        <w:t xml:space="preserve">Botulinum Toxin </w:t>
      </w:r>
      <w:r w:rsidR="00943ADF">
        <w:rPr>
          <w:szCs w:val="24"/>
        </w:rPr>
        <w:t>A</w:t>
      </w:r>
      <w:r w:rsidRPr="00AA7FC1">
        <w:rPr>
          <w:szCs w:val="24"/>
        </w:rPr>
        <w:t xml:space="preserve"> for the treatment of </w:t>
      </w:r>
      <w:r w:rsidR="00943ADF" w:rsidRPr="00943ADF">
        <w:rPr>
          <w:szCs w:val="24"/>
        </w:rPr>
        <w:t xml:space="preserve">spasticity, spasmodic torticollis, </w:t>
      </w:r>
      <w:proofErr w:type="spellStart"/>
      <w:r w:rsidR="00943ADF" w:rsidRPr="00943ADF">
        <w:rPr>
          <w:szCs w:val="24"/>
        </w:rPr>
        <w:t>blepharospasm</w:t>
      </w:r>
      <w:proofErr w:type="spellEnd"/>
      <w:r w:rsidR="00943ADF" w:rsidRPr="00943ADF">
        <w:rPr>
          <w:szCs w:val="24"/>
        </w:rPr>
        <w:t xml:space="preserve"> and </w:t>
      </w:r>
      <w:proofErr w:type="spellStart"/>
      <w:r w:rsidR="00943ADF" w:rsidRPr="00943ADF">
        <w:rPr>
          <w:szCs w:val="24"/>
        </w:rPr>
        <w:t>hemifacial</w:t>
      </w:r>
      <w:proofErr w:type="spellEnd"/>
      <w:r w:rsidR="00943ADF" w:rsidRPr="00943ADF">
        <w:rPr>
          <w:szCs w:val="24"/>
        </w:rPr>
        <w:t xml:space="preserve"> spasm</w:t>
      </w:r>
    </w:p>
    <w:p w14:paraId="15F089EF" w14:textId="7C0F4BF6" w:rsidR="002123C7" w:rsidRPr="00AA7FC1" w:rsidRDefault="00943ADF" w:rsidP="0004475E">
      <w:pPr>
        <w:pStyle w:val="ListParagraph"/>
        <w:numPr>
          <w:ilvl w:val="0"/>
          <w:numId w:val="1"/>
        </w:numPr>
        <w:autoSpaceDE w:val="0"/>
        <w:autoSpaceDN w:val="0"/>
        <w:adjustRightInd w:val="0"/>
        <w:contextualSpacing/>
        <w:rPr>
          <w:szCs w:val="24"/>
        </w:rPr>
      </w:pPr>
      <w:r>
        <w:rPr>
          <w:szCs w:val="24"/>
        </w:rPr>
        <w:t>Medicines for attention deficit hyperactivity disorder (ADHD)</w:t>
      </w:r>
      <w:r w:rsidR="002123C7" w:rsidRPr="00AA7FC1">
        <w:rPr>
          <w:szCs w:val="24"/>
        </w:rPr>
        <w:t xml:space="preserve">, including </w:t>
      </w:r>
      <w:r w:rsidR="00697BC7">
        <w:rPr>
          <w:szCs w:val="24"/>
        </w:rPr>
        <w:t xml:space="preserve">a </w:t>
      </w:r>
      <w:r>
        <w:rPr>
          <w:szCs w:val="24"/>
        </w:rPr>
        <w:t xml:space="preserve">predicted versus actual utilisation </w:t>
      </w:r>
      <w:r w:rsidR="00697BC7">
        <w:rPr>
          <w:szCs w:val="24"/>
        </w:rPr>
        <w:t xml:space="preserve">analysis </w:t>
      </w:r>
      <w:r>
        <w:rPr>
          <w:szCs w:val="24"/>
        </w:rPr>
        <w:t xml:space="preserve">of </w:t>
      </w:r>
      <w:proofErr w:type="spellStart"/>
      <w:r w:rsidR="002123C7" w:rsidRPr="00AA7FC1">
        <w:rPr>
          <w:szCs w:val="24"/>
        </w:rPr>
        <w:t>lisdexamfetamine</w:t>
      </w:r>
      <w:proofErr w:type="spellEnd"/>
      <w:r w:rsidR="002123C7" w:rsidRPr="00AA7FC1">
        <w:rPr>
          <w:szCs w:val="24"/>
        </w:rPr>
        <w:t xml:space="preserve"> following </w:t>
      </w:r>
      <w:r w:rsidR="00AA7FC1" w:rsidRPr="00AA7FC1">
        <w:rPr>
          <w:szCs w:val="24"/>
        </w:rPr>
        <w:t xml:space="preserve">listing </w:t>
      </w:r>
      <w:r w:rsidR="002123C7" w:rsidRPr="00AA7FC1">
        <w:rPr>
          <w:szCs w:val="24"/>
        </w:rPr>
        <w:t>in 2015</w:t>
      </w:r>
      <w:r w:rsidR="0005073D">
        <w:rPr>
          <w:szCs w:val="24"/>
        </w:rPr>
        <w:t>.</w:t>
      </w:r>
    </w:p>
    <w:p w14:paraId="47E85032" w14:textId="77777777" w:rsidR="00E224FD" w:rsidRPr="00144B72" w:rsidRDefault="00E224FD" w:rsidP="009D2858">
      <w:pPr>
        <w:rPr>
          <w:sz w:val="24"/>
          <w:szCs w:val="24"/>
        </w:rPr>
      </w:pPr>
    </w:p>
    <w:p w14:paraId="36596267" w14:textId="77777777" w:rsidR="009D2858" w:rsidRPr="00144B72" w:rsidRDefault="009D2858" w:rsidP="009D2858">
      <w:pPr>
        <w:rPr>
          <w:sz w:val="24"/>
          <w:szCs w:val="24"/>
        </w:rPr>
      </w:pPr>
      <w:r w:rsidRPr="00144B72">
        <w:rPr>
          <w:sz w:val="24"/>
          <w:szCs w:val="24"/>
        </w:rPr>
        <w:t>An outcome statement will be available following each meeting of DUSC. For further information, please contact the DUSC Secretariat at DUSC@health.gov.au.</w:t>
      </w:r>
    </w:p>
    <w:p w14:paraId="1E20E1B0" w14:textId="77777777" w:rsidR="00313B7D" w:rsidRPr="0062222D" w:rsidRDefault="00313B7D" w:rsidP="008B6946">
      <w:pPr>
        <w:rPr>
          <w:sz w:val="24"/>
          <w:szCs w:val="24"/>
          <w:highlight w:val="yellow"/>
        </w:rPr>
      </w:pPr>
    </w:p>
    <w:p w14:paraId="6E7ECF5D" w14:textId="77777777" w:rsidR="009B25AF" w:rsidRPr="0062222D" w:rsidRDefault="009B25AF" w:rsidP="008B6946">
      <w:pPr>
        <w:rPr>
          <w:sz w:val="24"/>
          <w:szCs w:val="24"/>
          <w:highlight w:val="yellow"/>
        </w:rPr>
      </w:pPr>
    </w:p>
    <w:p w14:paraId="11E605FE" w14:textId="77777777" w:rsidR="00002AE8" w:rsidRPr="00144B72" w:rsidRDefault="00303E60" w:rsidP="008B6946">
      <w:pPr>
        <w:rPr>
          <w:sz w:val="24"/>
          <w:szCs w:val="24"/>
        </w:rPr>
      </w:pPr>
      <w:r w:rsidRPr="00144B72">
        <w:rPr>
          <w:sz w:val="24"/>
          <w:szCs w:val="24"/>
        </w:rPr>
        <w:t>A/</w:t>
      </w:r>
      <w:r w:rsidR="00002AE8" w:rsidRPr="00144B72">
        <w:rPr>
          <w:sz w:val="24"/>
          <w:szCs w:val="24"/>
        </w:rPr>
        <w:t xml:space="preserve">Professor </w:t>
      </w:r>
      <w:r w:rsidR="009341E3" w:rsidRPr="00144B72">
        <w:rPr>
          <w:sz w:val="24"/>
          <w:szCs w:val="24"/>
        </w:rPr>
        <w:t>Chris</w:t>
      </w:r>
      <w:r w:rsidRPr="00144B72">
        <w:rPr>
          <w:sz w:val="24"/>
          <w:szCs w:val="24"/>
        </w:rPr>
        <w:t>topher</w:t>
      </w:r>
      <w:r w:rsidR="009341E3" w:rsidRPr="00144B72">
        <w:rPr>
          <w:sz w:val="24"/>
          <w:szCs w:val="24"/>
        </w:rPr>
        <w:t xml:space="preserve"> Etherton-Beer</w:t>
      </w:r>
    </w:p>
    <w:p w14:paraId="4080A7A2" w14:textId="77777777" w:rsidR="00002AE8" w:rsidRPr="00144B72" w:rsidRDefault="00002AE8" w:rsidP="008B6946">
      <w:pPr>
        <w:rPr>
          <w:sz w:val="24"/>
          <w:szCs w:val="24"/>
        </w:rPr>
      </w:pPr>
      <w:r w:rsidRPr="00144B72">
        <w:rPr>
          <w:sz w:val="24"/>
          <w:szCs w:val="24"/>
        </w:rPr>
        <w:t>Chair</w:t>
      </w:r>
    </w:p>
    <w:p w14:paraId="22ABBAD5" w14:textId="77777777" w:rsidR="00002AE8" w:rsidRPr="003F06C8" w:rsidRDefault="00C9017B" w:rsidP="008B6946">
      <w:pPr>
        <w:rPr>
          <w:sz w:val="24"/>
          <w:szCs w:val="24"/>
        </w:rPr>
      </w:pPr>
      <w:r w:rsidRPr="00144B72">
        <w:rPr>
          <w:sz w:val="24"/>
          <w:szCs w:val="24"/>
        </w:rPr>
        <w:t>Drug Utilisation Sub-Committee</w:t>
      </w:r>
    </w:p>
    <w:sectPr w:rsidR="00002AE8" w:rsidRPr="003F06C8" w:rsidSect="007166A9">
      <w:headerReference w:type="even" r:id="rId13"/>
      <w:headerReference w:type="default" r:id="rId14"/>
      <w:footerReference w:type="even" r:id="rId15"/>
      <w:footerReference w:type="default" r:id="rId16"/>
      <w:headerReference w:type="first" r:id="rId17"/>
      <w:footerReference w:type="first" r:id="rId18"/>
      <w:pgSz w:w="11908" w:h="16833" w:code="9"/>
      <w:pgMar w:top="1134" w:right="1134" w:bottom="1134" w:left="1440" w:header="284" w:footer="0" w:gutter="0"/>
      <w:paperSrc w:first="7" w:other="7"/>
      <w:cols w:space="720"/>
      <w:noEndnote/>
      <w:titlePg/>
      <w:docGrid w:linePitch="272"/>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2B5412" w15:done="0"/>
  <w15:commentEx w15:paraId="66451672" w15:done="0"/>
  <w15:commentEx w15:paraId="037B0070" w15:done="0"/>
  <w15:commentEx w15:paraId="20CC87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4097E" w14:textId="77777777" w:rsidR="00E556EB" w:rsidRDefault="00E556EB">
      <w:r>
        <w:separator/>
      </w:r>
    </w:p>
  </w:endnote>
  <w:endnote w:type="continuationSeparator" w:id="0">
    <w:p w14:paraId="53B85BCF" w14:textId="77777777" w:rsidR="00E556EB" w:rsidRDefault="00E5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315CB" w14:textId="77777777" w:rsidR="00B92105" w:rsidRDefault="00B921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FCFB5" w14:textId="77777777" w:rsidR="00CA1AA9" w:rsidRDefault="00CA1AA9">
    <w:pPr>
      <w:pStyle w:val="Footer"/>
      <w:jc w:val="center"/>
    </w:pPr>
    <w:r>
      <w:fldChar w:fldCharType="begin"/>
    </w:r>
    <w:r>
      <w:instrText xml:space="preserve"> PAGE   \* MERGEFORMAT </w:instrText>
    </w:r>
    <w:r>
      <w:fldChar w:fldCharType="separate"/>
    </w:r>
    <w:r w:rsidR="00181817">
      <w:rPr>
        <w:noProof/>
      </w:rPr>
      <w:t>3</w:t>
    </w:r>
    <w:r>
      <w:rPr>
        <w:noProof/>
      </w:rPr>
      <w:fldChar w:fldCharType="end"/>
    </w:r>
  </w:p>
  <w:p w14:paraId="58C017E9" w14:textId="77777777" w:rsidR="00CA1AA9" w:rsidRDefault="00CA1AA9" w:rsidP="00F1203C">
    <w:pPr>
      <w:pStyle w:val="Footer"/>
      <w:tabs>
        <w:tab w:val="clear" w:pos="4153"/>
        <w:tab w:val="clear" w:pos="8306"/>
        <w:tab w:val="center" w:pos="4666"/>
        <w:tab w:val="right" w:pos="933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04F1A" w14:textId="77777777" w:rsidR="00CA1AA9" w:rsidRDefault="00CA1AA9">
    <w:pPr>
      <w:pStyle w:val="Footer"/>
      <w:jc w:val="center"/>
    </w:pPr>
    <w:r>
      <w:fldChar w:fldCharType="begin"/>
    </w:r>
    <w:r>
      <w:instrText xml:space="preserve"> PAGE   \* MERGEFORMAT </w:instrText>
    </w:r>
    <w:r>
      <w:fldChar w:fldCharType="separate"/>
    </w:r>
    <w:r w:rsidR="00181817">
      <w:rPr>
        <w:noProof/>
      </w:rPr>
      <w:t>1</w:t>
    </w:r>
    <w:r>
      <w:rPr>
        <w:noProof/>
      </w:rPr>
      <w:fldChar w:fldCharType="end"/>
    </w:r>
  </w:p>
  <w:p w14:paraId="09375B53" w14:textId="77777777"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F86E3" w14:textId="77777777" w:rsidR="00E556EB" w:rsidRDefault="00E556EB">
      <w:r>
        <w:separator/>
      </w:r>
    </w:p>
  </w:footnote>
  <w:footnote w:type="continuationSeparator" w:id="0">
    <w:p w14:paraId="1410F230" w14:textId="77777777" w:rsidR="00E556EB" w:rsidRDefault="00E55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6B7C8" w14:textId="77777777" w:rsidR="00B92105" w:rsidRDefault="00B921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D3C74" w14:textId="77777777" w:rsidR="00B92105" w:rsidRDefault="00B921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19E65" w14:textId="77777777" w:rsidR="00CA1AA9" w:rsidRDefault="00D562AF">
    <w:pPr>
      <w:pStyle w:val="Header"/>
    </w:pPr>
    <w:r>
      <w:rPr>
        <w:noProof/>
      </w:rPr>
      <w:drawing>
        <wp:inline distT="0" distB="0" distL="0" distR="0" wp14:anchorId="40D878E1" wp14:editId="4BA220B3">
          <wp:extent cx="800100" cy="542925"/>
          <wp:effectExtent l="0" t="0" r="0" b="9525"/>
          <wp:docPr id="1" name="Picture 1"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14:paraId="07C6629C" w14:textId="77777777" w:rsidR="00CA1AA9" w:rsidRPr="00CA347D" w:rsidRDefault="00CA1AA9" w:rsidP="00CA347D">
    <w:pPr>
      <w:pStyle w:val="Heading1"/>
      <w:rPr>
        <w:rStyle w:val="Heading1Char"/>
        <w:b/>
      </w:rPr>
    </w:pPr>
    <w:r w:rsidRPr="00CA347D">
      <w:rPr>
        <w:rStyle w:val="Heading1Char"/>
        <w:b/>
      </w:rPr>
      <w:t>Drug Utilisation Sub-Committee</w:t>
    </w:r>
  </w:p>
  <w:p w14:paraId="60C1ACF2" w14:textId="77777777" w:rsidR="00CA1AA9" w:rsidRPr="00CA347D" w:rsidRDefault="00CA1AA9" w:rsidP="00CA347D">
    <w:pPr>
      <w:pStyle w:val="Heading1"/>
    </w:pPr>
    <w:r w:rsidRPr="00CA347D">
      <w:rPr>
        <w:rStyle w:val="Heading1Char"/>
        <w:b/>
      </w:rPr>
      <w:t xml:space="preserve">Outcome Statement </w:t>
    </w:r>
    <w:r w:rsidR="00B92105">
      <w:rPr>
        <w:rStyle w:val="Heading1Char"/>
        <w:b/>
      </w:rPr>
      <w:t>1</w:t>
    </w:r>
    <w:r w:rsidR="00324E38">
      <w:rPr>
        <w:rStyle w:val="Heading1Char"/>
        <w:b/>
      </w:rPr>
      <w:t xml:space="preserve"> </w:t>
    </w:r>
    <w:r w:rsidR="00B92105">
      <w:rPr>
        <w:rStyle w:val="Heading1Char"/>
        <w:b/>
      </w:rPr>
      <w:t>February</w:t>
    </w:r>
    <w:r w:rsidR="001F7E8B">
      <w:rPr>
        <w:rStyle w:val="Heading1Char"/>
        <w:b/>
      </w:rPr>
      <w:t xml:space="preserve"> 201</w:t>
    </w:r>
    <w:r w:rsidR="00B92105">
      <w:rPr>
        <w:rStyle w:val="Heading1Char"/>
        <w:b/>
      </w:rPr>
      <w:t>8</w:t>
    </w:r>
  </w:p>
  <w:p w14:paraId="0114BB8D" w14:textId="77777777"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776F8"/>
    <w:multiLevelType w:val="hybridMultilevel"/>
    <w:tmpl w:val="A5C052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BB30211"/>
    <w:multiLevelType w:val="hybridMultilevel"/>
    <w:tmpl w:val="C69490CC"/>
    <w:lvl w:ilvl="0" w:tplc="3326AEB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0DD3120"/>
    <w:multiLevelType w:val="hybridMultilevel"/>
    <w:tmpl w:val="C7942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45273F46"/>
    <w:multiLevelType w:val="hybridMultilevel"/>
    <w:tmpl w:val="464ADFE4"/>
    <w:lvl w:ilvl="0" w:tplc="0C090001">
      <w:start w:val="1"/>
      <w:numFmt w:val="bullet"/>
      <w:lvlText w:val=""/>
      <w:lvlJc w:val="left"/>
      <w:pPr>
        <w:ind w:left="360" w:hanging="360"/>
      </w:pPr>
      <w:rPr>
        <w:rFonts w:ascii="Symbol" w:hAnsi="Symbol" w:hint="default"/>
      </w:rPr>
    </w:lvl>
    <w:lvl w:ilvl="1" w:tplc="4162A170">
      <w:start w:val="1"/>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6C27171"/>
    <w:multiLevelType w:val="hybridMultilevel"/>
    <w:tmpl w:val="93ACA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ED8"/>
    <w:rsid w:val="0000190C"/>
    <w:rsid w:val="00002AE8"/>
    <w:rsid w:val="00006EF5"/>
    <w:rsid w:val="00010EA8"/>
    <w:rsid w:val="0001578A"/>
    <w:rsid w:val="00021898"/>
    <w:rsid w:val="00021AF3"/>
    <w:rsid w:val="000253E4"/>
    <w:rsid w:val="0002613B"/>
    <w:rsid w:val="00026898"/>
    <w:rsid w:val="000304CA"/>
    <w:rsid w:val="000308AD"/>
    <w:rsid w:val="00032252"/>
    <w:rsid w:val="0003541E"/>
    <w:rsid w:val="00037A0C"/>
    <w:rsid w:val="00040565"/>
    <w:rsid w:val="0004475E"/>
    <w:rsid w:val="00047105"/>
    <w:rsid w:val="0005073D"/>
    <w:rsid w:val="00054C1A"/>
    <w:rsid w:val="00055BF6"/>
    <w:rsid w:val="00061505"/>
    <w:rsid w:val="0006189D"/>
    <w:rsid w:val="00061BD3"/>
    <w:rsid w:val="00070082"/>
    <w:rsid w:val="000701B8"/>
    <w:rsid w:val="00071505"/>
    <w:rsid w:val="00072921"/>
    <w:rsid w:val="0007382E"/>
    <w:rsid w:val="0007482C"/>
    <w:rsid w:val="00076E4C"/>
    <w:rsid w:val="00080B21"/>
    <w:rsid w:val="00080FDB"/>
    <w:rsid w:val="0009006A"/>
    <w:rsid w:val="00090474"/>
    <w:rsid w:val="00094597"/>
    <w:rsid w:val="00096B9B"/>
    <w:rsid w:val="0009747E"/>
    <w:rsid w:val="000A02F8"/>
    <w:rsid w:val="000A0713"/>
    <w:rsid w:val="000A13FE"/>
    <w:rsid w:val="000A31AD"/>
    <w:rsid w:val="000A53A6"/>
    <w:rsid w:val="000B14A0"/>
    <w:rsid w:val="000B5448"/>
    <w:rsid w:val="000C1D0B"/>
    <w:rsid w:val="000C58C8"/>
    <w:rsid w:val="000D6712"/>
    <w:rsid w:val="000E178A"/>
    <w:rsid w:val="000E18F9"/>
    <w:rsid w:val="000F3387"/>
    <w:rsid w:val="000F5C42"/>
    <w:rsid w:val="000F70AE"/>
    <w:rsid w:val="000F73FB"/>
    <w:rsid w:val="000F7CE1"/>
    <w:rsid w:val="00101877"/>
    <w:rsid w:val="00102579"/>
    <w:rsid w:val="001062BB"/>
    <w:rsid w:val="00106A1B"/>
    <w:rsid w:val="001071DA"/>
    <w:rsid w:val="001145B4"/>
    <w:rsid w:val="001215D4"/>
    <w:rsid w:val="00121F43"/>
    <w:rsid w:val="001223D1"/>
    <w:rsid w:val="00123237"/>
    <w:rsid w:val="00137CE5"/>
    <w:rsid w:val="00141172"/>
    <w:rsid w:val="00142512"/>
    <w:rsid w:val="00144B72"/>
    <w:rsid w:val="00151940"/>
    <w:rsid w:val="00152272"/>
    <w:rsid w:val="001528A6"/>
    <w:rsid w:val="00153667"/>
    <w:rsid w:val="00154D0A"/>
    <w:rsid w:val="00160EF6"/>
    <w:rsid w:val="00166CEB"/>
    <w:rsid w:val="00170E5B"/>
    <w:rsid w:val="00174F99"/>
    <w:rsid w:val="001779FD"/>
    <w:rsid w:val="00181817"/>
    <w:rsid w:val="0018567C"/>
    <w:rsid w:val="00186DD1"/>
    <w:rsid w:val="0018700E"/>
    <w:rsid w:val="001902AC"/>
    <w:rsid w:val="001933E2"/>
    <w:rsid w:val="0019724B"/>
    <w:rsid w:val="001A10FD"/>
    <w:rsid w:val="001A3F70"/>
    <w:rsid w:val="001A417C"/>
    <w:rsid w:val="001A449F"/>
    <w:rsid w:val="001A4CD7"/>
    <w:rsid w:val="001A7B67"/>
    <w:rsid w:val="001B1949"/>
    <w:rsid w:val="001B19E3"/>
    <w:rsid w:val="001B2A10"/>
    <w:rsid w:val="001B75D9"/>
    <w:rsid w:val="001C0316"/>
    <w:rsid w:val="001C5A7B"/>
    <w:rsid w:val="001C61FD"/>
    <w:rsid w:val="001C7C04"/>
    <w:rsid w:val="001E4D54"/>
    <w:rsid w:val="001F33DA"/>
    <w:rsid w:val="001F4200"/>
    <w:rsid w:val="001F6850"/>
    <w:rsid w:val="001F7E8B"/>
    <w:rsid w:val="001F7F87"/>
    <w:rsid w:val="00200BA3"/>
    <w:rsid w:val="00203342"/>
    <w:rsid w:val="00203986"/>
    <w:rsid w:val="00206C78"/>
    <w:rsid w:val="00211F6D"/>
    <w:rsid w:val="002123C7"/>
    <w:rsid w:val="00213EAC"/>
    <w:rsid w:val="002168C1"/>
    <w:rsid w:val="00216CE7"/>
    <w:rsid w:val="00220B3C"/>
    <w:rsid w:val="00224079"/>
    <w:rsid w:val="00224DF5"/>
    <w:rsid w:val="00230732"/>
    <w:rsid w:val="00235EF9"/>
    <w:rsid w:val="002362A1"/>
    <w:rsid w:val="00237631"/>
    <w:rsid w:val="00240FA6"/>
    <w:rsid w:val="002421EE"/>
    <w:rsid w:val="00242420"/>
    <w:rsid w:val="00247102"/>
    <w:rsid w:val="002522B2"/>
    <w:rsid w:val="0025366B"/>
    <w:rsid w:val="00255919"/>
    <w:rsid w:val="00261915"/>
    <w:rsid w:val="00261ED7"/>
    <w:rsid w:val="0026571A"/>
    <w:rsid w:val="0026645D"/>
    <w:rsid w:val="002720C8"/>
    <w:rsid w:val="002722F2"/>
    <w:rsid w:val="00275278"/>
    <w:rsid w:val="00280C05"/>
    <w:rsid w:val="00282C56"/>
    <w:rsid w:val="002862A8"/>
    <w:rsid w:val="002871FC"/>
    <w:rsid w:val="0028771A"/>
    <w:rsid w:val="00291D51"/>
    <w:rsid w:val="00292E10"/>
    <w:rsid w:val="00294F3F"/>
    <w:rsid w:val="0029548B"/>
    <w:rsid w:val="002A2278"/>
    <w:rsid w:val="002A2FEF"/>
    <w:rsid w:val="002A48D7"/>
    <w:rsid w:val="002A6291"/>
    <w:rsid w:val="002A6A51"/>
    <w:rsid w:val="002B0FD1"/>
    <w:rsid w:val="002B4E60"/>
    <w:rsid w:val="002B4FA1"/>
    <w:rsid w:val="002B519D"/>
    <w:rsid w:val="002B7EE2"/>
    <w:rsid w:val="002C1B64"/>
    <w:rsid w:val="002D3C76"/>
    <w:rsid w:val="002D3FC7"/>
    <w:rsid w:val="002D50B7"/>
    <w:rsid w:val="002D516C"/>
    <w:rsid w:val="002D734E"/>
    <w:rsid w:val="002E6273"/>
    <w:rsid w:val="002E6F6A"/>
    <w:rsid w:val="002E7CA2"/>
    <w:rsid w:val="002E7E14"/>
    <w:rsid w:val="002F131D"/>
    <w:rsid w:val="002F281B"/>
    <w:rsid w:val="002F6C13"/>
    <w:rsid w:val="002F7138"/>
    <w:rsid w:val="003026E0"/>
    <w:rsid w:val="00303E60"/>
    <w:rsid w:val="00307F20"/>
    <w:rsid w:val="00312E8E"/>
    <w:rsid w:val="00313B7D"/>
    <w:rsid w:val="00313FED"/>
    <w:rsid w:val="0032170F"/>
    <w:rsid w:val="00324E38"/>
    <w:rsid w:val="00325C25"/>
    <w:rsid w:val="0032620A"/>
    <w:rsid w:val="0033439A"/>
    <w:rsid w:val="00334C67"/>
    <w:rsid w:val="00335BE5"/>
    <w:rsid w:val="003361C9"/>
    <w:rsid w:val="00336E3A"/>
    <w:rsid w:val="00337241"/>
    <w:rsid w:val="003409D6"/>
    <w:rsid w:val="003468B6"/>
    <w:rsid w:val="003512F6"/>
    <w:rsid w:val="0035237B"/>
    <w:rsid w:val="0035266E"/>
    <w:rsid w:val="00352D12"/>
    <w:rsid w:val="003555E8"/>
    <w:rsid w:val="00357332"/>
    <w:rsid w:val="0035787B"/>
    <w:rsid w:val="003620F9"/>
    <w:rsid w:val="00362581"/>
    <w:rsid w:val="00371376"/>
    <w:rsid w:val="0037338E"/>
    <w:rsid w:val="0037748E"/>
    <w:rsid w:val="00377CBD"/>
    <w:rsid w:val="003833F2"/>
    <w:rsid w:val="00385962"/>
    <w:rsid w:val="003860EB"/>
    <w:rsid w:val="00387684"/>
    <w:rsid w:val="003917EE"/>
    <w:rsid w:val="003923CC"/>
    <w:rsid w:val="00395B29"/>
    <w:rsid w:val="003A4887"/>
    <w:rsid w:val="003A6327"/>
    <w:rsid w:val="003B1842"/>
    <w:rsid w:val="003B30B8"/>
    <w:rsid w:val="003B644D"/>
    <w:rsid w:val="003B7122"/>
    <w:rsid w:val="003C0453"/>
    <w:rsid w:val="003C1363"/>
    <w:rsid w:val="003C3E03"/>
    <w:rsid w:val="003C5342"/>
    <w:rsid w:val="003C7822"/>
    <w:rsid w:val="003C7935"/>
    <w:rsid w:val="003D0574"/>
    <w:rsid w:val="003D6109"/>
    <w:rsid w:val="003D62AA"/>
    <w:rsid w:val="003D6C07"/>
    <w:rsid w:val="003E1ED8"/>
    <w:rsid w:val="003E601F"/>
    <w:rsid w:val="003E60A4"/>
    <w:rsid w:val="003F021A"/>
    <w:rsid w:val="003F06C8"/>
    <w:rsid w:val="003F1DCA"/>
    <w:rsid w:val="00405743"/>
    <w:rsid w:val="00406FC4"/>
    <w:rsid w:val="00415BE7"/>
    <w:rsid w:val="0042032E"/>
    <w:rsid w:val="00420E99"/>
    <w:rsid w:val="0042129E"/>
    <w:rsid w:val="00421874"/>
    <w:rsid w:val="00423C42"/>
    <w:rsid w:val="00435449"/>
    <w:rsid w:val="004374C3"/>
    <w:rsid w:val="0044076B"/>
    <w:rsid w:val="0044367B"/>
    <w:rsid w:val="00445679"/>
    <w:rsid w:val="00451ABF"/>
    <w:rsid w:val="004521E9"/>
    <w:rsid w:val="00455C86"/>
    <w:rsid w:val="004566A9"/>
    <w:rsid w:val="004600DF"/>
    <w:rsid w:val="00461EAF"/>
    <w:rsid w:val="00463497"/>
    <w:rsid w:val="00463B7E"/>
    <w:rsid w:val="00465EED"/>
    <w:rsid w:val="00466242"/>
    <w:rsid w:val="00471240"/>
    <w:rsid w:val="00473DA7"/>
    <w:rsid w:val="00473E7A"/>
    <w:rsid w:val="0047415B"/>
    <w:rsid w:val="00477500"/>
    <w:rsid w:val="00477A9F"/>
    <w:rsid w:val="00477B65"/>
    <w:rsid w:val="004839FE"/>
    <w:rsid w:val="00487B49"/>
    <w:rsid w:val="0049330F"/>
    <w:rsid w:val="0049403E"/>
    <w:rsid w:val="00496AC8"/>
    <w:rsid w:val="004A055D"/>
    <w:rsid w:val="004A41E8"/>
    <w:rsid w:val="004A45ED"/>
    <w:rsid w:val="004B07E1"/>
    <w:rsid w:val="004B259A"/>
    <w:rsid w:val="004B37DD"/>
    <w:rsid w:val="004B41AC"/>
    <w:rsid w:val="004B4E02"/>
    <w:rsid w:val="004C01CD"/>
    <w:rsid w:val="004C1966"/>
    <w:rsid w:val="004C3CFD"/>
    <w:rsid w:val="004C7FA9"/>
    <w:rsid w:val="004D0311"/>
    <w:rsid w:val="004D75BE"/>
    <w:rsid w:val="004E5A1F"/>
    <w:rsid w:val="004F049D"/>
    <w:rsid w:val="004F083B"/>
    <w:rsid w:val="004F17CC"/>
    <w:rsid w:val="004F201C"/>
    <w:rsid w:val="004F60E0"/>
    <w:rsid w:val="004F6113"/>
    <w:rsid w:val="004F6927"/>
    <w:rsid w:val="00503251"/>
    <w:rsid w:val="005105BE"/>
    <w:rsid w:val="00512CE1"/>
    <w:rsid w:val="00513E5D"/>
    <w:rsid w:val="00514817"/>
    <w:rsid w:val="0051701B"/>
    <w:rsid w:val="00525347"/>
    <w:rsid w:val="0052725D"/>
    <w:rsid w:val="005317C8"/>
    <w:rsid w:val="005363CA"/>
    <w:rsid w:val="00536FAF"/>
    <w:rsid w:val="00540349"/>
    <w:rsid w:val="005414F3"/>
    <w:rsid w:val="00541A35"/>
    <w:rsid w:val="00543CD8"/>
    <w:rsid w:val="005468C1"/>
    <w:rsid w:val="00546A61"/>
    <w:rsid w:val="00550B68"/>
    <w:rsid w:val="00554F00"/>
    <w:rsid w:val="00554F6F"/>
    <w:rsid w:val="00556042"/>
    <w:rsid w:val="0056289C"/>
    <w:rsid w:val="005646E2"/>
    <w:rsid w:val="005659FC"/>
    <w:rsid w:val="00566D78"/>
    <w:rsid w:val="00570796"/>
    <w:rsid w:val="00571683"/>
    <w:rsid w:val="00576201"/>
    <w:rsid w:val="00584E81"/>
    <w:rsid w:val="00584E98"/>
    <w:rsid w:val="0058750D"/>
    <w:rsid w:val="00590036"/>
    <w:rsid w:val="00591C2B"/>
    <w:rsid w:val="00593298"/>
    <w:rsid w:val="00594A71"/>
    <w:rsid w:val="00595475"/>
    <w:rsid w:val="005A1F05"/>
    <w:rsid w:val="005A4F6D"/>
    <w:rsid w:val="005A5F3B"/>
    <w:rsid w:val="005B0558"/>
    <w:rsid w:val="005C053B"/>
    <w:rsid w:val="005C148E"/>
    <w:rsid w:val="005D1BB0"/>
    <w:rsid w:val="005D4EB2"/>
    <w:rsid w:val="005D696D"/>
    <w:rsid w:val="005E116A"/>
    <w:rsid w:val="005E11DF"/>
    <w:rsid w:val="005E14B6"/>
    <w:rsid w:val="005E1E28"/>
    <w:rsid w:val="005E4D8D"/>
    <w:rsid w:val="005E71D4"/>
    <w:rsid w:val="005E77F8"/>
    <w:rsid w:val="005E7DF8"/>
    <w:rsid w:val="005F20C5"/>
    <w:rsid w:val="005F20FE"/>
    <w:rsid w:val="005F3EF0"/>
    <w:rsid w:val="0060015D"/>
    <w:rsid w:val="00602B28"/>
    <w:rsid w:val="00602DC3"/>
    <w:rsid w:val="00603A1E"/>
    <w:rsid w:val="00605905"/>
    <w:rsid w:val="00605D9C"/>
    <w:rsid w:val="00606F6A"/>
    <w:rsid w:val="00610F72"/>
    <w:rsid w:val="006118CB"/>
    <w:rsid w:val="006146D0"/>
    <w:rsid w:val="0061504D"/>
    <w:rsid w:val="0062222D"/>
    <w:rsid w:val="00622522"/>
    <w:rsid w:val="006231FB"/>
    <w:rsid w:val="0062459E"/>
    <w:rsid w:val="006314E6"/>
    <w:rsid w:val="00635EA5"/>
    <w:rsid w:val="00640199"/>
    <w:rsid w:val="0064252F"/>
    <w:rsid w:val="006431B8"/>
    <w:rsid w:val="00645035"/>
    <w:rsid w:val="00647F2B"/>
    <w:rsid w:val="00651A8E"/>
    <w:rsid w:val="00667381"/>
    <w:rsid w:val="00670BD6"/>
    <w:rsid w:val="00670E22"/>
    <w:rsid w:val="006723D5"/>
    <w:rsid w:val="00676304"/>
    <w:rsid w:val="00677B98"/>
    <w:rsid w:val="006826C3"/>
    <w:rsid w:val="006878A3"/>
    <w:rsid w:val="00692AAD"/>
    <w:rsid w:val="00692B74"/>
    <w:rsid w:val="006946E1"/>
    <w:rsid w:val="00695073"/>
    <w:rsid w:val="00695BF3"/>
    <w:rsid w:val="006969FE"/>
    <w:rsid w:val="00697BC7"/>
    <w:rsid w:val="006A0AB6"/>
    <w:rsid w:val="006A71A2"/>
    <w:rsid w:val="006B1CD8"/>
    <w:rsid w:val="006B33A6"/>
    <w:rsid w:val="006B3D40"/>
    <w:rsid w:val="006B5BFA"/>
    <w:rsid w:val="006C0EEE"/>
    <w:rsid w:val="006C1E62"/>
    <w:rsid w:val="006C29FD"/>
    <w:rsid w:val="006C48FE"/>
    <w:rsid w:val="006C4C24"/>
    <w:rsid w:val="006C588F"/>
    <w:rsid w:val="006D0C9A"/>
    <w:rsid w:val="006D29CA"/>
    <w:rsid w:val="006D69D9"/>
    <w:rsid w:val="006D6B4B"/>
    <w:rsid w:val="006D7038"/>
    <w:rsid w:val="006E08E0"/>
    <w:rsid w:val="006E0DDE"/>
    <w:rsid w:val="006E191B"/>
    <w:rsid w:val="006E2143"/>
    <w:rsid w:val="006E29E5"/>
    <w:rsid w:val="006E4185"/>
    <w:rsid w:val="006E66AD"/>
    <w:rsid w:val="006E7FA3"/>
    <w:rsid w:val="006F09EF"/>
    <w:rsid w:val="006F60A7"/>
    <w:rsid w:val="006F7103"/>
    <w:rsid w:val="006F7466"/>
    <w:rsid w:val="00702F49"/>
    <w:rsid w:val="00703C4C"/>
    <w:rsid w:val="007048E7"/>
    <w:rsid w:val="00704FED"/>
    <w:rsid w:val="00706AF7"/>
    <w:rsid w:val="0071514B"/>
    <w:rsid w:val="0071558A"/>
    <w:rsid w:val="00715E10"/>
    <w:rsid w:val="007166A9"/>
    <w:rsid w:val="00722564"/>
    <w:rsid w:val="0072634E"/>
    <w:rsid w:val="007327B8"/>
    <w:rsid w:val="00735BBE"/>
    <w:rsid w:val="0073626D"/>
    <w:rsid w:val="007404D8"/>
    <w:rsid w:val="0074244E"/>
    <w:rsid w:val="0074399F"/>
    <w:rsid w:val="00747495"/>
    <w:rsid w:val="00753580"/>
    <w:rsid w:val="00753AE8"/>
    <w:rsid w:val="00753D42"/>
    <w:rsid w:val="00755BF3"/>
    <w:rsid w:val="007605B0"/>
    <w:rsid w:val="00761116"/>
    <w:rsid w:val="00766D92"/>
    <w:rsid w:val="00766DBB"/>
    <w:rsid w:val="007830A6"/>
    <w:rsid w:val="0079098A"/>
    <w:rsid w:val="00792D24"/>
    <w:rsid w:val="007A025D"/>
    <w:rsid w:val="007A06B9"/>
    <w:rsid w:val="007A1ABE"/>
    <w:rsid w:val="007A1C91"/>
    <w:rsid w:val="007A291C"/>
    <w:rsid w:val="007A312B"/>
    <w:rsid w:val="007A5016"/>
    <w:rsid w:val="007A5F03"/>
    <w:rsid w:val="007B072C"/>
    <w:rsid w:val="007B0C39"/>
    <w:rsid w:val="007B10CC"/>
    <w:rsid w:val="007B264F"/>
    <w:rsid w:val="007B45CE"/>
    <w:rsid w:val="007C0BB4"/>
    <w:rsid w:val="007C4B1F"/>
    <w:rsid w:val="007D29DA"/>
    <w:rsid w:val="007D3A05"/>
    <w:rsid w:val="007D4108"/>
    <w:rsid w:val="007D53F5"/>
    <w:rsid w:val="007D71F4"/>
    <w:rsid w:val="007E0FFA"/>
    <w:rsid w:val="007E3CDE"/>
    <w:rsid w:val="007E3E41"/>
    <w:rsid w:val="007E45EB"/>
    <w:rsid w:val="007E4699"/>
    <w:rsid w:val="007F03B3"/>
    <w:rsid w:val="007F224E"/>
    <w:rsid w:val="007F6799"/>
    <w:rsid w:val="00802343"/>
    <w:rsid w:val="00802954"/>
    <w:rsid w:val="008032CF"/>
    <w:rsid w:val="008032DE"/>
    <w:rsid w:val="00806FF3"/>
    <w:rsid w:val="00812097"/>
    <w:rsid w:val="00812A58"/>
    <w:rsid w:val="00812E43"/>
    <w:rsid w:val="00813C07"/>
    <w:rsid w:val="008226BA"/>
    <w:rsid w:val="008232E9"/>
    <w:rsid w:val="00824D2F"/>
    <w:rsid w:val="00825E26"/>
    <w:rsid w:val="00833148"/>
    <w:rsid w:val="00834AC0"/>
    <w:rsid w:val="0084274F"/>
    <w:rsid w:val="00844137"/>
    <w:rsid w:val="008443DF"/>
    <w:rsid w:val="00846541"/>
    <w:rsid w:val="00851077"/>
    <w:rsid w:val="00855B59"/>
    <w:rsid w:val="00861B30"/>
    <w:rsid w:val="008671AC"/>
    <w:rsid w:val="008730E5"/>
    <w:rsid w:val="0087516C"/>
    <w:rsid w:val="00885679"/>
    <w:rsid w:val="00886FF7"/>
    <w:rsid w:val="00887242"/>
    <w:rsid w:val="008909B5"/>
    <w:rsid w:val="008933AA"/>
    <w:rsid w:val="00893956"/>
    <w:rsid w:val="008945B1"/>
    <w:rsid w:val="008952FA"/>
    <w:rsid w:val="008A17E6"/>
    <w:rsid w:val="008A271D"/>
    <w:rsid w:val="008A27C1"/>
    <w:rsid w:val="008A2B60"/>
    <w:rsid w:val="008A5C6B"/>
    <w:rsid w:val="008B25F5"/>
    <w:rsid w:val="008B44FC"/>
    <w:rsid w:val="008B6054"/>
    <w:rsid w:val="008B6946"/>
    <w:rsid w:val="008B6E94"/>
    <w:rsid w:val="008C0C0B"/>
    <w:rsid w:val="008C1C17"/>
    <w:rsid w:val="008C2829"/>
    <w:rsid w:val="008C28B4"/>
    <w:rsid w:val="008C7ED8"/>
    <w:rsid w:val="008D0DA2"/>
    <w:rsid w:val="008E0DFD"/>
    <w:rsid w:val="008E66D2"/>
    <w:rsid w:val="008E763F"/>
    <w:rsid w:val="008E7888"/>
    <w:rsid w:val="008E7C67"/>
    <w:rsid w:val="008F1340"/>
    <w:rsid w:val="008F4AB2"/>
    <w:rsid w:val="008F7F63"/>
    <w:rsid w:val="00910BE5"/>
    <w:rsid w:val="009112F4"/>
    <w:rsid w:val="00911959"/>
    <w:rsid w:val="009132FD"/>
    <w:rsid w:val="00913F15"/>
    <w:rsid w:val="00915D6E"/>
    <w:rsid w:val="009168AA"/>
    <w:rsid w:val="009230A9"/>
    <w:rsid w:val="009237FF"/>
    <w:rsid w:val="00923CBA"/>
    <w:rsid w:val="00923DCB"/>
    <w:rsid w:val="009245B3"/>
    <w:rsid w:val="00926116"/>
    <w:rsid w:val="009261D7"/>
    <w:rsid w:val="009307DE"/>
    <w:rsid w:val="00933D66"/>
    <w:rsid w:val="009341E3"/>
    <w:rsid w:val="00940287"/>
    <w:rsid w:val="009427BA"/>
    <w:rsid w:val="00943ADF"/>
    <w:rsid w:val="0094562D"/>
    <w:rsid w:val="009562F1"/>
    <w:rsid w:val="00957BA4"/>
    <w:rsid w:val="00965552"/>
    <w:rsid w:val="0096600D"/>
    <w:rsid w:val="0096605A"/>
    <w:rsid w:val="00982C4C"/>
    <w:rsid w:val="00990492"/>
    <w:rsid w:val="009950E1"/>
    <w:rsid w:val="0099648E"/>
    <w:rsid w:val="00997DB5"/>
    <w:rsid w:val="009A22C0"/>
    <w:rsid w:val="009B25AF"/>
    <w:rsid w:val="009C32BA"/>
    <w:rsid w:val="009C4D57"/>
    <w:rsid w:val="009C5C1E"/>
    <w:rsid w:val="009C5FCE"/>
    <w:rsid w:val="009C6EB1"/>
    <w:rsid w:val="009D1661"/>
    <w:rsid w:val="009D1C4B"/>
    <w:rsid w:val="009D2858"/>
    <w:rsid w:val="009D3B7F"/>
    <w:rsid w:val="009D4354"/>
    <w:rsid w:val="009D71B6"/>
    <w:rsid w:val="009E130A"/>
    <w:rsid w:val="009E13E7"/>
    <w:rsid w:val="009E18B1"/>
    <w:rsid w:val="009E23F2"/>
    <w:rsid w:val="009E2CA6"/>
    <w:rsid w:val="009E5D90"/>
    <w:rsid w:val="009F1A70"/>
    <w:rsid w:val="009F37E6"/>
    <w:rsid w:val="009F44EE"/>
    <w:rsid w:val="009F5D71"/>
    <w:rsid w:val="009F7D69"/>
    <w:rsid w:val="00A02C13"/>
    <w:rsid w:val="00A06FDB"/>
    <w:rsid w:val="00A1378E"/>
    <w:rsid w:val="00A140B4"/>
    <w:rsid w:val="00A20CBD"/>
    <w:rsid w:val="00A23071"/>
    <w:rsid w:val="00A24070"/>
    <w:rsid w:val="00A27FE5"/>
    <w:rsid w:val="00A33086"/>
    <w:rsid w:val="00A340B2"/>
    <w:rsid w:val="00A372EE"/>
    <w:rsid w:val="00A42B7A"/>
    <w:rsid w:val="00A432AE"/>
    <w:rsid w:val="00A453E3"/>
    <w:rsid w:val="00A479D4"/>
    <w:rsid w:val="00A50646"/>
    <w:rsid w:val="00A50FB6"/>
    <w:rsid w:val="00A50FF8"/>
    <w:rsid w:val="00A52067"/>
    <w:rsid w:val="00A52E9A"/>
    <w:rsid w:val="00A5505E"/>
    <w:rsid w:val="00A62C85"/>
    <w:rsid w:val="00A64459"/>
    <w:rsid w:val="00A64E13"/>
    <w:rsid w:val="00A72A5F"/>
    <w:rsid w:val="00A744EA"/>
    <w:rsid w:val="00A75CE9"/>
    <w:rsid w:val="00A8138B"/>
    <w:rsid w:val="00A85479"/>
    <w:rsid w:val="00A96763"/>
    <w:rsid w:val="00AA7FC1"/>
    <w:rsid w:val="00AB2981"/>
    <w:rsid w:val="00AB4A37"/>
    <w:rsid w:val="00AB6DF6"/>
    <w:rsid w:val="00AC42CE"/>
    <w:rsid w:val="00AC6543"/>
    <w:rsid w:val="00AD405E"/>
    <w:rsid w:val="00AD61AC"/>
    <w:rsid w:val="00AE0098"/>
    <w:rsid w:val="00AE2C4F"/>
    <w:rsid w:val="00AE46E7"/>
    <w:rsid w:val="00AE47EB"/>
    <w:rsid w:val="00AE5D15"/>
    <w:rsid w:val="00AE7D19"/>
    <w:rsid w:val="00AF1FCD"/>
    <w:rsid w:val="00AF54A2"/>
    <w:rsid w:val="00AF646A"/>
    <w:rsid w:val="00B0144A"/>
    <w:rsid w:val="00B12248"/>
    <w:rsid w:val="00B12B2F"/>
    <w:rsid w:val="00B171C5"/>
    <w:rsid w:val="00B17AE9"/>
    <w:rsid w:val="00B17B4F"/>
    <w:rsid w:val="00B20269"/>
    <w:rsid w:val="00B25209"/>
    <w:rsid w:val="00B26023"/>
    <w:rsid w:val="00B2765B"/>
    <w:rsid w:val="00B41D14"/>
    <w:rsid w:val="00B434A2"/>
    <w:rsid w:val="00B471D0"/>
    <w:rsid w:val="00B47E46"/>
    <w:rsid w:val="00B51A8A"/>
    <w:rsid w:val="00B529E3"/>
    <w:rsid w:val="00B53CE1"/>
    <w:rsid w:val="00B54AC5"/>
    <w:rsid w:val="00B54D25"/>
    <w:rsid w:val="00B561D0"/>
    <w:rsid w:val="00B66FD7"/>
    <w:rsid w:val="00B73EC0"/>
    <w:rsid w:val="00B748A3"/>
    <w:rsid w:val="00B83E80"/>
    <w:rsid w:val="00B8425D"/>
    <w:rsid w:val="00B92105"/>
    <w:rsid w:val="00B94D51"/>
    <w:rsid w:val="00B94E75"/>
    <w:rsid w:val="00BA0109"/>
    <w:rsid w:val="00BA193D"/>
    <w:rsid w:val="00BA1DAB"/>
    <w:rsid w:val="00BA3D51"/>
    <w:rsid w:val="00BB08CB"/>
    <w:rsid w:val="00BB0CB8"/>
    <w:rsid w:val="00BB2314"/>
    <w:rsid w:val="00BB52B3"/>
    <w:rsid w:val="00BC71C3"/>
    <w:rsid w:val="00BD43B4"/>
    <w:rsid w:val="00BD606B"/>
    <w:rsid w:val="00BE14B6"/>
    <w:rsid w:val="00BE2C79"/>
    <w:rsid w:val="00BE7AE1"/>
    <w:rsid w:val="00BF1645"/>
    <w:rsid w:val="00BF1737"/>
    <w:rsid w:val="00BF1F11"/>
    <w:rsid w:val="00BF5017"/>
    <w:rsid w:val="00BF5B1D"/>
    <w:rsid w:val="00BF7B3F"/>
    <w:rsid w:val="00BF7E3D"/>
    <w:rsid w:val="00C04EF5"/>
    <w:rsid w:val="00C05DF1"/>
    <w:rsid w:val="00C071EA"/>
    <w:rsid w:val="00C10F2E"/>
    <w:rsid w:val="00C116AA"/>
    <w:rsid w:val="00C1278B"/>
    <w:rsid w:val="00C14149"/>
    <w:rsid w:val="00C14FE4"/>
    <w:rsid w:val="00C17CD9"/>
    <w:rsid w:val="00C201AF"/>
    <w:rsid w:val="00C20C99"/>
    <w:rsid w:val="00C3191A"/>
    <w:rsid w:val="00C34468"/>
    <w:rsid w:val="00C372F8"/>
    <w:rsid w:val="00C37A17"/>
    <w:rsid w:val="00C41DF1"/>
    <w:rsid w:val="00C42588"/>
    <w:rsid w:val="00C427A0"/>
    <w:rsid w:val="00C42F38"/>
    <w:rsid w:val="00C43937"/>
    <w:rsid w:val="00C44022"/>
    <w:rsid w:val="00C4627A"/>
    <w:rsid w:val="00C5080C"/>
    <w:rsid w:val="00C517B0"/>
    <w:rsid w:val="00C53506"/>
    <w:rsid w:val="00C5386C"/>
    <w:rsid w:val="00C57702"/>
    <w:rsid w:val="00C606AF"/>
    <w:rsid w:val="00C613EE"/>
    <w:rsid w:val="00C6282E"/>
    <w:rsid w:val="00C65ECB"/>
    <w:rsid w:val="00C6751B"/>
    <w:rsid w:val="00C70D16"/>
    <w:rsid w:val="00C720BE"/>
    <w:rsid w:val="00C72A99"/>
    <w:rsid w:val="00C73D5B"/>
    <w:rsid w:val="00C750B3"/>
    <w:rsid w:val="00C76321"/>
    <w:rsid w:val="00C77308"/>
    <w:rsid w:val="00C814DC"/>
    <w:rsid w:val="00C83918"/>
    <w:rsid w:val="00C844E5"/>
    <w:rsid w:val="00C85D05"/>
    <w:rsid w:val="00C9017B"/>
    <w:rsid w:val="00C93804"/>
    <w:rsid w:val="00C96777"/>
    <w:rsid w:val="00CA1100"/>
    <w:rsid w:val="00CA1A98"/>
    <w:rsid w:val="00CA1AA9"/>
    <w:rsid w:val="00CA347D"/>
    <w:rsid w:val="00CA6D48"/>
    <w:rsid w:val="00CA78D9"/>
    <w:rsid w:val="00CB1889"/>
    <w:rsid w:val="00CC4F1F"/>
    <w:rsid w:val="00CD1FF1"/>
    <w:rsid w:val="00CD3D32"/>
    <w:rsid w:val="00CD4F83"/>
    <w:rsid w:val="00CD748A"/>
    <w:rsid w:val="00CE106A"/>
    <w:rsid w:val="00CE2340"/>
    <w:rsid w:val="00CE2E5D"/>
    <w:rsid w:val="00CE3022"/>
    <w:rsid w:val="00CE505F"/>
    <w:rsid w:val="00CF2E8F"/>
    <w:rsid w:val="00CF773D"/>
    <w:rsid w:val="00D03704"/>
    <w:rsid w:val="00D06634"/>
    <w:rsid w:val="00D06EDB"/>
    <w:rsid w:val="00D14024"/>
    <w:rsid w:val="00D144A5"/>
    <w:rsid w:val="00D16502"/>
    <w:rsid w:val="00D23DEB"/>
    <w:rsid w:val="00D24CB5"/>
    <w:rsid w:val="00D26F01"/>
    <w:rsid w:val="00D326B4"/>
    <w:rsid w:val="00D36D8C"/>
    <w:rsid w:val="00D37EA6"/>
    <w:rsid w:val="00D412C9"/>
    <w:rsid w:val="00D51FE0"/>
    <w:rsid w:val="00D55ED4"/>
    <w:rsid w:val="00D562AF"/>
    <w:rsid w:val="00D5726A"/>
    <w:rsid w:val="00D573C4"/>
    <w:rsid w:val="00D61A07"/>
    <w:rsid w:val="00D61C73"/>
    <w:rsid w:val="00D67AB7"/>
    <w:rsid w:val="00D716A5"/>
    <w:rsid w:val="00D71C86"/>
    <w:rsid w:val="00D73D6C"/>
    <w:rsid w:val="00D74700"/>
    <w:rsid w:val="00D75023"/>
    <w:rsid w:val="00D75B7D"/>
    <w:rsid w:val="00D75B8D"/>
    <w:rsid w:val="00D776E5"/>
    <w:rsid w:val="00D801D7"/>
    <w:rsid w:val="00D871B1"/>
    <w:rsid w:val="00D92B61"/>
    <w:rsid w:val="00D95B83"/>
    <w:rsid w:val="00D960D9"/>
    <w:rsid w:val="00D97B8F"/>
    <w:rsid w:val="00DA019E"/>
    <w:rsid w:val="00DA0C9B"/>
    <w:rsid w:val="00DA3B72"/>
    <w:rsid w:val="00DA5030"/>
    <w:rsid w:val="00DA52B0"/>
    <w:rsid w:val="00DA5928"/>
    <w:rsid w:val="00DA7DAC"/>
    <w:rsid w:val="00DB34F7"/>
    <w:rsid w:val="00DB37E8"/>
    <w:rsid w:val="00DB40BE"/>
    <w:rsid w:val="00DB4645"/>
    <w:rsid w:val="00DB499A"/>
    <w:rsid w:val="00DB4B02"/>
    <w:rsid w:val="00DB5E1F"/>
    <w:rsid w:val="00DB7938"/>
    <w:rsid w:val="00DC208E"/>
    <w:rsid w:val="00DC35B0"/>
    <w:rsid w:val="00DC5383"/>
    <w:rsid w:val="00DC669D"/>
    <w:rsid w:val="00DC76E4"/>
    <w:rsid w:val="00DD3F56"/>
    <w:rsid w:val="00DD472F"/>
    <w:rsid w:val="00DD508E"/>
    <w:rsid w:val="00DD62E2"/>
    <w:rsid w:val="00DD6BA4"/>
    <w:rsid w:val="00DD6C98"/>
    <w:rsid w:val="00DE2F42"/>
    <w:rsid w:val="00DE3430"/>
    <w:rsid w:val="00DE3FA2"/>
    <w:rsid w:val="00DE465A"/>
    <w:rsid w:val="00DE49A5"/>
    <w:rsid w:val="00DE6DED"/>
    <w:rsid w:val="00DF5BCC"/>
    <w:rsid w:val="00DF6D10"/>
    <w:rsid w:val="00E0093A"/>
    <w:rsid w:val="00E013AC"/>
    <w:rsid w:val="00E02342"/>
    <w:rsid w:val="00E05CA9"/>
    <w:rsid w:val="00E069B9"/>
    <w:rsid w:val="00E06E1E"/>
    <w:rsid w:val="00E1073E"/>
    <w:rsid w:val="00E13E1F"/>
    <w:rsid w:val="00E15343"/>
    <w:rsid w:val="00E15D96"/>
    <w:rsid w:val="00E202D8"/>
    <w:rsid w:val="00E21AB6"/>
    <w:rsid w:val="00E224FD"/>
    <w:rsid w:val="00E25B12"/>
    <w:rsid w:val="00E358B8"/>
    <w:rsid w:val="00E35E50"/>
    <w:rsid w:val="00E37051"/>
    <w:rsid w:val="00E42DD2"/>
    <w:rsid w:val="00E440D2"/>
    <w:rsid w:val="00E44900"/>
    <w:rsid w:val="00E45922"/>
    <w:rsid w:val="00E46594"/>
    <w:rsid w:val="00E47551"/>
    <w:rsid w:val="00E51946"/>
    <w:rsid w:val="00E51D90"/>
    <w:rsid w:val="00E5264F"/>
    <w:rsid w:val="00E5392E"/>
    <w:rsid w:val="00E556EB"/>
    <w:rsid w:val="00E57443"/>
    <w:rsid w:val="00E60246"/>
    <w:rsid w:val="00E606DC"/>
    <w:rsid w:val="00E63B16"/>
    <w:rsid w:val="00E63C49"/>
    <w:rsid w:val="00E63C9A"/>
    <w:rsid w:val="00E72175"/>
    <w:rsid w:val="00E77E9D"/>
    <w:rsid w:val="00E855DB"/>
    <w:rsid w:val="00E91369"/>
    <w:rsid w:val="00E929BF"/>
    <w:rsid w:val="00E9717F"/>
    <w:rsid w:val="00E97D3B"/>
    <w:rsid w:val="00EA1348"/>
    <w:rsid w:val="00EA266C"/>
    <w:rsid w:val="00EA2A8E"/>
    <w:rsid w:val="00EA4A72"/>
    <w:rsid w:val="00EA4C8E"/>
    <w:rsid w:val="00EA6068"/>
    <w:rsid w:val="00EA6638"/>
    <w:rsid w:val="00EB0314"/>
    <w:rsid w:val="00EB6D4F"/>
    <w:rsid w:val="00EC188E"/>
    <w:rsid w:val="00EC27B1"/>
    <w:rsid w:val="00EC4D9B"/>
    <w:rsid w:val="00EC7AD6"/>
    <w:rsid w:val="00ED1541"/>
    <w:rsid w:val="00ED262E"/>
    <w:rsid w:val="00ED4688"/>
    <w:rsid w:val="00ED55CD"/>
    <w:rsid w:val="00EE3BF8"/>
    <w:rsid w:val="00EF17AE"/>
    <w:rsid w:val="00EF2F88"/>
    <w:rsid w:val="00EF43E9"/>
    <w:rsid w:val="00EF6034"/>
    <w:rsid w:val="00F00711"/>
    <w:rsid w:val="00F00BA6"/>
    <w:rsid w:val="00F0120B"/>
    <w:rsid w:val="00F02D45"/>
    <w:rsid w:val="00F05207"/>
    <w:rsid w:val="00F05674"/>
    <w:rsid w:val="00F07DC7"/>
    <w:rsid w:val="00F11D52"/>
    <w:rsid w:val="00F1203C"/>
    <w:rsid w:val="00F22A1A"/>
    <w:rsid w:val="00F22B3B"/>
    <w:rsid w:val="00F24AD2"/>
    <w:rsid w:val="00F2511C"/>
    <w:rsid w:val="00F254F2"/>
    <w:rsid w:val="00F256FA"/>
    <w:rsid w:val="00F2717C"/>
    <w:rsid w:val="00F31CBF"/>
    <w:rsid w:val="00F328A6"/>
    <w:rsid w:val="00F33165"/>
    <w:rsid w:val="00F33F00"/>
    <w:rsid w:val="00F36509"/>
    <w:rsid w:val="00F429AA"/>
    <w:rsid w:val="00F45B22"/>
    <w:rsid w:val="00F50775"/>
    <w:rsid w:val="00F50B51"/>
    <w:rsid w:val="00F52BA8"/>
    <w:rsid w:val="00F55FF7"/>
    <w:rsid w:val="00F5721A"/>
    <w:rsid w:val="00F57CF8"/>
    <w:rsid w:val="00F64BDE"/>
    <w:rsid w:val="00F66C36"/>
    <w:rsid w:val="00F70D3F"/>
    <w:rsid w:val="00F7236A"/>
    <w:rsid w:val="00F7337C"/>
    <w:rsid w:val="00F747BC"/>
    <w:rsid w:val="00F7563D"/>
    <w:rsid w:val="00F776DD"/>
    <w:rsid w:val="00F77C55"/>
    <w:rsid w:val="00F8217A"/>
    <w:rsid w:val="00F85AC0"/>
    <w:rsid w:val="00F85C3D"/>
    <w:rsid w:val="00F972F1"/>
    <w:rsid w:val="00F97C51"/>
    <w:rsid w:val="00FA1200"/>
    <w:rsid w:val="00FA149F"/>
    <w:rsid w:val="00FA2C8E"/>
    <w:rsid w:val="00FA5657"/>
    <w:rsid w:val="00FA5FD8"/>
    <w:rsid w:val="00FA7C40"/>
    <w:rsid w:val="00FB02FC"/>
    <w:rsid w:val="00FC1D32"/>
    <w:rsid w:val="00FC7075"/>
    <w:rsid w:val="00FD6364"/>
    <w:rsid w:val="00FD7182"/>
    <w:rsid w:val="00FD755C"/>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AE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
    <w:link w:val="ListParagraph"/>
    <w:uiPriority w:val="34"/>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 w:type="character" w:customStyle="1" w:styleId="apple-converted-space">
    <w:name w:val="apple-converted-space"/>
    <w:basedOn w:val="DefaultParagraphFont"/>
    <w:rsid w:val="00C73D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
    <w:link w:val="ListParagraph"/>
    <w:uiPriority w:val="34"/>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 w:type="character" w:customStyle="1" w:styleId="apple-converted-space">
    <w:name w:val="apple-converted-space"/>
    <w:basedOn w:val="DefaultParagraphFont"/>
    <w:rsid w:val="00C73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3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bs.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au/internet/main/publishing.nsf/Content/PBAC_online_submission_for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bs.gov.au/pbs/industry/listing/elements/pbac-meetings/agenda/march-2018-pbac-meeting-agend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bs.gov.au/pbs/industry/listing/elements/pbac-meetings/agenda/march-2018-pbac-meeting-agenda" TargetMode="External"/><Relationship Id="rId14" Type="http://schemas.openxmlformats.org/officeDocument/2006/relationships/header" Target="header2.xml"/><Relationship Id="rId22" Type="http://schemas.microsoft.com/office/2011/relationships/commentsExtended" Target="commentsExtended.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egraa\AppData\Local\Microsoft\Windows\Temporary%20Internet%20Files\Content.Outlook\KCVNED2J\dusc-dos-Feb-2018_SA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9FC7F-ED61-4506-AB62-DDD0E887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dusc-dos-Feb-2018_SAP.dotx</Template>
  <TotalTime>0</TotalTime>
  <Pages>3</Pages>
  <Words>1024</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7217</CharactersWithSpaces>
  <SharedDoc>false</SharedDoc>
  <HLinks>
    <vt:vector size="12" baseType="variant">
      <vt:variant>
        <vt:i4>7798824</vt:i4>
      </vt:variant>
      <vt:variant>
        <vt:i4>3</vt:i4>
      </vt:variant>
      <vt:variant>
        <vt:i4>0</vt:i4>
      </vt:variant>
      <vt:variant>
        <vt:i4>5</vt:i4>
      </vt:variant>
      <vt:variant>
        <vt:lpwstr>http://www.pbs.gov.au/</vt:lpwstr>
      </vt:variant>
      <vt:variant>
        <vt:lpwstr/>
      </vt:variant>
      <vt:variant>
        <vt:i4>3735671</vt:i4>
      </vt:variant>
      <vt:variant>
        <vt:i4>0</vt:i4>
      </vt:variant>
      <vt:variant>
        <vt:i4>0</vt:i4>
      </vt:variant>
      <vt:variant>
        <vt:i4>5</vt:i4>
      </vt:variant>
      <vt:variant>
        <vt:lpwstr>http://pbs.gov.au/info/industry/listing/elements/pbac-meetings/agenda/november-2015-pbac-meeting-agenda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2018-02-27T06:26:00Z</dcterms:created>
  <dcterms:modified xsi:type="dcterms:W3CDTF">2018-03-09T00:49:00Z</dcterms:modified>
</cp:coreProperties>
</file>