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FE53E" w14:textId="77777777" w:rsidR="00A20CBD" w:rsidRDefault="00A20CBD" w:rsidP="00855B59">
      <w:pPr>
        <w:ind w:left="2160" w:firstLine="720"/>
        <w:rPr>
          <w:b/>
          <w:sz w:val="24"/>
          <w:szCs w:val="24"/>
        </w:rPr>
      </w:pPr>
      <w:bookmarkStart w:id="0" w:name="_GoBack"/>
      <w:bookmarkEnd w:id="0"/>
    </w:p>
    <w:p w14:paraId="29FA5404" w14:textId="3ACA98AF" w:rsidR="003F06C8" w:rsidRPr="005F3EF0" w:rsidRDefault="003F06C8" w:rsidP="008B6946">
      <w:pPr>
        <w:widowControl w:val="0"/>
        <w:tabs>
          <w:tab w:val="left" w:pos="8931"/>
          <w:tab w:val="left" w:pos="9028"/>
          <w:tab w:val="left" w:pos="9072"/>
        </w:tabs>
        <w:rPr>
          <w:sz w:val="24"/>
          <w:szCs w:val="24"/>
        </w:rPr>
      </w:pPr>
      <w:r w:rsidRPr="005F3EF0">
        <w:rPr>
          <w:sz w:val="24"/>
          <w:szCs w:val="24"/>
        </w:rPr>
        <w:t>The Drug Utilisation Sub-Committee (DUSC) of</w:t>
      </w:r>
      <w:r w:rsidR="005F3EF0">
        <w:rPr>
          <w:sz w:val="24"/>
          <w:szCs w:val="24"/>
        </w:rPr>
        <w:t xml:space="preserve"> </w:t>
      </w:r>
      <w:r w:rsidR="008F7F63">
        <w:rPr>
          <w:sz w:val="24"/>
          <w:szCs w:val="24"/>
        </w:rPr>
        <w:t xml:space="preserve">the </w:t>
      </w:r>
      <w:r w:rsidR="00605905">
        <w:rPr>
          <w:sz w:val="24"/>
          <w:szCs w:val="24"/>
        </w:rPr>
        <w:t>P</w:t>
      </w:r>
      <w:r w:rsidRPr="005F3EF0">
        <w:rPr>
          <w:sz w:val="24"/>
          <w:szCs w:val="24"/>
        </w:rPr>
        <w:t>harmaceutical Benefits Advisory Committee (PBAC) h</w:t>
      </w:r>
      <w:r w:rsidR="00605905">
        <w:rPr>
          <w:sz w:val="24"/>
          <w:szCs w:val="24"/>
        </w:rPr>
        <w:t>eld</w:t>
      </w:r>
      <w:r w:rsidRPr="005F3EF0">
        <w:rPr>
          <w:sz w:val="24"/>
          <w:szCs w:val="24"/>
        </w:rPr>
        <w:t xml:space="preserve"> its </w:t>
      </w:r>
      <w:r w:rsidR="00E47BA1">
        <w:rPr>
          <w:sz w:val="24"/>
          <w:szCs w:val="24"/>
        </w:rPr>
        <w:t>93r</w:t>
      </w:r>
      <w:r w:rsidR="00B92105">
        <w:rPr>
          <w:sz w:val="24"/>
          <w:szCs w:val="24"/>
        </w:rPr>
        <w:t>d</w:t>
      </w:r>
      <w:r w:rsidR="000A0713" w:rsidRPr="005F3EF0">
        <w:rPr>
          <w:sz w:val="24"/>
          <w:szCs w:val="24"/>
        </w:rPr>
        <w:t xml:space="preserve"> </w:t>
      </w:r>
      <w:r w:rsidRPr="005F3EF0">
        <w:rPr>
          <w:sz w:val="24"/>
          <w:szCs w:val="24"/>
        </w:rPr>
        <w:t xml:space="preserve">meeting on </w:t>
      </w:r>
      <w:r w:rsidR="00E47BA1">
        <w:rPr>
          <w:sz w:val="24"/>
          <w:szCs w:val="24"/>
        </w:rPr>
        <w:t>3</w:t>
      </w:r>
      <w:r w:rsidR="00B92105">
        <w:rPr>
          <w:sz w:val="24"/>
          <w:szCs w:val="24"/>
        </w:rPr>
        <w:t>1</w:t>
      </w:r>
      <w:r w:rsidR="00B92105" w:rsidRPr="00B92105">
        <w:rPr>
          <w:sz w:val="24"/>
          <w:szCs w:val="24"/>
          <w:vertAlign w:val="superscript"/>
        </w:rPr>
        <w:t>st</w:t>
      </w:r>
      <w:r w:rsidR="00E47BA1">
        <w:rPr>
          <w:sz w:val="24"/>
          <w:szCs w:val="24"/>
        </w:rPr>
        <w:t xml:space="preserve"> of May</w:t>
      </w:r>
      <w:r w:rsidR="00B92105">
        <w:rPr>
          <w:sz w:val="24"/>
          <w:szCs w:val="24"/>
        </w:rPr>
        <w:t xml:space="preserve"> 2018</w:t>
      </w:r>
      <w:r w:rsidRPr="005F3EF0">
        <w:rPr>
          <w:sz w:val="24"/>
          <w:szCs w:val="24"/>
        </w:rPr>
        <w:t>.</w:t>
      </w:r>
    </w:p>
    <w:p w14:paraId="0375E4CA" w14:textId="77777777" w:rsidR="003F06C8" w:rsidRDefault="003F06C8" w:rsidP="008B6946">
      <w:pPr>
        <w:tabs>
          <w:tab w:val="left" w:pos="4820"/>
          <w:tab w:val="left" w:pos="8931"/>
          <w:tab w:val="left" w:pos="9028"/>
          <w:tab w:val="left" w:pos="9072"/>
        </w:tabs>
        <w:rPr>
          <w:sz w:val="24"/>
          <w:szCs w:val="24"/>
        </w:rPr>
      </w:pPr>
    </w:p>
    <w:p w14:paraId="5CD6C9DC" w14:textId="77777777" w:rsidR="00855B59" w:rsidRDefault="003833F2" w:rsidP="008B6946">
      <w:pPr>
        <w:tabs>
          <w:tab w:val="left" w:pos="4820"/>
          <w:tab w:val="left" w:pos="8931"/>
          <w:tab w:val="left" w:pos="9028"/>
          <w:tab w:val="left" w:pos="9072"/>
        </w:tabs>
        <w:rPr>
          <w:sz w:val="24"/>
          <w:szCs w:val="24"/>
        </w:rPr>
      </w:pPr>
      <w:r>
        <w:rPr>
          <w:sz w:val="24"/>
          <w:szCs w:val="24"/>
        </w:rPr>
        <w:t>DUSC has</w:t>
      </w:r>
      <w:r w:rsidR="001071DA" w:rsidRPr="001071DA">
        <w:rPr>
          <w:sz w:val="24"/>
          <w:szCs w:val="24"/>
        </w:rPr>
        <w:t xml:space="preserve"> a national focus of excellence in collecting, analysing and interpreting data on the utilisation of medicines in Australia</w:t>
      </w:r>
      <w:r w:rsidR="00855B59">
        <w:rPr>
          <w:sz w:val="24"/>
          <w:szCs w:val="24"/>
        </w:rPr>
        <w:t xml:space="preserve"> for use by the PBAC</w:t>
      </w:r>
      <w:r w:rsidR="001071DA" w:rsidRPr="001071DA">
        <w:rPr>
          <w:sz w:val="24"/>
          <w:szCs w:val="24"/>
        </w:rPr>
        <w:t xml:space="preserve">. </w:t>
      </w:r>
      <w:r w:rsidR="003361C9">
        <w:rPr>
          <w:sz w:val="24"/>
          <w:szCs w:val="24"/>
        </w:rPr>
        <w:t>Review of the</w:t>
      </w:r>
      <w:r w:rsidR="001071DA" w:rsidRPr="001071DA">
        <w:rPr>
          <w:sz w:val="24"/>
          <w:szCs w:val="24"/>
        </w:rPr>
        <w:t xml:space="preserve"> </w:t>
      </w:r>
      <w:r w:rsidR="003361C9">
        <w:rPr>
          <w:sz w:val="24"/>
          <w:szCs w:val="24"/>
        </w:rPr>
        <w:t>u</w:t>
      </w:r>
      <w:r w:rsidR="001071DA" w:rsidRPr="001071DA">
        <w:rPr>
          <w:sz w:val="24"/>
          <w:szCs w:val="24"/>
        </w:rPr>
        <w:t>tilisation of medicines is an essential management tool in facilitating the objectives of the National Medicines Policy</w:t>
      </w:r>
      <w:r w:rsidR="00387684">
        <w:rPr>
          <w:sz w:val="24"/>
          <w:szCs w:val="24"/>
        </w:rPr>
        <w:t>.</w:t>
      </w:r>
    </w:p>
    <w:p w14:paraId="370AEAC5" w14:textId="77777777" w:rsidR="00855B59" w:rsidRDefault="00855B59" w:rsidP="008B6946">
      <w:pPr>
        <w:tabs>
          <w:tab w:val="left" w:pos="4820"/>
          <w:tab w:val="left" w:pos="8931"/>
          <w:tab w:val="left" w:pos="9028"/>
          <w:tab w:val="left" w:pos="9072"/>
        </w:tabs>
        <w:rPr>
          <w:sz w:val="24"/>
          <w:szCs w:val="24"/>
        </w:rPr>
      </w:pPr>
    </w:p>
    <w:p w14:paraId="38DD45FC" w14:textId="77777777" w:rsidR="004566A9" w:rsidRPr="00855B59" w:rsidRDefault="00855B59" w:rsidP="008B6946">
      <w:pPr>
        <w:pStyle w:val="Heading2"/>
      </w:pPr>
      <w:r w:rsidRPr="00855B59">
        <w:t>Su</w:t>
      </w:r>
      <w:r w:rsidR="004566A9" w:rsidRPr="00855B59">
        <w:t>bmissions to the PBAC</w:t>
      </w:r>
    </w:p>
    <w:p w14:paraId="1BD293CA" w14:textId="5F781F33" w:rsidR="009237FF" w:rsidRDefault="003F06C8" w:rsidP="008B6946">
      <w:pPr>
        <w:rPr>
          <w:sz w:val="24"/>
          <w:szCs w:val="24"/>
        </w:rPr>
      </w:pPr>
      <w:r w:rsidRPr="0035237B">
        <w:rPr>
          <w:sz w:val="24"/>
          <w:szCs w:val="24"/>
        </w:rPr>
        <w:t xml:space="preserve">DUSC noted that </w:t>
      </w:r>
      <w:r w:rsidR="00746212">
        <w:rPr>
          <w:sz w:val="24"/>
          <w:szCs w:val="24"/>
        </w:rPr>
        <w:t>30</w:t>
      </w:r>
      <w:r w:rsidRPr="0035237B">
        <w:rPr>
          <w:sz w:val="24"/>
          <w:szCs w:val="24"/>
        </w:rPr>
        <w:t xml:space="preserve"> major submissions had been received for the </w:t>
      </w:r>
      <w:r w:rsidR="00746212">
        <w:rPr>
          <w:sz w:val="24"/>
          <w:szCs w:val="24"/>
        </w:rPr>
        <w:t>July</w:t>
      </w:r>
      <w:r w:rsidR="001E4D54" w:rsidRPr="0035237B">
        <w:rPr>
          <w:sz w:val="24"/>
          <w:szCs w:val="24"/>
        </w:rPr>
        <w:t xml:space="preserve"> 2018</w:t>
      </w:r>
      <w:r w:rsidRPr="0035237B">
        <w:rPr>
          <w:sz w:val="24"/>
          <w:szCs w:val="24"/>
        </w:rPr>
        <w:t xml:space="preserve"> meeting of PBAC. </w:t>
      </w:r>
      <w:r w:rsidR="008F7F63" w:rsidRPr="0035237B">
        <w:rPr>
          <w:sz w:val="24"/>
          <w:szCs w:val="24"/>
        </w:rPr>
        <w:t xml:space="preserve">DUSC provided detailed advice to the PBAC on </w:t>
      </w:r>
      <w:r w:rsidR="009230A9" w:rsidRPr="0035237B">
        <w:rPr>
          <w:sz w:val="24"/>
          <w:szCs w:val="24"/>
        </w:rPr>
        <w:t xml:space="preserve">projected usage and financial cost for </w:t>
      </w:r>
      <w:r w:rsidR="003833F2" w:rsidRPr="0035237B">
        <w:rPr>
          <w:sz w:val="24"/>
          <w:szCs w:val="24"/>
        </w:rPr>
        <w:t xml:space="preserve">the </w:t>
      </w:r>
      <w:r w:rsidR="005C053B" w:rsidRPr="0035237B">
        <w:rPr>
          <w:sz w:val="24"/>
          <w:szCs w:val="24"/>
        </w:rPr>
        <w:t>major</w:t>
      </w:r>
      <w:r w:rsidRPr="0035237B">
        <w:rPr>
          <w:sz w:val="24"/>
          <w:szCs w:val="24"/>
        </w:rPr>
        <w:t xml:space="preserve"> submissions</w:t>
      </w:r>
      <w:r w:rsidR="00C814DC" w:rsidRPr="0035237B">
        <w:rPr>
          <w:sz w:val="24"/>
          <w:szCs w:val="24"/>
        </w:rPr>
        <w:t xml:space="preserve"> where there is high cost, uncertain utilisation</w:t>
      </w:r>
      <w:r w:rsidR="00FA149F" w:rsidRPr="0035237B">
        <w:rPr>
          <w:sz w:val="24"/>
          <w:szCs w:val="24"/>
        </w:rPr>
        <w:t xml:space="preserve">, first </w:t>
      </w:r>
      <w:r w:rsidR="007D4108" w:rsidRPr="0035237B">
        <w:rPr>
          <w:sz w:val="24"/>
          <w:szCs w:val="24"/>
        </w:rPr>
        <w:t xml:space="preserve">medicine </w:t>
      </w:r>
      <w:r w:rsidR="00FA149F" w:rsidRPr="0035237B">
        <w:rPr>
          <w:sz w:val="24"/>
          <w:szCs w:val="24"/>
        </w:rPr>
        <w:t xml:space="preserve">in class or </w:t>
      </w:r>
      <w:r w:rsidR="003361C9" w:rsidRPr="0035237B">
        <w:rPr>
          <w:sz w:val="24"/>
          <w:szCs w:val="24"/>
        </w:rPr>
        <w:t>q</w:t>
      </w:r>
      <w:r w:rsidR="00FA149F" w:rsidRPr="0035237B">
        <w:rPr>
          <w:sz w:val="24"/>
          <w:szCs w:val="24"/>
        </w:rPr>
        <w:t xml:space="preserve">uality </w:t>
      </w:r>
      <w:r w:rsidR="003361C9" w:rsidRPr="0035237B">
        <w:rPr>
          <w:sz w:val="24"/>
          <w:szCs w:val="24"/>
        </w:rPr>
        <w:t>u</w:t>
      </w:r>
      <w:r w:rsidR="00FA149F" w:rsidRPr="0035237B">
        <w:rPr>
          <w:sz w:val="24"/>
          <w:szCs w:val="24"/>
        </w:rPr>
        <w:t xml:space="preserve">se of </w:t>
      </w:r>
      <w:r w:rsidR="003361C9" w:rsidRPr="0035237B">
        <w:rPr>
          <w:sz w:val="24"/>
          <w:szCs w:val="24"/>
        </w:rPr>
        <w:t>m</w:t>
      </w:r>
      <w:r w:rsidR="00FA149F" w:rsidRPr="0035237B">
        <w:rPr>
          <w:sz w:val="24"/>
          <w:szCs w:val="24"/>
        </w:rPr>
        <w:t xml:space="preserve">edicines </w:t>
      </w:r>
      <w:r w:rsidR="0042129E" w:rsidRPr="0035237B">
        <w:rPr>
          <w:sz w:val="24"/>
          <w:szCs w:val="24"/>
        </w:rPr>
        <w:t>concerns</w:t>
      </w:r>
      <w:r w:rsidR="005C053B" w:rsidRPr="0035237B">
        <w:rPr>
          <w:sz w:val="24"/>
          <w:szCs w:val="24"/>
        </w:rPr>
        <w:t xml:space="preserve">. </w:t>
      </w:r>
      <w:r w:rsidR="008F7F63" w:rsidRPr="0035237B">
        <w:rPr>
          <w:sz w:val="24"/>
          <w:szCs w:val="24"/>
        </w:rPr>
        <w:t xml:space="preserve">The </w:t>
      </w:r>
      <w:r w:rsidR="005C053B" w:rsidRPr="0035237B">
        <w:rPr>
          <w:sz w:val="24"/>
          <w:szCs w:val="24"/>
        </w:rPr>
        <w:t>a</w:t>
      </w:r>
      <w:r w:rsidR="008F7F63" w:rsidRPr="0035237B">
        <w:rPr>
          <w:sz w:val="24"/>
          <w:szCs w:val="24"/>
        </w:rPr>
        <w:t xml:space="preserve">genda </w:t>
      </w:r>
      <w:r w:rsidR="005C053B" w:rsidRPr="0035237B">
        <w:rPr>
          <w:sz w:val="24"/>
          <w:szCs w:val="24"/>
        </w:rPr>
        <w:t xml:space="preserve">for the </w:t>
      </w:r>
      <w:r w:rsidR="00746212">
        <w:rPr>
          <w:sz w:val="24"/>
          <w:szCs w:val="24"/>
        </w:rPr>
        <w:t>July</w:t>
      </w:r>
      <w:r w:rsidR="00F2511C" w:rsidRPr="0035237B">
        <w:rPr>
          <w:sz w:val="24"/>
          <w:szCs w:val="24"/>
        </w:rPr>
        <w:t xml:space="preserve"> </w:t>
      </w:r>
      <w:r w:rsidR="00C93804" w:rsidRPr="0035237B">
        <w:rPr>
          <w:sz w:val="24"/>
          <w:szCs w:val="24"/>
        </w:rPr>
        <w:t>2018</w:t>
      </w:r>
      <w:r w:rsidR="005C053B" w:rsidRPr="0035237B">
        <w:rPr>
          <w:sz w:val="24"/>
          <w:szCs w:val="24"/>
        </w:rPr>
        <w:t xml:space="preserve"> PBAC meeting </w:t>
      </w:r>
      <w:r w:rsidR="008F7F63" w:rsidRPr="0035237B">
        <w:rPr>
          <w:sz w:val="24"/>
          <w:szCs w:val="24"/>
        </w:rPr>
        <w:t xml:space="preserve">can be found </w:t>
      </w:r>
      <w:r w:rsidR="00E013AC" w:rsidRPr="0035237B">
        <w:rPr>
          <w:sz w:val="24"/>
          <w:szCs w:val="24"/>
        </w:rPr>
        <w:t xml:space="preserve">on the </w:t>
      </w:r>
      <w:hyperlink r:id="rId9" w:history="1">
        <w:r w:rsidR="00E013AC" w:rsidRPr="0035237B">
          <w:rPr>
            <w:rStyle w:val="Hyperlink"/>
            <w:sz w:val="24"/>
            <w:szCs w:val="24"/>
          </w:rPr>
          <w:t>PBS</w:t>
        </w:r>
        <w:r w:rsidR="006E3AF2">
          <w:rPr>
            <w:rStyle w:val="Hyperlink"/>
            <w:sz w:val="24"/>
            <w:szCs w:val="24"/>
          </w:rPr>
          <w:t> </w:t>
        </w:r>
        <w:r w:rsidR="00E013AC" w:rsidRPr="0035237B">
          <w:rPr>
            <w:rStyle w:val="Hyperlink"/>
            <w:sz w:val="24"/>
            <w:szCs w:val="24"/>
          </w:rPr>
          <w:t>website</w:t>
        </w:r>
      </w:hyperlink>
      <w:r w:rsidR="00E013AC" w:rsidRPr="0035237B">
        <w:rPr>
          <w:sz w:val="24"/>
          <w:szCs w:val="24"/>
        </w:rPr>
        <w:t>.</w:t>
      </w:r>
    </w:p>
    <w:p w14:paraId="787C6B8B" w14:textId="77777777" w:rsidR="00A453E3" w:rsidRDefault="00A453E3" w:rsidP="008B6946">
      <w:pPr>
        <w:rPr>
          <w:sz w:val="24"/>
          <w:szCs w:val="24"/>
        </w:rPr>
      </w:pPr>
    </w:p>
    <w:p w14:paraId="5836B86B" w14:textId="77777777" w:rsidR="004566A9" w:rsidRPr="004566A9" w:rsidRDefault="00DA5030" w:rsidP="008B6946">
      <w:pPr>
        <w:pStyle w:val="Heading2"/>
      </w:pPr>
      <w:r>
        <w:t xml:space="preserve">Utilisation </w:t>
      </w:r>
      <w:r w:rsidR="00006EF5">
        <w:t>of PBS L</w:t>
      </w:r>
      <w:r w:rsidR="004566A9" w:rsidRPr="004566A9">
        <w:t xml:space="preserve">isted </w:t>
      </w:r>
      <w:r w:rsidR="00006EF5">
        <w:t>M</w:t>
      </w:r>
      <w:r w:rsidR="007D4108">
        <w:t>edicine</w:t>
      </w:r>
      <w:r w:rsidR="007D4108" w:rsidRPr="004566A9">
        <w:t>s</w:t>
      </w:r>
    </w:p>
    <w:p w14:paraId="464DC3B4" w14:textId="56DEE10A" w:rsidR="00B0144A" w:rsidRPr="00B12248" w:rsidRDefault="00CD4F83" w:rsidP="008B6946">
      <w:pPr>
        <w:rPr>
          <w:sz w:val="24"/>
          <w:szCs w:val="24"/>
        </w:rPr>
      </w:pPr>
      <w:r w:rsidRPr="00B12248">
        <w:rPr>
          <w:sz w:val="24"/>
          <w:szCs w:val="24"/>
        </w:rPr>
        <w:t xml:space="preserve">DUSC </w:t>
      </w:r>
      <w:r w:rsidR="001071DA" w:rsidRPr="00B12248">
        <w:rPr>
          <w:sz w:val="24"/>
          <w:szCs w:val="24"/>
        </w:rPr>
        <w:t xml:space="preserve">regularly </w:t>
      </w:r>
      <w:r w:rsidR="00DA5030" w:rsidRPr="00B12248">
        <w:rPr>
          <w:sz w:val="24"/>
          <w:szCs w:val="24"/>
        </w:rPr>
        <w:t>examines</w:t>
      </w:r>
      <w:r w:rsidRPr="00B12248">
        <w:rPr>
          <w:sz w:val="24"/>
          <w:szCs w:val="24"/>
        </w:rPr>
        <w:t xml:space="preserve"> </w:t>
      </w:r>
      <w:r w:rsidR="00DA5030" w:rsidRPr="00B12248">
        <w:rPr>
          <w:sz w:val="24"/>
          <w:szCs w:val="24"/>
        </w:rPr>
        <w:t xml:space="preserve">utilisation of </w:t>
      </w:r>
      <w:r w:rsidR="00F77C55" w:rsidRPr="00B12248">
        <w:rPr>
          <w:sz w:val="24"/>
          <w:szCs w:val="24"/>
        </w:rPr>
        <w:t xml:space="preserve">PBS items when there is at least </w:t>
      </w:r>
      <w:r w:rsidR="00D144A5" w:rsidRPr="00B12248">
        <w:rPr>
          <w:sz w:val="24"/>
          <w:szCs w:val="24"/>
        </w:rPr>
        <w:t>24</w:t>
      </w:r>
      <w:r w:rsidRPr="00B12248">
        <w:rPr>
          <w:sz w:val="24"/>
          <w:szCs w:val="24"/>
        </w:rPr>
        <w:t xml:space="preserve"> months of prescription data </w:t>
      </w:r>
      <w:r w:rsidR="00F77C55" w:rsidRPr="00B12248">
        <w:rPr>
          <w:sz w:val="24"/>
          <w:szCs w:val="24"/>
        </w:rPr>
        <w:t xml:space="preserve">available </w:t>
      </w:r>
      <w:r w:rsidRPr="00B12248">
        <w:rPr>
          <w:sz w:val="24"/>
          <w:szCs w:val="24"/>
        </w:rPr>
        <w:t xml:space="preserve">and where DUSC </w:t>
      </w:r>
      <w:r w:rsidR="00590036" w:rsidRPr="00B12248">
        <w:rPr>
          <w:sz w:val="24"/>
          <w:szCs w:val="24"/>
        </w:rPr>
        <w:t xml:space="preserve">or the PBAC </w:t>
      </w:r>
      <w:r w:rsidRPr="00B12248">
        <w:rPr>
          <w:sz w:val="24"/>
          <w:szCs w:val="24"/>
        </w:rPr>
        <w:t xml:space="preserve">has highlighted items of interest. </w:t>
      </w:r>
      <w:r w:rsidR="00FA149F" w:rsidRPr="00B12248">
        <w:rPr>
          <w:sz w:val="24"/>
          <w:szCs w:val="24"/>
        </w:rPr>
        <w:t>When a</w:t>
      </w:r>
      <w:r w:rsidR="003D6C07" w:rsidRPr="00B12248">
        <w:rPr>
          <w:sz w:val="24"/>
          <w:szCs w:val="24"/>
        </w:rPr>
        <w:t>n analysis</w:t>
      </w:r>
      <w:r w:rsidR="00DA5030" w:rsidRPr="00B12248">
        <w:rPr>
          <w:sz w:val="24"/>
          <w:szCs w:val="24"/>
        </w:rPr>
        <w:t xml:space="preserve"> of u</w:t>
      </w:r>
      <w:r w:rsidR="003D6C07" w:rsidRPr="00B12248">
        <w:rPr>
          <w:sz w:val="24"/>
          <w:szCs w:val="24"/>
        </w:rPr>
        <w:t>tilisation</w:t>
      </w:r>
      <w:r w:rsidR="001071DA" w:rsidRPr="00B12248">
        <w:rPr>
          <w:sz w:val="24"/>
          <w:szCs w:val="24"/>
        </w:rPr>
        <w:t xml:space="preserve"> is to be undertaken</w:t>
      </w:r>
      <w:r w:rsidR="00FA149F" w:rsidRPr="00B12248">
        <w:rPr>
          <w:sz w:val="24"/>
          <w:szCs w:val="24"/>
        </w:rPr>
        <w:t xml:space="preserve"> sponsors are notified,</w:t>
      </w:r>
      <w:r w:rsidR="001071DA" w:rsidRPr="00B12248">
        <w:rPr>
          <w:sz w:val="24"/>
          <w:szCs w:val="24"/>
        </w:rPr>
        <w:t xml:space="preserve"> </w:t>
      </w:r>
      <w:r w:rsidR="00FA149F" w:rsidRPr="00B12248">
        <w:rPr>
          <w:sz w:val="24"/>
          <w:szCs w:val="24"/>
        </w:rPr>
        <w:t>provided with a copy of the re</w:t>
      </w:r>
      <w:r w:rsidR="00DA5030" w:rsidRPr="00B12248">
        <w:rPr>
          <w:sz w:val="24"/>
          <w:szCs w:val="24"/>
        </w:rPr>
        <w:t>port</w:t>
      </w:r>
      <w:r w:rsidR="00FA149F" w:rsidRPr="00B12248">
        <w:rPr>
          <w:sz w:val="24"/>
          <w:szCs w:val="24"/>
        </w:rPr>
        <w:t xml:space="preserve"> and an opportunity to comment</w:t>
      </w:r>
      <w:r w:rsidR="001071DA" w:rsidRPr="00B12248">
        <w:rPr>
          <w:sz w:val="24"/>
          <w:szCs w:val="24"/>
        </w:rPr>
        <w:t xml:space="preserve"> prior to the DUSC meeting.</w:t>
      </w:r>
      <w:r w:rsidR="00591C2B" w:rsidRPr="00B12248">
        <w:rPr>
          <w:sz w:val="24"/>
          <w:szCs w:val="24"/>
        </w:rPr>
        <w:t xml:space="preserve"> Reviews to be considered by the PBAC are also published </w:t>
      </w:r>
      <w:r w:rsidR="00021AF3" w:rsidRPr="00B12248">
        <w:rPr>
          <w:sz w:val="24"/>
          <w:szCs w:val="24"/>
        </w:rPr>
        <w:t>in</w:t>
      </w:r>
      <w:r w:rsidR="00591C2B" w:rsidRPr="00B12248">
        <w:rPr>
          <w:sz w:val="24"/>
          <w:szCs w:val="24"/>
        </w:rPr>
        <w:t xml:space="preserve"> the </w:t>
      </w:r>
      <w:hyperlink r:id="rId10" w:history="1">
        <w:r w:rsidR="00591C2B" w:rsidRPr="00B12248">
          <w:rPr>
            <w:rStyle w:val="Hyperlink"/>
            <w:sz w:val="24"/>
            <w:szCs w:val="24"/>
          </w:rPr>
          <w:t xml:space="preserve">PBAC </w:t>
        </w:r>
        <w:r w:rsidR="00021AF3" w:rsidRPr="00B12248">
          <w:rPr>
            <w:rStyle w:val="Hyperlink"/>
            <w:sz w:val="24"/>
            <w:szCs w:val="24"/>
          </w:rPr>
          <w:t>meeting</w:t>
        </w:r>
        <w:r w:rsidR="00591C2B" w:rsidRPr="00B12248">
          <w:rPr>
            <w:rStyle w:val="Hyperlink"/>
            <w:sz w:val="24"/>
            <w:szCs w:val="24"/>
          </w:rPr>
          <w:t xml:space="preserve"> agenda</w:t>
        </w:r>
      </w:hyperlink>
      <w:r w:rsidR="00591C2B" w:rsidRPr="00B12248">
        <w:rPr>
          <w:sz w:val="24"/>
          <w:szCs w:val="24"/>
        </w:rPr>
        <w:t>.</w:t>
      </w:r>
    </w:p>
    <w:p w14:paraId="30599A45" w14:textId="77777777" w:rsidR="00591C2B" w:rsidRPr="00B12248" w:rsidRDefault="00591C2B" w:rsidP="008B6946">
      <w:pPr>
        <w:rPr>
          <w:sz w:val="24"/>
          <w:szCs w:val="24"/>
        </w:rPr>
      </w:pPr>
    </w:p>
    <w:p w14:paraId="788026A6" w14:textId="77777777" w:rsidR="00591C2B" w:rsidRPr="00B12248" w:rsidRDefault="00B0144A" w:rsidP="00D97B8F">
      <w:pPr>
        <w:rPr>
          <w:sz w:val="24"/>
          <w:szCs w:val="24"/>
        </w:rPr>
      </w:pPr>
      <w:r w:rsidRPr="00B12248">
        <w:rPr>
          <w:sz w:val="24"/>
          <w:szCs w:val="24"/>
        </w:rPr>
        <w:t>All repo</w:t>
      </w:r>
      <w:r w:rsidR="003833F2" w:rsidRPr="00B12248">
        <w:rPr>
          <w:sz w:val="24"/>
          <w:szCs w:val="24"/>
        </w:rPr>
        <w:t>rts, Sponsor comments and DUSC assessment</w:t>
      </w:r>
      <w:r w:rsidRPr="00B12248">
        <w:rPr>
          <w:sz w:val="24"/>
          <w:szCs w:val="24"/>
        </w:rPr>
        <w:t xml:space="preserve"> of the reports are subsequently provided to the PBAC.</w:t>
      </w:r>
    </w:p>
    <w:p w14:paraId="6757A97C" w14:textId="77777777" w:rsidR="00591C2B" w:rsidRPr="00B12248" w:rsidRDefault="00591C2B" w:rsidP="00D97B8F">
      <w:pPr>
        <w:rPr>
          <w:sz w:val="24"/>
          <w:szCs w:val="24"/>
        </w:rPr>
      </w:pPr>
    </w:p>
    <w:p w14:paraId="290DEB91" w14:textId="77777777" w:rsidR="00D97B8F" w:rsidRPr="00B12248" w:rsidRDefault="00591C2B" w:rsidP="00D97B8F">
      <w:pPr>
        <w:rPr>
          <w:sz w:val="24"/>
          <w:szCs w:val="24"/>
        </w:rPr>
      </w:pPr>
      <w:r w:rsidRPr="00B12248">
        <w:rPr>
          <w:sz w:val="24"/>
          <w:szCs w:val="24"/>
        </w:rPr>
        <w:t xml:space="preserve">The PBAC is committed to understanding consumer perspectives and integrating them into its consideration of medicines and vaccines. </w:t>
      </w:r>
      <w:r w:rsidR="00D97B8F" w:rsidRPr="00B12248">
        <w:rPr>
          <w:sz w:val="24"/>
          <w:szCs w:val="24"/>
        </w:rPr>
        <w:t xml:space="preserve">Consumers are able to </w:t>
      </w:r>
      <w:r w:rsidRPr="00B12248">
        <w:rPr>
          <w:sz w:val="24"/>
          <w:szCs w:val="24"/>
        </w:rPr>
        <w:t>provide their views about medicine utilisation reviews</w:t>
      </w:r>
      <w:r w:rsidR="00D97B8F" w:rsidRPr="00B12248">
        <w:rPr>
          <w:sz w:val="24"/>
          <w:szCs w:val="24"/>
        </w:rPr>
        <w:t xml:space="preserve"> to the PBAC via</w:t>
      </w:r>
      <w:r w:rsidRPr="00B12248">
        <w:rPr>
          <w:sz w:val="24"/>
          <w:szCs w:val="24"/>
        </w:rPr>
        <w:t xml:space="preserve"> a </w:t>
      </w:r>
      <w:hyperlink r:id="rId11" w:history="1">
        <w:r w:rsidRPr="00B12248">
          <w:rPr>
            <w:rStyle w:val="Hyperlink"/>
            <w:sz w:val="24"/>
            <w:szCs w:val="24"/>
          </w:rPr>
          <w:t>web interface</w:t>
        </w:r>
      </w:hyperlink>
      <w:r w:rsidRPr="00B12248">
        <w:rPr>
          <w:sz w:val="24"/>
          <w:szCs w:val="24"/>
        </w:rPr>
        <w:t>.</w:t>
      </w:r>
    </w:p>
    <w:p w14:paraId="1612D446" w14:textId="77777777" w:rsidR="00021AF3" w:rsidRPr="00B12248" w:rsidRDefault="00021AF3" w:rsidP="00D97B8F">
      <w:pPr>
        <w:rPr>
          <w:sz w:val="24"/>
          <w:szCs w:val="24"/>
        </w:rPr>
      </w:pPr>
    </w:p>
    <w:p w14:paraId="6B66368D" w14:textId="77777777" w:rsidR="00FA149F" w:rsidRPr="00B12248" w:rsidRDefault="00FD755C" w:rsidP="008B6946">
      <w:pPr>
        <w:rPr>
          <w:sz w:val="24"/>
          <w:szCs w:val="24"/>
        </w:rPr>
      </w:pPr>
      <w:r w:rsidRPr="00B12248">
        <w:rPr>
          <w:sz w:val="24"/>
          <w:szCs w:val="24"/>
        </w:rPr>
        <w:t xml:space="preserve">Full restrictions for PBS listed </w:t>
      </w:r>
      <w:r w:rsidR="007D4108" w:rsidRPr="00B12248">
        <w:rPr>
          <w:sz w:val="24"/>
          <w:szCs w:val="24"/>
        </w:rPr>
        <w:t xml:space="preserve">medicines </w:t>
      </w:r>
      <w:r w:rsidRPr="00B12248">
        <w:rPr>
          <w:sz w:val="24"/>
          <w:szCs w:val="24"/>
        </w:rPr>
        <w:t xml:space="preserve">are available in the </w:t>
      </w:r>
      <w:hyperlink r:id="rId12" w:history="1">
        <w:r w:rsidRPr="00B12248">
          <w:rPr>
            <w:rStyle w:val="Hyperlink"/>
            <w:sz w:val="24"/>
            <w:szCs w:val="24"/>
          </w:rPr>
          <w:t>PBS Schedule</w:t>
        </w:r>
      </w:hyperlink>
      <w:r w:rsidR="00EF43E9" w:rsidRPr="00B12248">
        <w:rPr>
          <w:sz w:val="24"/>
          <w:szCs w:val="24"/>
        </w:rPr>
        <w:t>.</w:t>
      </w:r>
    </w:p>
    <w:p w14:paraId="4B47B71C" w14:textId="77777777" w:rsidR="00FD755C" w:rsidRPr="002A2278" w:rsidRDefault="00FD755C" w:rsidP="008B6946">
      <w:pPr>
        <w:rPr>
          <w:sz w:val="24"/>
          <w:szCs w:val="24"/>
          <w:highlight w:val="yellow"/>
        </w:rPr>
      </w:pPr>
    </w:p>
    <w:p w14:paraId="194878A1" w14:textId="17BE1BAC" w:rsidR="00101877" w:rsidRPr="00CA347D" w:rsidRDefault="00101877" w:rsidP="008B6946">
      <w:pPr>
        <w:rPr>
          <w:sz w:val="24"/>
          <w:szCs w:val="24"/>
        </w:rPr>
      </w:pPr>
      <w:r w:rsidRPr="00B12248">
        <w:rPr>
          <w:sz w:val="24"/>
          <w:szCs w:val="24"/>
        </w:rPr>
        <w:t xml:space="preserve">DUSC </w:t>
      </w:r>
      <w:r w:rsidR="003D6C07" w:rsidRPr="00B12248">
        <w:rPr>
          <w:sz w:val="24"/>
          <w:szCs w:val="24"/>
        </w:rPr>
        <w:t>reviewed</w:t>
      </w:r>
      <w:r w:rsidRPr="00B12248">
        <w:rPr>
          <w:sz w:val="24"/>
          <w:szCs w:val="24"/>
        </w:rPr>
        <w:t xml:space="preserve"> the utilisation of the following PBS medicines</w:t>
      </w:r>
      <w:r w:rsidR="001071DA" w:rsidRPr="00B12248">
        <w:rPr>
          <w:sz w:val="24"/>
          <w:szCs w:val="24"/>
        </w:rPr>
        <w:t xml:space="preserve"> in </w:t>
      </w:r>
      <w:r w:rsidR="00746212">
        <w:rPr>
          <w:sz w:val="24"/>
          <w:szCs w:val="24"/>
        </w:rPr>
        <w:t>May</w:t>
      </w:r>
      <w:r w:rsidR="00B12248" w:rsidRPr="00B12248">
        <w:rPr>
          <w:sz w:val="24"/>
          <w:szCs w:val="24"/>
        </w:rPr>
        <w:t xml:space="preserve"> 2018</w:t>
      </w:r>
      <w:r w:rsidRPr="00B12248">
        <w:rPr>
          <w:sz w:val="24"/>
          <w:szCs w:val="24"/>
        </w:rPr>
        <w:t>:</w:t>
      </w:r>
    </w:p>
    <w:p w14:paraId="0C486899" w14:textId="77777777" w:rsidR="00101877" w:rsidRDefault="00101877" w:rsidP="008B6946">
      <w:pPr>
        <w:rPr>
          <w:sz w:val="24"/>
          <w:szCs w:val="24"/>
        </w:rPr>
      </w:pPr>
    </w:p>
    <w:p w14:paraId="50E15A39" w14:textId="4AAE842C" w:rsidR="00CA78D9" w:rsidRPr="00BB52B3" w:rsidRDefault="00746212" w:rsidP="008B6946">
      <w:pPr>
        <w:rPr>
          <w:b/>
          <w:sz w:val="24"/>
          <w:szCs w:val="24"/>
        </w:rPr>
      </w:pPr>
      <w:r>
        <w:rPr>
          <w:b/>
          <w:sz w:val="24"/>
          <w:szCs w:val="24"/>
        </w:rPr>
        <w:t>Medicines for the treatment of Attention Deficit Hyperactivity Disorder</w:t>
      </w:r>
      <w:r w:rsidR="008C0C44">
        <w:rPr>
          <w:b/>
          <w:sz w:val="24"/>
          <w:szCs w:val="24"/>
        </w:rPr>
        <w:t xml:space="preserve"> (ADHD)</w:t>
      </w:r>
    </w:p>
    <w:p w14:paraId="1CF66A64" w14:textId="47E2A78E" w:rsidR="00D50E3F" w:rsidRPr="00D50E3F" w:rsidRDefault="00B613BB" w:rsidP="00F43C06">
      <w:pPr>
        <w:rPr>
          <w:sz w:val="24"/>
          <w:szCs w:val="24"/>
        </w:rPr>
      </w:pPr>
      <w:r w:rsidRPr="00D50E3F">
        <w:rPr>
          <w:sz w:val="24"/>
          <w:szCs w:val="24"/>
        </w:rPr>
        <w:t xml:space="preserve">The utilisation of ADHD medicines increased between 2013 and 2017 in terms of both prescriptions and </w:t>
      </w:r>
      <w:r w:rsidR="004C0C44">
        <w:rPr>
          <w:sz w:val="24"/>
          <w:szCs w:val="24"/>
        </w:rPr>
        <w:t xml:space="preserve">the number of </w:t>
      </w:r>
      <w:r w:rsidRPr="00D50E3F">
        <w:rPr>
          <w:sz w:val="24"/>
          <w:szCs w:val="24"/>
        </w:rPr>
        <w:t>patients.</w:t>
      </w:r>
      <w:r w:rsidR="00B20546" w:rsidRPr="00D50E3F">
        <w:rPr>
          <w:sz w:val="24"/>
          <w:szCs w:val="24"/>
        </w:rPr>
        <w:t xml:space="preserve"> DUSC expressed concern that the average rate</w:t>
      </w:r>
      <w:r w:rsidR="00C3139E">
        <w:rPr>
          <w:sz w:val="24"/>
          <w:szCs w:val="24"/>
        </w:rPr>
        <w:t xml:space="preserve"> of growth during this period was</w:t>
      </w:r>
      <w:r w:rsidR="00B20546" w:rsidRPr="00D50E3F">
        <w:rPr>
          <w:sz w:val="24"/>
          <w:szCs w:val="24"/>
        </w:rPr>
        <w:t xml:space="preserve"> high. DUSC considered that the growth in the market could be due to improved diagnosis and recognition</w:t>
      </w:r>
      <w:r w:rsidR="004C0C44">
        <w:rPr>
          <w:sz w:val="24"/>
          <w:szCs w:val="24"/>
        </w:rPr>
        <w:t xml:space="preserve"> and continuing use into adulthood</w:t>
      </w:r>
      <w:r w:rsidR="00E867CE">
        <w:rPr>
          <w:sz w:val="24"/>
          <w:szCs w:val="24"/>
        </w:rPr>
        <w:t>,</w:t>
      </w:r>
      <w:r w:rsidR="004C0C44">
        <w:rPr>
          <w:sz w:val="24"/>
          <w:szCs w:val="24"/>
        </w:rPr>
        <w:t xml:space="preserve"> </w:t>
      </w:r>
      <w:r w:rsidR="00B20546" w:rsidRPr="00D50E3F">
        <w:rPr>
          <w:sz w:val="24"/>
          <w:szCs w:val="24"/>
        </w:rPr>
        <w:t>but may also be due to overdiag</w:t>
      </w:r>
      <w:r w:rsidR="00C3139E">
        <w:rPr>
          <w:sz w:val="24"/>
          <w:szCs w:val="24"/>
        </w:rPr>
        <w:t>nosis and overtreatment of ADHD</w:t>
      </w:r>
      <w:r w:rsidR="00B20546" w:rsidRPr="00D50E3F">
        <w:rPr>
          <w:sz w:val="24"/>
          <w:szCs w:val="24"/>
        </w:rPr>
        <w:t xml:space="preserve">. DUSC also noted that the listing of lisdexamfetamine </w:t>
      </w:r>
      <w:r w:rsidR="00C3139E">
        <w:rPr>
          <w:sz w:val="24"/>
          <w:szCs w:val="24"/>
        </w:rPr>
        <w:t xml:space="preserve">in 2015 </w:t>
      </w:r>
      <w:r w:rsidR="00B20546" w:rsidRPr="00D50E3F">
        <w:rPr>
          <w:sz w:val="24"/>
          <w:szCs w:val="24"/>
        </w:rPr>
        <w:t>contributed to the market growth.</w:t>
      </w:r>
      <w:r w:rsidR="00C3139E">
        <w:rPr>
          <w:sz w:val="24"/>
          <w:szCs w:val="24"/>
        </w:rPr>
        <w:t xml:space="preserve"> T</w:t>
      </w:r>
      <w:r w:rsidR="00D50E3F" w:rsidRPr="00D50E3F">
        <w:rPr>
          <w:sz w:val="24"/>
          <w:szCs w:val="24"/>
        </w:rPr>
        <w:t>he number of adult patients over the age of 18</w:t>
      </w:r>
      <w:r w:rsidR="007958F3">
        <w:rPr>
          <w:sz w:val="24"/>
          <w:szCs w:val="24"/>
        </w:rPr>
        <w:t xml:space="preserve"> years</w:t>
      </w:r>
      <w:r w:rsidR="00D50E3F" w:rsidRPr="00D50E3F">
        <w:rPr>
          <w:sz w:val="24"/>
          <w:szCs w:val="24"/>
        </w:rPr>
        <w:t xml:space="preserve"> initiating ADHD treatment and the total number of adult patients steadily increased over time.</w:t>
      </w:r>
    </w:p>
    <w:p w14:paraId="01696F5C" w14:textId="77777777" w:rsidR="00D50E3F" w:rsidRDefault="00D50E3F" w:rsidP="00D50E3F">
      <w:pPr>
        <w:rPr>
          <w:color w:val="FF0000"/>
          <w:sz w:val="24"/>
          <w:szCs w:val="24"/>
        </w:rPr>
      </w:pPr>
    </w:p>
    <w:p w14:paraId="2F0CC4C4" w14:textId="77777777" w:rsidR="00CC4E06" w:rsidRDefault="00CC4E06">
      <w:pPr>
        <w:rPr>
          <w:sz w:val="24"/>
          <w:szCs w:val="24"/>
        </w:rPr>
      </w:pPr>
      <w:r>
        <w:rPr>
          <w:sz w:val="24"/>
          <w:szCs w:val="24"/>
        </w:rPr>
        <w:br w:type="page"/>
      </w:r>
    </w:p>
    <w:p w14:paraId="27D74660" w14:textId="3D3ED8B7" w:rsidR="00D50E3F" w:rsidRPr="00D50E3F" w:rsidRDefault="00D50E3F" w:rsidP="00D50E3F">
      <w:pPr>
        <w:rPr>
          <w:sz w:val="24"/>
          <w:szCs w:val="24"/>
        </w:rPr>
      </w:pPr>
      <w:r w:rsidRPr="00D50E3F">
        <w:rPr>
          <w:sz w:val="24"/>
          <w:szCs w:val="24"/>
        </w:rPr>
        <w:lastRenderedPageBreak/>
        <w:t>DUSC noted that while more patients were supplied lisdexamfetamine than predicted</w:t>
      </w:r>
      <w:r w:rsidR="00DB63F6">
        <w:rPr>
          <w:sz w:val="24"/>
          <w:szCs w:val="24"/>
        </w:rPr>
        <w:t xml:space="preserve"> in the first two years of listing</w:t>
      </w:r>
      <w:r w:rsidRPr="00D50E3F">
        <w:rPr>
          <w:sz w:val="24"/>
          <w:szCs w:val="24"/>
        </w:rPr>
        <w:t xml:space="preserve">, these patients received fewer prescriptions per year than anticipated. </w:t>
      </w:r>
    </w:p>
    <w:p w14:paraId="5DA7F39F" w14:textId="77777777" w:rsidR="0068031D" w:rsidRDefault="0068031D" w:rsidP="00F43C06">
      <w:pPr>
        <w:rPr>
          <w:sz w:val="24"/>
          <w:szCs w:val="24"/>
        </w:rPr>
      </w:pPr>
    </w:p>
    <w:p w14:paraId="7C7E757E" w14:textId="77777777" w:rsidR="00F43C06" w:rsidRPr="00846541" w:rsidRDefault="00F43C06" w:rsidP="00F43C06">
      <w:pPr>
        <w:contextualSpacing/>
        <w:rPr>
          <w:rFonts w:eastAsia="MS Mincho"/>
          <w:sz w:val="24"/>
          <w:szCs w:val="24"/>
        </w:rPr>
      </w:pPr>
      <w:r w:rsidRPr="00BB52B3">
        <w:rPr>
          <w:rFonts w:eastAsia="MS Mincho"/>
          <w:sz w:val="24"/>
          <w:szCs w:val="24"/>
        </w:rPr>
        <w:t>DUSC requested that the report be provided to the PBAC.</w:t>
      </w:r>
      <w:r>
        <w:rPr>
          <w:rFonts w:eastAsia="MS Mincho"/>
          <w:sz w:val="24"/>
          <w:szCs w:val="24"/>
        </w:rPr>
        <w:t xml:space="preserve"> </w:t>
      </w:r>
    </w:p>
    <w:p w14:paraId="113D2C55" w14:textId="77777777" w:rsidR="00802343" w:rsidRDefault="00802343" w:rsidP="00692AAD">
      <w:pPr>
        <w:contextualSpacing/>
        <w:rPr>
          <w:rFonts w:eastAsia="MS Mincho"/>
          <w:sz w:val="24"/>
          <w:szCs w:val="24"/>
        </w:rPr>
      </w:pPr>
    </w:p>
    <w:p w14:paraId="72DA853A" w14:textId="6D0E6552" w:rsidR="00846541" w:rsidRPr="00303BC1" w:rsidRDefault="00746212" w:rsidP="00846541">
      <w:pPr>
        <w:contextualSpacing/>
        <w:rPr>
          <w:b/>
          <w:sz w:val="24"/>
          <w:szCs w:val="24"/>
        </w:rPr>
      </w:pPr>
      <w:r>
        <w:rPr>
          <w:b/>
          <w:sz w:val="24"/>
          <w:szCs w:val="24"/>
        </w:rPr>
        <w:t>Medicines for the treatment of melanoma</w:t>
      </w:r>
    </w:p>
    <w:p w14:paraId="21056589" w14:textId="29AC6BE1" w:rsidR="00A5019B" w:rsidRDefault="00A5019B" w:rsidP="00A5019B">
      <w:pPr>
        <w:rPr>
          <w:sz w:val="24"/>
          <w:szCs w:val="24"/>
        </w:rPr>
      </w:pPr>
      <w:r>
        <w:rPr>
          <w:sz w:val="24"/>
          <w:szCs w:val="24"/>
        </w:rPr>
        <w:t xml:space="preserve">DUSC reviewed </w:t>
      </w:r>
      <w:r w:rsidRPr="004503B5">
        <w:rPr>
          <w:sz w:val="24"/>
          <w:szCs w:val="24"/>
        </w:rPr>
        <w:t>the utilisation of molecularly targeted drugs and immunotherapies listed on the PBS for the treatment of unresectable stage III or metastatic (stage IV) melanoma.</w:t>
      </w:r>
      <w:r>
        <w:rPr>
          <w:sz w:val="24"/>
          <w:szCs w:val="24"/>
        </w:rPr>
        <w:t xml:space="preserve"> The following medicines were included in the analysis: </w:t>
      </w:r>
      <w:r w:rsidRPr="004503B5">
        <w:rPr>
          <w:sz w:val="24"/>
          <w:szCs w:val="24"/>
        </w:rPr>
        <w:t>cobimetinib; dabrafenib; ipilimumab; nivolumab; pembrolizumab; trametinib; and vemurafenib</w:t>
      </w:r>
      <w:r>
        <w:rPr>
          <w:sz w:val="24"/>
          <w:szCs w:val="24"/>
        </w:rPr>
        <w:t>. Since 2015, t</w:t>
      </w:r>
      <w:r w:rsidRPr="008148C0">
        <w:rPr>
          <w:sz w:val="24"/>
          <w:szCs w:val="24"/>
        </w:rPr>
        <w:t>he</w:t>
      </w:r>
      <w:r>
        <w:rPr>
          <w:sz w:val="24"/>
          <w:szCs w:val="24"/>
        </w:rPr>
        <w:t xml:space="preserve">re was a steady growth in </w:t>
      </w:r>
      <w:r w:rsidRPr="008148C0">
        <w:rPr>
          <w:sz w:val="24"/>
          <w:szCs w:val="24"/>
        </w:rPr>
        <w:t xml:space="preserve">utilisation </w:t>
      </w:r>
      <w:r>
        <w:rPr>
          <w:sz w:val="24"/>
          <w:szCs w:val="24"/>
        </w:rPr>
        <w:t xml:space="preserve">which was mainly attributed to the listing of pembrolizumab. </w:t>
      </w:r>
      <w:r w:rsidRPr="008148C0">
        <w:rPr>
          <w:sz w:val="24"/>
          <w:szCs w:val="24"/>
        </w:rPr>
        <w:t xml:space="preserve">In 2017, a total of 3,792 </w:t>
      </w:r>
      <w:r>
        <w:rPr>
          <w:sz w:val="24"/>
          <w:szCs w:val="24"/>
        </w:rPr>
        <w:t xml:space="preserve">melanoma </w:t>
      </w:r>
      <w:r w:rsidRPr="008148C0">
        <w:rPr>
          <w:sz w:val="24"/>
          <w:szCs w:val="24"/>
        </w:rPr>
        <w:t>patients received a</w:t>
      </w:r>
      <w:r w:rsidR="00DB43B3">
        <w:rPr>
          <w:sz w:val="24"/>
          <w:szCs w:val="24"/>
        </w:rPr>
        <w:t>t least one of these</w:t>
      </w:r>
      <w:r w:rsidRPr="008148C0">
        <w:rPr>
          <w:sz w:val="24"/>
          <w:szCs w:val="24"/>
        </w:rPr>
        <w:t xml:space="preserve"> PBS subsidised medicine</w:t>
      </w:r>
      <w:r w:rsidR="00DB43B3">
        <w:rPr>
          <w:sz w:val="24"/>
          <w:szCs w:val="24"/>
        </w:rPr>
        <w:t>s</w:t>
      </w:r>
      <w:r w:rsidRPr="008148C0">
        <w:rPr>
          <w:sz w:val="24"/>
          <w:szCs w:val="24"/>
        </w:rPr>
        <w:t>.</w:t>
      </w:r>
    </w:p>
    <w:p w14:paraId="6714EB32" w14:textId="77777777" w:rsidR="00A5019B" w:rsidRDefault="00A5019B" w:rsidP="00A5019B">
      <w:pPr>
        <w:rPr>
          <w:sz w:val="24"/>
          <w:szCs w:val="24"/>
        </w:rPr>
      </w:pPr>
    </w:p>
    <w:p w14:paraId="288FC05F" w14:textId="7A4734AF" w:rsidR="00A5019B" w:rsidRDefault="00A5019B" w:rsidP="00A5019B">
      <w:pPr>
        <w:rPr>
          <w:sz w:val="24"/>
          <w:szCs w:val="24"/>
        </w:rPr>
      </w:pPr>
      <w:r>
        <w:rPr>
          <w:sz w:val="24"/>
          <w:szCs w:val="24"/>
        </w:rPr>
        <w:t>For the 919 patients who first initiated on PBS therapy between January to June in 2016, t</w:t>
      </w:r>
      <w:r w:rsidRPr="00654A36">
        <w:rPr>
          <w:sz w:val="24"/>
          <w:szCs w:val="24"/>
        </w:rPr>
        <w:t xml:space="preserve">he most common </w:t>
      </w:r>
      <w:r>
        <w:rPr>
          <w:sz w:val="24"/>
          <w:szCs w:val="24"/>
        </w:rPr>
        <w:t>therapy</w:t>
      </w:r>
      <w:r w:rsidRPr="00654A36">
        <w:rPr>
          <w:sz w:val="24"/>
          <w:szCs w:val="24"/>
        </w:rPr>
        <w:t xml:space="preserve"> was </w:t>
      </w:r>
      <w:r>
        <w:rPr>
          <w:sz w:val="24"/>
          <w:szCs w:val="24"/>
        </w:rPr>
        <w:t>pembrolizumab used first-line (n=517 initiating patients)</w:t>
      </w:r>
      <w:r w:rsidRPr="00654A36">
        <w:rPr>
          <w:sz w:val="24"/>
          <w:szCs w:val="24"/>
        </w:rPr>
        <w:t>.</w:t>
      </w:r>
      <w:r>
        <w:rPr>
          <w:sz w:val="24"/>
          <w:szCs w:val="24"/>
        </w:rPr>
        <w:t xml:space="preserve"> The second most common drug regimen was dabrafenib plus trametinib used first-line (n=111 initiating patients). </w:t>
      </w:r>
      <w:r w:rsidRPr="009F7DEC">
        <w:rPr>
          <w:sz w:val="24"/>
          <w:szCs w:val="24"/>
        </w:rPr>
        <w:t xml:space="preserve">Around one-fifth of </w:t>
      </w:r>
      <w:r>
        <w:rPr>
          <w:sz w:val="24"/>
          <w:szCs w:val="24"/>
        </w:rPr>
        <w:t xml:space="preserve">initiating </w:t>
      </w:r>
      <w:r w:rsidRPr="009F7DEC">
        <w:rPr>
          <w:sz w:val="24"/>
          <w:szCs w:val="24"/>
        </w:rPr>
        <w:t xml:space="preserve">patients </w:t>
      </w:r>
      <w:r>
        <w:rPr>
          <w:sz w:val="24"/>
          <w:szCs w:val="24"/>
        </w:rPr>
        <w:t>were</w:t>
      </w:r>
      <w:r w:rsidRPr="009F7DEC">
        <w:rPr>
          <w:sz w:val="24"/>
          <w:szCs w:val="24"/>
        </w:rPr>
        <w:t xml:space="preserve"> subsequently supplied another PBS subsidised drug regimen</w:t>
      </w:r>
      <w:r>
        <w:rPr>
          <w:sz w:val="24"/>
          <w:szCs w:val="24"/>
        </w:rPr>
        <w:t>.</w:t>
      </w:r>
    </w:p>
    <w:p w14:paraId="2DD3C2DF" w14:textId="77777777" w:rsidR="00A5019B" w:rsidRDefault="00A5019B" w:rsidP="00A5019B">
      <w:pPr>
        <w:rPr>
          <w:sz w:val="24"/>
          <w:szCs w:val="24"/>
        </w:rPr>
      </w:pPr>
    </w:p>
    <w:p w14:paraId="2FE7ADFE" w14:textId="2D74557F" w:rsidR="00A5019B" w:rsidRDefault="00B93651" w:rsidP="00A5019B">
      <w:pPr>
        <w:rPr>
          <w:sz w:val="24"/>
          <w:szCs w:val="24"/>
        </w:rPr>
      </w:pPr>
      <w:r>
        <w:rPr>
          <w:sz w:val="24"/>
          <w:szCs w:val="24"/>
        </w:rPr>
        <w:t xml:space="preserve">DUSC noted that the average age of the PBS population had increased over time. </w:t>
      </w:r>
      <w:r w:rsidRPr="0046312B">
        <w:rPr>
          <w:sz w:val="24"/>
          <w:szCs w:val="24"/>
        </w:rPr>
        <w:t>In 2017, the median age was 68 years compared with 63 years in 2014.</w:t>
      </w:r>
      <w:r>
        <w:rPr>
          <w:sz w:val="24"/>
          <w:szCs w:val="24"/>
        </w:rPr>
        <w:t xml:space="preserve"> As the clinical trial populations were generally younger than the PBS population, DUSC considered that the </w:t>
      </w:r>
      <w:r w:rsidR="00CD7B6B">
        <w:rPr>
          <w:sz w:val="24"/>
          <w:szCs w:val="24"/>
        </w:rPr>
        <w:t>outcomes</w:t>
      </w:r>
      <w:r>
        <w:rPr>
          <w:sz w:val="24"/>
          <w:szCs w:val="24"/>
        </w:rPr>
        <w:t xml:space="preserve"> of the therapies may differ in practice when used in older patients or</w:t>
      </w:r>
      <w:r w:rsidR="00CD7B6B">
        <w:rPr>
          <w:sz w:val="24"/>
          <w:szCs w:val="24"/>
        </w:rPr>
        <w:t xml:space="preserve"> in </w:t>
      </w:r>
      <w:r>
        <w:rPr>
          <w:sz w:val="24"/>
          <w:szCs w:val="24"/>
        </w:rPr>
        <w:t xml:space="preserve">patients with poorer performance status. </w:t>
      </w:r>
      <w:r w:rsidR="00A5019B">
        <w:rPr>
          <w:sz w:val="24"/>
          <w:szCs w:val="24"/>
        </w:rPr>
        <w:t xml:space="preserve">Compared to the clinical trial evidence for progression-free survival times presented in the submissions to the PBAC, the time on second-line </w:t>
      </w:r>
      <w:r w:rsidR="00A72971">
        <w:rPr>
          <w:sz w:val="24"/>
          <w:szCs w:val="24"/>
        </w:rPr>
        <w:t xml:space="preserve">therapy </w:t>
      </w:r>
      <w:r w:rsidR="00A5019B">
        <w:rPr>
          <w:sz w:val="24"/>
          <w:szCs w:val="24"/>
        </w:rPr>
        <w:t xml:space="preserve">was shorter than expected. </w:t>
      </w:r>
      <w:r w:rsidR="00A72971">
        <w:rPr>
          <w:sz w:val="24"/>
          <w:szCs w:val="24"/>
        </w:rPr>
        <w:t xml:space="preserve">DUSC considered that this may indicate that patients are not achieving the anticipated benefit. </w:t>
      </w:r>
    </w:p>
    <w:p w14:paraId="660ABFF7" w14:textId="77777777" w:rsidR="00A5019B" w:rsidRDefault="00A5019B" w:rsidP="00A5019B">
      <w:pPr>
        <w:rPr>
          <w:sz w:val="24"/>
          <w:szCs w:val="24"/>
        </w:rPr>
      </w:pPr>
    </w:p>
    <w:p w14:paraId="457346A4" w14:textId="21CF50F7" w:rsidR="00A5019B" w:rsidRPr="00A2228F" w:rsidRDefault="00A5019B" w:rsidP="00A5019B">
      <w:pPr>
        <w:rPr>
          <w:rFonts w:eastAsia="MS Mincho"/>
          <w:sz w:val="24"/>
          <w:szCs w:val="24"/>
        </w:rPr>
      </w:pPr>
      <w:r w:rsidRPr="00A2228F">
        <w:rPr>
          <w:rFonts w:eastAsia="MS Mincho"/>
          <w:sz w:val="24"/>
          <w:szCs w:val="24"/>
        </w:rPr>
        <w:t xml:space="preserve">DUSC requested that the report be provided to the PBAC. </w:t>
      </w:r>
    </w:p>
    <w:p w14:paraId="2DB8AD9E" w14:textId="77777777" w:rsidR="00A479B7" w:rsidRPr="00A479B7" w:rsidRDefault="00A479B7" w:rsidP="00692AAD">
      <w:pPr>
        <w:contextualSpacing/>
        <w:rPr>
          <w:rFonts w:eastAsia="MS Mincho"/>
          <w:color w:val="FF0000"/>
          <w:sz w:val="24"/>
          <w:szCs w:val="24"/>
        </w:rPr>
      </w:pPr>
    </w:p>
    <w:p w14:paraId="78A79BC9" w14:textId="3A50209B" w:rsidR="001A417C" w:rsidRPr="00D95C30" w:rsidRDefault="001E682A" w:rsidP="00692AAD">
      <w:pPr>
        <w:contextualSpacing/>
        <w:rPr>
          <w:rFonts w:eastAsia="MS Mincho"/>
          <w:b/>
          <w:sz w:val="24"/>
          <w:szCs w:val="24"/>
        </w:rPr>
      </w:pPr>
      <w:r w:rsidRPr="00D95C30">
        <w:rPr>
          <w:rFonts w:eastAsia="MS Mincho"/>
          <w:b/>
          <w:sz w:val="24"/>
          <w:szCs w:val="24"/>
        </w:rPr>
        <w:t>P</w:t>
      </w:r>
      <w:r w:rsidR="00D95C30" w:rsidRPr="00D95C30">
        <w:rPr>
          <w:rFonts w:eastAsia="MS Mincho"/>
          <w:b/>
          <w:sz w:val="24"/>
          <w:szCs w:val="24"/>
        </w:rPr>
        <w:t>osaconazole for the treatment and prophylaxis of fungal infections</w:t>
      </w:r>
    </w:p>
    <w:p w14:paraId="2AD213DA" w14:textId="77777777" w:rsidR="00CC4E06" w:rsidRPr="00CC4E06" w:rsidRDefault="00CC4E06" w:rsidP="00CC4E06">
      <w:pPr>
        <w:rPr>
          <w:sz w:val="24"/>
          <w:szCs w:val="24"/>
        </w:rPr>
      </w:pPr>
      <w:r w:rsidRPr="00CC4E06">
        <w:rPr>
          <w:sz w:val="24"/>
          <w:szCs w:val="24"/>
        </w:rPr>
        <w:t>DUSC reviewed the predicted and actual use of posaconazole for the treatment and prophylaxis of fungal infections since the tablet form listed on the Pharmaceutical Benefits Scheme (PBS) in September 2015.</w:t>
      </w:r>
    </w:p>
    <w:p w14:paraId="5850607F" w14:textId="77777777" w:rsidR="00CC4E06" w:rsidRPr="00CC4E06" w:rsidRDefault="00CC4E06" w:rsidP="00CC4E06">
      <w:pPr>
        <w:rPr>
          <w:sz w:val="24"/>
          <w:szCs w:val="24"/>
        </w:rPr>
      </w:pPr>
    </w:p>
    <w:p w14:paraId="1E92BADC" w14:textId="77777777" w:rsidR="00CC4E06" w:rsidRPr="00CC4E06" w:rsidRDefault="00CC4E06" w:rsidP="00CC4E06">
      <w:pPr>
        <w:rPr>
          <w:sz w:val="24"/>
          <w:szCs w:val="24"/>
        </w:rPr>
      </w:pPr>
      <w:r w:rsidRPr="00CC4E06">
        <w:rPr>
          <w:sz w:val="24"/>
          <w:szCs w:val="24"/>
        </w:rPr>
        <w:t>Following the listing of the tablet formulation, the uptake of posaconazole tablets was rapid and there was a sharp decline in prescriptions for the oral liquid, however the overall use of posaconazole grew substantially. The number of posaconazole prescriptions supplied in 2017 was more than twice the number supplied in 2014 (the calendar year prior to listing of the tablet formulation).</w:t>
      </w:r>
    </w:p>
    <w:p w14:paraId="7E1751C6" w14:textId="77777777" w:rsidR="00CC4E06" w:rsidRPr="00CC4E06" w:rsidRDefault="00CC4E06" w:rsidP="00CC4E06">
      <w:pPr>
        <w:rPr>
          <w:sz w:val="24"/>
          <w:szCs w:val="24"/>
        </w:rPr>
      </w:pPr>
    </w:p>
    <w:p w14:paraId="5FA9208C" w14:textId="77777777" w:rsidR="00CC4E06" w:rsidRPr="00CC4E06" w:rsidRDefault="00CC4E06" w:rsidP="00CC4E06">
      <w:pPr>
        <w:rPr>
          <w:sz w:val="24"/>
          <w:szCs w:val="24"/>
        </w:rPr>
      </w:pPr>
      <w:r w:rsidRPr="00CC4E06">
        <w:rPr>
          <w:sz w:val="24"/>
          <w:szCs w:val="24"/>
        </w:rPr>
        <w:t>The increasing utilisation of posaconazole seems to be due to a combination of more patients initiating treatment and slightly longer durations of treatment with the tablets compared with the oral liquid. Improved tolerability of the tablet form may be contributing to this trend. DUSC noted that it is not possible to tell from the PBS data alone whether all of the increase in use of posaconazole was appropriate.</w:t>
      </w:r>
    </w:p>
    <w:p w14:paraId="76529238" w14:textId="77777777" w:rsidR="00CC4E06" w:rsidRPr="00CC4E06" w:rsidRDefault="00CC4E06" w:rsidP="00CC4E06">
      <w:pPr>
        <w:rPr>
          <w:sz w:val="24"/>
          <w:szCs w:val="24"/>
        </w:rPr>
      </w:pPr>
    </w:p>
    <w:p w14:paraId="58C055BE" w14:textId="77777777" w:rsidR="00CC4E06" w:rsidRPr="00CC4E06" w:rsidRDefault="00CC4E06" w:rsidP="00CC4E06">
      <w:pPr>
        <w:rPr>
          <w:sz w:val="24"/>
          <w:szCs w:val="24"/>
        </w:rPr>
      </w:pPr>
      <w:r w:rsidRPr="00CC4E06">
        <w:rPr>
          <w:sz w:val="24"/>
          <w:szCs w:val="24"/>
        </w:rPr>
        <w:t>DUSC requested the report be provided to the PBAC.</w:t>
      </w:r>
    </w:p>
    <w:p w14:paraId="7D337659" w14:textId="77777777" w:rsidR="00D95C30" w:rsidRPr="00D95C30" w:rsidRDefault="00D95C30" w:rsidP="00692AAD">
      <w:pPr>
        <w:contextualSpacing/>
        <w:rPr>
          <w:rFonts w:eastAsia="MS Mincho"/>
          <w:b/>
          <w:color w:val="FF0000"/>
          <w:sz w:val="24"/>
          <w:szCs w:val="24"/>
        </w:rPr>
      </w:pPr>
    </w:p>
    <w:p w14:paraId="75DE8192" w14:textId="4107E543" w:rsidR="00D95C30" w:rsidRDefault="00D95C30" w:rsidP="00D95C30">
      <w:pPr>
        <w:contextualSpacing/>
        <w:rPr>
          <w:b/>
          <w:sz w:val="24"/>
          <w:szCs w:val="24"/>
        </w:rPr>
      </w:pPr>
      <w:r>
        <w:rPr>
          <w:b/>
          <w:sz w:val="24"/>
          <w:szCs w:val="24"/>
        </w:rPr>
        <w:lastRenderedPageBreak/>
        <w:t>Medicines for the treatment of Age Related Macular Degeneration (AMD), Diabetic Macular Oedema (DMO), Branch Retinal Vein Occlusion (BRVO) and Central Retinal Vein Occlusion (CRVO)</w:t>
      </w:r>
    </w:p>
    <w:p w14:paraId="5EE1A724" w14:textId="77777777" w:rsidR="00225034" w:rsidRPr="00FF0D43" w:rsidRDefault="00225034" w:rsidP="00225034">
      <w:pPr>
        <w:pStyle w:val="NoSpacing"/>
        <w:rPr>
          <w:rFonts w:asciiTheme="minorHAnsi" w:hAnsiTheme="minorHAnsi" w:cs="Calibri"/>
          <w:lang w:eastAsia="en-AU"/>
        </w:rPr>
      </w:pPr>
      <w:r w:rsidRPr="00FF0D43">
        <w:rPr>
          <w:rFonts w:asciiTheme="minorHAnsi" w:hAnsiTheme="minorHAnsi" w:cs="Calibri"/>
          <w:lang w:eastAsia="en-AU"/>
        </w:rPr>
        <w:t xml:space="preserve">DUSC reviewed the utilisation of ranibizumab, aflibercept and dexamethasone for the treatment of the following eye conditions: age related macular degeneration (AMD), diabetic macular oedema (DMO), branch retinal vein occlusion (BRVO) and central retinal vein occlusion (CRVO). </w:t>
      </w:r>
    </w:p>
    <w:p w14:paraId="11D5E739" w14:textId="77777777" w:rsidR="00225034" w:rsidRPr="00FF0D43" w:rsidRDefault="00225034" w:rsidP="00225034">
      <w:pPr>
        <w:pStyle w:val="NoSpacing"/>
        <w:rPr>
          <w:rFonts w:asciiTheme="minorHAnsi" w:hAnsiTheme="minorHAnsi"/>
        </w:rPr>
      </w:pPr>
    </w:p>
    <w:p w14:paraId="561432B3" w14:textId="77777777" w:rsidR="00225034" w:rsidRPr="00FF0D43" w:rsidRDefault="00225034" w:rsidP="00225034">
      <w:pPr>
        <w:pStyle w:val="NoSpacing"/>
        <w:rPr>
          <w:rFonts w:asciiTheme="minorHAnsi" w:hAnsiTheme="minorHAnsi"/>
        </w:rPr>
      </w:pPr>
      <w:r w:rsidRPr="00FF0D43">
        <w:rPr>
          <w:rFonts w:asciiTheme="minorHAnsi" w:hAnsiTheme="minorHAnsi"/>
        </w:rPr>
        <w:t xml:space="preserve">In 2017: </w:t>
      </w:r>
    </w:p>
    <w:p w14:paraId="5FE9D152" w14:textId="77777777" w:rsidR="00225034" w:rsidRPr="00FF0D43" w:rsidRDefault="00225034" w:rsidP="00225034">
      <w:pPr>
        <w:pStyle w:val="NoSpacing"/>
        <w:numPr>
          <w:ilvl w:val="0"/>
          <w:numId w:val="8"/>
        </w:numPr>
        <w:rPr>
          <w:rFonts w:asciiTheme="minorHAnsi" w:hAnsiTheme="minorHAnsi"/>
        </w:rPr>
      </w:pPr>
      <w:r w:rsidRPr="00FF0D43">
        <w:rPr>
          <w:rFonts w:asciiTheme="minorHAnsi" w:hAnsiTheme="minorHAnsi"/>
        </w:rPr>
        <w:t xml:space="preserve">50,964 patients were treated for AMD. </w:t>
      </w:r>
    </w:p>
    <w:p w14:paraId="28101DE4" w14:textId="77777777" w:rsidR="00225034" w:rsidRPr="00FF0D43" w:rsidRDefault="00225034" w:rsidP="00225034">
      <w:pPr>
        <w:pStyle w:val="NoSpacing"/>
        <w:numPr>
          <w:ilvl w:val="0"/>
          <w:numId w:val="8"/>
        </w:numPr>
        <w:rPr>
          <w:rFonts w:asciiTheme="minorHAnsi" w:hAnsiTheme="minorHAnsi"/>
        </w:rPr>
      </w:pPr>
      <w:r w:rsidRPr="00FF0D43">
        <w:rPr>
          <w:rFonts w:asciiTheme="minorHAnsi" w:hAnsiTheme="minorHAnsi"/>
        </w:rPr>
        <w:t xml:space="preserve">11,137 patients were treated for DMO with vascular endothelial growth factor (VEGF) inhibitors, ranibizumab and aflibercept. </w:t>
      </w:r>
    </w:p>
    <w:p w14:paraId="0D578B46" w14:textId="18BD1FCD" w:rsidR="00225034" w:rsidRPr="00FF0D43" w:rsidRDefault="00225034" w:rsidP="00225034">
      <w:pPr>
        <w:pStyle w:val="NoSpacing"/>
        <w:numPr>
          <w:ilvl w:val="0"/>
          <w:numId w:val="8"/>
        </w:numPr>
        <w:rPr>
          <w:rFonts w:asciiTheme="minorHAnsi" w:hAnsiTheme="minorHAnsi"/>
        </w:rPr>
      </w:pPr>
      <w:r w:rsidRPr="00FF0D43">
        <w:rPr>
          <w:rFonts w:asciiTheme="minorHAnsi" w:hAnsiTheme="minorHAnsi"/>
        </w:rPr>
        <w:t>995 patients were supplied 2,197 dexamethasone implants for DMO. About half of patients supplied dexamethasone in 2017 had previously received ranibizumab or aflibercept.</w:t>
      </w:r>
    </w:p>
    <w:p w14:paraId="7286AEEE" w14:textId="77777777" w:rsidR="00225034" w:rsidRPr="00FF0D43" w:rsidRDefault="00225034" w:rsidP="00225034">
      <w:pPr>
        <w:pStyle w:val="NoSpacing"/>
        <w:numPr>
          <w:ilvl w:val="0"/>
          <w:numId w:val="8"/>
        </w:numPr>
        <w:rPr>
          <w:rFonts w:asciiTheme="minorHAnsi" w:hAnsiTheme="minorHAnsi"/>
        </w:rPr>
      </w:pPr>
      <w:r w:rsidRPr="00FF0D43">
        <w:rPr>
          <w:rFonts w:asciiTheme="minorHAnsi" w:hAnsiTheme="minorHAnsi"/>
        </w:rPr>
        <w:t>10,781 patients were treated for RVO.</w:t>
      </w:r>
    </w:p>
    <w:p w14:paraId="33F1CAA3" w14:textId="77777777" w:rsidR="00225034" w:rsidRPr="00FF0D43" w:rsidRDefault="00225034" w:rsidP="00225034">
      <w:pPr>
        <w:rPr>
          <w:sz w:val="24"/>
          <w:szCs w:val="24"/>
        </w:rPr>
      </w:pPr>
    </w:p>
    <w:p w14:paraId="5DF79186" w14:textId="77777777" w:rsidR="00225034" w:rsidRPr="00FF0D43" w:rsidRDefault="00225034" w:rsidP="00225034">
      <w:pPr>
        <w:rPr>
          <w:rFonts w:asciiTheme="minorHAnsi" w:hAnsiTheme="minorHAnsi"/>
          <w:sz w:val="24"/>
          <w:szCs w:val="24"/>
        </w:rPr>
      </w:pPr>
      <w:r w:rsidRPr="00FF0D43">
        <w:rPr>
          <w:rFonts w:asciiTheme="minorHAnsi" w:hAnsiTheme="minorHAnsi"/>
          <w:sz w:val="24"/>
          <w:szCs w:val="24"/>
        </w:rPr>
        <w:t>There was a continued growth in the number of treated patients and utilisation of the medicines which was predominantly driven by use in AMD. The market also increased following the extension of listings for ranibizumab and aflibercept to treat DMO and RVO and the listing of dexamethasone for DMO.</w:t>
      </w:r>
    </w:p>
    <w:p w14:paraId="7D96B85D" w14:textId="77777777" w:rsidR="00225034" w:rsidRPr="00FF0D43" w:rsidRDefault="00225034" w:rsidP="00225034">
      <w:pPr>
        <w:rPr>
          <w:rFonts w:asciiTheme="minorHAnsi" w:hAnsiTheme="minorHAnsi"/>
          <w:sz w:val="24"/>
          <w:szCs w:val="24"/>
        </w:rPr>
      </w:pPr>
    </w:p>
    <w:p w14:paraId="1A2BBD33" w14:textId="77777777" w:rsidR="00225034" w:rsidRPr="00FF0D43" w:rsidRDefault="00225034" w:rsidP="00225034">
      <w:pPr>
        <w:rPr>
          <w:sz w:val="24"/>
          <w:szCs w:val="24"/>
        </w:rPr>
      </w:pPr>
      <w:r w:rsidRPr="00FF0D43">
        <w:rPr>
          <w:rFonts w:asciiTheme="minorHAnsi" w:hAnsiTheme="minorHAnsi"/>
          <w:sz w:val="24"/>
          <w:szCs w:val="24"/>
        </w:rPr>
        <w:t>There was limited information available to estimate the rate of treatment in both eyes (bilateral treatment). The analysis used the proportion of prescriptions dispensed with a quantity of two to estimate the rate of bilateral treatment. The rate of bilateral treatment was higher for DMO than for AMD, and very low in RVO, consistent with the usual clinical presentations of these diseases.</w:t>
      </w:r>
    </w:p>
    <w:p w14:paraId="1B061948" w14:textId="77777777" w:rsidR="00225034" w:rsidRPr="00FF0D43" w:rsidRDefault="00225034" w:rsidP="00225034">
      <w:pPr>
        <w:rPr>
          <w:sz w:val="24"/>
          <w:szCs w:val="24"/>
        </w:rPr>
      </w:pPr>
    </w:p>
    <w:p w14:paraId="5404AB22" w14:textId="1B84E688" w:rsidR="00225034" w:rsidRPr="00FF0D43" w:rsidRDefault="00225034" w:rsidP="00225034">
      <w:pPr>
        <w:rPr>
          <w:sz w:val="24"/>
          <w:szCs w:val="24"/>
        </w:rPr>
      </w:pPr>
      <w:r w:rsidRPr="00FF0D43">
        <w:rPr>
          <w:sz w:val="24"/>
          <w:szCs w:val="24"/>
        </w:rPr>
        <w:t xml:space="preserve">The </w:t>
      </w:r>
      <w:r w:rsidRPr="00FF0D43">
        <w:rPr>
          <w:rFonts w:asciiTheme="minorHAnsi" w:hAnsiTheme="minorHAnsi"/>
          <w:sz w:val="24"/>
          <w:szCs w:val="24"/>
        </w:rPr>
        <w:t xml:space="preserve">number of injections per patient was similar for aflibercept or ranibizumab when used to treat AMD, DMO or RVO. This was consistent with the PBAC’s consideration when recommending aflibercept that the price of </w:t>
      </w:r>
      <w:r w:rsidR="0015401F" w:rsidRPr="00FF0D43">
        <w:rPr>
          <w:rFonts w:asciiTheme="minorHAnsi" w:hAnsiTheme="minorHAnsi"/>
          <w:sz w:val="24"/>
          <w:szCs w:val="24"/>
        </w:rPr>
        <w:t>aflibercept should</w:t>
      </w:r>
      <w:r w:rsidRPr="00FF0D43">
        <w:rPr>
          <w:rFonts w:asciiTheme="minorHAnsi" w:hAnsiTheme="minorHAnsi"/>
          <w:sz w:val="24"/>
          <w:szCs w:val="24"/>
        </w:rPr>
        <w:t xml:space="preserve"> be based on an injection: injection basis with ranibizumab.</w:t>
      </w:r>
    </w:p>
    <w:p w14:paraId="5226183C" w14:textId="77777777" w:rsidR="00225034" w:rsidRPr="00FF0D43" w:rsidRDefault="00225034" w:rsidP="00225034">
      <w:pPr>
        <w:rPr>
          <w:sz w:val="24"/>
          <w:szCs w:val="24"/>
        </w:rPr>
      </w:pPr>
    </w:p>
    <w:p w14:paraId="1A7C8A52" w14:textId="77777777" w:rsidR="00225034" w:rsidRPr="00FF0D43" w:rsidRDefault="00225034" w:rsidP="00225034">
      <w:pPr>
        <w:rPr>
          <w:rFonts w:eastAsia="MS Mincho"/>
          <w:sz w:val="24"/>
          <w:szCs w:val="24"/>
        </w:rPr>
      </w:pPr>
      <w:r w:rsidRPr="00FF0D43">
        <w:rPr>
          <w:rFonts w:eastAsia="MS Mincho"/>
          <w:sz w:val="24"/>
          <w:szCs w:val="24"/>
        </w:rPr>
        <w:t xml:space="preserve">DUSC requested that the report be provided to the PBAC. </w:t>
      </w:r>
    </w:p>
    <w:p w14:paraId="741DAB35" w14:textId="77777777" w:rsidR="00D95C30" w:rsidRPr="00303BC1" w:rsidRDefault="00D95C30" w:rsidP="00D95C30">
      <w:pPr>
        <w:contextualSpacing/>
        <w:rPr>
          <w:b/>
          <w:sz w:val="24"/>
          <w:szCs w:val="24"/>
        </w:rPr>
      </w:pPr>
    </w:p>
    <w:p w14:paraId="371831F5" w14:textId="350E1912" w:rsidR="001E682A" w:rsidRDefault="001E682A" w:rsidP="00692AAD">
      <w:pPr>
        <w:contextualSpacing/>
        <w:rPr>
          <w:rFonts w:eastAsia="MS Mincho"/>
          <w:b/>
          <w:sz w:val="24"/>
          <w:szCs w:val="24"/>
        </w:rPr>
      </w:pPr>
      <w:r w:rsidRPr="00D95C30">
        <w:rPr>
          <w:rFonts w:eastAsia="MS Mincho"/>
          <w:b/>
          <w:sz w:val="24"/>
          <w:szCs w:val="24"/>
        </w:rPr>
        <w:t xml:space="preserve">Botulinum toxin for </w:t>
      </w:r>
      <w:r w:rsidR="00D95C30" w:rsidRPr="00D95C30">
        <w:rPr>
          <w:rFonts w:eastAsia="MS Mincho"/>
          <w:b/>
          <w:sz w:val="24"/>
          <w:szCs w:val="24"/>
        </w:rPr>
        <w:t>spasticity and dystonia</w:t>
      </w:r>
    </w:p>
    <w:p w14:paraId="770735B5" w14:textId="2A79C97A" w:rsidR="003F0120" w:rsidRPr="003F0120" w:rsidRDefault="003F0120" w:rsidP="003F0120">
      <w:pPr>
        <w:contextualSpacing/>
        <w:rPr>
          <w:rFonts w:eastAsia="MS Mincho"/>
          <w:sz w:val="24"/>
          <w:szCs w:val="24"/>
        </w:rPr>
      </w:pPr>
      <w:r w:rsidRPr="003F0120">
        <w:rPr>
          <w:rFonts w:eastAsia="MS Mincho"/>
          <w:sz w:val="24"/>
          <w:szCs w:val="24"/>
        </w:rPr>
        <w:t>DUSC reviewed the utilisation of botulinum toxin type A supplied through the Pharmaceutical Benefits Scheme (PBS) for the treatment of spasticity in patients with cerebral palsy or following a stroke, and for spasmodic torticollis, blepharospasm and hemifacial spasm.</w:t>
      </w:r>
    </w:p>
    <w:p w14:paraId="6AA460CE" w14:textId="77777777" w:rsidR="003F0120" w:rsidRPr="003F0120" w:rsidRDefault="003F0120" w:rsidP="003F0120">
      <w:pPr>
        <w:contextualSpacing/>
        <w:rPr>
          <w:rFonts w:eastAsia="MS Mincho"/>
          <w:sz w:val="24"/>
          <w:szCs w:val="24"/>
        </w:rPr>
      </w:pPr>
    </w:p>
    <w:p w14:paraId="3F22A902" w14:textId="77777777" w:rsidR="003F0120" w:rsidRDefault="003F0120" w:rsidP="003F0120">
      <w:pPr>
        <w:contextualSpacing/>
        <w:rPr>
          <w:rFonts w:eastAsia="MS Mincho"/>
          <w:sz w:val="24"/>
          <w:szCs w:val="24"/>
        </w:rPr>
      </w:pPr>
      <w:r w:rsidRPr="003F0120">
        <w:rPr>
          <w:rFonts w:eastAsia="MS Mincho"/>
          <w:sz w:val="24"/>
          <w:szCs w:val="24"/>
        </w:rPr>
        <w:t>In 2017, 13,116 patients were treated with PBS subsidised botulinum toxin type A for spasticity or dystonia. The number of patients receiving treatment has increased steadily with an approximate doubling of the number of patients receiving treatment over the past decade. DUSC considered that this growth rate seemed reasonable noting that there have been a number of extensions to PBS listings over this time and an increase in the number of prescribers of botulinum toxin.</w:t>
      </w:r>
    </w:p>
    <w:p w14:paraId="537D1205" w14:textId="77777777" w:rsidR="0015401F" w:rsidRPr="003F0120" w:rsidRDefault="0015401F" w:rsidP="003F0120">
      <w:pPr>
        <w:contextualSpacing/>
        <w:rPr>
          <w:rFonts w:eastAsia="MS Mincho"/>
          <w:sz w:val="24"/>
          <w:szCs w:val="24"/>
        </w:rPr>
      </w:pPr>
    </w:p>
    <w:p w14:paraId="2FBA9A54" w14:textId="77777777" w:rsidR="003F0120" w:rsidRPr="003F0120" w:rsidRDefault="003F0120" w:rsidP="003F0120">
      <w:pPr>
        <w:contextualSpacing/>
        <w:rPr>
          <w:rFonts w:eastAsia="MS Mincho"/>
          <w:sz w:val="24"/>
          <w:szCs w:val="24"/>
        </w:rPr>
      </w:pPr>
      <w:r w:rsidRPr="003F0120">
        <w:rPr>
          <w:rFonts w:eastAsia="MS Mincho"/>
          <w:sz w:val="24"/>
          <w:szCs w:val="24"/>
        </w:rPr>
        <w:lastRenderedPageBreak/>
        <w:t xml:space="preserve">The majority of use is for spasmodic torticollis, blepharospasm and hemifacial spasm. Use for each of these indications has been growing, with a higher rate of growth evident for spasmodic torticollis in 2016 and 2017. </w:t>
      </w:r>
    </w:p>
    <w:p w14:paraId="24BF51DF" w14:textId="1D33042C" w:rsidR="003F0120" w:rsidRPr="003F0120" w:rsidRDefault="003F0120" w:rsidP="003F0120">
      <w:pPr>
        <w:contextualSpacing/>
        <w:rPr>
          <w:rFonts w:eastAsia="MS Mincho"/>
          <w:sz w:val="24"/>
          <w:szCs w:val="24"/>
        </w:rPr>
      </w:pPr>
      <w:r w:rsidRPr="003F0120">
        <w:rPr>
          <w:rFonts w:eastAsia="MS Mincho"/>
          <w:sz w:val="24"/>
          <w:szCs w:val="24"/>
        </w:rPr>
        <w:t xml:space="preserve">The number of patients with cerebral palsy receiving botulinum toxin for upper limb spasticity or foot deformity due to spasticity increased until 2015 and has now stabilised. </w:t>
      </w:r>
    </w:p>
    <w:p w14:paraId="5AB4AB2E" w14:textId="77777777" w:rsidR="003F0120" w:rsidRPr="003F0120" w:rsidRDefault="003F0120" w:rsidP="003F0120">
      <w:pPr>
        <w:contextualSpacing/>
        <w:rPr>
          <w:rFonts w:eastAsia="MS Mincho"/>
          <w:sz w:val="24"/>
          <w:szCs w:val="24"/>
        </w:rPr>
      </w:pPr>
      <w:r w:rsidRPr="003F0120">
        <w:rPr>
          <w:rFonts w:eastAsia="MS Mincho"/>
          <w:sz w:val="24"/>
          <w:szCs w:val="24"/>
        </w:rPr>
        <w:t>In 2017, 742 patients were treated with PBS subsidised botulinum toxin for upper limb spasticity following a stroke and 1,002 prescriptions were dispensed for this indication. Utilisation of botulinum toxin post-stroke is low in the context of all patients who have experienced a stroke and may have resultant spasticity.</w:t>
      </w:r>
    </w:p>
    <w:p w14:paraId="6017F560" w14:textId="77777777" w:rsidR="003F0120" w:rsidRPr="003F0120" w:rsidRDefault="003F0120" w:rsidP="003F0120">
      <w:pPr>
        <w:contextualSpacing/>
        <w:rPr>
          <w:rFonts w:eastAsia="MS Mincho"/>
          <w:sz w:val="24"/>
          <w:szCs w:val="24"/>
        </w:rPr>
      </w:pPr>
    </w:p>
    <w:p w14:paraId="122D52C6" w14:textId="0D59B8B6" w:rsidR="003F0120" w:rsidRPr="003F0120" w:rsidRDefault="003F0120" w:rsidP="003F0120">
      <w:pPr>
        <w:contextualSpacing/>
        <w:rPr>
          <w:rFonts w:eastAsia="MS Mincho"/>
          <w:sz w:val="24"/>
          <w:szCs w:val="24"/>
        </w:rPr>
      </w:pPr>
      <w:r w:rsidRPr="003F0120">
        <w:rPr>
          <w:rFonts w:eastAsia="MS Mincho"/>
          <w:sz w:val="24"/>
          <w:szCs w:val="24"/>
        </w:rPr>
        <w:t xml:space="preserve">DUSC noted that a large proportion of patients (approximately 20% to 45% depending on indication) only had one prescription supplied. This suggests that many patients who initiate botulinum toxin </w:t>
      </w:r>
      <w:r w:rsidR="00411CB6">
        <w:rPr>
          <w:rFonts w:eastAsia="MS Mincho"/>
          <w:sz w:val="24"/>
          <w:szCs w:val="24"/>
        </w:rPr>
        <w:t>may</w:t>
      </w:r>
      <w:r w:rsidR="00411CB6" w:rsidRPr="003F0120">
        <w:rPr>
          <w:rFonts w:eastAsia="MS Mincho"/>
          <w:sz w:val="24"/>
          <w:szCs w:val="24"/>
        </w:rPr>
        <w:t xml:space="preserve"> </w:t>
      </w:r>
      <w:r w:rsidRPr="003F0120">
        <w:rPr>
          <w:rFonts w:eastAsia="MS Mincho"/>
          <w:sz w:val="24"/>
          <w:szCs w:val="24"/>
        </w:rPr>
        <w:t>not achieve functional improvement</w:t>
      </w:r>
      <w:r w:rsidR="00E867CE">
        <w:rPr>
          <w:rFonts w:eastAsia="MS Mincho"/>
          <w:sz w:val="24"/>
          <w:szCs w:val="24"/>
        </w:rPr>
        <w:t xml:space="preserve"> </w:t>
      </w:r>
      <w:r w:rsidR="007958F3">
        <w:rPr>
          <w:rFonts w:eastAsia="MS Mincho"/>
          <w:sz w:val="24"/>
          <w:szCs w:val="24"/>
        </w:rPr>
        <w:t>or dislike the injections</w:t>
      </w:r>
      <w:r w:rsidRPr="003F0120">
        <w:rPr>
          <w:rFonts w:eastAsia="MS Mincho"/>
          <w:sz w:val="24"/>
          <w:szCs w:val="24"/>
        </w:rPr>
        <w:t xml:space="preserve"> and </w:t>
      </w:r>
      <w:r w:rsidR="00411CB6">
        <w:rPr>
          <w:rFonts w:eastAsia="MS Mincho"/>
          <w:sz w:val="24"/>
          <w:szCs w:val="24"/>
        </w:rPr>
        <w:t>cease</w:t>
      </w:r>
      <w:r w:rsidRPr="003F0120">
        <w:rPr>
          <w:rFonts w:eastAsia="MS Mincho"/>
          <w:sz w:val="24"/>
          <w:szCs w:val="24"/>
        </w:rPr>
        <w:t xml:space="preserve"> treatment.</w:t>
      </w:r>
    </w:p>
    <w:p w14:paraId="6FCD22CF" w14:textId="77777777" w:rsidR="003F0120" w:rsidRPr="003F0120" w:rsidRDefault="003F0120" w:rsidP="003F0120">
      <w:pPr>
        <w:contextualSpacing/>
        <w:rPr>
          <w:rFonts w:eastAsia="MS Mincho"/>
          <w:sz w:val="24"/>
          <w:szCs w:val="24"/>
        </w:rPr>
      </w:pPr>
    </w:p>
    <w:p w14:paraId="47DEA67C" w14:textId="2C04B8CA" w:rsidR="0032170F" w:rsidRPr="003F0120" w:rsidRDefault="003F0120" w:rsidP="00FA5FD8">
      <w:pPr>
        <w:contextualSpacing/>
        <w:rPr>
          <w:rFonts w:eastAsia="MS Mincho"/>
          <w:sz w:val="24"/>
          <w:szCs w:val="24"/>
        </w:rPr>
      </w:pPr>
      <w:r w:rsidRPr="003F0120">
        <w:rPr>
          <w:rFonts w:eastAsia="MS Mincho"/>
          <w:sz w:val="24"/>
          <w:szCs w:val="24"/>
        </w:rPr>
        <w:t>DUSC requested that the report be provided to the PBAC.</w:t>
      </w:r>
    </w:p>
    <w:p w14:paraId="4C31EC22" w14:textId="77777777" w:rsidR="003F0120" w:rsidRPr="003F0120" w:rsidRDefault="003F0120" w:rsidP="00FA5FD8">
      <w:pPr>
        <w:contextualSpacing/>
        <w:rPr>
          <w:rFonts w:eastAsia="MS Mincho"/>
          <w:sz w:val="24"/>
          <w:szCs w:val="24"/>
          <w:highlight w:val="yellow"/>
        </w:rPr>
      </w:pPr>
    </w:p>
    <w:p w14:paraId="43A5B94A" w14:textId="77777777" w:rsidR="00813C07" w:rsidRPr="00144B72" w:rsidRDefault="00EC27B1" w:rsidP="008B6946">
      <w:pPr>
        <w:pStyle w:val="Heading2"/>
      </w:pPr>
      <w:r w:rsidRPr="00144B72">
        <w:t>Upcoming</w:t>
      </w:r>
      <w:r w:rsidR="00813C07" w:rsidRPr="00144B72">
        <w:t xml:space="preserve"> </w:t>
      </w:r>
      <w:r w:rsidR="00006EF5" w:rsidRPr="00144B72">
        <w:t>U</w:t>
      </w:r>
      <w:r w:rsidR="00E60246" w:rsidRPr="00144B72">
        <w:t xml:space="preserve">tilisation </w:t>
      </w:r>
      <w:r w:rsidR="00006EF5" w:rsidRPr="00144B72">
        <w:t>A</w:t>
      </w:r>
      <w:r w:rsidR="00E60246" w:rsidRPr="00144B72">
        <w:t xml:space="preserve">nalysis </w:t>
      </w:r>
      <w:r w:rsidR="00006EF5" w:rsidRPr="00144B72">
        <w:t>of PBS L</w:t>
      </w:r>
      <w:r w:rsidR="00813C07" w:rsidRPr="00144B72">
        <w:t xml:space="preserve">isted </w:t>
      </w:r>
      <w:r w:rsidR="007D4108" w:rsidRPr="00144B72">
        <w:t>Medicines</w:t>
      </w:r>
    </w:p>
    <w:p w14:paraId="47C22858" w14:textId="77777777" w:rsidR="00D06634" w:rsidRPr="00144B72" w:rsidRDefault="002B7EE2" w:rsidP="008B6946">
      <w:pPr>
        <w:rPr>
          <w:sz w:val="24"/>
          <w:szCs w:val="24"/>
        </w:rPr>
      </w:pPr>
      <w:r w:rsidRPr="00144B72">
        <w:rPr>
          <w:sz w:val="24"/>
          <w:szCs w:val="24"/>
        </w:rPr>
        <w:t xml:space="preserve">Utilisation </w:t>
      </w:r>
      <w:r w:rsidR="00DA5030" w:rsidRPr="00144B72">
        <w:rPr>
          <w:sz w:val="24"/>
          <w:szCs w:val="24"/>
        </w:rPr>
        <w:t>of t</w:t>
      </w:r>
      <w:r w:rsidR="005E1E28" w:rsidRPr="00144B72">
        <w:rPr>
          <w:sz w:val="24"/>
          <w:szCs w:val="24"/>
        </w:rPr>
        <w:t xml:space="preserve">he following </w:t>
      </w:r>
      <w:r w:rsidR="007D4108" w:rsidRPr="00144B72">
        <w:rPr>
          <w:sz w:val="24"/>
          <w:szCs w:val="24"/>
        </w:rPr>
        <w:t xml:space="preserve">medicines </w:t>
      </w:r>
      <w:r w:rsidR="00D55ED4" w:rsidRPr="00144B72">
        <w:rPr>
          <w:sz w:val="24"/>
          <w:szCs w:val="24"/>
        </w:rPr>
        <w:t xml:space="preserve">and therapeutic areas have been </w:t>
      </w:r>
      <w:r w:rsidR="00EC27B1" w:rsidRPr="00144B72">
        <w:rPr>
          <w:sz w:val="24"/>
          <w:szCs w:val="24"/>
        </w:rPr>
        <w:t>selected for</w:t>
      </w:r>
      <w:r w:rsidR="005E1E28" w:rsidRPr="00144B72">
        <w:rPr>
          <w:sz w:val="24"/>
          <w:szCs w:val="24"/>
        </w:rPr>
        <w:t xml:space="preserve"> </w:t>
      </w:r>
      <w:r w:rsidRPr="00144B72">
        <w:rPr>
          <w:sz w:val="24"/>
          <w:szCs w:val="24"/>
        </w:rPr>
        <w:t xml:space="preserve">consideration </w:t>
      </w:r>
      <w:r w:rsidR="005E1E28" w:rsidRPr="00144B72">
        <w:rPr>
          <w:sz w:val="24"/>
          <w:szCs w:val="24"/>
        </w:rPr>
        <w:t xml:space="preserve">at </w:t>
      </w:r>
      <w:r w:rsidR="00AE46E7" w:rsidRPr="00144B72">
        <w:rPr>
          <w:sz w:val="24"/>
          <w:szCs w:val="24"/>
        </w:rPr>
        <w:t xml:space="preserve">future </w:t>
      </w:r>
      <w:r w:rsidR="005E1E28" w:rsidRPr="00144B72">
        <w:rPr>
          <w:sz w:val="24"/>
          <w:szCs w:val="24"/>
        </w:rPr>
        <w:t>DUSC meetin</w:t>
      </w:r>
      <w:r w:rsidR="00094597" w:rsidRPr="00144B72">
        <w:rPr>
          <w:sz w:val="24"/>
          <w:szCs w:val="24"/>
        </w:rPr>
        <w:t>g</w:t>
      </w:r>
      <w:r w:rsidR="00AE46E7" w:rsidRPr="00144B72">
        <w:rPr>
          <w:sz w:val="24"/>
          <w:szCs w:val="24"/>
        </w:rPr>
        <w:t>s.</w:t>
      </w:r>
    </w:p>
    <w:p w14:paraId="7E929759" w14:textId="77777777" w:rsidR="00513E5D" w:rsidRPr="0062222D" w:rsidRDefault="00513E5D" w:rsidP="008B6946">
      <w:pPr>
        <w:rPr>
          <w:sz w:val="24"/>
          <w:szCs w:val="24"/>
          <w:highlight w:val="yellow"/>
        </w:rPr>
      </w:pPr>
    </w:p>
    <w:p w14:paraId="58C53A4D" w14:textId="77777777" w:rsidR="00C3191A" w:rsidRPr="00AA7FC1" w:rsidRDefault="00C3191A" w:rsidP="00C3191A">
      <w:pPr>
        <w:pStyle w:val="ListParagraph"/>
        <w:autoSpaceDE w:val="0"/>
        <w:autoSpaceDN w:val="0"/>
        <w:adjustRightInd w:val="0"/>
        <w:ind w:left="0"/>
        <w:contextualSpacing/>
        <w:rPr>
          <w:b/>
          <w:szCs w:val="24"/>
        </w:rPr>
      </w:pPr>
      <w:r w:rsidRPr="00AA7FC1">
        <w:rPr>
          <w:b/>
          <w:szCs w:val="24"/>
        </w:rPr>
        <w:t>Predicted versus Actual Utilisation Analysis</w:t>
      </w:r>
    </w:p>
    <w:p w14:paraId="508CB573" w14:textId="77777777" w:rsidR="00FC46A4" w:rsidRPr="00225034" w:rsidRDefault="00FC46A4" w:rsidP="00FC46A4">
      <w:pPr>
        <w:pStyle w:val="ListParagraph"/>
        <w:numPr>
          <w:ilvl w:val="0"/>
          <w:numId w:val="6"/>
        </w:numPr>
        <w:contextualSpacing/>
      </w:pPr>
      <w:r w:rsidRPr="00225034">
        <w:rPr>
          <w:rFonts w:cs="Arial"/>
        </w:rPr>
        <w:t>Bevacizumab for Stage IIIB, IIIC or Stage IV epithelial ovarian, fallopian tube or primary peritoneal cancer</w:t>
      </w:r>
    </w:p>
    <w:p w14:paraId="4119D44B" w14:textId="77777777" w:rsidR="00FC46A4" w:rsidRPr="00225034" w:rsidRDefault="00FC46A4" w:rsidP="00FC46A4">
      <w:pPr>
        <w:pStyle w:val="ListParagraph"/>
        <w:numPr>
          <w:ilvl w:val="0"/>
          <w:numId w:val="6"/>
        </w:numPr>
        <w:contextualSpacing/>
      </w:pPr>
      <w:r w:rsidRPr="00225034">
        <w:t>Ruxolitinib for the treatment of myelofibrosis</w:t>
      </w:r>
    </w:p>
    <w:p w14:paraId="16F22115" w14:textId="77777777" w:rsidR="00FC46A4" w:rsidRPr="00225034" w:rsidRDefault="00FC46A4" w:rsidP="00FC46A4">
      <w:pPr>
        <w:pStyle w:val="ListParagraph"/>
        <w:numPr>
          <w:ilvl w:val="0"/>
          <w:numId w:val="6"/>
        </w:numPr>
        <w:contextualSpacing/>
      </w:pPr>
      <w:r w:rsidRPr="00225034">
        <w:rPr>
          <w:rFonts w:cs="Arial"/>
        </w:rPr>
        <w:t>Eculizumab for atypical</w:t>
      </w:r>
      <w:r w:rsidRPr="00225034">
        <w:t xml:space="preserve"> </w:t>
      </w:r>
      <w:r w:rsidRPr="00225034">
        <w:rPr>
          <w:rFonts w:cs="Arial"/>
        </w:rPr>
        <w:t>haemolytic uraemic syndrome</w:t>
      </w:r>
    </w:p>
    <w:p w14:paraId="45624CB8" w14:textId="77777777" w:rsidR="00C3191A" w:rsidRPr="00225034" w:rsidRDefault="00C3191A" w:rsidP="0099648E">
      <w:pPr>
        <w:pStyle w:val="ListParagraph"/>
        <w:autoSpaceDE w:val="0"/>
        <w:autoSpaceDN w:val="0"/>
        <w:adjustRightInd w:val="0"/>
        <w:ind w:left="0"/>
        <w:contextualSpacing/>
        <w:rPr>
          <w:b/>
          <w:szCs w:val="24"/>
        </w:rPr>
      </w:pPr>
    </w:p>
    <w:p w14:paraId="672600E3" w14:textId="77777777" w:rsidR="0099648E" w:rsidRPr="00225034" w:rsidRDefault="0099648E" w:rsidP="0099648E">
      <w:pPr>
        <w:pStyle w:val="ListParagraph"/>
        <w:autoSpaceDE w:val="0"/>
        <w:autoSpaceDN w:val="0"/>
        <w:adjustRightInd w:val="0"/>
        <w:ind w:left="0"/>
        <w:contextualSpacing/>
        <w:rPr>
          <w:b/>
          <w:szCs w:val="24"/>
        </w:rPr>
      </w:pPr>
      <w:r w:rsidRPr="00225034">
        <w:rPr>
          <w:b/>
          <w:szCs w:val="24"/>
        </w:rPr>
        <w:t>Analysis of multiple medicines in a treatment area</w:t>
      </w:r>
    </w:p>
    <w:p w14:paraId="15F089EF" w14:textId="7658C4CC" w:rsidR="002123C7" w:rsidRPr="00225034" w:rsidRDefault="00943ADF" w:rsidP="0004475E">
      <w:pPr>
        <w:pStyle w:val="ListParagraph"/>
        <w:numPr>
          <w:ilvl w:val="0"/>
          <w:numId w:val="1"/>
        </w:numPr>
        <w:autoSpaceDE w:val="0"/>
        <w:autoSpaceDN w:val="0"/>
        <w:adjustRightInd w:val="0"/>
        <w:contextualSpacing/>
        <w:rPr>
          <w:szCs w:val="24"/>
        </w:rPr>
      </w:pPr>
      <w:r w:rsidRPr="00225034">
        <w:rPr>
          <w:szCs w:val="24"/>
        </w:rPr>
        <w:t xml:space="preserve">Medicines for </w:t>
      </w:r>
      <w:r w:rsidR="00FC46A4" w:rsidRPr="00225034">
        <w:t xml:space="preserve">the treatment of chronic hepatitis </w:t>
      </w:r>
      <w:r w:rsidR="00A479B7" w:rsidRPr="00225034">
        <w:rPr>
          <w:szCs w:val="24"/>
        </w:rPr>
        <w:t>C</w:t>
      </w:r>
    </w:p>
    <w:p w14:paraId="47E85032" w14:textId="77777777" w:rsidR="00E224FD" w:rsidRPr="00225034" w:rsidRDefault="00E224FD" w:rsidP="009D2858">
      <w:pPr>
        <w:rPr>
          <w:sz w:val="24"/>
          <w:szCs w:val="24"/>
        </w:rPr>
      </w:pPr>
    </w:p>
    <w:p w14:paraId="36596267" w14:textId="77777777" w:rsidR="009D2858" w:rsidRPr="00144B72" w:rsidRDefault="009D2858" w:rsidP="009D2858">
      <w:pPr>
        <w:rPr>
          <w:sz w:val="24"/>
          <w:szCs w:val="24"/>
        </w:rPr>
      </w:pPr>
      <w:r w:rsidRPr="00144B72">
        <w:rPr>
          <w:sz w:val="24"/>
          <w:szCs w:val="24"/>
        </w:rPr>
        <w:t>An outcome statement will be available following each meeting of DUSC. For further information, please contact the DUSC Secretariat at DUSC@health.gov.au.</w:t>
      </w:r>
    </w:p>
    <w:p w14:paraId="1E20E1B0" w14:textId="77777777" w:rsidR="00313B7D" w:rsidRPr="0062222D" w:rsidRDefault="00313B7D" w:rsidP="008B6946">
      <w:pPr>
        <w:rPr>
          <w:sz w:val="24"/>
          <w:szCs w:val="24"/>
          <w:highlight w:val="yellow"/>
        </w:rPr>
      </w:pPr>
    </w:p>
    <w:p w14:paraId="6E7ECF5D" w14:textId="77777777" w:rsidR="009B25AF" w:rsidRPr="0062222D" w:rsidRDefault="009B25AF" w:rsidP="008B6946">
      <w:pPr>
        <w:rPr>
          <w:sz w:val="24"/>
          <w:szCs w:val="24"/>
          <w:highlight w:val="yellow"/>
        </w:rPr>
      </w:pPr>
    </w:p>
    <w:p w14:paraId="11E605FE" w14:textId="77777777" w:rsidR="00002AE8" w:rsidRPr="00144B72" w:rsidRDefault="00303E60" w:rsidP="008B6946">
      <w:pPr>
        <w:rPr>
          <w:sz w:val="24"/>
          <w:szCs w:val="24"/>
        </w:rPr>
      </w:pPr>
      <w:r w:rsidRPr="00144B72">
        <w:rPr>
          <w:sz w:val="24"/>
          <w:szCs w:val="24"/>
        </w:rPr>
        <w:t>A/</w:t>
      </w:r>
      <w:r w:rsidR="00002AE8" w:rsidRPr="00144B72">
        <w:rPr>
          <w:sz w:val="24"/>
          <w:szCs w:val="24"/>
        </w:rPr>
        <w:t xml:space="preserve">Professor </w:t>
      </w:r>
      <w:r w:rsidR="009341E3" w:rsidRPr="00144B72">
        <w:rPr>
          <w:sz w:val="24"/>
          <w:szCs w:val="24"/>
        </w:rPr>
        <w:t>Chris</w:t>
      </w:r>
      <w:r w:rsidRPr="00144B72">
        <w:rPr>
          <w:sz w:val="24"/>
          <w:szCs w:val="24"/>
        </w:rPr>
        <w:t>topher</w:t>
      </w:r>
      <w:r w:rsidR="009341E3" w:rsidRPr="00144B72">
        <w:rPr>
          <w:sz w:val="24"/>
          <w:szCs w:val="24"/>
        </w:rPr>
        <w:t xml:space="preserve"> Etherton-Beer</w:t>
      </w:r>
    </w:p>
    <w:p w14:paraId="4080A7A2" w14:textId="77777777" w:rsidR="00002AE8" w:rsidRPr="00144B72" w:rsidRDefault="00002AE8" w:rsidP="008B6946">
      <w:pPr>
        <w:rPr>
          <w:sz w:val="24"/>
          <w:szCs w:val="24"/>
        </w:rPr>
      </w:pPr>
      <w:r w:rsidRPr="00144B72">
        <w:rPr>
          <w:sz w:val="24"/>
          <w:szCs w:val="24"/>
        </w:rPr>
        <w:t>Chair</w:t>
      </w:r>
    </w:p>
    <w:p w14:paraId="22ABBAD5" w14:textId="77777777" w:rsidR="00002AE8" w:rsidRPr="003F06C8" w:rsidRDefault="00C9017B" w:rsidP="008B6946">
      <w:pPr>
        <w:rPr>
          <w:sz w:val="24"/>
          <w:szCs w:val="24"/>
        </w:rPr>
      </w:pPr>
      <w:r w:rsidRPr="00144B72">
        <w:rPr>
          <w:sz w:val="24"/>
          <w:szCs w:val="24"/>
        </w:rPr>
        <w:t>Drug Utilisation Sub-Committee</w:t>
      </w:r>
    </w:p>
    <w:sectPr w:rsidR="00002AE8" w:rsidRPr="003F06C8" w:rsidSect="007166A9">
      <w:headerReference w:type="even" r:id="rId13"/>
      <w:headerReference w:type="default" r:id="rId14"/>
      <w:footerReference w:type="even" r:id="rId15"/>
      <w:footerReference w:type="default" r:id="rId16"/>
      <w:headerReference w:type="first" r:id="rId17"/>
      <w:footerReference w:type="first" r:id="rId18"/>
      <w:pgSz w:w="11908" w:h="16833" w:code="9"/>
      <w:pgMar w:top="1134" w:right="1134" w:bottom="1134" w:left="1440" w:header="284" w:footer="0" w:gutter="0"/>
      <w:paperSrc w:first="7" w:other="7"/>
      <w:cols w:space="720"/>
      <w:noEndnote/>
      <w:titlePg/>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0264F0" w15:done="0"/>
  <w15:commentEx w15:paraId="234E97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73818" w14:textId="77777777" w:rsidR="008376F6" w:rsidRDefault="008376F6">
      <w:r>
        <w:separator/>
      </w:r>
    </w:p>
  </w:endnote>
  <w:endnote w:type="continuationSeparator" w:id="0">
    <w:p w14:paraId="710BDAB1" w14:textId="77777777" w:rsidR="008376F6" w:rsidRDefault="00837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FDACB" w14:textId="77777777" w:rsidR="009B62DA" w:rsidRDefault="009B62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FCFB5" w14:textId="77777777" w:rsidR="00CA1AA9" w:rsidRDefault="00CA1AA9">
    <w:pPr>
      <w:pStyle w:val="Footer"/>
      <w:jc w:val="center"/>
    </w:pPr>
    <w:r>
      <w:fldChar w:fldCharType="begin"/>
    </w:r>
    <w:r>
      <w:instrText xml:space="preserve"> PAGE   \* MERGEFORMAT </w:instrText>
    </w:r>
    <w:r>
      <w:fldChar w:fldCharType="separate"/>
    </w:r>
    <w:r w:rsidR="009B62DA">
      <w:rPr>
        <w:noProof/>
      </w:rPr>
      <w:t>4</w:t>
    </w:r>
    <w:r>
      <w:rPr>
        <w:noProof/>
      </w:rPr>
      <w:fldChar w:fldCharType="end"/>
    </w:r>
  </w:p>
  <w:p w14:paraId="58C017E9" w14:textId="77777777" w:rsidR="00CA1AA9" w:rsidRDefault="00CA1AA9" w:rsidP="00F1203C">
    <w:pPr>
      <w:pStyle w:val="Footer"/>
      <w:tabs>
        <w:tab w:val="clear" w:pos="4153"/>
        <w:tab w:val="clear" w:pos="8306"/>
        <w:tab w:val="center" w:pos="4666"/>
        <w:tab w:val="right" w:pos="933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04F1A" w14:textId="77777777" w:rsidR="00CA1AA9" w:rsidRDefault="00CA1AA9">
    <w:pPr>
      <w:pStyle w:val="Footer"/>
      <w:jc w:val="center"/>
    </w:pPr>
    <w:r>
      <w:fldChar w:fldCharType="begin"/>
    </w:r>
    <w:r>
      <w:instrText xml:space="preserve"> PAGE   \* MERGEFORMAT </w:instrText>
    </w:r>
    <w:r>
      <w:fldChar w:fldCharType="separate"/>
    </w:r>
    <w:r w:rsidR="009B62DA">
      <w:rPr>
        <w:noProof/>
      </w:rPr>
      <w:t>1</w:t>
    </w:r>
    <w:r>
      <w:rPr>
        <w:noProof/>
      </w:rPr>
      <w:fldChar w:fldCharType="end"/>
    </w:r>
  </w:p>
  <w:p w14:paraId="09375B53" w14:textId="77777777" w:rsidR="00CA1AA9" w:rsidRDefault="00CA1AA9" w:rsidP="00F1203C">
    <w:pPr>
      <w:pStyle w:val="Footer"/>
      <w:tabs>
        <w:tab w:val="clear" w:pos="4153"/>
        <w:tab w:val="clear" w:pos="8306"/>
        <w:tab w:val="center" w:pos="4666"/>
        <w:tab w:val="right" w:pos="933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2D676" w14:textId="77777777" w:rsidR="008376F6" w:rsidRDefault="008376F6">
      <w:r>
        <w:separator/>
      </w:r>
    </w:p>
  </w:footnote>
  <w:footnote w:type="continuationSeparator" w:id="0">
    <w:p w14:paraId="0D6E8814" w14:textId="77777777" w:rsidR="008376F6" w:rsidRDefault="00837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2BEDDD" w14:textId="77777777" w:rsidR="009B62DA" w:rsidRDefault="009B62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9000A" w14:textId="77777777" w:rsidR="009B62DA" w:rsidRDefault="009B62D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19E65" w14:textId="77777777" w:rsidR="00CA1AA9" w:rsidRDefault="00D562AF">
    <w:pPr>
      <w:pStyle w:val="Header"/>
    </w:pPr>
    <w:r>
      <w:rPr>
        <w:noProof/>
      </w:rPr>
      <w:drawing>
        <wp:inline distT="0" distB="0" distL="0" distR="0" wp14:anchorId="40D878E1" wp14:editId="4BA220B3">
          <wp:extent cx="800100" cy="542925"/>
          <wp:effectExtent l="0" t="0" r="0" b="9525"/>
          <wp:docPr id="1" name="Picture 1" descr="Australian Government - Department of Health and Age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 Department of Health and Ageing"/>
                  <pic:cNvPicPr>
                    <a:picLocks noChangeAspect="1" noChangeArrowheads="1"/>
                  </pic:cNvPicPr>
                </pic:nvPicPr>
                <pic:blipFill>
                  <a:blip r:embed="rId1">
                    <a:extLst>
                      <a:ext uri="{28A0092B-C50C-407E-A947-70E740481C1C}">
                        <a14:useLocalDpi xmlns:a14="http://schemas.microsoft.com/office/drawing/2010/main" val="0"/>
                      </a:ext>
                    </a:extLst>
                  </a:blip>
                  <a:srcRect l="-214" t="-334" r="-214" b="-334"/>
                  <a:stretch>
                    <a:fillRect/>
                  </a:stretch>
                </pic:blipFill>
                <pic:spPr bwMode="auto">
                  <a:xfrm>
                    <a:off x="0" y="0"/>
                    <a:ext cx="800100" cy="542925"/>
                  </a:xfrm>
                  <a:prstGeom prst="rect">
                    <a:avLst/>
                  </a:prstGeom>
                  <a:noFill/>
                  <a:ln>
                    <a:noFill/>
                  </a:ln>
                </pic:spPr>
              </pic:pic>
            </a:graphicData>
          </a:graphic>
        </wp:inline>
      </w:drawing>
    </w:r>
  </w:p>
  <w:p w14:paraId="07C6629C" w14:textId="77777777" w:rsidR="00CA1AA9" w:rsidRPr="00CA347D" w:rsidRDefault="00CA1AA9" w:rsidP="00CA347D">
    <w:pPr>
      <w:pStyle w:val="Heading1"/>
      <w:rPr>
        <w:rStyle w:val="Heading1Char"/>
        <w:b/>
      </w:rPr>
    </w:pPr>
    <w:r w:rsidRPr="00CA347D">
      <w:rPr>
        <w:rStyle w:val="Heading1Char"/>
        <w:b/>
      </w:rPr>
      <w:t>Drug Utilisation Sub-Committee</w:t>
    </w:r>
  </w:p>
  <w:p w14:paraId="60C1ACF2" w14:textId="1F213F32" w:rsidR="00CA1AA9" w:rsidRPr="00CA347D" w:rsidRDefault="00CA1AA9" w:rsidP="00CA347D">
    <w:pPr>
      <w:pStyle w:val="Heading1"/>
    </w:pPr>
    <w:r w:rsidRPr="00CA347D">
      <w:rPr>
        <w:rStyle w:val="Heading1Char"/>
        <w:b/>
      </w:rPr>
      <w:t xml:space="preserve">Outcome Statement </w:t>
    </w:r>
    <w:r w:rsidR="00E2641F">
      <w:rPr>
        <w:rStyle w:val="Heading1Char"/>
        <w:b/>
      </w:rPr>
      <w:t>3</w:t>
    </w:r>
    <w:r w:rsidR="00B92105">
      <w:rPr>
        <w:rStyle w:val="Heading1Char"/>
        <w:b/>
      </w:rPr>
      <w:t>1</w:t>
    </w:r>
    <w:r w:rsidR="00324E38">
      <w:rPr>
        <w:rStyle w:val="Heading1Char"/>
        <w:b/>
      </w:rPr>
      <w:t xml:space="preserve"> </w:t>
    </w:r>
    <w:r w:rsidR="00E47BA1">
      <w:rPr>
        <w:rStyle w:val="Heading1Char"/>
        <w:b/>
      </w:rPr>
      <w:t>Ma</w:t>
    </w:r>
    <w:r w:rsidR="00B92105">
      <w:rPr>
        <w:rStyle w:val="Heading1Char"/>
        <w:b/>
      </w:rPr>
      <w:t>y</w:t>
    </w:r>
    <w:r w:rsidR="001F7E8B">
      <w:rPr>
        <w:rStyle w:val="Heading1Char"/>
        <w:b/>
      </w:rPr>
      <w:t xml:space="preserve"> 201</w:t>
    </w:r>
    <w:r w:rsidR="00B92105">
      <w:rPr>
        <w:rStyle w:val="Heading1Char"/>
        <w:b/>
      </w:rPr>
      <w:t>8</w:t>
    </w:r>
  </w:p>
  <w:p w14:paraId="0114BB8D" w14:textId="77777777" w:rsidR="00CA1AA9" w:rsidRDefault="00CA1AA9" w:rsidP="0026571A">
    <w:pPr>
      <w:pStyle w:val="Header"/>
      <w:tabs>
        <w:tab w:val="clear" w:pos="4153"/>
        <w:tab w:val="clear" w:pos="8306"/>
        <w:tab w:val="center" w:pos="4678"/>
        <w:tab w:val="right" w:pos="9356"/>
      </w:tabs>
      <w:ind w:firstLine="72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F10AC"/>
    <w:multiLevelType w:val="hybridMultilevel"/>
    <w:tmpl w:val="E46209C6"/>
    <w:lvl w:ilvl="0" w:tplc="F3080E96">
      <w:start w:val="6"/>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4776F8"/>
    <w:multiLevelType w:val="hybridMultilevel"/>
    <w:tmpl w:val="A5C052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BB30211"/>
    <w:multiLevelType w:val="hybridMultilevel"/>
    <w:tmpl w:val="C69490CC"/>
    <w:lvl w:ilvl="0" w:tplc="3326AEBA">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0DD3120"/>
    <w:multiLevelType w:val="hybridMultilevel"/>
    <w:tmpl w:val="C7942E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45273F46"/>
    <w:multiLevelType w:val="hybridMultilevel"/>
    <w:tmpl w:val="464ADFE4"/>
    <w:lvl w:ilvl="0" w:tplc="0C090001">
      <w:start w:val="1"/>
      <w:numFmt w:val="bullet"/>
      <w:lvlText w:val=""/>
      <w:lvlJc w:val="left"/>
      <w:pPr>
        <w:ind w:left="360" w:hanging="360"/>
      </w:pPr>
      <w:rPr>
        <w:rFonts w:ascii="Symbol" w:hAnsi="Symbol" w:hint="default"/>
      </w:rPr>
    </w:lvl>
    <w:lvl w:ilvl="1" w:tplc="4162A170">
      <w:start w:val="1"/>
      <w:numFmt w:val="bullet"/>
      <w:lvlText w:val="-"/>
      <w:lvlJc w:val="left"/>
      <w:pPr>
        <w:ind w:left="1080" w:hanging="360"/>
      </w:pPr>
      <w:rPr>
        <w:rFonts w:ascii="Calibri" w:eastAsiaTheme="minorEastAsia"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46AD1236"/>
    <w:multiLevelType w:val="hybridMultilevel"/>
    <w:tmpl w:val="4860F0C8"/>
    <w:lvl w:ilvl="0" w:tplc="ACF4C0C2">
      <w:start w:val="24"/>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4C36349"/>
    <w:multiLevelType w:val="hybridMultilevel"/>
    <w:tmpl w:val="4264895E"/>
    <w:lvl w:ilvl="0" w:tplc="6F4E7B0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6C27171"/>
    <w:multiLevelType w:val="hybridMultilevel"/>
    <w:tmpl w:val="93ACA8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4"/>
  </w:num>
  <w:num w:numId="6">
    <w:abstractNumId w:val="2"/>
  </w:num>
  <w:num w:numId="7">
    <w:abstractNumId w:val="0"/>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ED8"/>
    <w:rsid w:val="0000190C"/>
    <w:rsid w:val="00002AE8"/>
    <w:rsid w:val="00006EF5"/>
    <w:rsid w:val="00007D7D"/>
    <w:rsid w:val="00010EA8"/>
    <w:rsid w:val="00011A32"/>
    <w:rsid w:val="000142CB"/>
    <w:rsid w:val="0001578A"/>
    <w:rsid w:val="00021898"/>
    <w:rsid w:val="00021AF3"/>
    <w:rsid w:val="000253E4"/>
    <w:rsid w:val="0002613B"/>
    <w:rsid w:val="00026898"/>
    <w:rsid w:val="000304CA"/>
    <w:rsid w:val="000308AD"/>
    <w:rsid w:val="00032252"/>
    <w:rsid w:val="0003541E"/>
    <w:rsid w:val="00037A0C"/>
    <w:rsid w:val="00040565"/>
    <w:rsid w:val="0004475E"/>
    <w:rsid w:val="00047105"/>
    <w:rsid w:val="0005073D"/>
    <w:rsid w:val="00054C1A"/>
    <w:rsid w:val="00055BF6"/>
    <w:rsid w:val="00061505"/>
    <w:rsid w:val="0006189D"/>
    <w:rsid w:val="00061BD3"/>
    <w:rsid w:val="00070082"/>
    <w:rsid w:val="000701B8"/>
    <w:rsid w:val="00071505"/>
    <w:rsid w:val="00072921"/>
    <w:rsid w:val="0007382E"/>
    <w:rsid w:val="0007482C"/>
    <w:rsid w:val="00076E4C"/>
    <w:rsid w:val="00080B21"/>
    <w:rsid w:val="00080FDB"/>
    <w:rsid w:val="0009006A"/>
    <w:rsid w:val="00090474"/>
    <w:rsid w:val="00094597"/>
    <w:rsid w:val="00096B9B"/>
    <w:rsid w:val="0009747E"/>
    <w:rsid w:val="000A02F8"/>
    <w:rsid w:val="000A0713"/>
    <w:rsid w:val="000A13FE"/>
    <w:rsid w:val="000A31AD"/>
    <w:rsid w:val="000A53A6"/>
    <w:rsid w:val="000B14A0"/>
    <w:rsid w:val="000B5448"/>
    <w:rsid w:val="000C1D0B"/>
    <w:rsid w:val="000C58C8"/>
    <w:rsid w:val="000D6712"/>
    <w:rsid w:val="000E178A"/>
    <w:rsid w:val="000E18F9"/>
    <w:rsid w:val="000F3387"/>
    <w:rsid w:val="000F4968"/>
    <w:rsid w:val="000F5C42"/>
    <w:rsid w:val="000F70AE"/>
    <w:rsid w:val="000F73FB"/>
    <w:rsid w:val="000F7CE1"/>
    <w:rsid w:val="00101877"/>
    <w:rsid w:val="00102579"/>
    <w:rsid w:val="001062BB"/>
    <w:rsid w:val="00106A1B"/>
    <w:rsid w:val="001071DA"/>
    <w:rsid w:val="001145B4"/>
    <w:rsid w:val="001215D4"/>
    <w:rsid w:val="00121F43"/>
    <w:rsid w:val="001223D1"/>
    <w:rsid w:val="00123237"/>
    <w:rsid w:val="00137CE5"/>
    <w:rsid w:val="00141172"/>
    <w:rsid w:val="00142512"/>
    <w:rsid w:val="00144B72"/>
    <w:rsid w:val="00151940"/>
    <w:rsid w:val="00152272"/>
    <w:rsid w:val="001528A6"/>
    <w:rsid w:val="00153667"/>
    <w:rsid w:val="0015401F"/>
    <w:rsid w:val="00154D0A"/>
    <w:rsid w:val="00160EF6"/>
    <w:rsid w:val="00166CEB"/>
    <w:rsid w:val="00170E5B"/>
    <w:rsid w:val="00174AD8"/>
    <w:rsid w:val="00174F99"/>
    <w:rsid w:val="001779FD"/>
    <w:rsid w:val="00181817"/>
    <w:rsid w:val="0018567C"/>
    <w:rsid w:val="00186DD1"/>
    <w:rsid w:val="0018700E"/>
    <w:rsid w:val="001902AC"/>
    <w:rsid w:val="001933E2"/>
    <w:rsid w:val="0019724B"/>
    <w:rsid w:val="001A10FD"/>
    <w:rsid w:val="001A3F70"/>
    <w:rsid w:val="001A417C"/>
    <w:rsid w:val="001A449F"/>
    <w:rsid w:val="001A4CD7"/>
    <w:rsid w:val="001A7B67"/>
    <w:rsid w:val="001B1949"/>
    <w:rsid w:val="001B19E3"/>
    <w:rsid w:val="001B2A10"/>
    <w:rsid w:val="001B75D9"/>
    <w:rsid w:val="001C0316"/>
    <w:rsid w:val="001C5A7B"/>
    <w:rsid w:val="001C61FD"/>
    <w:rsid w:val="001C7C04"/>
    <w:rsid w:val="001E4D54"/>
    <w:rsid w:val="001E682A"/>
    <w:rsid w:val="001F33DA"/>
    <w:rsid w:val="001F4200"/>
    <w:rsid w:val="001F6850"/>
    <w:rsid w:val="001F7E8B"/>
    <w:rsid w:val="001F7F87"/>
    <w:rsid w:val="00200BA3"/>
    <w:rsid w:val="00203342"/>
    <w:rsid w:val="00203986"/>
    <w:rsid w:val="00206C78"/>
    <w:rsid w:val="00211F6D"/>
    <w:rsid w:val="002123C7"/>
    <w:rsid w:val="00213EAC"/>
    <w:rsid w:val="002168C1"/>
    <w:rsid w:val="00216CE7"/>
    <w:rsid w:val="00220B3C"/>
    <w:rsid w:val="00224079"/>
    <w:rsid w:val="00224DF5"/>
    <w:rsid w:val="00225034"/>
    <w:rsid w:val="00230732"/>
    <w:rsid w:val="00235EF9"/>
    <w:rsid w:val="002362A1"/>
    <w:rsid w:val="00237631"/>
    <w:rsid w:val="00240FA6"/>
    <w:rsid w:val="002421EE"/>
    <w:rsid w:val="00242420"/>
    <w:rsid w:val="00247102"/>
    <w:rsid w:val="002522B2"/>
    <w:rsid w:val="0025366B"/>
    <w:rsid w:val="00255919"/>
    <w:rsid w:val="00261915"/>
    <w:rsid w:val="00261ED7"/>
    <w:rsid w:val="0026571A"/>
    <w:rsid w:val="0026645D"/>
    <w:rsid w:val="002720C8"/>
    <w:rsid w:val="002722F2"/>
    <w:rsid w:val="00275278"/>
    <w:rsid w:val="00280C05"/>
    <w:rsid w:val="00282C56"/>
    <w:rsid w:val="002862A8"/>
    <w:rsid w:val="002871FC"/>
    <w:rsid w:val="0028771A"/>
    <w:rsid w:val="00291D51"/>
    <w:rsid w:val="00292E10"/>
    <w:rsid w:val="00294F3F"/>
    <w:rsid w:val="0029548B"/>
    <w:rsid w:val="002A2278"/>
    <w:rsid w:val="002A2FEF"/>
    <w:rsid w:val="002A48D7"/>
    <w:rsid w:val="002A6291"/>
    <w:rsid w:val="002A6A51"/>
    <w:rsid w:val="002B0FD1"/>
    <w:rsid w:val="002B4E60"/>
    <w:rsid w:val="002B4FA1"/>
    <w:rsid w:val="002B519D"/>
    <w:rsid w:val="002B7EE2"/>
    <w:rsid w:val="002C1B64"/>
    <w:rsid w:val="002D1148"/>
    <w:rsid w:val="002D3C76"/>
    <w:rsid w:val="002D3FC7"/>
    <w:rsid w:val="002D50B7"/>
    <w:rsid w:val="002D516C"/>
    <w:rsid w:val="002D734E"/>
    <w:rsid w:val="002E6273"/>
    <w:rsid w:val="002E6F6A"/>
    <w:rsid w:val="002E7CA2"/>
    <w:rsid w:val="002E7E14"/>
    <w:rsid w:val="002F131D"/>
    <w:rsid w:val="002F281B"/>
    <w:rsid w:val="002F6C13"/>
    <w:rsid w:val="002F7138"/>
    <w:rsid w:val="003026E0"/>
    <w:rsid w:val="00303E60"/>
    <w:rsid w:val="00307F20"/>
    <w:rsid w:val="00312E8E"/>
    <w:rsid w:val="00313B7D"/>
    <w:rsid w:val="00313FED"/>
    <w:rsid w:val="0032170F"/>
    <w:rsid w:val="00324E38"/>
    <w:rsid w:val="00325C25"/>
    <w:rsid w:val="0032620A"/>
    <w:rsid w:val="0033439A"/>
    <w:rsid w:val="00334C67"/>
    <w:rsid w:val="00335BE5"/>
    <w:rsid w:val="003361C9"/>
    <w:rsid w:val="00336E3A"/>
    <w:rsid w:val="00337241"/>
    <w:rsid w:val="003409D6"/>
    <w:rsid w:val="003468B6"/>
    <w:rsid w:val="003512F6"/>
    <w:rsid w:val="0035237B"/>
    <w:rsid w:val="0035266E"/>
    <w:rsid w:val="00352D12"/>
    <w:rsid w:val="003555E8"/>
    <w:rsid w:val="00357332"/>
    <w:rsid w:val="0035787B"/>
    <w:rsid w:val="003620F9"/>
    <w:rsid w:val="00362581"/>
    <w:rsid w:val="00371376"/>
    <w:rsid w:val="0037338E"/>
    <w:rsid w:val="0037748E"/>
    <w:rsid w:val="00377CBD"/>
    <w:rsid w:val="003833F2"/>
    <w:rsid w:val="00385962"/>
    <w:rsid w:val="003860EB"/>
    <w:rsid w:val="00387684"/>
    <w:rsid w:val="003917EE"/>
    <w:rsid w:val="003923CC"/>
    <w:rsid w:val="00395B29"/>
    <w:rsid w:val="003A4887"/>
    <w:rsid w:val="003A6327"/>
    <w:rsid w:val="003B1842"/>
    <w:rsid w:val="003B30B8"/>
    <w:rsid w:val="003B644D"/>
    <w:rsid w:val="003B7122"/>
    <w:rsid w:val="003C0453"/>
    <w:rsid w:val="003C1363"/>
    <w:rsid w:val="003C3E03"/>
    <w:rsid w:val="003C5342"/>
    <w:rsid w:val="003C7822"/>
    <w:rsid w:val="003C7935"/>
    <w:rsid w:val="003D0574"/>
    <w:rsid w:val="003D6109"/>
    <w:rsid w:val="003D62AA"/>
    <w:rsid w:val="003D6C07"/>
    <w:rsid w:val="003E1ED8"/>
    <w:rsid w:val="003E601F"/>
    <w:rsid w:val="003E60A4"/>
    <w:rsid w:val="003F0120"/>
    <w:rsid w:val="003F021A"/>
    <w:rsid w:val="003F06C8"/>
    <w:rsid w:val="003F1DCA"/>
    <w:rsid w:val="00405743"/>
    <w:rsid w:val="00406FC4"/>
    <w:rsid w:val="00411CB6"/>
    <w:rsid w:val="00415BE7"/>
    <w:rsid w:val="0042032E"/>
    <w:rsid w:val="00420E99"/>
    <w:rsid w:val="0042129E"/>
    <w:rsid w:val="00421874"/>
    <w:rsid w:val="00423C42"/>
    <w:rsid w:val="00435449"/>
    <w:rsid w:val="004374C3"/>
    <w:rsid w:val="0044076B"/>
    <w:rsid w:val="0044367B"/>
    <w:rsid w:val="00445679"/>
    <w:rsid w:val="00451ABF"/>
    <w:rsid w:val="004521E9"/>
    <w:rsid w:val="00455C86"/>
    <w:rsid w:val="004566A9"/>
    <w:rsid w:val="004600DF"/>
    <w:rsid w:val="00461EAF"/>
    <w:rsid w:val="00463497"/>
    <w:rsid w:val="00463B7E"/>
    <w:rsid w:val="00465EED"/>
    <w:rsid w:val="00466242"/>
    <w:rsid w:val="00471240"/>
    <w:rsid w:val="00471899"/>
    <w:rsid w:val="00473DA7"/>
    <w:rsid w:val="00473E7A"/>
    <w:rsid w:val="0047415B"/>
    <w:rsid w:val="00477500"/>
    <w:rsid w:val="00477A9F"/>
    <w:rsid w:val="00477B65"/>
    <w:rsid w:val="004839FE"/>
    <w:rsid w:val="00487B49"/>
    <w:rsid w:val="0049330F"/>
    <w:rsid w:val="0049403E"/>
    <w:rsid w:val="00496AC8"/>
    <w:rsid w:val="004A055D"/>
    <w:rsid w:val="004A41E8"/>
    <w:rsid w:val="004A45ED"/>
    <w:rsid w:val="004B07E1"/>
    <w:rsid w:val="004B259A"/>
    <w:rsid w:val="004B37DD"/>
    <w:rsid w:val="004B41AC"/>
    <w:rsid w:val="004B4E02"/>
    <w:rsid w:val="004C01CD"/>
    <w:rsid w:val="004C0C44"/>
    <w:rsid w:val="004C1966"/>
    <w:rsid w:val="004C3CFD"/>
    <w:rsid w:val="004C7FA9"/>
    <w:rsid w:val="004D0311"/>
    <w:rsid w:val="004D75BE"/>
    <w:rsid w:val="004E5A1F"/>
    <w:rsid w:val="004F049D"/>
    <w:rsid w:val="004F083B"/>
    <w:rsid w:val="004F17CC"/>
    <w:rsid w:val="004F201C"/>
    <w:rsid w:val="004F60E0"/>
    <w:rsid w:val="004F6113"/>
    <w:rsid w:val="004F6927"/>
    <w:rsid w:val="00503251"/>
    <w:rsid w:val="005105BE"/>
    <w:rsid w:val="005121DF"/>
    <w:rsid w:val="00512CE1"/>
    <w:rsid w:val="00513E5D"/>
    <w:rsid w:val="00514817"/>
    <w:rsid w:val="005153B2"/>
    <w:rsid w:val="0051701B"/>
    <w:rsid w:val="00525347"/>
    <w:rsid w:val="0052725D"/>
    <w:rsid w:val="005317C8"/>
    <w:rsid w:val="005363CA"/>
    <w:rsid w:val="00536FAF"/>
    <w:rsid w:val="00540349"/>
    <w:rsid w:val="005414F3"/>
    <w:rsid w:val="00541A35"/>
    <w:rsid w:val="00543CD8"/>
    <w:rsid w:val="005468C1"/>
    <w:rsid w:val="00546A61"/>
    <w:rsid w:val="00550B68"/>
    <w:rsid w:val="00554F00"/>
    <w:rsid w:val="00554F6F"/>
    <w:rsid w:val="00556042"/>
    <w:rsid w:val="0056289C"/>
    <w:rsid w:val="005646E2"/>
    <w:rsid w:val="005659FC"/>
    <w:rsid w:val="00566D78"/>
    <w:rsid w:val="00570796"/>
    <w:rsid w:val="00571683"/>
    <w:rsid w:val="00576201"/>
    <w:rsid w:val="00584E81"/>
    <w:rsid w:val="00584E98"/>
    <w:rsid w:val="0058750D"/>
    <w:rsid w:val="00590036"/>
    <w:rsid w:val="00591C2B"/>
    <w:rsid w:val="00593298"/>
    <w:rsid w:val="00594A71"/>
    <w:rsid w:val="00595475"/>
    <w:rsid w:val="005A1F05"/>
    <w:rsid w:val="005A4F6D"/>
    <w:rsid w:val="005A5F3B"/>
    <w:rsid w:val="005B0558"/>
    <w:rsid w:val="005C053B"/>
    <w:rsid w:val="005C148E"/>
    <w:rsid w:val="005D1BB0"/>
    <w:rsid w:val="005D4EB2"/>
    <w:rsid w:val="005D696D"/>
    <w:rsid w:val="005E116A"/>
    <w:rsid w:val="005E11DF"/>
    <w:rsid w:val="005E14B6"/>
    <w:rsid w:val="005E1E28"/>
    <w:rsid w:val="005E4D8D"/>
    <w:rsid w:val="005E71D4"/>
    <w:rsid w:val="005E77F8"/>
    <w:rsid w:val="005E7DF8"/>
    <w:rsid w:val="005F20C5"/>
    <w:rsid w:val="005F20FE"/>
    <w:rsid w:val="005F3EF0"/>
    <w:rsid w:val="0060015D"/>
    <w:rsid w:val="00602B28"/>
    <w:rsid w:val="00602DC3"/>
    <w:rsid w:val="00603A1E"/>
    <w:rsid w:val="00605905"/>
    <w:rsid w:val="00605D9C"/>
    <w:rsid w:val="00606F6A"/>
    <w:rsid w:val="00610F72"/>
    <w:rsid w:val="006118CB"/>
    <w:rsid w:val="006146D0"/>
    <w:rsid w:val="0061504D"/>
    <w:rsid w:val="0062222D"/>
    <w:rsid w:val="00622522"/>
    <w:rsid w:val="006231FB"/>
    <w:rsid w:val="0062459E"/>
    <w:rsid w:val="006314E6"/>
    <w:rsid w:val="00635EA5"/>
    <w:rsid w:val="00640199"/>
    <w:rsid w:val="0064252F"/>
    <w:rsid w:val="006431B8"/>
    <w:rsid w:val="00645035"/>
    <w:rsid w:val="00647F2B"/>
    <w:rsid w:val="00651A8E"/>
    <w:rsid w:val="00667381"/>
    <w:rsid w:val="00670BD6"/>
    <w:rsid w:val="00670E22"/>
    <w:rsid w:val="006723D5"/>
    <w:rsid w:val="00676304"/>
    <w:rsid w:val="00677B98"/>
    <w:rsid w:val="0068031D"/>
    <w:rsid w:val="006826C3"/>
    <w:rsid w:val="00683F49"/>
    <w:rsid w:val="006878A3"/>
    <w:rsid w:val="00692AAD"/>
    <w:rsid w:val="00692B74"/>
    <w:rsid w:val="006946E1"/>
    <w:rsid w:val="00695073"/>
    <w:rsid w:val="00695BF3"/>
    <w:rsid w:val="006969FE"/>
    <w:rsid w:val="00697BC7"/>
    <w:rsid w:val="006A0AB6"/>
    <w:rsid w:val="006A71A2"/>
    <w:rsid w:val="006B1CD8"/>
    <w:rsid w:val="006B2AE4"/>
    <w:rsid w:val="006B33A6"/>
    <w:rsid w:val="006B3D40"/>
    <w:rsid w:val="006B5BFA"/>
    <w:rsid w:val="006C0EEE"/>
    <w:rsid w:val="006C1E62"/>
    <w:rsid w:val="006C29FD"/>
    <w:rsid w:val="006C48FE"/>
    <w:rsid w:val="006C4C24"/>
    <w:rsid w:val="006C588F"/>
    <w:rsid w:val="006D0C9A"/>
    <w:rsid w:val="006D29CA"/>
    <w:rsid w:val="006D69D9"/>
    <w:rsid w:val="006D6B4B"/>
    <w:rsid w:val="006D7038"/>
    <w:rsid w:val="006E08E0"/>
    <w:rsid w:val="006E0DDE"/>
    <w:rsid w:val="006E191B"/>
    <w:rsid w:val="006E2143"/>
    <w:rsid w:val="006E29E5"/>
    <w:rsid w:val="006E3AF2"/>
    <w:rsid w:val="006E4185"/>
    <w:rsid w:val="006E66AD"/>
    <w:rsid w:val="006E7FA3"/>
    <w:rsid w:val="006F09EF"/>
    <w:rsid w:val="006F60A7"/>
    <w:rsid w:val="006F7103"/>
    <w:rsid w:val="006F7466"/>
    <w:rsid w:val="00702F49"/>
    <w:rsid w:val="00703C4C"/>
    <w:rsid w:val="007048E7"/>
    <w:rsid w:val="00704FED"/>
    <w:rsid w:val="00706AF7"/>
    <w:rsid w:val="0071514B"/>
    <w:rsid w:val="0071558A"/>
    <w:rsid w:val="00715E10"/>
    <w:rsid w:val="007166A9"/>
    <w:rsid w:val="00722564"/>
    <w:rsid w:val="0072634E"/>
    <w:rsid w:val="007327B8"/>
    <w:rsid w:val="00735BBE"/>
    <w:rsid w:val="0073626D"/>
    <w:rsid w:val="007404D8"/>
    <w:rsid w:val="0074244E"/>
    <w:rsid w:val="0074399F"/>
    <w:rsid w:val="00746212"/>
    <w:rsid w:val="00747495"/>
    <w:rsid w:val="00753580"/>
    <w:rsid w:val="00753AE8"/>
    <w:rsid w:val="00753D42"/>
    <w:rsid w:val="00755BF3"/>
    <w:rsid w:val="007605B0"/>
    <w:rsid w:val="00761116"/>
    <w:rsid w:val="00766D92"/>
    <w:rsid w:val="00766DBB"/>
    <w:rsid w:val="007830A6"/>
    <w:rsid w:val="0079098A"/>
    <w:rsid w:val="00792D24"/>
    <w:rsid w:val="007958F3"/>
    <w:rsid w:val="007A025D"/>
    <w:rsid w:val="007A06B9"/>
    <w:rsid w:val="007A1ABE"/>
    <w:rsid w:val="007A1C91"/>
    <w:rsid w:val="007A291C"/>
    <w:rsid w:val="007A312B"/>
    <w:rsid w:val="007A5016"/>
    <w:rsid w:val="007A5F03"/>
    <w:rsid w:val="007B072C"/>
    <w:rsid w:val="007B0C39"/>
    <w:rsid w:val="007B10CC"/>
    <w:rsid w:val="007B264F"/>
    <w:rsid w:val="007B45CE"/>
    <w:rsid w:val="007C0BB4"/>
    <w:rsid w:val="007C4B1F"/>
    <w:rsid w:val="007D29DA"/>
    <w:rsid w:val="007D3A05"/>
    <w:rsid w:val="007D4108"/>
    <w:rsid w:val="007D53F5"/>
    <w:rsid w:val="007D71F4"/>
    <w:rsid w:val="007E0FFA"/>
    <w:rsid w:val="007E3CDE"/>
    <w:rsid w:val="007E3E41"/>
    <w:rsid w:val="007E45EB"/>
    <w:rsid w:val="007E4699"/>
    <w:rsid w:val="007F03B3"/>
    <w:rsid w:val="007F224E"/>
    <w:rsid w:val="007F6799"/>
    <w:rsid w:val="00802343"/>
    <w:rsid w:val="00802954"/>
    <w:rsid w:val="008032CF"/>
    <w:rsid w:val="008032DE"/>
    <w:rsid w:val="00806FF3"/>
    <w:rsid w:val="00812097"/>
    <w:rsid w:val="00812A58"/>
    <w:rsid w:val="00812E43"/>
    <w:rsid w:val="00813C07"/>
    <w:rsid w:val="008226BA"/>
    <w:rsid w:val="008232E9"/>
    <w:rsid w:val="00824D2F"/>
    <w:rsid w:val="00825E26"/>
    <w:rsid w:val="00833148"/>
    <w:rsid w:val="00834AC0"/>
    <w:rsid w:val="008376F6"/>
    <w:rsid w:val="0084274F"/>
    <w:rsid w:val="00844137"/>
    <w:rsid w:val="008443DF"/>
    <w:rsid w:val="00846541"/>
    <w:rsid w:val="00851077"/>
    <w:rsid w:val="00855B59"/>
    <w:rsid w:val="00861B30"/>
    <w:rsid w:val="008671AC"/>
    <w:rsid w:val="008730E5"/>
    <w:rsid w:val="0087516C"/>
    <w:rsid w:val="00885679"/>
    <w:rsid w:val="00886FF7"/>
    <w:rsid w:val="00887242"/>
    <w:rsid w:val="008909B5"/>
    <w:rsid w:val="008933AA"/>
    <w:rsid w:val="00893956"/>
    <w:rsid w:val="008945B1"/>
    <w:rsid w:val="008952FA"/>
    <w:rsid w:val="00896489"/>
    <w:rsid w:val="008A17E6"/>
    <w:rsid w:val="008A271D"/>
    <w:rsid w:val="008A27C1"/>
    <w:rsid w:val="008A2B60"/>
    <w:rsid w:val="008A5C6B"/>
    <w:rsid w:val="008B25F5"/>
    <w:rsid w:val="008B44FC"/>
    <w:rsid w:val="008B6054"/>
    <w:rsid w:val="008B6946"/>
    <w:rsid w:val="008B6E94"/>
    <w:rsid w:val="008C0C0B"/>
    <w:rsid w:val="008C0C44"/>
    <w:rsid w:val="008C1C17"/>
    <w:rsid w:val="008C2829"/>
    <w:rsid w:val="008C28B4"/>
    <w:rsid w:val="008C7ED8"/>
    <w:rsid w:val="008D0DA2"/>
    <w:rsid w:val="008E0DFD"/>
    <w:rsid w:val="008E66D2"/>
    <w:rsid w:val="008E763F"/>
    <w:rsid w:val="008E7888"/>
    <w:rsid w:val="008E7C67"/>
    <w:rsid w:val="008F1340"/>
    <w:rsid w:val="008F4AB2"/>
    <w:rsid w:val="008F7F63"/>
    <w:rsid w:val="00910BE5"/>
    <w:rsid w:val="009112F4"/>
    <w:rsid w:val="00911959"/>
    <w:rsid w:val="009132FD"/>
    <w:rsid w:val="00913F15"/>
    <w:rsid w:val="00914B86"/>
    <w:rsid w:val="00915D6E"/>
    <w:rsid w:val="009168AA"/>
    <w:rsid w:val="009230A9"/>
    <w:rsid w:val="009237FF"/>
    <w:rsid w:val="00923CBA"/>
    <w:rsid w:val="00923DCB"/>
    <w:rsid w:val="009245B3"/>
    <w:rsid w:val="00926116"/>
    <w:rsid w:val="009261D7"/>
    <w:rsid w:val="009307DE"/>
    <w:rsid w:val="00933D66"/>
    <w:rsid w:val="009341E3"/>
    <w:rsid w:val="00940287"/>
    <w:rsid w:val="009427BA"/>
    <w:rsid w:val="00943ADF"/>
    <w:rsid w:val="0094562D"/>
    <w:rsid w:val="009562F1"/>
    <w:rsid w:val="00957BA4"/>
    <w:rsid w:val="00965552"/>
    <w:rsid w:val="0096600D"/>
    <w:rsid w:val="0096605A"/>
    <w:rsid w:val="009671FF"/>
    <w:rsid w:val="00975BCB"/>
    <w:rsid w:val="00982C4C"/>
    <w:rsid w:val="00990492"/>
    <w:rsid w:val="009950E1"/>
    <w:rsid w:val="0099648E"/>
    <w:rsid w:val="00997DB5"/>
    <w:rsid w:val="009A22C0"/>
    <w:rsid w:val="009B25AF"/>
    <w:rsid w:val="009B62DA"/>
    <w:rsid w:val="009C32BA"/>
    <w:rsid w:val="009C4D57"/>
    <w:rsid w:val="009C5C1E"/>
    <w:rsid w:val="009C5FCE"/>
    <w:rsid w:val="009C6EB1"/>
    <w:rsid w:val="009D1661"/>
    <w:rsid w:val="009D1C4B"/>
    <w:rsid w:val="009D2858"/>
    <w:rsid w:val="009D3B7F"/>
    <w:rsid w:val="009D4354"/>
    <w:rsid w:val="009D71B6"/>
    <w:rsid w:val="009E130A"/>
    <w:rsid w:val="009E13E7"/>
    <w:rsid w:val="009E18B1"/>
    <w:rsid w:val="009E23F2"/>
    <w:rsid w:val="009E2CA6"/>
    <w:rsid w:val="009E5D90"/>
    <w:rsid w:val="009E754B"/>
    <w:rsid w:val="009F1A70"/>
    <w:rsid w:val="009F37E6"/>
    <w:rsid w:val="009F44EE"/>
    <w:rsid w:val="009F5D71"/>
    <w:rsid w:val="009F7D69"/>
    <w:rsid w:val="00A02C13"/>
    <w:rsid w:val="00A06FDB"/>
    <w:rsid w:val="00A1378E"/>
    <w:rsid w:val="00A140B4"/>
    <w:rsid w:val="00A20CBD"/>
    <w:rsid w:val="00A23071"/>
    <w:rsid w:val="00A24070"/>
    <w:rsid w:val="00A27FE5"/>
    <w:rsid w:val="00A33086"/>
    <w:rsid w:val="00A340B2"/>
    <w:rsid w:val="00A372EE"/>
    <w:rsid w:val="00A42B7A"/>
    <w:rsid w:val="00A432AE"/>
    <w:rsid w:val="00A453E3"/>
    <w:rsid w:val="00A479B7"/>
    <w:rsid w:val="00A479D4"/>
    <w:rsid w:val="00A5019B"/>
    <w:rsid w:val="00A50646"/>
    <w:rsid w:val="00A50FB6"/>
    <w:rsid w:val="00A50FF8"/>
    <w:rsid w:val="00A52067"/>
    <w:rsid w:val="00A52E9A"/>
    <w:rsid w:val="00A5505E"/>
    <w:rsid w:val="00A62C85"/>
    <w:rsid w:val="00A64459"/>
    <w:rsid w:val="00A64E13"/>
    <w:rsid w:val="00A72971"/>
    <w:rsid w:val="00A72A5F"/>
    <w:rsid w:val="00A744EA"/>
    <w:rsid w:val="00A75CE9"/>
    <w:rsid w:val="00A8138B"/>
    <w:rsid w:val="00A85479"/>
    <w:rsid w:val="00A96763"/>
    <w:rsid w:val="00AA7FC1"/>
    <w:rsid w:val="00AB2981"/>
    <w:rsid w:val="00AB4A37"/>
    <w:rsid w:val="00AB6DF6"/>
    <w:rsid w:val="00AC42CE"/>
    <w:rsid w:val="00AC6543"/>
    <w:rsid w:val="00AD405E"/>
    <w:rsid w:val="00AD61AC"/>
    <w:rsid w:val="00AE0098"/>
    <w:rsid w:val="00AE2C4F"/>
    <w:rsid w:val="00AE46E7"/>
    <w:rsid w:val="00AE47EB"/>
    <w:rsid w:val="00AE5D15"/>
    <w:rsid w:val="00AE7D19"/>
    <w:rsid w:val="00AF1FCD"/>
    <w:rsid w:val="00AF54A2"/>
    <w:rsid w:val="00AF646A"/>
    <w:rsid w:val="00B0144A"/>
    <w:rsid w:val="00B12248"/>
    <w:rsid w:val="00B12B2F"/>
    <w:rsid w:val="00B13246"/>
    <w:rsid w:val="00B171C5"/>
    <w:rsid w:val="00B17AE9"/>
    <w:rsid w:val="00B17B4F"/>
    <w:rsid w:val="00B20269"/>
    <w:rsid w:val="00B20546"/>
    <w:rsid w:val="00B25209"/>
    <w:rsid w:val="00B26023"/>
    <w:rsid w:val="00B2765B"/>
    <w:rsid w:val="00B41D14"/>
    <w:rsid w:val="00B434A2"/>
    <w:rsid w:val="00B471D0"/>
    <w:rsid w:val="00B47E46"/>
    <w:rsid w:val="00B51A8A"/>
    <w:rsid w:val="00B529E3"/>
    <w:rsid w:val="00B53CE1"/>
    <w:rsid w:val="00B54AC5"/>
    <w:rsid w:val="00B54D25"/>
    <w:rsid w:val="00B561D0"/>
    <w:rsid w:val="00B613BB"/>
    <w:rsid w:val="00B66FD7"/>
    <w:rsid w:val="00B73EC0"/>
    <w:rsid w:val="00B748A3"/>
    <w:rsid w:val="00B83E80"/>
    <w:rsid w:val="00B8425D"/>
    <w:rsid w:val="00B92105"/>
    <w:rsid w:val="00B93651"/>
    <w:rsid w:val="00B94D51"/>
    <w:rsid w:val="00B94E75"/>
    <w:rsid w:val="00BA0109"/>
    <w:rsid w:val="00BA193D"/>
    <w:rsid w:val="00BA1DAB"/>
    <w:rsid w:val="00BA3D51"/>
    <w:rsid w:val="00BB08CB"/>
    <w:rsid w:val="00BB0CB8"/>
    <w:rsid w:val="00BB0E48"/>
    <w:rsid w:val="00BB2314"/>
    <w:rsid w:val="00BB52B3"/>
    <w:rsid w:val="00BC71C3"/>
    <w:rsid w:val="00BD43B4"/>
    <w:rsid w:val="00BD606B"/>
    <w:rsid w:val="00BE14B6"/>
    <w:rsid w:val="00BE2C79"/>
    <w:rsid w:val="00BE7AE1"/>
    <w:rsid w:val="00BF1645"/>
    <w:rsid w:val="00BF1737"/>
    <w:rsid w:val="00BF1F11"/>
    <w:rsid w:val="00BF5017"/>
    <w:rsid w:val="00BF5B1D"/>
    <w:rsid w:val="00BF7758"/>
    <w:rsid w:val="00BF7B3F"/>
    <w:rsid w:val="00BF7E3D"/>
    <w:rsid w:val="00C04EF5"/>
    <w:rsid w:val="00C05DF1"/>
    <w:rsid w:val="00C071EA"/>
    <w:rsid w:val="00C10F2E"/>
    <w:rsid w:val="00C116AA"/>
    <w:rsid w:val="00C1278B"/>
    <w:rsid w:val="00C14149"/>
    <w:rsid w:val="00C14FE4"/>
    <w:rsid w:val="00C17CD9"/>
    <w:rsid w:val="00C201AF"/>
    <w:rsid w:val="00C20C99"/>
    <w:rsid w:val="00C23158"/>
    <w:rsid w:val="00C3139E"/>
    <w:rsid w:val="00C3191A"/>
    <w:rsid w:val="00C34468"/>
    <w:rsid w:val="00C372F8"/>
    <w:rsid w:val="00C37A17"/>
    <w:rsid w:val="00C41DF1"/>
    <w:rsid w:val="00C42588"/>
    <w:rsid w:val="00C427A0"/>
    <w:rsid w:val="00C42F38"/>
    <w:rsid w:val="00C43937"/>
    <w:rsid w:val="00C44022"/>
    <w:rsid w:val="00C4627A"/>
    <w:rsid w:val="00C5080C"/>
    <w:rsid w:val="00C517B0"/>
    <w:rsid w:val="00C53506"/>
    <w:rsid w:val="00C5386C"/>
    <w:rsid w:val="00C57702"/>
    <w:rsid w:val="00C606AF"/>
    <w:rsid w:val="00C613EE"/>
    <w:rsid w:val="00C6282E"/>
    <w:rsid w:val="00C65ECB"/>
    <w:rsid w:val="00C6751B"/>
    <w:rsid w:val="00C70D16"/>
    <w:rsid w:val="00C720BE"/>
    <w:rsid w:val="00C72A99"/>
    <w:rsid w:val="00C73D5B"/>
    <w:rsid w:val="00C750B3"/>
    <w:rsid w:val="00C76321"/>
    <w:rsid w:val="00C77308"/>
    <w:rsid w:val="00C814DC"/>
    <w:rsid w:val="00C83918"/>
    <w:rsid w:val="00C844E5"/>
    <w:rsid w:val="00C85D05"/>
    <w:rsid w:val="00C9017B"/>
    <w:rsid w:val="00C93804"/>
    <w:rsid w:val="00C96777"/>
    <w:rsid w:val="00CA1100"/>
    <w:rsid w:val="00CA1A98"/>
    <w:rsid w:val="00CA1AA9"/>
    <w:rsid w:val="00CA347D"/>
    <w:rsid w:val="00CA6D48"/>
    <w:rsid w:val="00CA78D9"/>
    <w:rsid w:val="00CB1889"/>
    <w:rsid w:val="00CC4E06"/>
    <w:rsid w:val="00CC4F1F"/>
    <w:rsid w:val="00CD1FF1"/>
    <w:rsid w:val="00CD3D32"/>
    <w:rsid w:val="00CD4F83"/>
    <w:rsid w:val="00CD748A"/>
    <w:rsid w:val="00CD7B6B"/>
    <w:rsid w:val="00CE106A"/>
    <w:rsid w:val="00CE2340"/>
    <w:rsid w:val="00CE2E5D"/>
    <w:rsid w:val="00CE3022"/>
    <w:rsid w:val="00CE505F"/>
    <w:rsid w:val="00CF2E8F"/>
    <w:rsid w:val="00CF773D"/>
    <w:rsid w:val="00D03704"/>
    <w:rsid w:val="00D06634"/>
    <w:rsid w:val="00D06EDB"/>
    <w:rsid w:val="00D14024"/>
    <w:rsid w:val="00D144A5"/>
    <w:rsid w:val="00D16502"/>
    <w:rsid w:val="00D23DEB"/>
    <w:rsid w:val="00D24CB5"/>
    <w:rsid w:val="00D26F01"/>
    <w:rsid w:val="00D326B4"/>
    <w:rsid w:val="00D36D8C"/>
    <w:rsid w:val="00D37EA6"/>
    <w:rsid w:val="00D412C9"/>
    <w:rsid w:val="00D50E3F"/>
    <w:rsid w:val="00D51FE0"/>
    <w:rsid w:val="00D55ED4"/>
    <w:rsid w:val="00D562AF"/>
    <w:rsid w:val="00D5726A"/>
    <w:rsid w:val="00D573C4"/>
    <w:rsid w:val="00D61A07"/>
    <w:rsid w:val="00D61C73"/>
    <w:rsid w:val="00D67AB7"/>
    <w:rsid w:val="00D716A5"/>
    <w:rsid w:val="00D71C86"/>
    <w:rsid w:val="00D73D6C"/>
    <w:rsid w:val="00D74700"/>
    <w:rsid w:val="00D75023"/>
    <w:rsid w:val="00D75B7D"/>
    <w:rsid w:val="00D75B8D"/>
    <w:rsid w:val="00D776E5"/>
    <w:rsid w:val="00D801D7"/>
    <w:rsid w:val="00D871B1"/>
    <w:rsid w:val="00D92B61"/>
    <w:rsid w:val="00D95B83"/>
    <w:rsid w:val="00D95C30"/>
    <w:rsid w:val="00D960D9"/>
    <w:rsid w:val="00D97B8F"/>
    <w:rsid w:val="00DA019E"/>
    <w:rsid w:val="00DA0C9B"/>
    <w:rsid w:val="00DA3B72"/>
    <w:rsid w:val="00DA5030"/>
    <w:rsid w:val="00DA52B0"/>
    <w:rsid w:val="00DA5928"/>
    <w:rsid w:val="00DA7DAC"/>
    <w:rsid w:val="00DB34F7"/>
    <w:rsid w:val="00DB37E8"/>
    <w:rsid w:val="00DB40BE"/>
    <w:rsid w:val="00DB43B3"/>
    <w:rsid w:val="00DB4645"/>
    <w:rsid w:val="00DB499A"/>
    <w:rsid w:val="00DB4B02"/>
    <w:rsid w:val="00DB5E1F"/>
    <w:rsid w:val="00DB63F6"/>
    <w:rsid w:val="00DB7938"/>
    <w:rsid w:val="00DC208E"/>
    <w:rsid w:val="00DC35B0"/>
    <w:rsid w:val="00DC5383"/>
    <w:rsid w:val="00DC669D"/>
    <w:rsid w:val="00DC76E4"/>
    <w:rsid w:val="00DD3F56"/>
    <w:rsid w:val="00DD472F"/>
    <w:rsid w:val="00DD508E"/>
    <w:rsid w:val="00DD62E2"/>
    <w:rsid w:val="00DD6BA4"/>
    <w:rsid w:val="00DD6C98"/>
    <w:rsid w:val="00DE2F42"/>
    <w:rsid w:val="00DE3430"/>
    <w:rsid w:val="00DE3FA2"/>
    <w:rsid w:val="00DE465A"/>
    <w:rsid w:val="00DE49A5"/>
    <w:rsid w:val="00DE6DED"/>
    <w:rsid w:val="00DF5BCC"/>
    <w:rsid w:val="00DF6D10"/>
    <w:rsid w:val="00E0093A"/>
    <w:rsid w:val="00E013AC"/>
    <w:rsid w:val="00E02342"/>
    <w:rsid w:val="00E05CA9"/>
    <w:rsid w:val="00E069B9"/>
    <w:rsid w:val="00E06E1E"/>
    <w:rsid w:val="00E1073E"/>
    <w:rsid w:val="00E13E1F"/>
    <w:rsid w:val="00E15343"/>
    <w:rsid w:val="00E15D96"/>
    <w:rsid w:val="00E202D8"/>
    <w:rsid w:val="00E21AB6"/>
    <w:rsid w:val="00E224FD"/>
    <w:rsid w:val="00E25B12"/>
    <w:rsid w:val="00E2641F"/>
    <w:rsid w:val="00E358B8"/>
    <w:rsid w:val="00E35E50"/>
    <w:rsid w:val="00E37051"/>
    <w:rsid w:val="00E42DD2"/>
    <w:rsid w:val="00E440D2"/>
    <w:rsid w:val="00E44900"/>
    <w:rsid w:val="00E45922"/>
    <w:rsid w:val="00E46594"/>
    <w:rsid w:val="00E47551"/>
    <w:rsid w:val="00E47BA1"/>
    <w:rsid w:val="00E51946"/>
    <w:rsid w:val="00E51D90"/>
    <w:rsid w:val="00E5264F"/>
    <w:rsid w:val="00E5392E"/>
    <w:rsid w:val="00E556EB"/>
    <w:rsid w:val="00E57443"/>
    <w:rsid w:val="00E60246"/>
    <w:rsid w:val="00E606DC"/>
    <w:rsid w:val="00E63B16"/>
    <w:rsid w:val="00E63C49"/>
    <w:rsid w:val="00E63C9A"/>
    <w:rsid w:val="00E72175"/>
    <w:rsid w:val="00E77E9D"/>
    <w:rsid w:val="00E855DB"/>
    <w:rsid w:val="00E867CE"/>
    <w:rsid w:val="00E91369"/>
    <w:rsid w:val="00E929BF"/>
    <w:rsid w:val="00E9717F"/>
    <w:rsid w:val="00E97D3B"/>
    <w:rsid w:val="00EA1348"/>
    <w:rsid w:val="00EA266C"/>
    <w:rsid w:val="00EA2A8E"/>
    <w:rsid w:val="00EA4A72"/>
    <w:rsid w:val="00EA4C8E"/>
    <w:rsid w:val="00EA6068"/>
    <w:rsid w:val="00EA6638"/>
    <w:rsid w:val="00EB0314"/>
    <w:rsid w:val="00EB6D4F"/>
    <w:rsid w:val="00EC188E"/>
    <w:rsid w:val="00EC27B1"/>
    <w:rsid w:val="00EC4D9B"/>
    <w:rsid w:val="00EC7AD6"/>
    <w:rsid w:val="00ED1541"/>
    <w:rsid w:val="00ED262E"/>
    <w:rsid w:val="00ED4688"/>
    <w:rsid w:val="00ED55CD"/>
    <w:rsid w:val="00EE3BF8"/>
    <w:rsid w:val="00EF17AE"/>
    <w:rsid w:val="00EF2F88"/>
    <w:rsid w:val="00EF43E9"/>
    <w:rsid w:val="00EF6034"/>
    <w:rsid w:val="00F00711"/>
    <w:rsid w:val="00F00BA6"/>
    <w:rsid w:val="00F0120B"/>
    <w:rsid w:val="00F02D45"/>
    <w:rsid w:val="00F05207"/>
    <w:rsid w:val="00F05674"/>
    <w:rsid w:val="00F07DC7"/>
    <w:rsid w:val="00F11D52"/>
    <w:rsid w:val="00F1203C"/>
    <w:rsid w:val="00F22A1A"/>
    <w:rsid w:val="00F22B3B"/>
    <w:rsid w:val="00F24AD2"/>
    <w:rsid w:val="00F2511C"/>
    <w:rsid w:val="00F254F2"/>
    <w:rsid w:val="00F256FA"/>
    <w:rsid w:val="00F2717C"/>
    <w:rsid w:val="00F31CBF"/>
    <w:rsid w:val="00F328A6"/>
    <w:rsid w:val="00F33165"/>
    <w:rsid w:val="00F33F00"/>
    <w:rsid w:val="00F36509"/>
    <w:rsid w:val="00F429AA"/>
    <w:rsid w:val="00F43C06"/>
    <w:rsid w:val="00F45B22"/>
    <w:rsid w:val="00F50775"/>
    <w:rsid w:val="00F50B51"/>
    <w:rsid w:val="00F52BA8"/>
    <w:rsid w:val="00F55FF7"/>
    <w:rsid w:val="00F5721A"/>
    <w:rsid w:val="00F57CF8"/>
    <w:rsid w:val="00F64BDE"/>
    <w:rsid w:val="00F66C36"/>
    <w:rsid w:val="00F70D3F"/>
    <w:rsid w:val="00F7236A"/>
    <w:rsid w:val="00F7337C"/>
    <w:rsid w:val="00F747BC"/>
    <w:rsid w:val="00F7563D"/>
    <w:rsid w:val="00F776DD"/>
    <w:rsid w:val="00F77C55"/>
    <w:rsid w:val="00F8217A"/>
    <w:rsid w:val="00F82AA2"/>
    <w:rsid w:val="00F85AC0"/>
    <w:rsid w:val="00F85C3D"/>
    <w:rsid w:val="00F972F1"/>
    <w:rsid w:val="00F97C51"/>
    <w:rsid w:val="00FA1200"/>
    <w:rsid w:val="00FA149F"/>
    <w:rsid w:val="00FA2C8E"/>
    <w:rsid w:val="00FA5657"/>
    <w:rsid w:val="00FA5FD8"/>
    <w:rsid w:val="00FA7C40"/>
    <w:rsid w:val="00FB02FC"/>
    <w:rsid w:val="00FC1D32"/>
    <w:rsid w:val="00FC46A4"/>
    <w:rsid w:val="00FC7075"/>
    <w:rsid w:val="00FC796A"/>
    <w:rsid w:val="00FD6364"/>
    <w:rsid w:val="00FD7182"/>
    <w:rsid w:val="00FD755C"/>
    <w:rsid w:val="00FE53A1"/>
    <w:rsid w:val="00FE6B0F"/>
    <w:rsid w:val="00FF1EDE"/>
    <w:rsid w:val="00FF2564"/>
    <w:rsid w:val="00FF307F"/>
    <w:rsid w:val="00FF40C4"/>
    <w:rsid w:val="00FF443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EAE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946"/>
    <w:rPr>
      <w:rFonts w:ascii="Calibri" w:hAnsi="Calibri"/>
    </w:rPr>
  </w:style>
  <w:style w:type="paragraph" w:styleId="Heading1">
    <w:name w:val="heading 1"/>
    <w:basedOn w:val="Header"/>
    <w:next w:val="Normal"/>
    <w:link w:val="Heading1Char"/>
    <w:qFormat/>
    <w:rsid w:val="00EF43E9"/>
    <w:pPr>
      <w:jc w:val="center"/>
      <w:outlineLvl w:val="0"/>
    </w:pPr>
    <w:rPr>
      <w:b/>
      <w:sz w:val="32"/>
      <w:szCs w:val="32"/>
    </w:rPr>
  </w:style>
  <w:style w:type="paragraph" w:styleId="Heading2">
    <w:name w:val="heading 2"/>
    <w:basedOn w:val="Normal"/>
    <w:next w:val="Normal"/>
    <w:link w:val="Heading2Char"/>
    <w:qFormat/>
    <w:rsid w:val="00CA347D"/>
    <w:pPr>
      <w:keepNext/>
      <w:tabs>
        <w:tab w:val="left" w:pos="-1181"/>
        <w:tab w:val="left" w:pos="-258"/>
        <w:tab w:val="left" w:pos="412"/>
        <w:tab w:val="left" w:pos="1132"/>
        <w:tab w:val="left" w:pos="1852"/>
        <w:tab w:val="left" w:pos="2572"/>
        <w:tab w:val="left" w:pos="3292"/>
        <w:tab w:val="left" w:pos="4012"/>
        <w:tab w:val="left" w:pos="4732"/>
        <w:tab w:val="left" w:pos="5452"/>
        <w:tab w:val="left" w:pos="6172"/>
        <w:tab w:val="left" w:pos="6892"/>
        <w:tab w:val="left" w:pos="7612"/>
        <w:tab w:val="left" w:pos="8332"/>
      </w:tabs>
      <w:outlineLvl w:val="1"/>
    </w:pPr>
    <w:rPr>
      <w:b/>
      <w:sz w:val="28"/>
    </w:rPr>
  </w:style>
  <w:style w:type="paragraph" w:styleId="Heading3">
    <w:name w:val="heading 3"/>
    <w:basedOn w:val="Normal"/>
    <w:next w:val="Normal"/>
    <w:link w:val="Heading3Char"/>
    <w:semiHidden/>
    <w:unhideWhenUsed/>
    <w:qFormat/>
    <w:rsid w:val="008B6946"/>
    <w:pPr>
      <w:keepNext/>
      <w:spacing w:before="240" w:after="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FootnoteReference">
    <w:name w:val="footnote reference"/>
    <w:uiPriority w:val="99"/>
  </w:style>
  <w:style w:type="character" w:styleId="Hyperlink">
    <w:name w:val="Hyperlink"/>
    <w:rsid w:val="008032DE"/>
    <w:rPr>
      <w:color w:val="0000FF"/>
      <w:u w:val="single"/>
    </w:rPr>
  </w:style>
  <w:style w:type="character" w:styleId="FollowedHyperlink">
    <w:name w:val="FollowedHyperlink"/>
    <w:rsid w:val="008F7F63"/>
    <w:rPr>
      <w:color w:val="606420"/>
      <w:u w:val="single"/>
    </w:rPr>
  </w:style>
  <w:style w:type="character" w:styleId="CommentReference">
    <w:name w:val="annotation reference"/>
    <w:uiPriority w:val="99"/>
    <w:rsid w:val="008F7F63"/>
    <w:rPr>
      <w:sz w:val="16"/>
      <w:szCs w:val="16"/>
    </w:rPr>
  </w:style>
  <w:style w:type="paragraph" w:styleId="CommentText">
    <w:name w:val="annotation text"/>
    <w:basedOn w:val="Normal"/>
    <w:link w:val="CommentTextChar"/>
    <w:uiPriority w:val="99"/>
    <w:rsid w:val="008F7F63"/>
  </w:style>
  <w:style w:type="paragraph" w:styleId="CommentSubject">
    <w:name w:val="annotation subject"/>
    <w:basedOn w:val="CommentText"/>
    <w:next w:val="CommentText"/>
    <w:semiHidden/>
    <w:rsid w:val="008F7F63"/>
    <w:rPr>
      <w:b/>
      <w:bCs/>
    </w:rPr>
  </w:style>
  <w:style w:type="paragraph" w:styleId="BalloonText">
    <w:name w:val="Balloon Text"/>
    <w:basedOn w:val="Normal"/>
    <w:semiHidden/>
    <w:rsid w:val="008F7F63"/>
    <w:rPr>
      <w:rFonts w:ascii="Tahoma" w:hAnsi="Tahoma" w:cs="Tahoma"/>
      <w:sz w:val="16"/>
      <w:szCs w:val="16"/>
    </w:rPr>
  </w:style>
  <w:style w:type="character" w:customStyle="1" w:styleId="Heading1Char">
    <w:name w:val="Heading 1 Char"/>
    <w:link w:val="Heading1"/>
    <w:rsid w:val="00EF43E9"/>
    <w:rPr>
      <w:rFonts w:ascii="Calibri" w:hAnsi="Calibri"/>
      <w:b/>
      <w:sz w:val="32"/>
      <w:szCs w:val="32"/>
    </w:rPr>
  </w:style>
  <w:style w:type="character" w:customStyle="1" w:styleId="HeaderChar">
    <w:name w:val="Header Char"/>
    <w:link w:val="Header"/>
    <w:rsid w:val="0026571A"/>
  </w:style>
  <w:style w:type="paragraph" w:customStyle="1" w:styleId="DepartmentalNormal">
    <w:name w:val="Departmental Normal"/>
    <w:basedOn w:val="Normal"/>
    <w:rsid w:val="00CA347D"/>
    <w:rPr>
      <w:sz w:val="24"/>
      <w:szCs w:val="24"/>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A347D"/>
    <w:pPr>
      <w:spacing w:after="160" w:line="240" w:lineRule="exact"/>
    </w:pPr>
    <w:rPr>
      <w:rFonts w:ascii="Verdana" w:eastAsia="MS Mincho" w:hAnsi="Verdana" w:cs="Verdana"/>
      <w:lang w:val="en-US" w:eastAsia="en-US"/>
    </w:rPr>
  </w:style>
  <w:style w:type="paragraph" w:customStyle="1" w:styleId="DepartmentalHeading2">
    <w:name w:val="Departmental Heading 2"/>
    <w:basedOn w:val="Heading2"/>
    <w:rsid w:val="00096B9B"/>
    <w:pPr>
      <w:tabs>
        <w:tab w:val="clear" w:pos="-1181"/>
        <w:tab w:val="clear" w:pos="-258"/>
        <w:tab w:val="clear" w:pos="412"/>
        <w:tab w:val="clear" w:pos="1132"/>
        <w:tab w:val="clear" w:pos="1852"/>
        <w:tab w:val="clear" w:pos="2572"/>
        <w:tab w:val="clear" w:pos="3292"/>
        <w:tab w:val="clear" w:pos="4012"/>
        <w:tab w:val="clear" w:pos="4732"/>
        <w:tab w:val="clear" w:pos="5452"/>
        <w:tab w:val="clear" w:pos="6172"/>
        <w:tab w:val="clear" w:pos="6892"/>
        <w:tab w:val="clear" w:pos="7612"/>
        <w:tab w:val="clear" w:pos="8332"/>
      </w:tabs>
      <w:spacing w:before="240" w:after="60"/>
    </w:pPr>
    <w:rPr>
      <w:rFonts w:ascii="Arial" w:hAnsi="Arial"/>
      <w:sz w:val="24"/>
    </w:rPr>
  </w:style>
  <w:style w:type="character" w:customStyle="1" w:styleId="FooterChar">
    <w:name w:val="Footer Char"/>
    <w:link w:val="Footer"/>
    <w:uiPriority w:val="99"/>
    <w:rsid w:val="00F1203C"/>
  </w:style>
  <w:style w:type="paragraph" w:styleId="ListParagraph">
    <w:name w:val="List Paragraph"/>
    <w:aliases w:val="Footnote,BulletPoints"/>
    <w:basedOn w:val="Normal"/>
    <w:link w:val="ListParagraphChar"/>
    <w:uiPriority w:val="34"/>
    <w:qFormat/>
    <w:rsid w:val="00E15343"/>
    <w:pPr>
      <w:ind w:left="720"/>
    </w:pPr>
    <w:rPr>
      <w:sz w:val="24"/>
    </w:rPr>
  </w:style>
  <w:style w:type="paragraph" w:customStyle="1" w:styleId="Standard">
    <w:name w:val="Standard"/>
    <w:rsid w:val="00DB5E1F"/>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Heading2Char">
    <w:name w:val="Heading 2 Char"/>
    <w:link w:val="Heading2"/>
    <w:rsid w:val="006E0DDE"/>
    <w:rPr>
      <w:b/>
      <w:sz w:val="28"/>
    </w:rPr>
  </w:style>
  <w:style w:type="paragraph" w:styleId="FootnoteText">
    <w:name w:val="footnote text"/>
    <w:basedOn w:val="Normal"/>
    <w:link w:val="FootnoteTextChar"/>
    <w:uiPriority w:val="99"/>
    <w:rsid w:val="00BA0109"/>
  </w:style>
  <w:style w:type="character" w:customStyle="1" w:styleId="FootnoteTextChar">
    <w:name w:val="Footnote Text Char"/>
    <w:basedOn w:val="DefaultParagraphFont"/>
    <w:link w:val="FootnoteText"/>
    <w:uiPriority w:val="99"/>
    <w:rsid w:val="00BA0109"/>
  </w:style>
  <w:style w:type="character" w:styleId="Emphasis">
    <w:name w:val="Emphasis"/>
    <w:uiPriority w:val="20"/>
    <w:qFormat/>
    <w:rsid w:val="00186DD1"/>
    <w:rPr>
      <w:i/>
      <w:iCs/>
    </w:rPr>
  </w:style>
  <w:style w:type="character" w:customStyle="1" w:styleId="Heading3Char">
    <w:name w:val="Heading 3 Char"/>
    <w:link w:val="Heading3"/>
    <w:semiHidden/>
    <w:rsid w:val="008B6946"/>
    <w:rPr>
      <w:rFonts w:ascii="Calibri" w:eastAsia="Times New Roman" w:hAnsi="Calibri" w:cs="Times New Roman"/>
      <w:b/>
      <w:bCs/>
      <w:szCs w:val="26"/>
    </w:rPr>
  </w:style>
  <w:style w:type="paragraph" w:styleId="NoSpacing">
    <w:name w:val="No Spacing"/>
    <w:uiPriority w:val="1"/>
    <w:qFormat/>
    <w:rsid w:val="00B94D51"/>
    <w:rPr>
      <w:sz w:val="24"/>
      <w:szCs w:val="24"/>
      <w:lang w:eastAsia="en-US"/>
    </w:rPr>
  </w:style>
  <w:style w:type="character" w:customStyle="1" w:styleId="ListParagraphChar">
    <w:name w:val="List Paragraph Char"/>
    <w:aliases w:val="Footnote Char,BulletPoints Char"/>
    <w:link w:val="ListParagraph"/>
    <w:uiPriority w:val="34"/>
    <w:rsid w:val="00EC7AD6"/>
    <w:rPr>
      <w:rFonts w:ascii="Calibri" w:hAnsi="Calibri"/>
      <w:sz w:val="24"/>
    </w:rPr>
  </w:style>
  <w:style w:type="paragraph" w:styleId="Revision">
    <w:name w:val="Revision"/>
    <w:hidden/>
    <w:uiPriority w:val="99"/>
    <w:semiHidden/>
    <w:rsid w:val="00BF1F11"/>
    <w:rPr>
      <w:rFonts w:ascii="Calibri" w:hAnsi="Calibri"/>
    </w:rPr>
  </w:style>
  <w:style w:type="character" w:customStyle="1" w:styleId="CommentTextChar">
    <w:name w:val="Comment Text Char"/>
    <w:link w:val="CommentText"/>
    <w:uiPriority w:val="99"/>
    <w:rsid w:val="00DD508E"/>
    <w:rPr>
      <w:rFonts w:ascii="Calibri" w:hAnsi="Calibri"/>
    </w:rPr>
  </w:style>
  <w:style w:type="character" w:customStyle="1" w:styleId="apple-converted-space">
    <w:name w:val="apple-converted-space"/>
    <w:basedOn w:val="DefaultParagraphFont"/>
    <w:rsid w:val="00C73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88162">
      <w:bodyDiv w:val="1"/>
      <w:marLeft w:val="0"/>
      <w:marRight w:val="0"/>
      <w:marTop w:val="0"/>
      <w:marBottom w:val="0"/>
      <w:divBdr>
        <w:top w:val="none" w:sz="0" w:space="0" w:color="auto"/>
        <w:left w:val="none" w:sz="0" w:space="0" w:color="auto"/>
        <w:bottom w:val="none" w:sz="0" w:space="0" w:color="auto"/>
        <w:right w:val="none" w:sz="0" w:space="0" w:color="auto"/>
      </w:divBdr>
      <w:divsChild>
        <w:div w:id="269748528">
          <w:marLeft w:val="0"/>
          <w:marRight w:val="0"/>
          <w:marTop w:val="240"/>
          <w:marBottom w:val="480"/>
          <w:divBdr>
            <w:top w:val="none" w:sz="0" w:space="0" w:color="auto"/>
            <w:left w:val="none" w:sz="0" w:space="0" w:color="auto"/>
            <w:bottom w:val="none" w:sz="0" w:space="0" w:color="auto"/>
            <w:right w:val="none" w:sz="0" w:space="0" w:color="auto"/>
          </w:divBdr>
          <w:divsChild>
            <w:div w:id="1482767014">
              <w:marLeft w:val="0"/>
              <w:marRight w:val="0"/>
              <w:marTop w:val="0"/>
              <w:marBottom w:val="0"/>
              <w:divBdr>
                <w:top w:val="none" w:sz="0" w:space="0" w:color="auto"/>
                <w:left w:val="none" w:sz="0" w:space="0" w:color="auto"/>
                <w:bottom w:val="none" w:sz="0" w:space="0" w:color="auto"/>
                <w:right w:val="none" w:sz="0" w:space="0" w:color="auto"/>
              </w:divBdr>
              <w:divsChild>
                <w:div w:id="959146677">
                  <w:marLeft w:val="0"/>
                  <w:marRight w:val="0"/>
                  <w:marTop w:val="0"/>
                  <w:marBottom w:val="0"/>
                  <w:divBdr>
                    <w:top w:val="none" w:sz="0" w:space="0" w:color="auto"/>
                    <w:left w:val="none" w:sz="0" w:space="0" w:color="auto"/>
                    <w:bottom w:val="none" w:sz="0" w:space="0" w:color="auto"/>
                    <w:right w:val="none" w:sz="0" w:space="0" w:color="auto"/>
                  </w:divBdr>
                  <w:divsChild>
                    <w:div w:id="157249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55588">
      <w:bodyDiv w:val="1"/>
      <w:marLeft w:val="0"/>
      <w:marRight w:val="0"/>
      <w:marTop w:val="0"/>
      <w:marBottom w:val="0"/>
      <w:divBdr>
        <w:top w:val="none" w:sz="0" w:space="0" w:color="auto"/>
        <w:left w:val="none" w:sz="0" w:space="0" w:color="auto"/>
        <w:bottom w:val="none" w:sz="0" w:space="0" w:color="auto"/>
        <w:right w:val="none" w:sz="0" w:space="0" w:color="auto"/>
      </w:divBdr>
    </w:div>
    <w:div w:id="527303730">
      <w:bodyDiv w:val="1"/>
      <w:marLeft w:val="0"/>
      <w:marRight w:val="0"/>
      <w:marTop w:val="0"/>
      <w:marBottom w:val="0"/>
      <w:divBdr>
        <w:top w:val="none" w:sz="0" w:space="0" w:color="auto"/>
        <w:left w:val="none" w:sz="0" w:space="0" w:color="auto"/>
        <w:bottom w:val="none" w:sz="0" w:space="0" w:color="auto"/>
        <w:right w:val="none" w:sz="0" w:space="0" w:color="auto"/>
      </w:divBdr>
    </w:div>
    <w:div w:id="1273516965">
      <w:bodyDiv w:val="1"/>
      <w:marLeft w:val="0"/>
      <w:marRight w:val="0"/>
      <w:marTop w:val="0"/>
      <w:marBottom w:val="0"/>
      <w:divBdr>
        <w:top w:val="none" w:sz="0" w:space="0" w:color="auto"/>
        <w:left w:val="none" w:sz="0" w:space="0" w:color="auto"/>
        <w:bottom w:val="none" w:sz="0" w:space="0" w:color="auto"/>
        <w:right w:val="none" w:sz="0" w:space="0" w:color="auto"/>
      </w:divBdr>
      <w:divsChild>
        <w:div w:id="1577058773">
          <w:marLeft w:val="0"/>
          <w:marRight w:val="0"/>
          <w:marTop w:val="0"/>
          <w:marBottom w:val="0"/>
          <w:divBdr>
            <w:top w:val="none" w:sz="0" w:space="0" w:color="auto"/>
            <w:left w:val="none" w:sz="0" w:space="0" w:color="auto"/>
            <w:bottom w:val="none" w:sz="0" w:space="0" w:color="auto"/>
            <w:right w:val="none" w:sz="0" w:space="0" w:color="auto"/>
          </w:divBdr>
          <w:divsChild>
            <w:div w:id="2027902114">
              <w:marLeft w:val="0"/>
              <w:marRight w:val="0"/>
              <w:marTop w:val="0"/>
              <w:marBottom w:val="0"/>
              <w:divBdr>
                <w:top w:val="none" w:sz="0" w:space="0" w:color="auto"/>
                <w:left w:val="none" w:sz="0" w:space="0" w:color="auto"/>
                <w:bottom w:val="none" w:sz="0" w:space="0" w:color="auto"/>
                <w:right w:val="none" w:sz="0" w:space="0" w:color="auto"/>
              </w:divBdr>
              <w:divsChild>
                <w:div w:id="148986139">
                  <w:marLeft w:val="0"/>
                  <w:marRight w:val="0"/>
                  <w:marTop w:val="0"/>
                  <w:marBottom w:val="0"/>
                  <w:divBdr>
                    <w:top w:val="none" w:sz="0" w:space="0" w:color="auto"/>
                    <w:left w:val="none" w:sz="0" w:space="0" w:color="auto"/>
                    <w:bottom w:val="none" w:sz="0" w:space="0" w:color="auto"/>
                    <w:right w:val="none" w:sz="0" w:space="0" w:color="auto"/>
                  </w:divBdr>
                  <w:divsChild>
                    <w:div w:id="10896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363809">
      <w:bodyDiv w:val="1"/>
      <w:marLeft w:val="0"/>
      <w:marRight w:val="0"/>
      <w:marTop w:val="0"/>
      <w:marBottom w:val="0"/>
      <w:divBdr>
        <w:top w:val="none" w:sz="0" w:space="0" w:color="auto"/>
        <w:left w:val="none" w:sz="0" w:space="0" w:color="auto"/>
        <w:bottom w:val="none" w:sz="0" w:space="0" w:color="auto"/>
        <w:right w:val="none" w:sz="0" w:space="0" w:color="auto"/>
      </w:divBdr>
    </w:div>
    <w:div w:id="1884825379">
      <w:bodyDiv w:val="1"/>
      <w:marLeft w:val="0"/>
      <w:marRight w:val="0"/>
      <w:marTop w:val="0"/>
      <w:marBottom w:val="0"/>
      <w:divBdr>
        <w:top w:val="none" w:sz="0" w:space="0" w:color="auto"/>
        <w:left w:val="none" w:sz="0" w:space="0" w:color="auto"/>
        <w:bottom w:val="none" w:sz="0" w:space="0" w:color="auto"/>
        <w:right w:val="none" w:sz="0" w:space="0" w:color="auto"/>
      </w:divBdr>
      <w:divsChild>
        <w:div w:id="359361430">
          <w:marLeft w:val="0"/>
          <w:marRight w:val="0"/>
          <w:marTop w:val="240"/>
          <w:marBottom w:val="480"/>
          <w:divBdr>
            <w:top w:val="none" w:sz="0" w:space="0" w:color="auto"/>
            <w:left w:val="none" w:sz="0" w:space="0" w:color="auto"/>
            <w:bottom w:val="none" w:sz="0" w:space="0" w:color="auto"/>
            <w:right w:val="none" w:sz="0" w:space="0" w:color="auto"/>
          </w:divBdr>
          <w:divsChild>
            <w:div w:id="674188270">
              <w:marLeft w:val="0"/>
              <w:marRight w:val="0"/>
              <w:marTop w:val="0"/>
              <w:marBottom w:val="0"/>
              <w:divBdr>
                <w:top w:val="none" w:sz="0" w:space="0" w:color="auto"/>
                <w:left w:val="none" w:sz="0" w:space="0" w:color="auto"/>
                <w:bottom w:val="none" w:sz="0" w:space="0" w:color="auto"/>
                <w:right w:val="none" w:sz="0" w:space="0" w:color="auto"/>
              </w:divBdr>
              <w:divsChild>
                <w:div w:id="2123918868">
                  <w:marLeft w:val="0"/>
                  <w:marRight w:val="0"/>
                  <w:marTop w:val="0"/>
                  <w:marBottom w:val="0"/>
                  <w:divBdr>
                    <w:top w:val="none" w:sz="0" w:space="0" w:color="auto"/>
                    <w:left w:val="none" w:sz="0" w:space="0" w:color="auto"/>
                    <w:bottom w:val="none" w:sz="0" w:space="0" w:color="auto"/>
                    <w:right w:val="none" w:sz="0" w:space="0" w:color="auto"/>
                  </w:divBdr>
                  <w:divsChild>
                    <w:div w:id="119743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9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bs.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gov.au/internet/main/publishing.nsf/Content/PBAC_online_submission_for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pbs.gov.au/pbs/industry/listing/elements/pbac-meetings/agenda/july-2018-pbac-meeting-agend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bs.gov.au/info/industry/listing/elements/pbac-meetings/agenda/july-2018-pbac-meeting-agenda" TargetMode="External"/><Relationship Id="rId14" Type="http://schemas.openxmlformats.org/officeDocument/2006/relationships/header" Target="header2.xml"/><Relationship Id="rId22" Type="http://schemas.microsoft.com/office/2011/relationships/commentsExtended" Target="commentsExtended.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038DC-6D10-411A-B788-30E1F708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8A097514.dotm</Template>
  <TotalTime>0</TotalTime>
  <Pages>4</Pages>
  <Words>1543</Words>
  <Characters>8955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10478</CharactersWithSpaces>
  <SharedDoc>false</SharedDoc>
  <HLinks>
    <vt:vector size="12" baseType="variant">
      <vt:variant>
        <vt:i4>7798824</vt:i4>
      </vt:variant>
      <vt:variant>
        <vt:i4>3</vt:i4>
      </vt:variant>
      <vt:variant>
        <vt:i4>0</vt:i4>
      </vt:variant>
      <vt:variant>
        <vt:i4>5</vt:i4>
      </vt:variant>
      <vt:variant>
        <vt:lpwstr>http://www.pbs.gov.au/</vt:lpwstr>
      </vt:variant>
      <vt:variant>
        <vt:lpwstr/>
      </vt:variant>
      <vt:variant>
        <vt:i4>3735671</vt:i4>
      </vt:variant>
      <vt:variant>
        <vt:i4>0</vt:i4>
      </vt:variant>
      <vt:variant>
        <vt:i4>0</vt:i4>
      </vt:variant>
      <vt:variant>
        <vt:i4>5</vt:i4>
      </vt:variant>
      <vt:variant>
        <vt:lpwstr>http://pbs.gov.au/info/industry/listing/elements/pbac-meetings/agenda/november-2015-pbac-meeting-agenda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2018-06-22T03:08:00Z</dcterms:created>
  <dcterms:modified xsi:type="dcterms:W3CDTF">2018-07-03T01:30:00Z</dcterms:modified>
</cp:coreProperties>
</file>