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bookmarkStart w:id="0" w:name="_GoBack"/>
      <w:bookmarkEnd w:id="0"/>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0A0713">
        <w:rPr>
          <w:sz w:val="24"/>
          <w:szCs w:val="24"/>
        </w:rPr>
        <w:t>8</w:t>
      </w:r>
      <w:r w:rsidR="001F7E8B">
        <w:rPr>
          <w:sz w:val="24"/>
          <w:szCs w:val="24"/>
        </w:rPr>
        <w:t>9</w:t>
      </w:r>
      <w:r w:rsidR="000A0713">
        <w:rPr>
          <w:sz w:val="24"/>
          <w:szCs w:val="24"/>
        </w:rPr>
        <w:t>th</w:t>
      </w:r>
      <w:r w:rsidR="000A0713" w:rsidRPr="005F3EF0">
        <w:rPr>
          <w:sz w:val="24"/>
          <w:szCs w:val="24"/>
        </w:rPr>
        <w:t xml:space="preserve"> </w:t>
      </w:r>
      <w:r w:rsidRPr="005F3EF0">
        <w:rPr>
          <w:sz w:val="24"/>
          <w:szCs w:val="24"/>
        </w:rPr>
        <w:t xml:space="preserve">meeting on </w:t>
      </w:r>
      <w:r w:rsidR="001F7E8B">
        <w:rPr>
          <w:sz w:val="24"/>
          <w:szCs w:val="24"/>
        </w:rPr>
        <w:t>2 February 2017</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w:t>
      </w:r>
      <w:r w:rsidRPr="008B6E94">
        <w:rPr>
          <w:sz w:val="24"/>
          <w:szCs w:val="24"/>
        </w:rPr>
        <w:t xml:space="preserve">noted that </w:t>
      </w:r>
      <w:r w:rsidR="001F7E8B">
        <w:rPr>
          <w:sz w:val="24"/>
          <w:szCs w:val="24"/>
        </w:rPr>
        <w:t>22</w:t>
      </w:r>
      <w:r w:rsidRPr="008B6E94">
        <w:rPr>
          <w:sz w:val="24"/>
          <w:szCs w:val="24"/>
        </w:rPr>
        <w:t xml:space="preserve"> major submissions</w:t>
      </w:r>
      <w:r>
        <w:rPr>
          <w:sz w:val="24"/>
          <w:szCs w:val="24"/>
        </w:rPr>
        <w:t xml:space="preserve"> had been received for the </w:t>
      </w:r>
      <w:r w:rsidR="001F7E8B">
        <w:rPr>
          <w:sz w:val="24"/>
          <w:szCs w:val="24"/>
        </w:rPr>
        <w:t>March</w:t>
      </w:r>
      <w:r w:rsidR="00213EAC">
        <w:rPr>
          <w:sz w:val="24"/>
          <w:szCs w:val="24"/>
        </w:rPr>
        <w:t> </w:t>
      </w:r>
      <w:r w:rsidR="00CA78D9">
        <w:rPr>
          <w:sz w:val="24"/>
          <w:szCs w:val="24"/>
        </w:rPr>
        <w:t>201</w:t>
      </w:r>
      <w:r w:rsidR="001F7E8B">
        <w:rPr>
          <w:sz w:val="24"/>
          <w:szCs w:val="24"/>
        </w:rPr>
        <w:t>7</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3833F2">
        <w:rPr>
          <w:sz w:val="24"/>
          <w:szCs w:val="24"/>
        </w:rPr>
        <w:t xml:space="preserve">the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1F7E8B">
        <w:rPr>
          <w:sz w:val="24"/>
          <w:szCs w:val="24"/>
        </w:rPr>
        <w:t>March</w:t>
      </w:r>
      <w:r w:rsidR="00213EAC">
        <w:rPr>
          <w:sz w:val="24"/>
          <w:szCs w:val="24"/>
        </w:rPr>
        <w:t> </w:t>
      </w:r>
      <w:r w:rsidR="001F7E8B">
        <w:rPr>
          <w:sz w:val="24"/>
          <w:szCs w:val="24"/>
        </w:rPr>
        <w:t>2017</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PBS website</w:t>
        </w:r>
      </w:hyperlink>
      <w:r w:rsidR="00E013AC">
        <w:rPr>
          <w:sz w:val="24"/>
          <w:szCs w:val="24"/>
        </w:rPr>
        <w:t>.</w:t>
      </w:r>
      <w:r w:rsidR="009C32BA">
        <w:rPr>
          <w:sz w:val="24"/>
          <w:szCs w:val="24"/>
        </w:rPr>
        <w:t xml:space="preserve"> </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r w:rsidR="00591C2B">
        <w:rPr>
          <w:sz w:val="24"/>
          <w:szCs w:val="24"/>
        </w:rPr>
        <w:t xml:space="preserve"> Reviews to be considered by the PBAC are also published </w:t>
      </w:r>
      <w:r w:rsidR="00021AF3">
        <w:rPr>
          <w:sz w:val="24"/>
          <w:szCs w:val="24"/>
        </w:rPr>
        <w:t>in</w:t>
      </w:r>
      <w:r w:rsidR="00591C2B">
        <w:rPr>
          <w:sz w:val="24"/>
          <w:szCs w:val="24"/>
        </w:rPr>
        <w:t xml:space="preserve"> the </w:t>
      </w:r>
      <w:hyperlink r:id="rId10" w:history="1">
        <w:r w:rsidR="00591C2B" w:rsidRPr="00021AF3">
          <w:rPr>
            <w:rStyle w:val="Hyperlink"/>
            <w:sz w:val="24"/>
            <w:szCs w:val="24"/>
          </w:rPr>
          <w:t xml:space="preserve">PBAC </w:t>
        </w:r>
        <w:r w:rsidR="00021AF3">
          <w:rPr>
            <w:rStyle w:val="Hyperlink"/>
            <w:sz w:val="24"/>
            <w:szCs w:val="24"/>
          </w:rPr>
          <w:t>meeting</w:t>
        </w:r>
        <w:r w:rsidR="00591C2B" w:rsidRPr="00021AF3">
          <w:rPr>
            <w:rStyle w:val="Hyperlink"/>
            <w:sz w:val="24"/>
            <w:szCs w:val="24"/>
          </w:rPr>
          <w:t xml:space="preserve"> agenda</w:t>
        </w:r>
      </w:hyperlink>
      <w:r w:rsidR="00591C2B">
        <w:rPr>
          <w:sz w:val="24"/>
          <w:szCs w:val="24"/>
        </w:rPr>
        <w:t>.</w:t>
      </w:r>
    </w:p>
    <w:p w:rsidR="00591C2B" w:rsidRDefault="00591C2B" w:rsidP="008B6946">
      <w:pPr>
        <w:rPr>
          <w:sz w:val="24"/>
          <w:szCs w:val="24"/>
        </w:rPr>
      </w:pPr>
    </w:p>
    <w:p w:rsidR="00591C2B" w:rsidRDefault="00B0144A" w:rsidP="00D97B8F">
      <w:pPr>
        <w:rPr>
          <w:sz w:val="24"/>
          <w:szCs w:val="24"/>
        </w:rPr>
      </w:pPr>
      <w:r>
        <w:rPr>
          <w:sz w:val="24"/>
          <w:szCs w:val="24"/>
        </w:rPr>
        <w:t>All repo</w:t>
      </w:r>
      <w:r w:rsidR="003833F2">
        <w:rPr>
          <w:sz w:val="24"/>
          <w:szCs w:val="24"/>
        </w:rPr>
        <w:t>rts, Sponsor comments and DUSC assessment</w:t>
      </w:r>
      <w:r>
        <w:rPr>
          <w:sz w:val="24"/>
          <w:szCs w:val="24"/>
        </w:rPr>
        <w:t xml:space="preserve"> of the reports are subsequently provided to the PBAC.</w:t>
      </w:r>
    </w:p>
    <w:p w:rsidR="00591C2B" w:rsidRDefault="00591C2B" w:rsidP="00D97B8F">
      <w:pPr>
        <w:rPr>
          <w:sz w:val="24"/>
          <w:szCs w:val="24"/>
        </w:rPr>
      </w:pPr>
    </w:p>
    <w:p w:rsidR="00D97B8F" w:rsidRDefault="00591C2B" w:rsidP="00D97B8F">
      <w:pPr>
        <w:rPr>
          <w:sz w:val="24"/>
          <w:szCs w:val="24"/>
        </w:rPr>
      </w:pPr>
      <w:r w:rsidRPr="00591C2B">
        <w:rPr>
          <w:sz w:val="24"/>
          <w:szCs w:val="24"/>
        </w:rPr>
        <w:t xml:space="preserve">The PBAC is committed to understanding consumer perspectives and integrating them into its consideration of medicines and vaccines. </w:t>
      </w:r>
      <w:r w:rsidR="00D97B8F">
        <w:rPr>
          <w:sz w:val="24"/>
          <w:szCs w:val="24"/>
        </w:rPr>
        <w:t xml:space="preserve">Consumers are able to </w:t>
      </w:r>
      <w:r>
        <w:rPr>
          <w:sz w:val="24"/>
          <w:szCs w:val="24"/>
        </w:rPr>
        <w:t>provide their views about medicine utilisation reviews</w:t>
      </w:r>
      <w:r w:rsidR="00D97B8F">
        <w:rPr>
          <w:sz w:val="24"/>
          <w:szCs w:val="24"/>
        </w:rPr>
        <w:t xml:space="preserve"> to the PBAC via</w:t>
      </w:r>
      <w:r>
        <w:rPr>
          <w:sz w:val="24"/>
          <w:szCs w:val="24"/>
        </w:rPr>
        <w:t xml:space="preserve"> a </w:t>
      </w:r>
      <w:hyperlink r:id="rId11" w:history="1">
        <w:r w:rsidRPr="00021AF3">
          <w:rPr>
            <w:rStyle w:val="Hyperlink"/>
            <w:sz w:val="24"/>
            <w:szCs w:val="24"/>
          </w:rPr>
          <w:t>web interface</w:t>
        </w:r>
      </w:hyperlink>
      <w:r>
        <w:rPr>
          <w:sz w:val="24"/>
          <w:szCs w:val="24"/>
        </w:rPr>
        <w:t>.</w:t>
      </w:r>
    </w:p>
    <w:p w:rsidR="00021AF3" w:rsidRPr="00D97B8F" w:rsidRDefault="00021AF3" w:rsidP="00D97B8F">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2"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1F7E8B">
        <w:rPr>
          <w:sz w:val="24"/>
          <w:szCs w:val="24"/>
        </w:rPr>
        <w:t>February 2017</w:t>
      </w:r>
      <w:r w:rsidRPr="00CA347D">
        <w:rPr>
          <w:sz w:val="24"/>
          <w:szCs w:val="24"/>
        </w:rPr>
        <w:t>:</w:t>
      </w:r>
    </w:p>
    <w:p w:rsidR="00101877" w:rsidRDefault="00101877" w:rsidP="008B6946">
      <w:pPr>
        <w:rPr>
          <w:sz w:val="24"/>
          <w:szCs w:val="24"/>
        </w:rPr>
      </w:pPr>
    </w:p>
    <w:p w:rsidR="00CA78D9" w:rsidRDefault="001F7E8B" w:rsidP="008B6946">
      <w:pPr>
        <w:rPr>
          <w:b/>
          <w:sz w:val="24"/>
          <w:szCs w:val="24"/>
        </w:rPr>
      </w:pPr>
      <w:r>
        <w:rPr>
          <w:b/>
          <w:sz w:val="24"/>
          <w:szCs w:val="24"/>
        </w:rPr>
        <w:t>Imatinib</w:t>
      </w:r>
      <w:r w:rsidR="009341E3">
        <w:rPr>
          <w:b/>
          <w:sz w:val="24"/>
          <w:szCs w:val="24"/>
        </w:rPr>
        <w:t xml:space="preserve"> for the adjuvant treatment of gastrointestinal stromal tumour</w:t>
      </w:r>
    </w:p>
    <w:p w:rsidR="00D67AB7" w:rsidRPr="007F2545" w:rsidRDefault="00D67AB7" w:rsidP="00D67AB7">
      <w:pPr>
        <w:contextualSpacing/>
        <w:rPr>
          <w:rFonts w:asciiTheme="minorHAnsi" w:hAnsiTheme="minorHAnsi"/>
          <w:sz w:val="24"/>
          <w:szCs w:val="24"/>
        </w:rPr>
      </w:pPr>
      <w:r w:rsidRPr="007F2545">
        <w:rPr>
          <w:rFonts w:asciiTheme="minorHAnsi" w:hAnsiTheme="minorHAnsi"/>
          <w:sz w:val="24"/>
          <w:szCs w:val="24"/>
        </w:rPr>
        <w:t>In the first two years from the extension to the</w:t>
      </w:r>
      <w:r>
        <w:rPr>
          <w:rFonts w:asciiTheme="minorHAnsi" w:hAnsiTheme="minorHAnsi"/>
          <w:sz w:val="24"/>
          <w:szCs w:val="24"/>
        </w:rPr>
        <w:t xml:space="preserve"> PBS</w:t>
      </w:r>
      <w:r w:rsidRPr="007F2545">
        <w:rPr>
          <w:rFonts w:asciiTheme="minorHAnsi" w:hAnsiTheme="minorHAnsi"/>
          <w:sz w:val="24"/>
          <w:szCs w:val="24"/>
        </w:rPr>
        <w:t xml:space="preserve"> listing on 1 December 2013, 449 patients were supplied imatinib for the adjuvant treatment of </w:t>
      </w:r>
      <w:r w:rsidRPr="009341E3">
        <w:rPr>
          <w:rFonts w:asciiTheme="minorHAnsi" w:hAnsiTheme="minorHAnsi"/>
          <w:sz w:val="24"/>
          <w:szCs w:val="24"/>
        </w:rPr>
        <w:t xml:space="preserve">gastrointestinal stromal tumour </w:t>
      </w:r>
      <w:r>
        <w:rPr>
          <w:rFonts w:asciiTheme="minorHAnsi" w:hAnsiTheme="minorHAnsi"/>
          <w:sz w:val="24"/>
          <w:szCs w:val="24"/>
        </w:rPr>
        <w:t>(</w:t>
      </w:r>
      <w:r w:rsidRPr="009341E3">
        <w:rPr>
          <w:rFonts w:asciiTheme="minorHAnsi" w:hAnsiTheme="minorHAnsi"/>
          <w:sz w:val="24"/>
          <w:szCs w:val="24"/>
        </w:rPr>
        <w:t>GIST</w:t>
      </w:r>
      <w:r>
        <w:rPr>
          <w:rFonts w:asciiTheme="minorHAnsi" w:hAnsiTheme="minorHAnsi"/>
          <w:sz w:val="24"/>
          <w:szCs w:val="24"/>
        </w:rPr>
        <w:t xml:space="preserve">). This </w:t>
      </w:r>
      <w:r w:rsidR="009341E3" w:rsidRPr="009341E3">
        <w:rPr>
          <w:rFonts w:asciiTheme="minorHAnsi" w:hAnsiTheme="minorHAnsi"/>
          <w:sz w:val="24"/>
          <w:szCs w:val="24"/>
        </w:rPr>
        <w:t xml:space="preserve">was similar to </w:t>
      </w:r>
      <w:r>
        <w:rPr>
          <w:rFonts w:asciiTheme="minorHAnsi" w:hAnsiTheme="minorHAnsi"/>
          <w:sz w:val="24"/>
          <w:szCs w:val="24"/>
        </w:rPr>
        <w:t>the number of patients</w:t>
      </w:r>
      <w:r w:rsidR="009341E3" w:rsidRPr="009341E3">
        <w:rPr>
          <w:rFonts w:asciiTheme="minorHAnsi" w:hAnsiTheme="minorHAnsi"/>
          <w:sz w:val="24"/>
          <w:szCs w:val="24"/>
        </w:rPr>
        <w:t xml:space="preserve"> estimated by the submission.</w:t>
      </w:r>
      <w:r w:rsidRPr="00D67AB7">
        <w:rPr>
          <w:rFonts w:asciiTheme="minorHAnsi" w:hAnsiTheme="minorHAnsi"/>
          <w:sz w:val="24"/>
          <w:szCs w:val="24"/>
        </w:rPr>
        <w:t xml:space="preserve"> </w:t>
      </w:r>
      <w:r w:rsidRPr="009341E3">
        <w:rPr>
          <w:rFonts w:asciiTheme="minorHAnsi" w:hAnsiTheme="minorHAnsi"/>
          <w:sz w:val="24"/>
          <w:szCs w:val="24"/>
        </w:rPr>
        <w:t>However, there were fewer prescriptions than predicted, which may have been due to discontinuation from side effects or treatment failures.</w:t>
      </w:r>
      <w:r>
        <w:rPr>
          <w:rFonts w:asciiTheme="minorHAnsi" w:hAnsiTheme="minorHAnsi"/>
          <w:sz w:val="24"/>
          <w:szCs w:val="24"/>
        </w:rPr>
        <w:t xml:space="preserve"> </w:t>
      </w:r>
      <w:r w:rsidRPr="007F2545">
        <w:rPr>
          <w:rFonts w:asciiTheme="minorHAnsi" w:hAnsiTheme="minorHAnsi"/>
          <w:sz w:val="24"/>
          <w:szCs w:val="24"/>
        </w:rPr>
        <w:t xml:space="preserve">The total net expenditure was higher than expected, likely due to the higher than predicted average daily dose. </w:t>
      </w:r>
    </w:p>
    <w:p w:rsidR="001F7E8B" w:rsidRDefault="001F7E8B" w:rsidP="00FA1200">
      <w:pPr>
        <w:rPr>
          <w:rFonts w:asciiTheme="minorHAnsi" w:hAnsiTheme="minorHAnsi"/>
          <w:sz w:val="24"/>
          <w:szCs w:val="24"/>
        </w:rPr>
      </w:pPr>
    </w:p>
    <w:p w:rsidR="009E5D90" w:rsidRDefault="001223D1" w:rsidP="008B6946">
      <w:pPr>
        <w:rPr>
          <w:rFonts w:asciiTheme="minorHAnsi" w:hAnsiTheme="minorHAnsi"/>
          <w:sz w:val="24"/>
          <w:szCs w:val="24"/>
        </w:rPr>
      </w:pPr>
      <w:r w:rsidRPr="001223D1">
        <w:rPr>
          <w:rFonts w:asciiTheme="minorHAnsi" w:hAnsiTheme="minorHAnsi"/>
          <w:sz w:val="24"/>
          <w:szCs w:val="24"/>
        </w:rPr>
        <w:t>The DUSC requested that the report be provided to the PBAC</w:t>
      </w:r>
      <w:r>
        <w:rPr>
          <w:rFonts w:asciiTheme="minorHAnsi" w:hAnsiTheme="minorHAnsi"/>
          <w:sz w:val="24"/>
          <w:szCs w:val="24"/>
        </w:rPr>
        <w:t>.</w:t>
      </w:r>
      <w:r w:rsidRPr="001223D1">
        <w:rPr>
          <w:rFonts w:asciiTheme="minorHAnsi" w:hAnsiTheme="minorHAnsi"/>
          <w:sz w:val="24"/>
          <w:szCs w:val="24"/>
        </w:rPr>
        <w:t xml:space="preserve"> </w:t>
      </w:r>
    </w:p>
    <w:p w:rsidR="00021AF3" w:rsidRDefault="00021AF3" w:rsidP="008B6946">
      <w:pPr>
        <w:rPr>
          <w:b/>
          <w:sz w:val="24"/>
          <w:szCs w:val="24"/>
        </w:rPr>
      </w:pPr>
    </w:p>
    <w:p w:rsidR="00647F2B" w:rsidRDefault="00647F2B">
      <w:pPr>
        <w:rPr>
          <w:b/>
          <w:sz w:val="24"/>
          <w:szCs w:val="24"/>
        </w:rPr>
      </w:pPr>
      <w:r>
        <w:rPr>
          <w:b/>
          <w:sz w:val="24"/>
          <w:szCs w:val="24"/>
        </w:rPr>
        <w:br w:type="page"/>
      </w:r>
    </w:p>
    <w:p w:rsidR="00FA1200" w:rsidRDefault="001F7E8B" w:rsidP="00FA1200">
      <w:pPr>
        <w:rPr>
          <w:sz w:val="24"/>
          <w:szCs w:val="24"/>
        </w:rPr>
      </w:pPr>
      <w:r>
        <w:rPr>
          <w:b/>
          <w:sz w:val="24"/>
          <w:szCs w:val="24"/>
        </w:rPr>
        <w:lastRenderedPageBreak/>
        <w:t xml:space="preserve">Everolimus for tuberous sclerosis </w:t>
      </w:r>
      <w:r w:rsidR="009341E3">
        <w:rPr>
          <w:b/>
          <w:sz w:val="24"/>
          <w:szCs w:val="24"/>
        </w:rPr>
        <w:t>complex</w:t>
      </w:r>
    </w:p>
    <w:p w:rsidR="008730E5" w:rsidRPr="008730E5" w:rsidRDefault="008730E5" w:rsidP="008730E5">
      <w:pPr>
        <w:rPr>
          <w:rFonts w:asciiTheme="minorHAnsi" w:hAnsiTheme="minorHAnsi"/>
          <w:sz w:val="24"/>
          <w:szCs w:val="24"/>
        </w:rPr>
      </w:pPr>
      <w:r w:rsidRPr="008730E5">
        <w:rPr>
          <w:rFonts w:asciiTheme="minorHAnsi" w:hAnsiTheme="minorHAnsi"/>
          <w:sz w:val="24"/>
          <w:szCs w:val="24"/>
        </w:rPr>
        <w:t xml:space="preserve">Since 1 December 2013, 322 patients were supplied everolimus for </w:t>
      </w:r>
      <w:r w:rsidR="009E5D90">
        <w:rPr>
          <w:rFonts w:asciiTheme="minorHAnsi" w:hAnsiTheme="minorHAnsi"/>
          <w:sz w:val="24"/>
          <w:szCs w:val="24"/>
        </w:rPr>
        <w:t>tuberous sclerosis complex (</w:t>
      </w:r>
      <w:r w:rsidRPr="008730E5">
        <w:rPr>
          <w:rFonts w:asciiTheme="minorHAnsi" w:hAnsiTheme="minorHAnsi"/>
          <w:sz w:val="24"/>
          <w:szCs w:val="24"/>
        </w:rPr>
        <w:t>TSC</w:t>
      </w:r>
      <w:r w:rsidR="009E5D90">
        <w:rPr>
          <w:rFonts w:asciiTheme="minorHAnsi" w:hAnsiTheme="minorHAnsi"/>
          <w:sz w:val="24"/>
          <w:szCs w:val="24"/>
        </w:rPr>
        <w:t>)</w:t>
      </w:r>
      <w:r w:rsidRPr="008730E5">
        <w:rPr>
          <w:rFonts w:asciiTheme="minorHAnsi" w:hAnsiTheme="minorHAnsi"/>
          <w:sz w:val="24"/>
          <w:szCs w:val="24"/>
        </w:rPr>
        <w:t>. The use of the lower doses (2.5 mg and 5 mg) was more than expected which may relate to the tolerability of the drug. Use in children could also be a factor. The treated population had declined over time. Possible causes for this were considered to be drug tolerability and potential use prior to surgical resection which involves shorter durations of treatment.</w:t>
      </w:r>
    </w:p>
    <w:p w:rsidR="009341E3" w:rsidRDefault="009341E3" w:rsidP="009341E3">
      <w:pPr>
        <w:rPr>
          <w:sz w:val="24"/>
          <w:szCs w:val="24"/>
        </w:rPr>
      </w:pPr>
    </w:p>
    <w:p w:rsidR="009341E3" w:rsidRDefault="009341E3" w:rsidP="009341E3">
      <w:pPr>
        <w:rPr>
          <w:b/>
          <w:sz w:val="24"/>
          <w:szCs w:val="24"/>
        </w:rPr>
      </w:pPr>
      <w:r w:rsidRPr="001223D1">
        <w:rPr>
          <w:rFonts w:asciiTheme="minorHAnsi" w:hAnsiTheme="minorHAnsi"/>
          <w:sz w:val="24"/>
          <w:szCs w:val="24"/>
        </w:rPr>
        <w:t>The DUSC requested that the report be provided to the PBAC</w:t>
      </w:r>
      <w:r>
        <w:rPr>
          <w:rFonts w:asciiTheme="minorHAnsi" w:hAnsiTheme="minorHAnsi"/>
          <w:sz w:val="24"/>
          <w:szCs w:val="24"/>
        </w:rPr>
        <w:t>.</w:t>
      </w:r>
      <w:r w:rsidRPr="001223D1">
        <w:rPr>
          <w:rFonts w:asciiTheme="minorHAnsi" w:hAnsiTheme="minorHAnsi"/>
          <w:sz w:val="24"/>
          <w:szCs w:val="24"/>
        </w:rPr>
        <w:t xml:space="preserve"> </w:t>
      </w:r>
    </w:p>
    <w:p w:rsidR="00AC6543" w:rsidRDefault="00AC6543" w:rsidP="008B6946">
      <w:pPr>
        <w:rPr>
          <w:sz w:val="24"/>
          <w:szCs w:val="24"/>
        </w:rPr>
      </w:pPr>
    </w:p>
    <w:p w:rsidR="00213EAC" w:rsidRDefault="009341E3" w:rsidP="00213EAC">
      <w:pPr>
        <w:rPr>
          <w:b/>
          <w:sz w:val="24"/>
          <w:szCs w:val="24"/>
        </w:rPr>
      </w:pPr>
      <w:r>
        <w:rPr>
          <w:b/>
          <w:sz w:val="24"/>
          <w:szCs w:val="24"/>
        </w:rPr>
        <w:t>Everolimus for</w:t>
      </w:r>
      <w:r w:rsidR="009E2CA6">
        <w:rPr>
          <w:b/>
          <w:sz w:val="24"/>
          <w:szCs w:val="24"/>
        </w:rPr>
        <w:t xml:space="preserve"> metastatic</w:t>
      </w:r>
      <w:r>
        <w:rPr>
          <w:b/>
          <w:sz w:val="24"/>
          <w:szCs w:val="24"/>
        </w:rPr>
        <w:t xml:space="preserve"> breast cancer</w:t>
      </w:r>
    </w:p>
    <w:p w:rsidR="00021AF3" w:rsidRDefault="00021AF3" w:rsidP="00BD43B4">
      <w:pPr>
        <w:rPr>
          <w:sz w:val="24"/>
          <w:szCs w:val="24"/>
        </w:rPr>
      </w:pPr>
      <w:r>
        <w:rPr>
          <w:sz w:val="24"/>
          <w:szCs w:val="24"/>
        </w:rPr>
        <w:t xml:space="preserve">In the first two years of PBS listing, </w:t>
      </w:r>
      <w:r w:rsidRPr="00021AF3">
        <w:rPr>
          <w:sz w:val="24"/>
          <w:szCs w:val="24"/>
        </w:rPr>
        <w:t xml:space="preserve">1,813 patients </w:t>
      </w:r>
      <w:r>
        <w:rPr>
          <w:sz w:val="24"/>
          <w:szCs w:val="24"/>
        </w:rPr>
        <w:t xml:space="preserve">were </w:t>
      </w:r>
      <w:r w:rsidRPr="00021AF3">
        <w:rPr>
          <w:sz w:val="24"/>
          <w:szCs w:val="24"/>
        </w:rPr>
        <w:t xml:space="preserve">treated with everolimus for metastatic breast cancer. This was </w:t>
      </w:r>
      <w:r>
        <w:rPr>
          <w:sz w:val="24"/>
          <w:szCs w:val="24"/>
        </w:rPr>
        <w:t>fewer patients</w:t>
      </w:r>
      <w:r w:rsidRPr="00021AF3">
        <w:rPr>
          <w:sz w:val="24"/>
          <w:szCs w:val="24"/>
        </w:rPr>
        <w:t xml:space="preserve"> than predicted</w:t>
      </w:r>
      <w:r>
        <w:rPr>
          <w:sz w:val="24"/>
          <w:szCs w:val="24"/>
        </w:rPr>
        <w:t xml:space="preserve"> at the time of listing. These patients were also on treatment with everolimus for a shorter time period than expected, which resulted in a lower number of prescriptions than predicted. This may be because the estimates did not account for treatment breaks. </w:t>
      </w:r>
    </w:p>
    <w:p w:rsidR="00021AF3" w:rsidRDefault="00021AF3" w:rsidP="00BD43B4">
      <w:pPr>
        <w:rPr>
          <w:sz w:val="24"/>
          <w:szCs w:val="24"/>
        </w:rPr>
      </w:pPr>
    </w:p>
    <w:p w:rsidR="00021AF3" w:rsidRDefault="00021AF3" w:rsidP="00BD43B4">
      <w:pPr>
        <w:rPr>
          <w:sz w:val="24"/>
          <w:szCs w:val="24"/>
        </w:rPr>
      </w:pPr>
      <w:r>
        <w:rPr>
          <w:sz w:val="24"/>
          <w:szCs w:val="24"/>
        </w:rPr>
        <w:t xml:space="preserve">DUSC noted that although the recommended starting dose is 10 mg, people over 70 years were more commonly started on the lower 5 mg strength. DUSC also noted that the proportion of people on 10 mg to 5 mg is reducing over time. DUSC considered there may be a variety of clinical reasons for this other than age, such as reducing the impact of drug interactions or adverse effects. </w:t>
      </w:r>
    </w:p>
    <w:p w:rsidR="00021AF3" w:rsidRDefault="00021AF3" w:rsidP="00BD43B4">
      <w:pPr>
        <w:rPr>
          <w:sz w:val="24"/>
          <w:szCs w:val="24"/>
        </w:rPr>
      </w:pPr>
    </w:p>
    <w:p w:rsidR="00BD43B4" w:rsidRPr="00BD43B4" w:rsidRDefault="00BD43B4" w:rsidP="00BD43B4">
      <w:pPr>
        <w:rPr>
          <w:sz w:val="24"/>
          <w:szCs w:val="24"/>
        </w:rPr>
      </w:pPr>
      <w:r w:rsidRPr="00BD43B4">
        <w:rPr>
          <w:sz w:val="24"/>
          <w:szCs w:val="24"/>
        </w:rPr>
        <w:t>The use of everolimus was consistent with its restriction with the majority of patients receiving a prior supply of letrozole or anastrozole. The expenditure on everolimus was less than predicted over its first two years of listing.</w:t>
      </w:r>
    </w:p>
    <w:p w:rsidR="009C5FCE" w:rsidRPr="00B25209" w:rsidRDefault="009C5FCE" w:rsidP="009C5FCE">
      <w:pPr>
        <w:rPr>
          <w:sz w:val="24"/>
          <w:szCs w:val="24"/>
        </w:rPr>
      </w:pPr>
    </w:p>
    <w:p w:rsidR="000F5C42" w:rsidRDefault="00213EAC">
      <w:pPr>
        <w:rPr>
          <w:sz w:val="24"/>
          <w:szCs w:val="24"/>
        </w:rPr>
      </w:pPr>
      <w:r w:rsidRPr="00B25209">
        <w:rPr>
          <w:sz w:val="24"/>
          <w:szCs w:val="24"/>
        </w:rPr>
        <w:t>The DUSC requested that the report be provided to the PBAC.</w:t>
      </w:r>
    </w:p>
    <w:p w:rsidR="000F5C42" w:rsidRDefault="000F5C42">
      <w:pPr>
        <w:rPr>
          <w:sz w:val="24"/>
          <w:szCs w:val="24"/>
        </w:rPr>
      </w:pPr>
    </w:p>
    <w:p w:rsidR="00213EAC" w:rsidRDefault="009341E3" w:rsidP="00213EAC">
      <w:pPr>
        <w:rPr>
          <w:b/>
          <w:sz w:val="24"/>
          <w:szCs w:val="24"/>
        </w:rPr>
      </w:pPr>
      <w:r>
        <w:rPr>
          <w:b/>
          <w:sz w:val="24"/>
          <w:szCs w:val="24"/>
        </w:rPr>
        <w:t>Iron, as ferric carboxymaltose</w:t>
      </w:r>
    </w:p>
    <w:p w:rsidR="00AB4A37" w:rsidRPr="00AB4A37" w:rsidRDefault="00AB4A37" w:rsidP="00AB4A37">
      <w:pPr>
        <w:rPr>
          <w:sz w:val="24"/>
          <w:szCs w:val="24"/>
        </w:rPr>
      </w:pPr>
      <w:r w:rsidRPr="00AB4A37">
        <w:rPr>
          <w:sz w:val="24"/>
          <w:szCs w:val="24"/>
        </w:rPr>
        <w:t xml:space="preserve">There was substantial growth in the total parenteral iron market after </w:t>
      </w:r>
      <w:r w:rsidR="005E77F8">
        <w:rPr>
          <w:sz w:val="24"/>
          <w:szCs w:val="24"/>
        </w:rPr>
        <w:t>ferric carboxymaltose (</w:t>
      </w:r>
      <w:r w:rsidRPr="00AB4A37">
        <w:rPr>
          <w:sz w:val="24"/>
          <w:szCs w:val="24"/>
        </w:rPr>
        <w:t>FCM</w:t>
      </w:r>
      <w:r w:rsidR="005E77F8">
        <w:rPr>
          <w:sz w:val="24"/>
          <w:szCs w:val="24"/>
        </w:rPr>
        <w:t>)</w:t>
      </w:r>
      <w:r w:rsidRPr="00AB4A37">
        <w:rPr>
          <w:sz w:val="24"/>
          <w:szCs w:val="24"/>
        </w:rPr>
        <w:t xml:space="preserve"> was PBS listed. There were 87,433 patients treated with parenteral iron in the year FCM was PBS listed, increasing to 130,000 the year after. There were 69,460 FCM prescriptions supplied in the first year of PBS listing (June 2014 to May 2015) and 125,887 prescriptions supplied in the second year (June 2015 to May 2016). </w:t>
      </w:r>
      <w:r w:rsidR="005E77F8">
        <w:rPr>
          <w:sz w:val="24"/>
          <w:szCs w:val="24"/>
        </w:rPr>
        <w:t>T</w:t>
      </w:r>
      <w:r w:rsidRPr="00AB4A37">
        <w:rPr>
          <w:sz w:val="24"/>
          <w:szCs w:val="24"/>
        </w:rPr>
        <w:t xml:space="preserve">he use of FCM </w:t>
      </w:r>
      <w:r w:rsidR="005E77F8">
        <w:rPr>
          <w:sz w:val="24"/>
          <w:szCs w:val="24"/>
        </w:rPr>
        <w:t xml:space="preserve">has been </w:t>
      </w:r>
      <w:r w:rsidRPr="00AB4A37">
        <w:rPr>
          <w:sz w:val="24"/>
          <w:szCs w:val="24"/>
        </w:rPr>
        <w:t>substantially higher than predicted.</w:t>
      </w:r>
    </w:p>
    <w:p w:rsidR="00AB4A37" w:rsidRPr="00AB4A37" w:rsidRDefault="00AB4A37" w:rsidP="00AB4A37">
      <w:pPr>
        <w:rPr>
          <w:sz w:val="24"/>
          <w:szCs w:val="24"/>
        </w:rPr>
      </w:pPr>
    </w:p>
    <w:p w:rsidR="00AB4A37" w:rsidRDefault="005E77F8" w:rsidP="00AB4A37">
      <w:pPr>
        <w:rPr>
          <w:sz w:val="24"/>
          <w:szCs w:val="24"/>
        </w:rPr>
      </w:pPr>
      <w:r>
        <w:rPr>
          <w:sz w:val="24"/>
          <w:szCs w:val="24"/>
        </w:rPr>
        <w:t>T</w:t>
      </w:r>
      <w:r w:rsidR="00AB4A37" w:rsidRPr="00AB4A37">
        <w:rPr>
          <w:sz w:val="24"/>
          <w:szCs w:val="24"/>
        </w:rPr>
        <w:t>he DUSC considered that the use of FCM has been higher than predicted due to a range of factors including:</w:t>
      </w:r>
    </w:p>
    <w:p w:rsidR="00AB4A37" w:rsidRDefault="00AB4A37" w:rsidP="00AB4A37">
      <w:pPr>
        <w:pStyle w:val="ListParagraph"/>
        <w:numPr>
          <w:ilvl w:val="0"/>
          <w:numId w:val="48"/>
        </w:numPr>
        <w:rPr>
          <w:szCs w:val="24"/>
        </w:rPr>
      </w:pPr>
      <w:r w:rsidRPr="00AB4A37">
        <w:rPr>
          <w:szCs w:val="24"/>
        </w:rPr>
        <w:t xml:space="preserve">an underestimate of the size of the baseline treated and untreated IDA populations </w:t>
      </w:r>
    </w:p>
    <w:p w:rsidR="00AB4A37" w:rsidRDefault="00AB4A37" w:rsidP="00AB4A37">
      <w:pPr>
        <w:pStyle w:val="ListParagraph"/>
        <w:numPr>
          <w:ilvl w:val="0"/>
          <w:numId w:val="48"/>
        </w:numPr>
        <w:rPr>
          <w:szCs w:val="24"/>
        </w:rPr>
      </w:pPr>
      <w:r w:rsidRPr="00AB4A37">
        <w:rPr>
          <w:szCs w:val="24"/>
        </w:rPr>
        <w:t>a likely shift from the oral market for patients inadequately treated with oral iron due to dose-related gastrointestinal effects or for those people where FCM is preferred due to ease of administration or other factors</w:t>
      </w:r>
    </w:p>
    <w:p w:rsidR="00AB4A37" w:rsidRPr="00AB4A37" w:rsidRDefault="00AB4A37" w:rsidP="00AB4A37">
      <w:pPr>
        <w:pStyle w:val="ListParagraph"/>
        <w:numPr>
          <w:ilvl w:val="0"/>
          <w:numId w:val="48"/>
        </w:numPr>
        <w:rPr>
          <w:szCs w:val="24"/>
        </w:rPr>
      </w:pPr>
      <w:r w:rsidRPr="00AB4A37">
        <w:rPr>
          <w:szCs w:val="24"/>
        </w:rPr>
        <w:t xml:space="preserve">higher than expected uptake, which may be a result of increased general awareness of IDA and education around the detection and management of IDA. </w:t>
      </w:r>
    </w:p>
    <w:p w:rsidR="0035787B" w:rsidRPr="0035787B" w:rsidRDefault="0035787B" w:rsidP="0035787B">
      <w:pPr>
        <w:rPr>
          <w:sz w:val="24"/>
          <w:szCs w:val="24"/>
        </w:rPr>
      </w:pPr>
    </w:p>
    <w:p w:rsidR="0035787B" w:rsidRDefault="0035787B" w:rsidP="0035787B">
      <w:pPr>
        <w:rPr>
          <w:sz w:val="24"/>
          <w:szCs w:val="24"/>
        </w:rPr>
      </w:pPr>
      <w:r w:rsidRPr="0035787B">
        <w:rPr>
          <w:sz w:val="24"/>
          <w:szCs w:val="24"/>
        </w:rPr>
        <w:t>The DUSC requested that the report be provided to the PBAC.</w:t>
      </w:r>
    </w:p>
    <w:p w:rsidR="005B0558" w:rsidRDefault="005B0558" w:rsidP="00997DB5">
      <w:pPr>
        <w:rPr>
          <w:sz w:val="24"/>
          <w:szCs w:val="24"/>
        </w:rPr>
      </w:pPr>
    </w:p>
    <w:p w:rsidR="005E77F8" w:rsidRDefault="005E77F8">
      <w:pPr>
        <w:rPr>
          <w:b/>
          <w:sz w:val="24"/>
          <w:szCs w:val="24"/>
        </w:rPr>
      </w:pPr>
      <w:r>
        <w:rPr>
          <w:b/>
          <w:sz w:val="24"/>
          <w:szCs w:val="24"/>
        </w:rPr>
        <w:br w:type="page"/>
      </w:r>
    </w:p>
    <w:p w:rsidR="001A10FD" w:rsidRPr="001A10FD" w:rsidRDefault="001A10FD" w:rsidP="001A10FD">
      <w:pPr>
        <w:rPr>
          <w:b/>
          <w:sz w:val="24"/>
          <w:szCs w:val="24"/>
        </w:rPr>
      </w:pPr>
      <w:r w:rsidRPr="001A10FD">
        <w:rPr>
          <w:b/>
          <w:sz w:val="24"/>
          <w:szCs w:val="24"/>
        </w:rPr>
        <w:lastRenderedPageBreak/>
        <w:t>Medicines for the treatment of diabetes</w:t>
      </w:r>
    </w:p>
    <w:p w:rsidR="001A10FD" w:rsidRPr="001A10FD" w:rsidRDefault="001A10FD" w:rsidP="001A10FD">
      <w:pPr>
        <w:rPr>
          <w:sz w:val="24"/>
          <w:szCs w:val="24"/>
        </w:rPr>
      </w:pPr>
      <w:r w:rsidRPr="001A10FD">
        <w:rPr>
          <w:sz w:val="24"/>
          <w:szCs w:val="24"/>
        </w:rPr>
        <w:t xml:space="preserve">There have been a number of new medicines and extensions to PBS listings </w:t>
      </w:r>
      <w:r w:rsidR="009E2CA6">
        <w:rPr>
          <w:sz w:val="24"/>
          <w:szCs w:val="24"/>
        </w:rPr>
        <w:t xml:space="preserve">of medicines for diabetes </w:t>
      </w:r>
      <w:r w:rsidRPr="001A10FD">
        <w:rPr>
          <w:sz w:val="24"/>
          <w:szCs w:val="24"/>
        </w:rPr>
        <w:t xml:space="preserve">since the </w:t>
      </w:r>
      <w:hyperlink r:id="rId13" w:history="1">
        <w:r w:rsidRPr="007B264F">
          <w:rPr>
            <w:rStyle w:val="Hyperlink"/>
            <w:sz w:val="24"/>
            <w:szCs w:val="24"/>
          </w:rPr>
          <w:t>last DUSC review in February 2013</w:t>
        </w:r>
      </w:hyperlink>
      <w:r w:rsidRPr="001A10FD">
        <w:rPr>
          <w:sz w:val="24"/>
          <w:szCs w:val="24"/>
        </w:rPr>
        <w:t xml:space="preserve">. Key changes have included the listing of sodium-glucose co-transporter 2 inhibitors (flozins), extensions to listings for the dipeptidyl peptidase 4 inhibitors (gliptins) and the glucagon-like peptide-1 (GLP-1) analogue, and the availability of additional fixed dose combination products. </w:t>
      </w:r>
    </w:p>
    <w:p w:rsidR="001A10FD" w:rsidRPr="001A10FD" w:rsidRDefault="001A10FD" w:rsidP="001A10FD">
      <w:pPr>
        <w:rPr>
          <w:sz w:val="24"/>
          <w:szCs w:val="24"/>
        </w:rPr>
      </w:pPr>
    </w:p>
    <w:p w:rsidR="001A10FD" w:rsidRDefault="001A10FD" w:rsidP="001A10FD">
      <w:pPr>
        <w:rPr>
          <w:sz w:val="24"/>
          <w:szCs w:val="24"/>
        </w:rPr>
      </w:pPr>
      <w:r w:rsidRPr="001A10FD">
        <w:rPr>
          <w:sz w:val="24"/>
          <w:szCs w:val="24"/>
        </w:rPr>
        <w:t>The use of diabetes medicines continues to grow. DUSC considered the high use of metformin monotherapy reflects its place in guidelines as first line therapy. The use of flozins and gliptins are increasing. Overall use of diabetes medicines appears generally within PBS restrictions.</w:t>
      </w:r>
      <w:r w:rsidR="007B264F">
        <w:rPr>
          <w:sz w:val="24"/>
          <w:szCs w:val="24"/>
        </w:rPr>
        <w:t xml:space="preserve"> </w:t>
      </w:r>
      <w:r w:rsidRPr="001A10FD">
        <w:rPr>
          <w:sz w:val="24"/>
          <w:szCs w:val="24"/>
        </w:rPr>
        <w:t xml:space="preserve">There is some concern about use outside of restrictions, such as possible use of flozins, gliptins or exenatide as monotherapy and regimens containing combinations of flozins, gliptins or exenatide. </w:t>
      </w:r>
      <w:r w:rsidR="007B264F">
        <w:rPr>
          <w:sz w:val="24"/>
          <w:szCs w:val="24"/>
        </w:rPr>
        <w:t xml:space="preserve">DUSC recognised that </w:t>
      </w:r>
      <w:r w:rsidR="009E2CA6">
        <w:rPr>
          <w:sz w:val="24"/>
          <w:szCs w:val="24"/>
        </w:rPr>
        <w:t xml:space="preserve">while </w:t>
      </w:r>
      <w:r w:rsidR="007B264F">
        <w:rPr>
          <w:sz w:val="24"/>
          <w:szCs w:val="24"/>
        </w:rPr>
        <w:t xml:space="preserve">there may be a clinical place or need for these regimens in practice, such use has not been assessed by the PBAC and is not </w:t>
      </w:r>
      <w:r w:rsidR="006A71A2">
        <w:rPr>
          <w:sz w:val="24"/>
          <w:szCs w:val="24"/>
        </w:rPr>
        <w:t xml:space="preserve">subsidised through the PBS. </w:t>
      </w:r>
      <w:r w:rsidR="007B264F">
        <w:rPr>
          <w:sz w:val="24"/>
          <w:szCs w:val="24"/>
        </w:rPr>
        <w:t>The DUSC and stakeholders</w:t>
      </w:r>
      <w:r w:rsidR="007B264F" w:rsidRPr="006A71A2">
        <w:rPr>
          <w:sz w:val="24"/>
          <w:szCs w:val="24"/>
        </w:rPr>
        <w:t xml:space="preserve"> also </w:t>
      </w:r>
      <w:r w:rsidR="007B264F">
        <w:rPr>
          <w:sz w:val="24"/>
          <w:szCs w:val="24"/>
        </w:rPr>
        <w:t xml:space="preserve">expressed </w:t>
      </w:r>
      <w:r w:rsidR="007B264F" w:rsidRPr="007B264F">
        <w:rPr>
          <w:sz w:val="24"/>
          <w:szCs w:val="24"/>
        </w:rPr>
        <w:t>concern regarding the complexities of the PBS restrictions for diabetes medicines</w:t>
      </w:r>
      <w:r w:rsidR="006A71A2">
        <w:rPr>
          <w:sz w:val="24"/>
          <w:szCs w:val="24"/>
        </w:rPr>
        <w:t>.</w:t>
      </w:r>
      <w:r w:rsidR="007B264F">
        <w:rPr>
          <w:sz w:val="24"/>
          <w:szCs w:val="24"/>
        </w:rPr>
        <w:t xml:space="preserve"> </w:t>
      </w:r>
    </w:p>
    <w:p w:rsidR="007B264F" w:rsidRDefault="007B264F" w:rsidP="001A10FD">
      <w:pPr>
        <w:rPr>
          <w:sz w:val="24"/>
          <w:szCs w:val="24"/>
        </w:rPr>
      </w:pPr>
    </w:p>
    <w:p w:rsidR="001A10FD" w:rsidRPr="001A10FD" w:rsidRDefault="001A10FD" w:rsidP="001A10FD">
      <w:pPr>
        <w:rPr>
          <w:sz w:val="24"/>
          <w:szCs w:val="24"/>
        </w:rPr>
      </w:pPr>
      <w:r w:rsidRPr="001A10FD">
        <w:rPr>
          <w:sz w:val="24"/>
          <w:szCs w:val="24"/>
        </w:rPr>
        <w:t>The DUSC requested that the report be provided to the PBAC.</w:t>
      </w:r>
    </w:p>
    <w:p w:rsidR="00C10F2E" w:rsidRPr="00C10F2E" w:rsidRDefault="00C10F2E" w:rsidP="009341E3">
      <w:pPr>
        <w:rPr>
          <w:sz w:val="24"/>
          <w:szCs w:val="24"/>
        </w:rPr>
      </w:pPr>
    </w:p>
    <w:p w:rsidR="005B0558" w:rsidRDefault="009341E3" w:rsidP="005B0558">
      <w:pPr>
        <w:rPr>
          <w:b/>
          <w:sz w:val="24"/>
          <w:szCs w:val="24"/>
        </w:rPr>
      </w:pPr>
      <w:r>
        <w:rPr>
          <w:b/>
          <w:sz w:val="24"/>
          <w:szCs w:val="24"/>
        </w:rPr>
        <w:t>Tyrosine kinase inhibitors for non-small cell lung cancer</w:t>
      </w:r>
    </w:p>
    <w:p w:rsidR="00B12B2F" w:rsidRDefault="005E7DF8" w:rsidP="00F11D52">
      <w:pPr>
        <w:rPr>
          <w:sz w:val="24"/>
          <w:szCs w:val="24"/>
        </w:rPr>
      </w:pPr>
      <w:r>
        <w:rPr>
          <w:sz w:val="24"/>
          <w:szCs w:val="24"/>
        </w:rPr>
        <w:t>I</w:t>
      </w:r>
      <w:r w:rsidR="00F11D52" w:rsidRPr="00F11D52">
        <w:rPr>
          <w:sz w:val="24"/>
          <w:szCs w:val="24"/>
        </w:rPr>
        <w:t xml:space="preserve">n 2014, 598 patients commenced erlotinib or gefitinib for first-line treatment of </w:t>
      </w:r>
      <w:r w:rsidRPr="005E7DF8">
        <w:rPr>
          <w:sz w:val="24"/>
          <w:szCs w:val="24"/>
        </w:rPr>
        <w:t xml:space="preserve">Stage IIIB (locally advanced) or Stage IV </w:t>
      </w:r>
      <w:r w:rsidR="00CE2340">
        <w:rPr>
          <w:sz w:val="24"/>
          <w:szCs w:val="24"/>
        </w:rPr>
        <w:t>(metastatic) non-</w:t>
      </w:r>
      <w:r w:rsidRPr="005E7DF8">
        <w:rPr>
          <w:sz w:val="24"/>
          <w:szCs w:val="24"/>
        </w:rPr>
        <w:t>small cell lung cancer (NSCLC)</w:t>
      </w:r>
      <w:r w:rsidR="00F11D52" w:rsidRPr="00F11D52">
        <w:rPr>
          <w:sz w:val="24"/>
          <w:szCs w:val="24"/>
        </w:rPr>
        <w:t xml:space="preserve"> harbouring EGFR mutations.</w:t>
      </w:r>
      <w:r w:rsidR="00B12B2F">
        <w:rPr>
          <w:sz w:val="24"/>
          <w:szCs w:val="24"/>
        </w:rPr>
        <w:t xml:space="preserve"> </w:t>
      </w:r>
      <w:r w:rsidR="00F11D52" w:rsidRPr="00F11D52">
        <w:rPr>
          <w:sz w:val="24"/>
          <w:szCs w:val="24"/>
        </w:rPr>
        <w:t>In 2015, 347 patients commenced first-line erlotinib or gefitinib therapy. The number of people receiving first line TKIs was similar to expected in 2014 and lower than expected in 2015.</w:t>
      </w:r>
    </w:p>
    <w:p w:rsidR="00B12B2F" w:rsidRDefault="00B12B2F" w:rsidP="00F11D52">
      <w:pPr>
        <w:rPr>
          <w:sz w:val="24"/>
          <w:szCs w:val="24"/>
        </w:rPr>
      </w:pPr>
    </w:p>
    <w:p w:rsidR="000F70AE" w:rsidRPr="000F70AE" w:rsidRDefault="000F70AE" w:rsidP="00F11D52">
      <w:pPr>
        <w:rPr>
          <w:sz w:val="24"/>
          <w:szCs w:val="24"/>
        </w:rPr>
      </w:pPr>
      <w:r w:rsidRPr="000F70AE">
        <w:rPr>
          <w:sz w:val="24"/>
          <w:szCs w:val="24"/>
        </w:rPr>
        <w:t xml:space="preserve">Median length on </w:t>
      </w:r>
      <w:r w:rsidR="00B12B2F">
        <w:rPr>
          <w:sz w:val="24"/>
          <w:szCs w:val="24"/>
        </w:rPr>
        <w:t>tyrosine kinase inhibitor</w:t>
      </w:r>
      <w:r w:rsidRPr="000F70AE">
        <w:rPr>
          <w:sz w:val="24"/>
          <w:szCs w:val="24"/>
        </w:rPr>
        <w:t xml:space="preserve"> treatment for first-line use was similar to predicted.</w:t>
      </w:r>
      <w:r>
        <w:rPr>
          <w:sz w:val="24"/>
          <w:szCs w:val="24"/>
        </w:rPr>
        <w:t xml:space="preserve"> </w:t>
      </w:r>
      <w:r w:rsidR="00B12B2F">
        <w:rPr>
          <w:sz w:val="24"/>
          <w:szCs w:val="24"/>
        </w:rPr>
        <w:t>The o</w:t>
      </w:r>
      <w:r w:rsidRPr="000F70AE">
        <w:rPr>
          <w:sz w:val="24"/>
          <w:szCs w:val="24"/>
        </w:rPr>
        <w:t>bserved prevalence of EGFR mutations (17.9%) was similar to predicted (15%).</w:t>
      </w:r>
    </w:p>
    <w:p w:rsidR="000F70AE" w:rsidRPr="000F70AE" w:rsidRDefault="000F70AE" w:rsidP="000F70AE">
      <w:pPr>
        <w:rPr>
          <w:sz w:val="24"/>
          <w:szCs w:val="24"/>
        </w:rPr>
      </w:pPr>
    </w:p>
    <w:p w:rsidR="000F70AE" w:rsidRPr="000F70AE" w:rsidRDefault="000F70AE" w:rsidP="000F70AE">
      <w:pPr>
        <w:rPr>
          <w:sz w:val="24"/>
          <w:szCs w:val="24"/>
        </w:rPr>
      </w:pPr>
      <w:r>
        <w:rPr>
          <w:sz w:val="24"/>
          <w:szCs w:val="24"/>
        </w:rPr>
        <w:t>A small proportion of patients (</w:t>
      </w:r>
      <w:r w:rsidRPr="000F70AE">
        <w:rPr>
          <w:sz w:val="24"/>
          <w:szCs w:val="24"/>
        </w:rPr>
        <w:t>7.4%</w:t>
      </w:r>
      <w:r>
        <w:rPr>
          <w:sz w:val="24"/>
          <w:szCs w:val="24"/>
        </w:rPr>
        <w:t>)</w:t>
      </w:r>
      <w:r w:rsidRPr="000F70AE">
        <w:rPr>
          <w:sz w:val="24"/>
          <w:szCs w:val="24"/>
        </w:rPr>
        <w:t xml:space="preserve"> initiating TKI therapy in 2014 had supplies of chemotherapy between supplies of TKI</w:t>
      </w:r>
      <w:r w:rsidR="00CE2340">
        <w:rPr>
          <w:sz w:val="24"/>
          <w:szCs w:val="24"/>
        </w:rPr>
        <w:t>,</w:t>
      </w:r>
      <w:r w:rsidRPr="000F70AE">
        <w:rPr>
          <w:sz w:val="24"/>
          <w:szCs w:val="24"/>
        </w:rPr>
        <w:t xml:space="preserve"> indicating use beyond progression or in combination with chemotherapy</w:t>
      </w:r>
      <w:r w:rsidR="009E2CA6">
        <w:rPr>
          <w:sz w:val="24"/>
          <w:szCs w:val="24"/>
        </w:rPr>
        <w:t>,</w:t>
      </w:r>
      <w:r w:rsidRPr="000F70AE">
        <w:rPr>
          <w:sz w:val="24"/>
          <w:szCs w:val="24"/>
        </w:rPr>
        <w:t xml:space="preserve"> which is outside the PBS restriction.</w:t>
      </w:r>
      <w:r>
        <w:rPr>
          <w:sz w:val="24"/>
          <w:szCs w:val="24"/>
        </w:rPr>
        <w:t xml:space="preserve"> </w:t>
      </w:r>
      <w:r w:rsidR="00B12B2F">
        <w:rPr>
          <w:sz w:val="24"/>
          <w:szCs w:val="24"/>
        </w:rPr>
        <w:t>If immunotherapies become available for use subsequent to tyrosine kinase inhibitors this pattern of use may change.</w:t>
      </w:r>
    </w:p>
    <w:p w:rsidR="000F70AE" w:rsidRPr="000F70AE" w:rsidRDefault="000F70AE" w:rsidP="000F70AE">
      <w:pPr>
        <w:rPr>
          <w:sz w:val="24"/>
          <w:szCs w:val="24"/>
        </w:rPr>
      </w:pPr>
    </w:p>
    <w:p w:rsidR="000F70AE" w:rsidRDefault="000F70AE" w:rsidP="000F70AE">
      <w:pPr>
        <w:rPr>
          <w:sz w:val="24"/>
          <w:szCs w:val="24"/>
        </w:rPr>
      </w:pPr>
      <w:r w:rsidRPr="00F45B22">
        <w:rPr>
          <w:sz w:val="24"/>
          <w:szCs w:val="24"/>
        </w:rPr>
        <w:t>The DUSC requested that the report be provided to the PBAC.</w:t>
      </w:r>
    </w:p>
    <w:p w:rsidR="00EA1348" w:rsidRDefault="00EA1348" w:rsidP="008B6946">
      <w:pPr>
        <w:pStyle w:val="Heading2"/>
      </w:pPr>
    </w:p>
    <w:p w:rsidR="00813C07" w:rsidRPr="00584E81" w:rsidRDefault="00EC27B1" w:rsidP="008B6946">
      <w:pPr>
        <w:pStyle w:val="Heading2"/>
      </w:pPr>
      <w:r w:rsidRPr="00584E81">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Pr="00584E81" w:rsidRDefault="002B7EE2" w:rsidP="008B6946">
      <w:pPr>
        <w:rPr>
          <w:sz w:val="24"/>
          <w:szCs w:val="24"/>
        </w:rPr>
      </w:pPr>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 xml:space="preserve">and therapeutic areas have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8B6946">
      <w:pPr>
        <w:rPr>
          <w:sz w:val="24"/>
          <w:szCs w:val="24"/>
          <w:highlight w:val="yellow"/>
          <w:u w:val="single"/>
        </w:rPr>
      </w:pPr>
    </w:p>
    <w:p w:rsidR="007D29DA" w:rsidRPr="00235EF9" w:rsidRDefault="007D29DA" w:rsidP="008226BA">
      <w:pPr>
        <w:pStyle w:val="ListParagraph"/>
        <w:autoSpaceDE w:val="0"/>
        <w:autoSpaceDN w:val="0"/>
        <w:adjustRightInd w:val="0"/>
        <w:ind w:left="0"/>
        <w:contextualSpacing/>
        <w:rPr>
          <w:b/>
          <w:szCs w:val="24"/>
        </w:rPr>
      </w:pPr>
      <w:r w:rsidRPr="00235EF9">
        <w:rPr>
          <w:b/>
          <w:szCs w:val="24"/>
        </w:rPr>
        <w:t>Analysis of multiple medicines in a treatment area</w:t>
      </w:r>
    </w:p>
    <w:p w:rsidR="003C7822" w:rsidRPr="003C7822" w:rsidRDefault="00B41D14" w:rsidP="005B0558">
      <w:pPr>
        <w:pStyle w:val="ListParagraph"/>
        <w:numPr>
          <w:ilvl w:val="0"/>
          <w:numId w:val="39"/>
        </w:numPr>
        <w:autoSpaceDE w:val="0"/>
        <w:autoSpaceDN w:val="0"/>
        <w:adjustRightInd w:val="0"/>
        <w:contextualSpacing/>
        <w:rPr>
          <w:szCs w:val="24"/>
        </w:rPr>
      </w:pPr>
      <w:r>
        <w:t>M</w:t>
      </w:r>
      <w:r w:rsidR="005B0558">
        <w:t>edicines</w:t>
      </w:r>
      <w:r>
        <w:t xml:space="preserve"> </w:t>
      </w:r>
      <w:r w:rsidR="00EA1348">
        <w:t xml:space="preserve">for the treatment of Crohn disease. </w:t>
      </w:r>
    </w:p>
    <w:p w:rsidR="00CE2340" w:rsidRDefault="00CE2340" w:rsidP="008B6946">
      <w:pPr>
        <w:rPr>
          <w:sz w:val="24"/>
          <w:szCs w:val="24"/>
        </w:rPr>
      </w:pPr>
    </w:p>
    <w:p w:rsidR="00CE2340" w:rsidRDefault="00CE2340">
      <w:pPr>
        <w:rPr>
          <w:sz w:val="24"/>
          <w:szCs w:val="24"/>
        </w:rPr>
      </w:pPr>
      <w:r>
        <w:rPr>
          <w:sz w:val="24"/>
          <w:szCs w:val="24"/>
        </w:rPr>
        <w:br w:type="page"/>
      </w:r>
    </w:p>
    <w:p w:rsidR="00002AE8" w:rsidRDefault="008032DE" w:rsidP="008B6946">
      <w:pPr>
        <w:rPr>
          <w:sz w:val="24"/>
          <w:szCs w:val="24"/>
        </w:rPr>
      </w:pPr>
      <w:r>
        <w:rPr>
          <w:sz w:val="24"/>
          <w:szCs w:val="24"/>
        </w:rPr>
        <w:lastRenderedPageBreak/>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r w:rsidR="0052725D">
        <w:rPr>
          <w:sz w:val="24"/>
          <w:szCs w:val="24"/>
        </w:rPr>
        <w:t>DUSC@health.gov.au.</w:t>
      </w:r>
    </w:p>
    <w:p w:rsidR="00CD1FF1" w:rsidRDefault="00CD1FF1" w:rsidP="008B6946">
      <w:pPr>
        <w:rPr>
          <w:sz w:val="24"/>
          <w:szCs w:val="24"/>
        </w:rPr>
      </w:pPr>
    </w:p>
    <w:p w:rsidR="00002AE8" w:rsidRDefault="00002AE8" w:rsidP="008B6946">
      <w:pPr>
        <w:rPr>
          <w:sz w:val="24"/>
          <w:szCs w:val="24"/>
        </w:rPr>
      </w:pPr>
    </w:p>
    <w:p w:rsidR="002722F2" w:rsidRDefault="002722F2" w:rsidP="008B6946">
      <w:pPr>
        <w:rPr>
          <w:sz w:val="24"/>
          <w:szCs w:val="24"/>
        </w:rPr>
      </w:pPr>
    </w:p>
    <w:p w:rsidR="00543CD8" w:rsidRDefault="00543CD8" w:rsidP="008B6946">
      <w:pPr>
        <w:rPr>
          <w:sz w:val="24"/>
          <w:szCs w:val="24"/>
        </w:rPr>
      </w:pPr>
    </w:p>
    <w:p w:rsidR="00002AE8" w:rsidRDefault="00303E60" w:rsidP="008B6946">
      <w:pPr>
        <w:rPr>
          <w:sz w:val="24"/>
          <w:szCs w:val="24"/>
        </w:rPr>
      </w:pPr>
      <w:r>
        <w:rPr>
          <w:sz w:val="24"/>
          <w:szCs w:val="24"/>
        </w:rPr>
        <w:t>A/</w:t>
      </w:r>
      <w:r w:rsidR="00002AE8">
        <w:rPr>
          <w:sz w:val="24"/>
          <w:szCs w:val="24"/>
        </w:rPr>
        <w:t xml:space="preserve">Professor </w:t>
      </w:r>
      <w:r w:rsidR="009341E3">
        <w:rPr>
          <w:sz w:val="24"/>
          <w:szCs w:val="24"/>
        </w:rPr>
        <w:t>Chris</w:t>
      </w:r>
      <w:r>
        <w:rPr>
          <w:sz w:val="24"/>
          <w:szCs w:val="24"/>
        </w:rPr>
        <w:t>topher</w:t>
      </w:r>
      <w:r w:rsidR="009341E3">
        <w:rPr>
          <w:sz w:val="24"/>
          <w:szCs w:val="24"/>
        </w:rPr>
        <w:t xml:space="preserve"> Etherton-Beer</w:t>
      </w:r>
    </w:p>
    <w:p w:rsidR="00002AE8" w:rsidRDefault="00002AE8" w:rsidP="008B6946">
      <w:pPr>
        <w:rPr>
          <w:sz w:val="24"/>
          <w:szCs w:val="24"/>
        </w:rPr>
      </w:pPr>
      <w:r>
        <w:rPr>
          <w:sz w:val="24"/>
          <w:szCs w:val="24"/>
        </w:rPr>
        <w:t>Chair</w:t>
      </w:r>
    </w:p>
    <w:p w:rsidR="00002AE8" w:rsidRPr="003F06C8" w:rsidRDefault="00C9017B" w:rsidP="008B6946">
      <w:pPr>
        <w:rPr>
          <w:sz w:val="24"/>
          <w:szCs w:val="24"/>
        </w:rPr>
      </w:pPr>
      <w:r>
        <w:rPr>
          <w:sz w:val="24"/>
          <w:szCs w:val="24"/>
        </w:rPr>
        <w:t>Drug Utilisation Sub-Committee</w:t>
      </w:r>
    </w:p>
    <w:sectPr w:rsidR="00002AE8" w:rsidRPr="003F06C8" w:rsidSect="007166A9">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70" w:rsidRDefault="009F1A70">
      <w:r>
        <w:separator/>
      </w:r>
    </w:p>
  </w:endnote>
  <w:endnote w:type="continuationSeparator" w:id="0">
    <w:p w:rsidR="009F1A70" w:rsidRDefault="009F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571683">
      <w:rPr>
        <w:noProof/>
      </w:rPr>
      <w:t>4</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571683">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70" w:rsidRDefault="009F1A70">
      <w:r>
        <w:separator/>
      </w:r>
    </w:p>
  </w:footnote>
  <w:footnote w:type="continuationSeparator" w:id="0">
    <w:p w:rsidR="009F1A70" w:rsidRDefault="009F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14:anchorId="6A6CBA46" wp14:editId="6832F03C">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1F7E8B">
      <w:rPr>
        <w:rStyle w:val="Heading1Char"/>
        <w:b/>
      </w:rPr>
      <w:t>2 February 2017</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0A"/>
    <w:multiLevelType w:val="hybridMultilevel"/>
    <w:tmpl w:val="CE38B468"/>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011873"/>
    <w:multiLevelType w:val="hybridMultilevel"/>
    <w:tmpl w:val="7462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D345BC"/>
    <w:multiLevelType w:val="hybridMultilevel"/>
    <w:tmpl w:val="F93ADC52"/>
    <w:lvl w:ilvl="0" w:tplc="214497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E32CD1"/>
    <w:multiLevelType w:val="hybridMultilevel"/>
    <w:tmpl w:val="FE62BCA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EC5511"/>
    <w:multiLevelType w:val="hybridMultilevel"/>
    <w:tmpl w:val="84F8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F41B33"/>
    <w:multiLevelType w:val="hybridMultilevel"/>
    <w:tmpl w:val="4E3E290A"/>
    <w:lvl w:ilvl="0" w:tplc="BAE0985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C06A4A"/>
    <w:multiLevelType w:val="hybridMultilevel"/>
    <w:tmpl w:val="AB12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667341"/>
    <w:multiLevelType w:val="hybridMultilevel"/>
    <w:tmpl w:val="F354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23C6B72"/>
    <w:multiLevelType w:val="hybridMultilevel"/>
    <w:tmpl w:val="2318B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9">
    <w:nsid w:val="38FA0775"/>
    <w:multiLevelType w:val="hybridMultilevel"/>
    <w:tmpl w:val="887A558E"/>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C529AE"/>
    <w:multiLevelType w:val="hybridMultilevel"/>
    <w:tmpl w:val="04BAAB9A"/>
    <w:lvl w:ilvl="0" w:tplc="3928008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4">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9B4471F"/>
    <w:multiLevelType w:val="hybridMultilevel"/>
    <w:tmpl w:val="EDC2D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B529D9"/>
    <w:multiLevelType w:val="hybridMultilevel"/>
    <w:tmpl w:val="5F64E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B882A64"/>
    <w:multiLevelType w:val="hybridMultilevel"/>
    <w:tmpl w:val="D6B0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EE94BC8"/>
    <w:multiLevelType w:val="hybridMultilevel"/>
    <w:tmpl w:val="D5DA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1">
    <w:nsid w:val="6F5E427B"/>
    <w:multiLevelType w:val="hybridMultilevel"/>
    <w:tmpl w:val="6BFAAF0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4">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7763F80"/>
    <w:multiLevelType w:val="hybridMultilevel"/>
    <w:tmpl w:val="962E014E"/>
    <w:lvl w:ilvl="0" w:tplc="02AA90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26"/>
  </w:num>
  <w:num w:numId="4">
    <w:abstractNumId w:val="46"/>
  </w:num>
  <w:num w:numId="5">
    <w:abstractNumId w:val="33"/>
  </w:num>
  <w:num w:numId="6">
    <w:abstractNumId w:val="36"/>
  </w:num>
  <w:num w:numId="7">
    <w:abstractNumId w:val="42"/>
  </w:num>
  <w:num w:numId="8">
    <w:abstractNumId w:val="30"/>
  </w:num>
  <w:num w:numId="9">
    <w:abstractNumId w:val="27"/>
  </w:num>
  <w:num w:numId="10">
    <w:abstractNumId w:val="37"/>
  </w:num>
  <w:num w:numId="11">
    <w:abstractNumId w:val="25"/>
  </w:num>
  <w:num w:numId="12">
    <w:abstractNumId w:val="11"/>
  </w:num>
  <w:num w:numId="13">
    <w:abstractNumId w:val="43"/>
  </w:num>
  <w:num w:numId="14">
    <w:abstractNumId w:val="23"/>
  </w:num>
  <w:num w:numId="15">
    <w:abstractNumId w:val="47"/>
  </w:num>
  <w:num w:numId="16">
    <w:abstractNumId w:val="2"/>
  </w:num>
  <w:num w:numId="17">
    <w:abstractNumId w:val="18"/>
  </w:num>
  <w:num w:numId="18">
    <w:abstractNumId w:val="34"/>
  </w:num>
  <w:num w:numId="19">
    <w:abstractNumId w:val="40"/>
  </w:num>
  <w:num w:numId="20">
    <w:abstractNumId w:val="8"/>
  </w:num>
  <w:num w:numId="21">
    <w:abstractNumId w:val="21"/>
  </w:num>
  <w:num w:numId="22">
    <w:abstractNumId w:val="15"/>
  </w:num>
  <w:num w:numId="23">
    <w:abstractNumId w:val="38"/>
  </w:num>
  <w:num w:numId="24">
    <w:abstractNumId w:val="39"/>
  </w:num>
  <w:num w:numId="25">
    <w:abstractNumId w:val="20"/>
  </w:num>
  <w:num w:numId="26">
    <w:abstractNumId w:val="28"/>
  </w:num>
  <w:num w:numId="27">
    <w:abstractNumId w:val="13"/>
  </w:num>
  <w:num w:numId="28">
    <w:abstractNumId w:val="1"/>
  </w:num>
  <w:num w:numId="29">
    <w:abstractNumId w:val="10"/>
  </w:num>
  <w:num w:numId="30">
    <w:abstractNumId w:val="6"/>
  </w:num>
  <w:num w:numId="31">
    <w:abstractNumId w:val="41"/>
  </w:num>
  <w:num w:numId="32">
    <w:abstractNumId w:val="35"/>
  </w:num>
  <w:num w:numId="33">
    <w:abstractNumId w:val="17"/>
  </w:num>
  <w:num w:numId="34">
    <w:abstractNumId w:val="19"/>
  </w:num>
  <w:num w:numId="35">
    <w:abstractNumId w:val="0"/>
  </w:num>
  <w:num w:numId="36">
    <w:abstractNumId w:val="29"/>
  </w:num>
  <w:num w:numId="37">
    <w:abstractNumId w:val="45"/>
  </w:num>
  <w:num w:numId="38">
    <w:abstractNumId w:val="44"/>
  </w:num>
  <w:num w:numId="39">
    <w:abstractNumId w:val="24"/>
  </w:num>
  <w:num w:numId="40">
    <w:abstractNumId w:val="7"/>
  </w:num>
  <w:num w:numId="41">
    <w:abstractNumId w:val="22"/>
  </w:num>
  <w:num w:numId="42">
    <w:abstractNumId w:val="16"/>
  </w:num>
  <w:num w:numId="43">
    <w:abstractNumId w:val="5"/>
  </w:num>
  <w:num w:numId="44">
    <w:abstractNumId w:val="9"/>
  </w:num>
  <w:num w:numId="45">
    <w:abstractNumId w:val="32"/>
  </w:num>
  <w:num w:numId="46">
    <w:abstractNumId w:val="3"/>
  </w:num>
  <w:num w:numId="47">
    <w:abstractNumId w:val="3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1AF3"/>
    <w:rsid w:val="000253E4"/>
    <w:rsid w:val="0002613B"/>
    <w:rsid w:val="00026898"/>
    <w:rsid w:val="000304CA"/>
    <w:rsid w:val="000308AD"/>
    <w:rsid w:val="00032252"/>
    <w:rsid w:val="0003541E"/>
    <w:rsid w:val="00047105"/>
    <w:rsid w:val="00054C1A"/>
    <w:rsid w:val="00055BF6"/>
    <w:rsid w:val="00061505"/>
    <w:rsid w:val="00061BD3"/>
    <w:rsid w:val="000701B8"/>
    <w:rsid w:val="00071505"/>
    <w:rsid w:val="0007482C"/>
    <w:rsid w:val="00076E4C"/>
    <w:rsid w:val="00080B21"/>
    <w:rsid w:val="00080FDB"/>
    <w:rsid w:val="0009006A"/>
    <w:rsid w:val="00090474"/>
    <w:rsid w:val="00094597"/>
    <w:rsid w:val="00096B9B"/>
    <w:rsid w:val="0009747E"/>
    <w:rsid w:val="000A02F8"/>
    <w:rsid w:val="000A0713"/>
    <w:rsid w:val="000A13FE"/>
    <w:rsid w:val="000A31AD"/>
    <w:rsid w:val="000A53A6"/>
    <w:rsid w:val="000B14A0"/>
    <w:rsid w:val="000B5448"/>
    <w:rsid w:val="000C1D0B"/>
    <w:rsid w:val="000C58C8"/>
    <w:rsid w:val="000D6712"/>
    <w:rsid w:val="000E18F9"/>
    <w:rsid w:val="000F3387"/>
    <w:rsid w:val="000F5C42"/>
    <w:rsid w:val="000F70AE"/>
    <w:rsid w:val="000F7CE1"/>
    <w:rsid w:val="00101877"/>
    <w:rsid w:val="00102579"/>
    <w:rsid w:val="001062BB"/>
    <w:rsid w:val="00106A1B"/>
    <w:rsid w:val="001071DA"/>
    <w:rsid w:val="001215D4"/>
    <w:rsid w:val="00121F43"/>
    <w:rsid w:val="001223D1"/>
    <w:rsid w:val="00123237"/>
    <w:rsid w:val="00137CE5"/>
    <w:rsid w:val="00141172"/>
    <w:rsid w:val="00142512"/>
    <w:rsid w:val="00151940"/>
    <w:rsid w:val="00152272"/>
    <w:rsid w:val="001528A6"/>
    <w:rsid w:val="00153667"/>
    <w:rsid w:val="00154D0A"/>
    <w:rsid w:val="00160EF6"/>
    <w:rsid w:val="00166CEB"/>
    <w:rsid w:val="00170E5B"/>
    <w:rsid w:val="00186DD1"/>
    <w:rsid w:val="0018700E"/>
    <w:rsid w:val="001902AC"/>
    <w:rsid w:val="001933E2"/>
    <w:rsid w:val="0019724B"/>
    <w:rsid w:val="001A10FD"/>
    <w:rsid w:val="001A3F70"/>
    <w:rsid w:val="001A449F"/>
    <w:rsid w:val="001A7B67"/>
    <w:rsid w:val="001B1949"/>
    <w:rsid w:val="001B19E3"/>
    <w:rsid w:val="001B2A10"/>
    <w:rsid w:val="001C0316"/>
    <w:rsid w:val="001C5A7B"/>
    <w:rsid w:val="001C61FD"/>
    <w:rsid w:val="001F33DA"/>
    <w:rsid w:val="001F4200"/>
    <w:rsid w:val="001F6850"/>
    <w:rsid w:val="001F7E8B"/>
    <w:rsid w:val="001F7F87"/>
    <w:rsid w:val="00200BA3"/>
    <w:rsid w:val="00203342"/>
    <w:rsid w:val="00203986"/>
    <w:rsid w:val="00211F6D"/>
    <w:rsid w:val="00213EAC"/>
    <w:rsid w:val="002168C1"/>
    <w:rsid w:val="00216CE7"/>
    <w:rsid w:val="00224079"/>
    <w:rsid w:val="00224DF5"/>
    <w:rsid w:val="00230732"/>
    <w:rsid w:val="00235EF9"/>
    <w:rsid w:val="00237631"/>
    <w:rsid w:val="002421EE"/>
    <w:rsid w:val="00242420"/>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91D51"/>
    <w:rsid w:val="00292E10"/>
    <w:rsid w:val="00294F3F"/>
    <w:rsid w:val="0029548B"/>
    <w:rsid w:val="002A2FEF"/>
    <w:rsid w:val="002A48D7"/>
    <w:rsid w:val="002A6291"/>
    <w:rsid w:val="002A6A51"/>
    <w:rsid w:val="002B0FD1"/>
    <w:rsid w:val="002B519D"/>
    <w:rsid w:val="002B7EE2"/>
    <w:rsid w:val="002C1B64"/>
    <w:rsid w:val="002D3C76"/>
    <w:rsid w:val="002D3FC7"/>
    <w:rsid w:val="002D516C"/>
    <w:rsid w:val="002D734E"/>
    <w:rsid w:val="002E6F6A"/>
    <w:rsid w:val="002E7CA2"/>
    <w:rsid w:val="002F131D"/>
    <w:rsid w:val="002F281B"/>
    <w:rsid w:val="002F6C13"/>
    <w:rsid w:val="002F7138"/>
    <w:rsid w:val="003026E0"/>
    <w:rsid w:val="00303E60"/>
    <w:rsid w:val="00307F20"/>
    <w:rsid w:val="00312E8E"/>
    <w:rsid w:val="00313FED"/>
    <w:rsid w:val="00325C25"/>
    <w:rsid w:val="0032620A"/>
    <w:rsid w:val="0033439A"/>
    <w:rsid w:val="00335BE5"/>
    <w:rsid w:val="003361C9"/>
    <w:rsid w:val="00336E3A"/>
    <w:rsid w:val="00337241"/>
    <w:rsid w:val="003409D6"/>
    <w:rsid w:val="003468B6"/>
    <w:rsid w:val="003512F6"/>
    <w:rsid w:val="0035266E"/>
    <w:rsid w:val="00352D12"/>
    <w:rsid w:val="003555E8"/>
    <w:rsid w:val="00357332"/>
    <w:rsid w:val="0035787B"/>
    <w:rsid w:val="00362581"/>
    <w:rsid w:val="00371376"/>
    <w:rsid w:val="0037338E"/>
    <w:rsid w:val="0037748E"/>
    <w:rsid w:val="00377CBD"/>
    <w:rsid w:val="003833F2"/>
    <w:rsid w:val="00385962"/>
    <w:rsid w:val="003860EB"/>
    <w:rsid w:val="003917EE"/>
    <w:rsid w:val="00395B29"/>
    <w:rsid w:val="003A4887"/>
    <w:rsid w:val="003A6327"/>
    <w:rsid w:val="003B1842"/>
    <w:rsid w:val="003B30B8"/>
    <w:rsid w:val="003B644D"/>
    <w:rsid w:val="003B7122"/>
    <w:rsid w:val="003C0453"/>
    <w:rsid w:val="003C3E03"/>
    <w:rsid w:val="003C5342"/>
    <w:rsid w:val="003C7822"/>
    <w:rsid w:val="003D0574"/>
    <w:rsid w:val="003D62AA"/>
    <w:rsid w:val="003D6C07"/>
    <w:rsid w:val="003E1ED8"/>
    <w:rsid w:val="003E601F"/>
    <w:rsid w:val="003F06C8"/>
    <w:rsid w:val="003F1DCA"/>
    <w:rsid w:val="00405743"/>
    <w:rsid w:val="00406FC4"/>
    <w:rsid w:val="00415BE7"/>
    <w:rsid w:val="0042032E"/>
    <w:rsid w:val="0042129E"/>
    <w:rsid w:val="00421874"/>
    <w:rsid w:val="00423C42"/>
    <w:rsid w:val="004374C3"/>
    <w:rsid w:val="0044076B"/>
    <w:rsid w:val="00445679"/>
    <w:rsid w:val="00451ABF"/>
    <w:rsid w:val="004521E9"/>
    <w:rsid w:val="004566A9"/>
    <w:rsid w:val="00461EAF"/>
    <w:rsid w:val="00463497"/>
    <w:rsid w:val="00463B7E"/>
    <w:rsid w:val="00465EED"/>
    <w:rsid w:val="00466242"/>
    <w:rsid w:val="00471240"/>
    <w:rsid w:val="00473DA7"/>
    <w:rsid w:val="0047415B"/>
    <w:rsid w:val="00477B65"/>
    <w:rsid w:val="004839FE"/>
    <w:rsid w:val="00487B49"/>
    <w:rsid w:val="0049330F"/>
    <w:rsid w:val="0049403E"/>
    <w:rsid w:val="00496AC8"/>
    <w:rsid w:val="004A055D"/>
    <w:rsid w:val="004B07E1"/>
    <w:rsid w:val="004B37DD"/>
    <w:rsid w:val="004B41AC"/>
    <w:rsid w:val="004B4E02"/>
    <w:rsid w:val="004C01CD"/>
    <w:rsid w:val="004C3CFD"/>
    <w:rsid w:val="004C7FA9"/>
    <w:rsid w:val="004D0311"/>
    <w:rsid w:val="004D75BE"/>
    <w:rsid w:val="004F083B"/>
    <w:rsid w:val="004F17CC"/>
    <w:rsid w:val="004F201C"/>
    <w:rsid w:val="004F60E0"/>
    <w:rsid w:val="004F6113"/>
    <w:rsid w:val="004F6927"/>
    <w:rsid w:val="005105BE"/>
    <w:rsid w:val="00512CE1"/>
    <w:rsid w:val="0051701B"/>
    <w:rsid w:val="00525347"/>
    <w:rsid w:val="0052725D"/>
    <w:rsid w:val="005317C8"/>
    <w:rsid w:val="00536FAF"/>
    <w:rsid w:val="00540349"/>
    <w:rsid w:val="005414F3"/>
    <w:rsid w:val="00543CD8"/>
    <w:rsid w:val="00546A61"/>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C053B"/>
    <w:rsid w:val="005C148E"/>
    <w:rsid w:val="005D1BB0"/>
    <w:rsid w:val="005D4EB2"/>
    <w:rsid w:val="005D696D"/>
    <w:rsid w:val="005E116A"/>
    <w:rsid w:val="005E1E28"/>
    <w:rsid w:val="005E4D8D"/>
    <w:rsid w:val="005E71D4"/>
    <w:rsid w:val="005E77F8"/>
    <w:rsid w:val="005E7DF8"/>
    <w:rsid w:val="005F20C5"/>
    <w:rsid w:val="005F20FE"/>
    <w:rsid w:val="005F3EF0"/>
    <w:rsid w:val="0060015D"/>
    <w:rsid w:val="00602B28"/>
    <w:rsid w:val="00602DC3"/>
    <w:rsid w:val="00603A1E"/>
    <w:rsid w:val="00605905"/>
    <w:rsid w:val="00605D9C"/>
    <w:rsid w:val="006118CB"/>
    <w:rsid w:val="006146D0"/>
    <w:rsid w:val="00622522"/>
    <w:rsid w:val="006231FB"/>
    <w:rsid w:val="0062459E"/>
    <w:rsid w:val="00635EA5"/>
    <w:rsid w:val="006431B8"/>
    <w:rsid w:val="00645035"/>
    <w:rsid w:val="00647F2B"/>
    <w:rsid w:val="00651A8E"/>
    <w:rsid w:val="00667381"/>
    <w:rsid w:val="00670BD6"/>
    <w:rsid w:val="006723D5"/>
    <w:rsid w:val="00676304"/>
    <w:rsid w:val="00677B98"/>
    <w:rsid w:val="006826C3"/>
    <w:rsid w:val="006878A3"/>
    <w:rsid w:val="00692B74"/>
    <w:rsid w:val="006946E1"/>
    <w:rsid w:val="00695073"/>
    <w:rsid w:val="00695BF3"/>
    <w:rsid w:val="006969FE"/>
    <w:rsid w:val="006A71A2"/>
    <w:rsid w:val="006B1CD8"/>
    <w:rsid w:val="006B33A6"/>
    <w:rsid w:val="006B3D40"/>
    <w:rsid w:val="006B5BFA"/>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E7FA3"/>
    <w:rsid w:val="006F09EF"/>
    <w:rsid w:val="006F60A7"/>
    <w:rsid w:val="006F7103"/>
    <w:rsid w:val="006F7466"/>
    <w:rsid w:val="00702F49"/>
    <w:rsid w:val="00703C4C"/>
    <w:rsid w:val="007048E7"/>
    <w:rsid w:val="00704FED"/>
    <w:rsid w:val="00706AF7"/>
    <w:rsid w:val="0071514B"/>
    <w:rsid w:val="0071558A"/>
    <w:rsid w:val="00715E10"/>
    <w:rsid w:val="007166A9"/>
    <w:rsid w:val="00722564"/>
    <w:rsid w:val="0072634E"/>
    <w:rsid w:val="00735BBE"/>
    <w:rsid w:val="0073626D"/>
    <w:rsid w:val="0074244E"/>
    <w:rsid w:val="00747495"/>
    <w:rsid w:val="00753580"/>
    <w:rsid w:val="00753AE8"/>
    <w:rsid w:val="00753D42"/>
    <w:rsid w:val="00755BF3"/>
    <w:rsid w:val="00761116"/>
    <w:rsid w:val="00766D92"/>
    <w:rsid w:val="0079098A"/>
    <w:rsid w:val="00792D24"/>
    <w:rsid w:val="007A025D"/>
    <w:rsid w:val="007A1C91"/>
    <w:rsid w:val="007A5016"/>
    <w:rsid w:val="007B0C39"/>
    <w:rsid w:val="007B10CC"/>
    <w:rsid w:val="007B264F"/>
    <w:rsid w:val="007B45CE"/>
    <w:rsid w:val="007C0BB4"/>
    <w:rsid w:val="007C4B1F"/>
    <w:rsid w:val="007D29DA"/>
    <w:rsid w:val="007D3A05"/>
    <w:rsid w:val="007D4108"/>
    <w:rsid w:val="007D53F5"/>
    <w:rsid w:val="007E0FFA"/>
    <w:rsid w:val="007E45EB"/>
    <w:rsid w:val="007F03B3"/>
    <w:rsid w:val="007F224E"/>
    <w:rsid w:val="008032CF"/>
    <w:rsid w:val="008032DE"/>
    <w:rsid w:val="00806FF3"/>
    <w:rsid w:val="00812097"/>
    <w:rsid w:val="00812A58"/>
    <w:rsid w:val="00812E43"/>
    <w:rsid w:val="00813C07"/>
    <w:rsid w:val="008226BA"/>
    <w:rsid w:val="008232E9"/>
    <w:rsid w:val="00824D2F"/>
    <w:rsid w:val="00825E26"/>
    <w:rsid w:val="00834AC0"/>
    <w:rsid w:val="0084274F"/>
    <w:rsid w:val="00844137"/>
    <w:rsid w:val="008443DF"/>
    <w:rsid w:val="00851077"/>
    <w:rsid w:val="00855B59"/>
    <w:rsid w:val="00861B30"/>
    <w:rsid w:val="008730E5"/>
    <w:rsid w:val="00885679"/>
    <w:rsid w:val="00886FF7"/>
    <w:rsid w:val="00887242"/>
    <w:rsid w:val="008909B5"/>
    <w:rsid w:val="008933AA"/>
    <w:rsid w:val="00893956"/>
    <w:rsid w:val="008952FA"/>
    <w:rsid w:val="008A17E6"/>
    <w:rsid w:val="008A271D"/>
    <w:rsid w:val="008A27C1"/>
    <w:rsid w:val="008A5C6B"/>
    <w:rsid w:val="008B25F5"/>
    <w:rsid w:val="008B44FC"/>
    <w:rsid w:val="008B6054"/>
    <w:rsid w:val="008B6946"/>
    <w:rsid w:val="008B6E94"/>
    <w:rsid w:val="008C1C17"/>
    <w:rsid w:val="008C2829"/>
    <w:rsid w:val="008C28B4"/>
    <w:rsid w:val="008E66D2"/>
    <w:rsid w:val="008E7888"/>
    <w:rsid w:val="008E7C67"/>
    <w:rsid w:val="008F1340"/>
    <w:rsid w:val="008F4AB2"/>
    <w:rsid w:val="008F7F63"/>
    <w:rsid w:val="00910BE5"/>
    <w:rsid w:val="009112F4"/>
    <w:rsid w:val="00911959"/>
    <w:rsid w:val="009132FD"/>
    <w:rsid w:val="00913F15"/>
    <w:rsid w:val="00915D6E"/>
    <w:rsid w:val="009168AA"/>
    <w:rsid w:val="009230A9"/>
    <w:rsid w:val="009237FF"/>
    <w:rsid w:val="00923CBA"/>
    <w:rsid w:val="009245B3"/>
    <w:rsid w:val="00926116"/>
    <w:rsid w:val="009307DE"/>
    <w:rsid w:val="00933D66"/>
    <w:rsid w:val="009341E3"/>
    <w:rsid w:val="00940287"/>
    <w:rsid w:val="009427BA"/>
    <w:rsid w:val="0094562D"/>
    <w:rsid w:val="00965552"/>
    <w:rsid w:val="0096600D"/>
    <w:rsid w:val="0096605A"/>
    <w:rsid w:val="00982C4C"/>
    <w:rsid w:val="00990492"/>
    <w:rsid w:val="009950E1"/>
    <w:rsid w:val="00997DB5"/>
    <w:rsid w:val="009A22C0"/>
    <w:rsid w:val="009C32BA"/>
    <w:rsid w:val="009C4D57"/>
    <w:rsid w:val="009C5FCE"/>
    <w:rsid w:val="009C6EB1"/>
    <w:rsid w:val="009D1661"/>
    <w:rsid w:val="009D1C4B"/>
    <w:rsid w:val="009D3B7F"/>
    <w:rsid w:val="009D71B6"/>
    <w:rsid w:val="009E130A"/>
    <w:rsid w:val="009E13E7"/>
    <w:rsid w:val="009E18B1"/>
    <w:rsid w:val="009E23F2"/>
    <w:rsid w:val="009E2CA6"/>
    <w:rsid w:val="009E5D90"/>
    <w:rsid w:val="009F1A70"/>
    <w:rsid w:val="009F37E6"/>
    <w:rsid w:val="009F5D71"/>
    <w:rsid w:val="00A02C13"/>
    <w:rsid w:val="00A06FDB"/>
    <w:rsid w:val="00A1378E"/>
    <w:rsid w:val="00A140B4"/>
    <w:rsid w:val="00A20CBD"/>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75CE9"/>
    <w:rsid w:val="00A8138B"/>
    <w:rsid w:val="00A85479"/>
    <w:rsid w:val="00A96763"/>
    <w:rsid w:val="00AB2981"/>
    <w:rsid w:val="00AB4A37"/>
    <w:rsid w:val="00AC6543"/>
    <w:rsid w:val="00AD405E"/>
    <w:rsid w:val="00AD61AC"/>
    <w:rsid w:val="00AE0098"/>
    <w:rsid w:val="00AE2C4F"/>
    <w:rsid w:val="00AE46E7"/>
    <w:rsid w:val="00AE5D15"/>
    <w:rsid w:val="00AE7D19"/>
    <w:rsid w:val="00AF1FCD"/>
    <w:rsid w:val="00AF54A2"/>
    <w:rsid w:val="00AF646A"/>
    <w:rsid w:val="00B0144A"/>
    <w:rsid w:val="00B12B2F"/>
    <w:rsid w:val="00B171C5"/>
    <w:rsid w:val="00B17B4F"/>
    <w:rsid w:val="00B20269"/>
    <w:rsid w:val="00B25209"/>
    <w:rsid w:val="00B2765B"/>
    <w:rsid w:val="00B41D14"/>
    <w:rsid w:val="00B434A2"/>
    <w:rsid w:val="00B471D0"/>
    <w:rsid w:val="00B47E46"/>
    <w:rsid w:val="00B51A8A"/>
    <w:rsid w:val="00B529E3"/>
    <w:rsid w:val="00B54AC5"/>
    <w:rsid w:val="00B54D25"/>
    <w:rsid w:val="00B73EC0"/>
    <w:rsid w:val="00B748A3"/>
    <w:rsid w:val="00B83E80"/>
    <w:rsid w:val="00B8425D"/>
    <w:rsid w:val="00B94D51"/>
    <w:rsid w:val="00B94E75"/>
    <w:rsid w:val="00BA0109"/>
    <w:rsid w:val="00BA1DAB"/>
    <w:rsid w:val="00BA3D51"/>
    <w:rsid w:val="00BB08CB"/>
    <w:rsid w:val="00BB0CB8"/>
    <w:rsid w:val="00BB2314"/>
    <w:rsid w:val="00BC71C3"/>
    <w:rsid w:val="00BD43B4"/>
    <w:rsid w:val="00BD606B"/>
    <w:rsid w:val="00BE14B6"/>
    <w:rsid w:val="00BE7AE1"/>
    <w:rsid w:val="00BF1645"/>
    <w:rsid w:val="00BF1F11"/>
    <w:rsid w:val="00BF5017"/>
    <w:rsid w:val="00BF5B1D"/>
    <w:rsid w:val="00BF7B3F"/>
    <w:rsid w:val="00BF7E3D"/>
    <w:rsid w:val="00C04EF5"/>
    <w:rsid w:val="00C05DF1"/>
    <w:rsid w:val="00C071EA"/>
    <w:rsid w:val="00C10F2E"/>
    <w:rsid w:val="00C116AA"/>
    <w:rsid w:val="00C1278B"/>
    <w:rsid w:val="00C14149"/>
    <w:rsid w:val="00C17CD9"/>
    <w:rsid w:val="00C201AF"/>
    <w:rsid w:val="00C20C99"/>
    <w:rsid w:val="00C34468"/>
    <w:rsid w:val="00C372F8"/>
    <w:rsid w:val="00C37A17"/>
    <w:rsid w:val="00C43937"/>
    <w:rsid w:val="00C4627A"/>
    <w:rsid w:val="00C5080C"/>
    <w:rsid w:val="00C517B0"/>
    <w:rsid w:val="00C53506"/>
    <w:rsid w:val="00C5386C"/>
    <w:rsid w:val="00C606AF"/>
    <w:rsid w:val="00C6282E"/>
    <w:rsid w:val="00C65ECB"/>
    <w:rsid w:val="00C70D16"/>
    <w:rsid w:val="00C720BE"/>
    <w:rsid w:val="00C72A99"/>
    <w:rsid w:val="00C750B3"/>
    <w:rsid w:val="00C77308"/>
    <w:rsid w:val="00C814DC"/>
    <w:rsid w:val="00C83918"/>
    <w:rsid w:val="00C844E5"/>
    <w:rsid w:val="00C9017B"/>
    <w:rsid w:val="00C96777"/>
    <w:rsid w:val="00CA1100"/>
    <w:rsid w:val="00CA1A98"/>
    <w:rsid w:val="00CA1AA9"/>
    <w:rsid w:val="00CA347D"/>
    <w:rsid w:val="00CA6D48"/>
    <w:rsid w:val="00CA78D9"/>
    <w:rsid w:val="00CB1889"/>
    <w:rsid w:val="00CC4F1F"/>
    <w:rsid w:val="00CD1FF1"/>
    <w:rsid w:val="00CD3D32"/>
    <w:rsid w:val="00CD4F83"/>
    <w:rsid w:val="00CD748A"/>
    <w:rsid w:val="00CE106A"/>
    <w:rsid w:val="00CE2340"/>
    <w:rsid w:val="00CE2E5D"/>
    <w:rsid w:val="00CE3022"/>
    <w:rsid w:val="00CE505F"/>
    <w:rsid w:val="00CF2E8F"/>
    <w:rsid w:val="00CF773D"/>
    <w:rsid w:val="00D03704"/>
    <w:rsid w:val="00D06634"/>
    <w:rsid w:val="00D06EDB"/>
    <w:rsid w:val="00D14024"/>
    <w:rsid w:val="00D144A5"/>
    <w:rsid w:val="00D16502"/>
    <w:rsid w:val="00D23DEB"/>
    <w:rsid w:val="00D26F01"/>
    <w:rsid w:val="00D36D8C"/>
    <w:rsid w:val="00D37EA6"/>
    <w:rsid w:val="00D412C9"/>
    <w:rsid w:val="00D51FE0"/>
    <w:rsid w:val="00D55ED4"/>
    <w:rsid w:val="00D562AF"/>
    <w:rsid w:val="00D5726A"/>
    <w:rsid w:val="00D573C4"/>
    <w:rsid w:val="00D61A07"/>
    <w:rsid w:val="00D67AB7"/>
    <w:rsid w:val="00D716A5"/>
    <w:rsid w:val="00D71C86"/>
    <w:rsid w:val="00D75023"/>
    <w:rsid w:val="00D75B8D"/>
    <w:rsid w:val="00D776E5"/>
    <w:rsid w:val="00D801D7"/>
    <w:rsid w:val="00D92B61"/>
    <w:rsid w:val="00D960D9"/>
    <w:rsid w:val="00D97B8F"/>
    <w:rsid w:val="00DA019E"/>
    <w:rsid w:val="00DA0C9B"/>
    <w:rsid w:val="00DA3B72"/>
    <w:rsid w:val="00DA5030"/>
    <w:rsid w:val="00DA52B0"/>
    <w:rsid w:val="00DA5928"/>
    <w:rsid w:val="00DA7DAC"/>
    <w:rsid w:val="00DB34F7"/>
    <w:rsid w:val="00DB40BE"/>
    <w:rsid w:val="00DB4645"/>
    <w:rsid w:val="00DB4B02"/>
    <w:rsid w:val="00DB5E1F"/>
    <w:rsid w:val="00DB7938"/>
    <w:rsid w:val="00DC35B0"/>
    <w:rsid w:val="00DC5383"/>
    <w:rsid w:val="00DC669D"/>
    <w:rsid w:val="00DC76E4"/>
    <w:rsid w:val="00DD3F56"/>
    <w:rsid w:val="00DD472F"/>
    <w:rsid w:val="00DD6C98"/>
    <w:rsid w:val="00DE2F42"/>
    <w:rsid w:val="00DE3430"/>
    <w:rsid w:val="00DE3FA2"/>
    <w:rsid w:val="00DE465A"/>
    <w:rsid w:val="00DE49A5"/>
    <w:rsid w:val="00DE6DED"/>
    <w:rsid w:val="00DF6D10"/>
    <w:rsid w:val="00E013AC"/>
    <w:rsid w:val="00E02342"/>
    <w:rsid w:val="00E05CA9"/>
    <w:rsid w:val="00E069B9"/>
    <w:rsid w:val="00E06E1E"/>
    <w:rsid w:val="00E1073E"/>
    <w:rsid w:val="00E13E1F"/>
    <w:rsid w:val="00E15343"/>
    <w:rsid w:val="00E15D96"/>
    <w:rsid w:val="00E202D8"/>
    <w:rsid w:val="00E21AB6"/>
    <w:rsid w:val="00E25B12"/>
    <w:rsid w:val="00E358B8"/>
    <w:rsid w:val="00E35E50"/>
    <w:rsid w:val="00E42DD2"/>
    <w:rsid w:val="00E440D2"/>
    <w:rsid w:val="00E44900"/>
    <w:rsid w:val="00E46594"/>
    <w:rsid w:val="00E47551"/>
    <w:rsid w:val="00E51946"/>
    <w:rsid w:val="00E5392E"/>
    <w:rsid w:val="00E57443"/>
    <w:rsid w:val="00E60246"/>
    <w:rsid w:val="00E606DC"/>
    <w:rsid w:val="00E63B16"/>
    <w:rsid w:val="00E63C49"/>
    <w:rsid w:val="00E63C9A"/>
    <w:rsid w:val="00E855DB"/>
    <w:rsid w:val="00E929BF"/>
    <w:rsid w:val="00E9717F"/>
    <w:rsid w:val="00EA1348"/>
    <w:rsid w:val="00EA266C"/>
    <w:rsid w:val="00EA4A72"/>
    <w:rsid w:val="00EA4C8E"/>
    <w:rsid w:val="00EA6068"/>
    <w:rsid w:val="00EA6638"/>
    <w:rsid w:val="00EB0314"/>
    <w:rsid w:val="00EB6D4F"/>
    <w:rsid w:val="00EC188E"/>
    <w:rsid w:val="00EC27B1"/>
    <w:rsid w:val="00EC4D9B"/>
    <w:rsid w:val="00EC7AD6"/>
    <w:rsid w:val="00ED1541"/>
    <w:rsid w:val="00ED262E"/>
    <w:rsid w:val="00ED4688"/>
    <w:rsid w:val="00ED55CD"/>
    <w:rsid w:val="00EF17AE"/>
    <w:rsid w:val="00EF2F88"/>
    <w:rsid w:val="00EF43E9"/>
    <w:rsid w:val="00EF6034"/>
    <w:rsid w:val="00F00711"/>
    <w:rsid w:val="00F00BA6"/>
    <w:rsid w:val="00F0120B"/>
    <w:rsid w:val="00F02D45"/>
    <w:rsid w:val="00F05674"/>
    <w:rsid w:val="00F07DC7"/>
    <w:rsid w:val="00F11D52"/>
    <w:rsid w:val="00F1203C"/>
    <w:rsid w:val="00F22B3B"/>
    <w:rsid w:val="00F24AD2"/>
    <w:rsid w:val="00F254F2"/>
    <w:rsid w:val="00F256FA"/>
    <w:rsid w:val="00F31CBF"/>
    <w:rsid w:val="00F328A6"/>
    <w:rsid w:val="00F33165"/>
    <w:rsid w:val="00F36509"/>
    <w:rsid w:val="00F429AA"/>
    <w:rsid w:val="00F45B22"/>
    <w:rsid w:val="00F50775"/>
    <w:rsid w:val="00F52BA8"/>
    <w:rsid w:val="00F5721A"/>
    <w:rsid w:val="00F57CF8"/>
    <w:rsid w:val="00F64BDE"/>
    <w:rsid w:val="00F66C36"/>
    <w:rsid w:val="00F70D3F"/>
    <w:rsid w:val="00F7236A"/>
    <w:rsid w:val="00F747BC"/>
    <w:rsid w:val="00F7563D"/>
    <w:rsid w:val="00F776DD"/>
    <w:rsid w:val="00F77C55"/>
    <w:rsid w:val="00F8217A"/>
    <w:rsid w:val="00F85AC0"/>
    <w:rsid w:val="00F85C3D"/>
    <w:rsid w:val="00F97C51"/>
    <w:rsid w:val="00FA1200"/>
    <w:rsid w:val="00FA149F"/>
    <w:rsid w:val="00FA2C8E"/>
    <w:rsid w:val="00FA5657"/>
    <w:rsid w:val="00FB02FC"/>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participants/public-release-docs/analysis-drugs-type-2-diabetes-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BAC_online_submission_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bs.gov.au/info/industry/listing/elements/pbac-meetings/agenda/march-2017-pbac-meeting-agenda" TargetMode="External"/><Relationship Id="rId4" Type="http://schemas.microsoft.com/office/2007/relationships/stylesWithEffects" Target="stylesWithEffects.xml"/><Relationship Id="rId9" Type="http://schemas.openxmlformats.org/officeDocument/2006/relationships/hyperlink" Target="http://www.pbs.gov.au/info/industry/listing/elements/pbac-meetings/agenda/march-2017-pbac-meeting-agen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5A16-4D73-48A2-BFBA-8254A80B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8690</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2017-03-08T04:49:00Z</dcterms:created>
  <dcterms:modified xsi:type="dcterms:W3CDTF">2017-03-08T04:51:00Z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