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314E6">
        <w:rPr>
          <w:sz w:val="24"/>
          <w:szCs w:val="24"/>
        </w:rPr>
        <w:t>91st</w:t>
      </w:r>
      <w:r w:rsidR="000A0713" w:rsidRPr="005F3EF0">
        <w:rPr>
          <w:sz w:val="24"/>
          <w:szCs w:val="24"/>
        </w:rPr>
        <w:t xml:space="preserve"> </w:t>
      </w:r>
      <w:r w:rsidRPr="005F3EF0">
        <w:rPr>
          <w:sz w:val="24"/>
          <w:szCs w:val="24"/>
        </w:rPr>
        <w:t xml:space="preserve">meeting on </w:t>
      </w:r>
      <w:r w:rsidR="00324E38">
        <w:rPr>
          <w:sz w:val="24"/>
          <w:szCs w:val="24"/>
        </w:rPr>
        <w:t>28-29 September</w:t>
      </w:r>
      <w:r w:rsidR="005E14B6">
        <w:rPr>
          <w:sz w:val="24"/>
          <w:szCs w:val="24"/>
        </w:rPr>
        <w:t> </w:t>
      </w:r>
      <w:r w:rsidR="001F7E8B">
        <w:rPr>
          <w:sz w:val="24"/>
          <w:szCs w:val="24"/>
        </w:rPr>
        <w:t>2017</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Pr>
          <w:sz w:val="24"/>
          <w:szCs w:val="24"/>
        </w:rPr>
        <w:t xml:space="preserve">DUSC </w:t>
      </w:r>
      <w:r w:rsidRPr="008B6E94">
        <w:rPr>
          <w:sz w:val="24"/>
          <w:szCs w:val="24"/>
        </w:rPr>
        <w:t xml:space="preserve">noted that </w:t>
      </w:r>
      <w:r w:rsidR="007D71F4">
        <w:rPr>
          <w:sz w:val="24"/>
          <w:szCs w:val="24"/>
        </w:rPr>
        <w:t>35</w:t>
      </w:r>
      <w:r w:rsidRPr="008B6E94">
        <w:rPr>
          <w:sz w:val="24"/>
          <w:szCs w:val="24"/>
        </w:rPr>
        <w:t xml:space="preserve"> major submissions</w:t>
      </w:r>
      <w:r>
        <w:rPr>
          <w:sz w:val="24"/>
          <w:szCs w:val="24"/>
        </w:rPr>
        <w:t xml:space="preserve"> had been received for the </w:t>
      </w:r>
      <w:r w:rsidR="00324E38">
        <w:rPr>
          <w:sz w:val="24"/>
          <w:szCs w:val="24"/>
        </w:rPr>
        <w:t>November</w:t>
      </w:r>
      <w:r w:rsidR="00213EAC">
        <w:rPr>
          <w:sz w:val="24"/>
          <w:szCs w:val="24"/>
        </w:rPr>
        <w:t> </w:t>
      </w:r>
      <w:r w:rsidR="00CA78D9">
        <w:rPr>
          <w:sz w:val="24"/>
          <w:szCs w:val="24"/>
        </w:rPr>
        <w:t>201</w:t>
      </w:r>
      <w:r w:rsidR="001F7E8B">
        <w:rPr>
          <w:sz w:val="24"/>
          <w:szCs w:val="24"/>
        </w:rPr>
        <w:t>7</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3833F2">
        <w:rPr>
          <w:sz w:val="24"/>
          <w:szCs w:val="24"/>
        </w:rPr>
        <w:t xml:space="preserve">the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324E38">
        <w:rPr>
          <w:sz w:val="24"/>
          <w:szCs w:val="24"/>
        </w:rPr>
        <w:t>November</w:t>
      </w:r>
      <w:r w:rsidR="00213EAC">
        <w:rPr>
          <w:sz w:val="24"/>
          <w:szCs w:val="24"/>
        </w:rPr>
        <w:t> </w:t>
      </w:r>
      <w:r w:rsidR="001F7E8B">
        <w:rPr>
          <w:sz w:val="24"/>
          <w:szCs w:val="24"/>
        </w:rPr>
        <w:t>2017</w:t>
      </w:r>
      <w:r w:rsidR="005C053B">
        <w:rPr>
          <w:sz w:val="24"/>
          <w:szCs w:val="24"/>
        </w:rPr>
        <w:t xml:space="preserve"> PBAC meeting </w:t>
      </w:r>
      <w:r w:rsidR="008F7F63">
        <w:rPr>
          <w:sz w:val="24"/>
          <w:szCs w:val="24"/>
        </w:rPr>
        <w:t xml:space="preserve">can be found </w:t>
      </w:r>
      <w:r w:rsidR="00E013AC">
        <w:rPr>
          <w:sz w:val="24"/>
          <w:szCs w:val="24"/>
        </w:rPr>
        <w:t xml:space="preserve">on the </w:t>
      </w:r>
      <w:hyperlink r:id="rId9" w:history="1">
        <w:r w:rsidR="00E013AC" w:rsidRPr="00E013AC">
          <w:rPr>
            <w:rStyle w:val="Hyperlink"/>
            <w:sz w:val="24"/>
            <w:szCs w:val="24"/>
          </w:rPr>
          <w:t>PBS website</w:t>
        </w:r>
      </w:hyperlink>
      <w:r w:rsidR="00E013AC">
        <w:rPr>
          <w:sz w:val="24"/>
          <w:szCs w:val="24"/>
        </w:rPr>
        <w:t>.</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Default="00CD4F83" w:rsidP="008B6946">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sidR="00D144A5">
        <w:rPr>
          <w:sz w:val="24"/>
          <w:szCs w:val="24"/>
        </w:rPr>
        <w:t>24</w:t>
      </w:r>
      <w:r>
        <w:rPr>
          <w:sz w:val="24"/>
          <w:szCs w:val="24"/>
        </w:rPr>
        <w:t xml:space="preserve">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r w:rsidR="00591C2B">
        <w:rPr>
          <w:sz w:val="24"/>
          <w:szCs w:val="24"/>
        </w:rPr>
        <w:t xml:space="preserve"> Reviews to be considered by the PBAC are also published </w:t>
      </w:r>
      <w:r w:rsidR="00021AF3">
        <w:rPr>
          <w:sz w:val="24"/>
          <w:szCs w:val="24"/>
        </w:rPr>
        <w:t>in</w:t>
      </w:r>
      <w:r w:rsidR="00591C2B">
        <w:rPr>
          <w:sz w:val="24"/>
          <w:szCs w:val="24"/>
        </w:rPr>
        <w:t xml:space="preserve"> the </w:t>
      </w:r>
      <w:hyperlink r:id="rId10" w:history="1">
        <w:r w:rsidR="00591C2B" w:rsidRPr="00021AF3">
          <w:rPr>
            <w:rStyle w:val="Hyperlink"/>
            <w:sz w:val="24"/>
            <w:szCs w:val="24"/>
          </w:rPr>
          <w:t xml:space="preserve">PBAC </w:t>
        </w:r>
        <w:r w:rsidR="00021AF3">
          <w:rPr>
            <w:rStyle w:val="Hyperlink"/>
            <w:sz w:val="24"/>
            <w:szCs w:val="24"/>
          </w:rPr>
          <w:t>meeting</w:t>
        </w:r>
        <w:r w:rsidR="00591C2B" w:rsidRPr="00021AF3">
          <w:rPr>
            <w:rStyle w:val="Hyperlink"/>
            <w:sz w:val="24"/>
            <w:szCs w:val="24"/>
          </w:rPr>
          <w:t xml:space="preserve"> agenda</w:t>
        </w:r>
      </w:hyperlink>
      <w:r w:rsidR="00591C2B">
        <w:rPr>
          <w:sz w:val="24"/>
          <w:szCs w:val="24"/>
        </w:rPr>
        <w:t>.</w:t>
      </w:r>
    </w:p>
    <w:p w:rsidR="00591C2B" w:rsidRDefault="00591C2B" w:rsidP="008B6946">
      <w:pPr>
        <w:rPr>
          <w:sz w:val="24"/>
          <w:szCs w:val="24"/>
        </w:rPr>
      </w:pPr>
    </w:p>
    <w:p w:rsidR="00591C2B" w:rsidRDefault="00B0144A" w:rsidP="00D97B8F">
      <w:pPr>
        <w:rPr>
          <w:sz w:val="24"/>
          <w:szCs w:val="24"/>
        </w:rPr>
      </w:pPr>
      <w:r>
        <w:rPr>
          <w:sz w:val="24"/>
          <w:szCs w:val="24"/>
        </w:rPr>
        <w:t>All repo</w:t>
      </w:r>
      <w:r w:rsidR="003833F2">
        <w:rPr>
          <w:sz w:val="24"/>
          <w:szCs w:val="24"/>
        </w:rPr>
        <w:t>rts, Sponsor comments and DUSC assessment</w:t>
      </w:r>
      <w:r>
        <w:rPr>
          <w:sz w:val="24"/>
          <w:szCs w:val="24"/>
        </w:rPr>
        <w:t xml:space="preserve"> of the reports are subsequently provided to the PBAC.</w:t>
      </w:r>
    </w:p>
    <w:p w:rsidR="00591C2B" w:rsidRDefault="00591C2B" w:rsidP="00D97B8F">
      <w:pPr>
        <w:rPr>
          <w:sz w:val="24"/>
          <w:szCs w:val="24"/>
        </w:rPr>
      </w:pPr>
    </w:p>
    <w:p w:rsidR="00D97B8F" w:rsidRDefault="00591C2B" w:rsidP="00D97B8F">
      <w:pPr>
        <w:rPr>
          <w:sz w:val="24"/>
          <w:szCs w:val="24"/>
        </w:rPr>
      </w:pPr>
      <w:r w:rsidRPr="00591C2B">
        <w:rPr>
          <w:sz w:val="24"/>
          <w:szCs w:val="24"/>
        </w:rPr>
        <w:t xml:space="preserve">The PBAC is committed to understanding consumer perspectives and integrating them into its consideration of medicines and vaccines. </w:t>
      </w:r>
      <w:r w:rsidR="00D97B8F">
        <w:rPr>
          <w:sz w:val="24"/>
          <w:szCs w:val="24"/>
        </w:rPr>
        <w:t xml:space="preserve">Consumers are able to </w:t>
      </w:r>
      <w:r>
        <w:rPr>
          <w:sz w:val="24"/>
          <w:szCs w:val="24"/>
        </w:rPr>
        <w:t>provide their views about medicine utilisation reviews</w:t>
      </w:r>
      <w:r w:rsidR="00D97B8F">
        <w:rPr>
          <w:sz w:val="24"/>
          <w:szCs w:val="24"/>
        </w:rPr>
        <w:t xml:space="preserve"> to the PBAC via</w:t>
      </w:r>
      <w:r>
        <w:rPr>
          <w:sz w:val="24"/>
          <w:szCs w:val="24"/>
        </w:rPr>
        <w:t xml:space="preserve"> a </w:t>
      </w:r>
      <w:hyperlink r:id="rId11" w:history="1">
        <w:r w:rsidRPr="00021AF3">
          <w:rPr>
            <w:rStyle w:val="Hyperlink"/>
            <w:sz w:val="24"/>
            <w:szCs w:val="24"/>
          </w:rPr>
          <w:t>web interface</w:t>
        </w:r>
      </w:hyperlink>
      <w:r>
        <w:rPr>
          <w:sz w:val="24"/>
          <w:szCs w:val="24"/>
        </w:rPr>
        <w:t>.</w:t>
      </w:r>
    </w:p>
    <w:p w:rsidR="00021AF3" w:rsidRPr="00D97B8F" w:rsidRDefault="00021AF3" w:rsidP="00D97B8F">
      <w:pPr>
        <w:rPr>
          <w:sz w:val="24"/>
          <w:szCs w:val="24"/>
        </w:rPr>
      </w:pPr>
    </w:p>
    <w:p w:rsidR="00FA149F" w:rsidRDefault="00FD755C" w:rsidP="008B6946">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12" w:history="1">
        <w:r w:rsidRPr="00EF43E9">
          <w:rPr>
            <w:rStyle w:val="Hyperlink"/>
            <w:sz w:val="24"/>
            <w:szCs w:val="24"/>
          </w:rPr>
          <w:t>PBS Schedule</w:t>
        </w:r>
      </w:hyperlink>
      <w:r w:rsidR="00EF43E9">
        <w:rPr>
          <w:sz w:val="24"/>
          <w:szCs w:val="24"/>
        </w:rPr>
        <w:t>.</w:t>
      </w:r>
    </w:p>
    <w:p w:rsidR="00FD755C" w:rsidRDefault="00FD755C" w:rsidP="008B6946">
      <w:pPr>
        <w:rPr>
          <w:sz w:val="24"/>
          <w:szCs w:val="24"/>
        </w:rPr>
      </w:pPr>
    </w:p>
    <w:p w:rsidR="00101877" w:rsidRPr="00CA347D" w:rsidRDefault="00101877" w:rsidP="008B6946">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1071DA" w:rsidRPr="00CA347D">
        <w:rPr>
          <w:sz w:val="24"/>
          <w:szCs w:val="24"/>
        </w:rPr>
        <w:t xml:space="preserve"> in </w:t>
      </w:r>
      <w:r w:rsidR="00324E38">
        <w:rPr>
          <w:sz w:val="24"/>
          <w:szCs w:val="24"/>
        </w:rPr>
        <w:t xml:space="preserve">September </w:t>
      </w:r>
      <w:r w:rsidR="001F7E8B">
        <w:rPr>
          <w:sz w:val="24"/>
          <w:szCs w:val="24"/>
        </w:rPr>
        <w:t>2017</w:t>
      </w:r>
      <w:r w:rsidRPr="00CA347D">
        <w:rPr>
          <w:sz w:val="24"/>
          <w:szCs w:val="24"/>
        </w:rPr>
        <w:t>:</w:t>
      </w:r>
    </w:p>
    <w:p w:rsidR="00101877" w:rsidRDefault="00101877" w:rsidP="008B6946">
      <w:pPr>
        <w:rPr>
          <w:sz w:val="24"/>
          <w:szCs w:val="24"/>
        </w:rPr>
      </w:pPr>
    </w:p>
    <w:p w:rsidR="00CA78D9" w:rsidRDefault="00C73D5B" w:rsidP="008B6946">
      <w:pPr>
        <w:rPr>
          <w:b/>
          <w:sz w:val="24"/>
          <w:szCs w:val="24"/>
        </w:rPr>
      </w:pPr>
      <w:r w:rsidRPr="00C73D5B">
        <w:rPr>
          <w:b/>
          <w:sz w:val="24"/>
          <w:szCs w:val="24"/>
        </w:rPr>
        <w:t>5-aminosalicylic acid </w:t>
      </w:r>
      <w:r w:rsidRPr="008D0DA2">
        <w:rPr>
          <w:b/>
          <w:sz w:val="24"/>
          <w:szCs w:val="24"/>
        </w:rPr>
        <w:t xml:space="preserve"> </w:t>
      </w:r>
      <w:r w:rsidR="008D0DA2" w:rsidRPr="008D0DA2">
        <w:rPr>
          <w:b/>
          <w:sz w:val="24"/>
          <w:szCs w:val="24"/>
        </w:rPr>
        <w:t>(</w:t>
      </w:r>
      <w:r w:rsidR="00324E38">
        <w:rPr>
          <w:b/>
          <w:sz w:val="24"/>
          <w:szCs w:val="24"/>
        </w:rPr>
        <w:t>5-ASA</w:t>
      </w:r>
      <w:r w:rsidR="008D0DA2">
        <w:rPr>
          <w:b/>
          <w:sz w:val="24"/>
          <w:szCs w:val="24"/>
        </w:rPr>
        <w:t>)</w:t>
      </w:r>
      <w:r w:rsidR="00324E38">
        <w:rPr>
          <w:b/>
          <w:sz w:val="24"/>
          <w:szCs w:val="24"/>
        </w:rPr>
        <w:t xml:space="preserve"> dosing</w:t>
      </w:r>
    </w:p>
    <w:p w:rsidR="008A2B60" w:rsidRPr="008A2B60" w:rsidRDefault="008A2B60" w:rsidP="008A2B60">
      <w:pPr>
        <w:contextualSpacing/>
        <w:rPr>
          <w:rFonts w:eastAsia="MS Mincho"/>
          <w:sz w:val="24"/>
          <w:szCs w:val="24"/>
        </w:rPr>
      </w:pPr>
      <w:r w:rsidRPr="008A2B60">
        <w:rPr>
          <w:rFonts w:eastAsia="MS Mincho"/>
          <w:sz w:val="24"/>
          <w:szCs w:val="24"/>
        </w:rPr>
        <w:t xml:space="preserve">Mesalazine is the most commonly prescribed medicine for ulcerative colitis. DUSC previously found the use of mesalazine was increasing and considered the increasing use may be due to dose escalation. </w:t>
      </w:r>
      <w:hyperlink r:id="rId13" w:history="1">
        <w:r w:rsidRPr="0064252F">
          <w:rPr>
            <w:rStyle w:val="Hyperlink"/>
            <w:rFonts w:eastAsia="MS Mincho"/>
            <w:sz w:val="24"/>
            <w:szCs w:val="24"/>
          </w:rPr>
          <w:t xml:space="preserve">DUSC </w:t>
        </w:r>
        <w:r w:rsidR="00FA7C40" w:rsidRPr="0064252F">
          <w:rPr>
            <w:rStyle w:val="Hyperlink"/>
            <w:rFonts w:eastAsia="MS Mincho"/>
            <w:sz w:val="24"/>
            <w:szCs w:val="24"/>
          </w:rPr>
          <w:t xml:space="preserve">had </w:t>
        </w:r>
        <w:r w:rsidRPr="0064252F">
          <w:rPr>
            <w:rStyle w:val="Hyperlink"/>
            <w:rFonts w:eastAsia="MS Mincho"/>
            <w:sz w:val="24"/>
            <w:szCs w:val="24"/>
          </w:rPr>
          <w:t>requested</w:t>
        </w:r>
      </w:hyperlink>
      <w:r w:rsidRPr="008A2B60">
        <w:rPr>
          <w:rFonts w:eastAsia="MS Mincho"/>
          <w:sz w:val="24"/>
          <w:szCs w:val="24"/>
        </w:rPr>
        <w:t xml:space="preserve"> further analysis to examine this.</w:t>
      </w:r>
    </w:p>
    <w:p w:rsidR="008A2B60" w:rsidRPr="008A2B60" w:rsidRDefault="008A2B60" w:rsidP="008A2B60">
      <w:pPr>
        <w:contextualSpacing/>
        <w:rPr>
          <w:rFonts w:eastAsia="MS Mincho"/>
          <w:sz w:val="24"/>
          <w:szCs w:val="24"/>
        </w:rPr>
      </w:pPr>
    </w:p>
    <w:p w:rsidR="008A2B60" w:rsidRPr="008A2B60" w:rsidRDefault="008A2B60" w:rsidP="008A2B60">
      <w:pPr>
        <w:contextualSpacing/>
        <w:rPr>
          <w:rFonts w:eastAsia="MS Mincho"/>
          <w:sz w:val="24"/>
          <w:szCs w:val="24"/>
        </w:rPr>
      </w:pPr>
      <w:r w:rsidRPr="008A2B60">
        <w:rPr>
          <w:rFonts w:eastAsia="MS Mincho"/>
          <w:sz w:val="24"/>
          <w:szCs w:val="24"/>
        </w:rPr>
        <w:t xml:space="preserve">A comparison between the number of patients and </w:t>
      </w:r>
      <w:r w:rsidR="00C613EE">
        <w:rPr>
          <w:rFonts w:eastAsia="MS Mincho"/>
          <w:sz w:val="24"/>
          <w:szCs w:val="24"/>
        </w:rPr>
        <w:t>prescriptions</w:t>
      </w:r>
      <w:r w:rsidR="00C613EE" w:rsidRPr="008A2B60">
        <w:rPr>
          <w:rFonts w:eastAsia="MS Mincho"/>
          <w:sz w:val="24"/>
          <w:szCs w:val="24"/>
        </w:rPr>
        <w:t xml:space="preserve"> </w:t>
      </w:r>
      <w:r w:rsidRPr="008A2B60">
        <w:rPr>
          <w:rFonts w:eastAsia="MS Mincho"/>
          <w:sz w:val="24"/>
          <w:szCs w:val="24"/>
        </w:rPr>
        <w:t xml:space="preserve">of mesalazine between 2007 and 2016 showed no change in the number of patients taking a 5-ASA for the first time, a 27% increase in the number of patients on 5-ASAs, and a 38% increase in the number of prescriptions. </w:t>
      </w:r>
      <w:r w:rsidR="00C613EE" w:rsidRPr="00C613EE">
        <w:rPr>
          <w:rFonts w:eastAsia="MS Mincho"/>
          <w:sz w:val="24"/>
          <w:szCs w:val="24"/>
        </w:rPr>
        <w:t>The average amount of mesalazine dispensed per patient per day increased by over 50% between 2007 and 2016.</w:t>
      </w:r>
    </w:p>
    <w:p w:rsidR="008A2B60" w:rsidRPr="008A2B60" w:rsidRDefault="008A2B60" w:rsidP="008A2B60">
      <w:pPr>
        <w:contextualSpacing/>
        <w:rPr>
          <w:rFonts w:eastAsia="MS Mincho"/>
          <w:sz w:val="24"/>
          <w:szCs w:val="24"/>
        </w:rPr>
      </w:pPr>
    </w:p>
    <w:p w:rsidR="008A2B60" w:rsidRPr="008A2B60" w:rsidRDefault="008A2B60" w:rsidP="008A2B60">
      <w:pPr>
        <w:contextualSpacing/>
        <w:rPr>
          <w:rFonts w:eastAsia="MS Mincho"/>
          <w:sz w:val="24"/>
          <w:szCs w:val="24"/>
        </w:rPr>
      </w:pPr>
      <w:r w:rsidRPr="008A2B60">
        <w:rPr>
          <w:rFonts w:eastAsia="MS Mincho"/>
          <w:sz w:val="24"/>
          <w:szCs w:val="24"/>
        </w:rPr>
        <w:lastRenderedPageBreak/>
        <w:t xml:space="preserve">DUSC concluded the increasing utilisation of 5-ASAs is due to more patients being treated and </w:t>
      </w:r>
      <w:r w:rsidR="003D6109" w:rsidRPr="003D6109">
        <w:rPr>
          <w:rFonts w:eastAsia="MS Mincho"/>
          <w:sz w:val="24"/>
          <w:szCs w:val="24"/>
        </w:rPr>
        <w:t>patients using more mesalazine.</w:t>
      </w:r>
    </w:p>
    <w:p w:rsidR="008A2B60" w:rsidRPr="008A2B60" w:rsidRDefault="008A2B60" w:rsidP="008A2B60">
      <w:pPr>
        <w:contextualSpacing/>
        <w:rPr>
          <w:rFonts w:eastAsia="MS Mincho"/>
          <w:sz w:val="24"/>
          <w:szCs w:val="24"/>
        </w:rPr>
      </w:pPr>
    </w:p>
    <w:p w:rsidR="008945B1" w:rsidRDefault="008A2B60" w:rsidP="008A2B60">
      <w:pPr>
        <w:contextualSpacing/>
        <w:rPr>
          <w:rFonts w:eastAsia="MS Mincho"/>
          <w:sz w:val="24"/>
          <w:szCs w:val="24"/>
        </w:rPr>
      </w:pPr>
      <w:r w:rsidRPr="008A2B60">
        <w:rPr>
          <w:rFonts w:eastAsia="MS Mincho"/>
          <w:sz w:val="24"/>
          <w:szCs w:val="24"/>
        </w:rPr>
        <w:t>DUSC requested that the report be provided to the PBAC.</w:t>
      </w:r>
    </w:p>
    <w:p w:rsidR="00324E38" w:rsidRDefault="00324E38" w:rsidP="0099648E">
      <w:pPr>
        <w:contextualSpacing/>
        <w:rPr>
          <w:rFonts w:eastAsia="MS Mincho"/>
          <w:sz w:val="24"/>
          <w:szCs w:val="24"/>
        </w:rPr>
      </w:pPr>
    </w:p>
    <w:p w:rsidR="00324E38" w:rsidRPr="00324E38" w:rsidRDefault="00324E38" w:rsidP="00324E38">
      <w:pPr>
        <w:autoSpaceDE w:val="0"/>
        <w:autoSpaceDN w:val="0"/>
        <w:adjustRightInd w:val="0"/>
        <w:contextualSpacing/>
        <w:rPr>
          <w:rFonts w:eastAsia="MS Mincho"/>
          <w:b/>
          <w:sz w:val="24"/>
          <w:szCs w:val="24"/>
        </w:rPr>
      </w:pPr>
      <w:r w:rsidRPr="00324E38">
        <w:rPr>
          <w:rFonts w:eastAsia="MS Mincho"/>
          <w:b/>
          <w:sz w:val="24"/>
          <w:szCs w:val="24"/>
        </w:rPr>
        <w:t>Sunitinib and everolimus for metastatic or unresectable, well-differentiated malignant pancreatic neuroendocrine tumour (pNET)</w:t>
      </w:r>
    </w:p>
    <w:p w:rsidR="00E45922" w:rsidRDefault="008671AC" w:rsidP="008671AC">
      <w:pPr>
        <w:contextualSpacing/>
        <w:rPr>
          <w:rFonts w:eastAsia="MS Mincho"/>
          <w:sz w:val="24"/>
          <w:szCs w:val="24"/>
        </w:rPr>
      </w:pPr>
      <w:r>
        <w:rPr>
          <w:rFonts w:eastAsia="MS Mincho"/>
          <w:sz w:val="24"/>
          <w:szCs w:val="24"/>
        </w:rPr>
        <w:t>DUSC reviewed a predicted versus actual utilisation analysis for s</w:t>
      </w:r>
      <w:r w:rsidRPr="008671AC">
        <w:rPr>
          <w:rFonts w:eastAsia="MS Mincho"/>
          <w:sz w:val="24"/>
          <w:szCs w:val="24"/>
        </w:rPr>
        <w:t xml:space="preserve">unitinib and everolimus </w:t>
      </w:r>
      <w:r>
        <w:rPr>
          <w:rFonts w:eastAsia="MS Mincho"/>
          <w:sz w:val="24"/>
          <w:szCs w:val="24"/>
        </w:rPr>
        <w:t xml:space="preserve">for the treatment of pNET. </w:t>
      </w:r>
      <w:r w:rsidRPr="008671AC">
        <w:rPr>
          <w:rFonts w:eastAsia="MS Mincho"/>
          <w:sz w:val="24"/>
          <w:szCs w:val="24"/>
        </w:rPr>
        <w:t xml:space="preserve">The actual prescription utilisation and </w:t>
      </w:r>
      <w:r>
        <w:rPr>
          <w:rFonts w:eastAsia="MS Mincho"/>
          <w:sz w:val="24"/>
          <w:szCs w:val="24"/>
        </w:rPr>
        <w:t>PB</w:t>
      </w:r>
      <w:r w:rsidR="00387684">
        <w:rPr>
          <w:rFonts w:eastAsia="MS Mincho"/>
          <w:sz w:val="24"/>
          <w:szCs w:val="24"/>
        </w:rPr>
        <w:t xml:space="preserve">S (including Repatriation PBS) </w:t>
      </w:r>
      <w:r w:rsidRPr="008671AC">
        <w:rPr>
          <w:rFonts w:eastAsia="MS Mincho"/>
          <w:sz w:val="24"/>
          <w:szCs w:val="24"/>
        </w:rPr>
        <w:t xml:space="preserve">expenditure was less than predicted for both </w:t>
      </w:r>
      <w:r>
        <w:rPr>
          <w:rFonts w:eastAsia="MS Mincho"/>
          <w:sz w:val="24"/>
          <w:szCs w:val="24"/>
        </w:rPr>
        <w:t>medicines</w:t>
      </w:r>
      <w:r w:rsidRPr="008671AC">
        <w:rPr>
          <w:rFonts w:eastAsia="MS Mincho"/>
          <w:sz w:val="24"/>
          <w:szCs w:val="24"/>
        </w:rPr>
        <w:t>.</w:t>
      </w:r>
      <w:r>
        <w:rPr>
          <w:rFonts w:eastAsia="MS Mincho"/>
          <w:sz w:val="24"/>
          <w:szCs w:val="24"/>
        </w:rPr>
        <w:t xml:space="preserve">  In contrast,  t</w:t>
      </w:r>
      <w:r w:rsidRPr="008671AC">
        <w:rPr>
          <w:rFonts w:eastAsia="MS Mincho"/>
          <w:sz w:val="24"/>
          <w:szCs w:val="24"/>
        </w:rPr>
        <w:t xml:space="preserve">he number of patients treated was more than expected for both </w:t>
      </w:r>
      <w:r>
        <w:rPr>
          <w:rFonts w:eastAsia="MS Mincho"/>
          <w:sz w:val="24"/>
          <w:szCs w:val="24"/>
        </w:rPr>
        <w:t>medicines. This was explained by t</w:t>
      </w:r>
      <w:r w:rsidRPr="008671AC">
        <w:rPr>
          <w:rFonts w:eastAsia="MS Mincho"/>
          <w:sz w:val="24"/>
          <w:szCs w:val="24"/>
        </w:rPr>
        <w:t xml:space="preserve">he number of prescriptions per patient per year and the overall length of treatment per patient for both </w:t>
      </w:r>
      <w:r>
        <w:rPr>
          <w:rFonts w:eastAsia="MS Mincho"/>
          <w:sz w:val="24"/>
          <w:szCs w:val="24"/>
        </w:rPr>
        <w:t>medicines</w:t>
      </w:r>
      <w:r w:rsidRPr="008671AC">
        <w:rPr>
          <w:rFonts w:eastAsia="MS Mincho"/>
          <w:sz w:val="24"/>
          <w:szCs w:val="24"/>
        </w:rPr>
        <w:t xml:space="preserve"> </w:t>
      </w:r>
      <w:r>
        <w:rPr>
          <w:rFonts w:eastAsia="MS Mincho"/>
          <w:sz w:val="24"/>
          <w:szCs w:val="24"/>
        </w:rPr>
        <w:t xml:space="preserve">being </w:t>
      </w:r>
      <w:r w:rsidRPr="008671AC">
        <w:rPr>
          <w:rFonts w:eastAsia="MS Mincho"/>
          <w:sz w:val="24"/>
          <w:szCs w:val="24"/>
        </w:rPr>
        <w:t>much less than predicted.</w:t>
      </w:r>
      <w:r w:rsidR="00E45922">
        <w:rPr>
          <w:rFonts w:eastAsia="MS Mincho"/>
          <w:sz w:val="24"/>
          <w:szCs w:val="24"/>
        </w:rPr>
        <w:t xml:space="preserve"> DUSC considered that </w:t>
      </w:r>
      <w:r w:rsidR="00E45922" w:rsidRPr="00E45922">
        <w:rPr>
          <w:rFonts w:eastAsia="MS Mincho"/>
          <w:sz w:val="24"/>
          <w:szCs w:val="24"/>
        </w:rPr>
        <w:t xml:space="preserve">the </w:t>
      </w:r>
      <w:r w:rsidR="0028771A">
        <w:rPr>
          <w:rFonts w:eastAsia="MS Mincho"/>
          <w:sz w:val="24"/>
          <w:szCs w:val="24"/>
        </w:rPr>
        <w:t xml:space="preserve">initial </w:t>
      </w:r>
      <w:r w:rsidR="00E45922" w:rsidRPr="00E45922">
        <w:rPr>
          <w:rFonts w:eastAsia="MS Mincho"/>
          <w:sz w:val="24"/>
          <w:szCs w:val="24"/>
        </w:rPr>
        <w:t xml:space="preserve">uptake of treatment </w:t>
      </w:r>
      <w:r w:rsidR="00E45922">
        <w:rPr>
          <w:rFonts w:eastAsia="MS Mincho"/>
          <w:sz w:val="24"/>
          <w:szCs w:val="24"/>
        </w:rPr>
        <w:t xml:space="preserve">may have been </w:t>
      </w:r>
      <w:r w:rsidR="00E45922" w:rsidRPr="00E45922">
        <w:rPr>
          <w:rFonts w:eastAsia="MS Mincho"/>
          <w:sz w:val="24"/>
          <w:szCs w:val="24"/>
        </w:rPr>
        <w:t xml:space="preserve">in patients with more advanced disease which led to shorter duration on therapy than </w:t>
      </w:r>
      <w:r w:rsidR="00E45922">
        <w:rPr>
          <w:rFonts w:eastAsia="MS Mincho"/>
          <w:sz w:val="24"/>
          <w:szCs w:val="24"/>
        </w:rPr>
        <w:t>predicted.</w:t>
      </w:r>
    </w:p>
    <w:p w:rsidR="008671AC" w:rsidRDefault="008671AC" w:rsidP="008671AC">
      <w:pPr>
        <w:contextualSpacing/>
        <w:rPr>
          <w:rFonts w:eastAsia="MS Mincho"/>
          <w:sz w:val="24"/>
          <w:szCs w:val="24"/>
        </w:rPr>
      </w:pPr>
    </w:p>
    <w:p w:rsidR="00B66FD7" w:rsidRDefault="00037A0C" w:rsidP="008671AC">
      <w:pPr>
        <w:contextualSpacing/>
        <w:rPr>
          <w:rFonts w:eastAsia="MS Mincho"/>
          <w:sz w:val="24"/>
          <w:szCs w:val="24"/>
        </w:rPr>
      </w:pPr>
      <w:r w:rsidRPr="00037A0C">
        <w:rPr>
          <w:rFonts w:eastAsia="MS Mincho"/>
          <w:sz w:val="24"/>
          <w:szCs w:val="24"/>
        </w:rPr>
        <w:t>DUSC requested that the report be provided to the PBAC.</w:t>
      </w:r>
    </w:p>
    <w:p w:rsidR="00324E38" w:rsidRDefault="00324E38" w:rsidP="0099648E">
      <w:pPr>
        <w:contextualSpacing/>
        <w:rPr>
          <w:rFonts w:eastAsia="MS Mincho"/>
          <w:sz w:val="24"/>
          <w:szCs w:val="24"/>
        </w:rPr>
      </w:pPr>
    </w:p>
    <w:p w:rsidR="004A41E8" w:rsidRPr="005468C1" w:rsidRDefault="00324E38" w:rsidP="005468C1">
      <w:pPr>
        <w:autoSpaceDE w:val="0"/>
        <w:autoSpaceDN w:val="0"/>
        <w:adjustRightInd w:val="0"/>
        <w:contextualSpacing/>
        <w:rPr>
          <w:rFonts w:eastAsia="MS Mincho"/>
          <w:b/>
          <w:sz w:val="24"/>
          <w:szCs w:val="24"/>
        </w:rPr>
      </w:pPr>
      <w:r w:rsidRPr="00324E38">
        <w:rPr>
          <w:rFonts w:eastAsia="MS Mincho"/>
          <w:b/>
          <w:sz w:val="24"/>
          <w:szCs w:val="24"/>
        </w:rPr>
        <w:t>Lenalidomide for myelodysplastic syndrome</w:t>
      </w:r>
      <w:r w:rsidR="004A41E8">
        <w:rPr>
          <w:rFonts w:eastAsia="MS Mincho"/>
          <w:b/>
          <w:sz w:val="24"/>
          <w:szCs w:val="24"/>
        </w:rPr>
        <w:t xml:space="preserve"> (MDS)</w:t>
      </w:r>
    </w:p>
    <w:p w:rsidR="004A41E8" w:rsidRDefault="004A41E8" w:rsidP="004A41E8">
      <w:pPr>
        <w:pStyle w:val="ListParagraph"/>
        <w:spacing w:after="200"/>
        <w:ind w:left="0"/>
        <w:contextualSpacing/>
        <w:rPr>
          <w:rFonts w:asciiTheme="minorHAnsi" w:eastAsia="MS Mincho" w:hAnsiTheme="minorHAnsi"/>
        </w:rPr>
      </w:pPr>
      <w:r>
        <w:rPr>
          <w:rFonts w:eastAsia="MS Mincho"/>
          <w:szCs w:val="24"/>
        </w:rPr>
        <w:t xml:space="preserve">DUSC reviewed a predicted versus actual utilisation analysis for lenalidomide for the treatment of MDS. </w:t>
      </w:r>
      <w:r w:rsidRPr="00D9025F">
        <w:rPr>
          <w:rFonts w:asciiTheme="minorHAnsi" w:eastAsia="MS Mincho" w:hAnsiTheme="minorHAnsi"/>
        </w:rPr>
        <w:t>The actual prescription utilisation was much less than predicted</w:t>
      </w:r>
      <w:r>
        <w:rPr>
          <w:rFonts w:asciiTheme="minorHAnsi" w:eastAsia="MS Mincho" w:hAnsiTheme="minorHAnsi"/>
        </w:rPr>
        <w:t xml:space="preserve">. This was </w:t>
      </w:r>
      <w:r w:rsidRPr="00D9025F">
        <w:rPr>
          <w:rFonts w:asciiTheme="minorHAnsi" w:eastAsia="MS Mincho" w:hAnsiTheme="minorHAnsi"/>
        </w:rPr>
        <w:t xml:space="preserve">due both to a lower than predicted number of patients treated and lower than predicted </w:t>
      </w:r>
      <w:r w:rsidR="0007382E">
        <w:rPr>
          <w:rFonts w:asciiTheme="minorHAnsi" w:eastAsia="MS Mincho" w:hAnsiTheme="minorHAnsi"/>
        </w:rPr>
        <w:t xml:space="preserve">number of </w:t>
      </w:r>
      <w:r w:rsidRPr="00D9025F">
        <w:rPr>
          <w:rFonts w:asciiTheme="minorHAnsi" w:eastAsia="MS Mincho" w:hAnsiTheme="minorHAnsi"/>
        </w:rPr>
        <w:t>prescriptions per patient per year.</w:t>
      </w:r>
    </w:p>
    <w:p w:rsidR="00E5264F" w:rsidRDefault="00E5264F" w:rsidP="00E5264F">
      <w:pPr>
        <w:pStyle w:val="ListParagraph"/>
        <w:spacing w:after="200"/>
        <w:ind w:left="0"/>
        <w:contextualSpacing/>
        <w:rPr>
          <w:rFonts w:asciiTheme="minorHAnsi" w:eastAsia="MS Mincho" w:hAnsiTheme="minorHAnsi"/>
        </w:rPr>
      </w:pPr>
    </w:p>
    <w:p w:rsidR="004A41E8" w:rsidRDefault="004A41E8" w:rsidP="00E5264F">
      <w:pPr>
        <w:pStyle w:val="ListParagraph"/>
        <w:spacing w:after="200"/>
        <w:ind w:left="0"/>
        <w:contextualSpacing/>
        <w:rPr>
          <w:rFonts w:asciiTheme="minorHAnsi" w:eastAsia="MS Mincho" w:hAnsiTheme="minorHAnsi"/>
        </w:rPr>
      </w:pPr>
      <w:r w:rsidRPr="00D9025F">
        <w:rPr>
          <w:rFonts w:asciiTheme="minorHAnsi" w:eastAsia="MS Mincho" w:hAnsiTheme="minorHAnsi"/>
        </w:rPr>
        <w:t xml:space="preserve">The reason for the number of patients treated being less than predicted </w:t>
      </w:r>
      <w:r w:rsidR="00E5264F">
        <w:rPr>
          <w:rFonts w:asciiTheme="minorHAnsi" w:eastAsia="MS Mincho" w:hAnsiTheme="minorHAnsi"/>
        </w:rPr>
        <w:t>wa</w:t>
      </w:r>
      <w:r w:rsidRPr="00D9025F">
        <w:rPr>
          <w:rFonts w:asciiTheme="minorHAnsi" w:eastAsia="MS Mincho" w:hAnsiTheme="minorHAnsi"/>
        </w:rPr>
        <w:t xml:space="preserve">s not clear. </w:t>
      </w:r>
      <w:r w:rsidR="00E5264F">
        <w:rPr>
          <w:rFonts w:asciiTheme="minorHAnsi" w:eastAsia="MS Mincho" w:hAnsiTheme="minorHAnsi"/>
        </w:rPr>
        <w:t xml:space="preserve">The PBS restriction specifies that patients should be classified as </w:t>
      </w:r>
      <w:r w:rsidR="00E5264F" w:rsidRPr="00E5264F">
        <w:rPr>
          <w:rFonts w:asciiTheme="minorHAnsi" w:eastAsia="MS Mincho" w:hAnsiTheme="minorHAnsi"/>
        </w:rPr>
        <w:t xml:space="preserve">Low risk or Intermediate-1 </w:t>
      </w:r>
      <w:r w:rsidR="00E5264F">
        <w:rPr>
          <w:rFonts w:asciiTheme="minorHAnsi" w:eastAsia="MS Mincho" w:hAnsiTheme="minorHAnsi"/>
        </w:rPr>
        <w:t xml:space="preserve">(INT-1) </w:t>
      </w:r>
      <w:r w:rsidR="00E5264F" w:rsidRPr="00E5264F">
        <w:rPr>
          <w:rFonts w:asciiTheme="minorHAnsi" w:eastAsia="MS Mincho" w:hAnsiTheme="minorHAnsi"/>
        </w:rPr>
        <w:t>according to the International Prognostic Scoring System (IPSS)</w:t>
      </w:r>
      <w:r w:rsidR="00E5264F">
        <w:rPr>
          <w:rFonts w:asciiTheme="minorHAnsi" w:eastAsia="MS Mincho" w:hAnsiTheme="minorHAnsi"/>
        </w:rPr>
        <w:t xml:space="preserve">. </w:t>
      </w:r>
      <w:r w:rsidRPr="00D9025F">
        <w:rPr>
          <w:rFonts w:asciiTheme="minorHAnsi" w:eastAsia="MS Mincho" w:hAnsiTheme="minorHAnsi"/>
        </w:rPr>
        <w:t xml:space="preserve">The estimate of the proportion of MDS patients that </w:t>
      </w:r>
      <w:r w:rsidR="00E5264F">
        <w:rPr>
          <w:rFonts w:asciiTheme="minorHAnsi" w:eastAsia="MS Mincho" w:hAnsiTheme="minorHAnsi"/>
        </w:rPr>
        <w:t>were</w:t>
      </w:r>
      <w:r w:rsidRPr="00D9025F">
        <w:rPr>
          <w:rFonts w:asciiTheme="minorHAnsi" w:eastAsia="MS Mincho" w:hAnsiTheme="minorHAnsi"/>
        </w:rPr>
        <w:t xml:space="preserve"> </w:t>
      </w:r>
      <w:r w:rsidRPr="00D9025F">
        <w:rPr>
          <w:rFonts w:asciiTheme="minorHAnsi" w:hAnsiTheme="minorHAnsi" w:cs="Arial"/>
        </w:rPr>
        <w:t>low risk/INT-1</w:t>
      </w:r>
      <w:r w:rsidRPr="00D9025F">
        <w:rPr>
          <w:rFonts w:asciiTheme="minorHAnsi" w:eastAsia="MS Mincho" w:hAnsiTheme="minorHAnsi"/>
        </w:rPr>
        <w:t xml:space="preserve"> was based on </w:t>
      </w:r>
      <w:r w:rsidR="005E11DF">
        <w:rPr>
          <w:rFonts w:asciiTheme="minorHAnsi" w:eastAsia="MS Mincho" w:hAnsiTheme="minorHAnsi"/>
        </w:rPr>
        <w:t>data</w:t>
      </w:r>
      <w:r w:rsidRPr="00D9025F">
        <w:rPr>
          <w:rFonts w:asciiTheme="minorHAnsi" w:eastAsia="MS Mincho" w:hAnsiTheme="minorHAnsi"/>
        </w:rPr>
        <w:t xml:space="preserve"> which may not accurately reflect the overall Australian experience.</w:t>
      </w:r>
      <w:r w:rsidR="00E5264F">
        <w:rPr>
          <w:rFonts w:asciiTheme="minorHAnsi" w:eastAsia="MS Mincho" w:hAnsiTheme="minorHAnsi"/>
        </w:rPr>
        <w:t xml:space="preserve"> Also the l</w:t>
      </w:r>
      <w:r w:rsidRPr="00D9025F">
        <w:rPr>
          <w:rFonts w:asciiTheme="minorHAnsi" w:eastAsia="MS Mincho" w:hAnsiTheme="minorHAnsi"/>
        </w:rPr>
        <w:t xml:space="preserve">ower than expected uptake rate may </w:t>
      </w:r>
      <w:r w:rsidR="00BA193D">
        <w:rPr>
          <w:rFonts w:asciiTheme="minorHAnsi" w:eastAsia="MS Mincho" w:hAnsiTheme="minorHAnsi"/>
        </w:rPr>
        <w:t xml:space="preserve">have </w:t>
      </w:r>
      <w:r w:rsidRPr="00D9025F">
        <w:rPr>
          <w:rFonts w:asciiTheme="minorHAnsi" w:eastAsia="MS Mincho" w:hAnsiTheme="minorHAnsi"/>
        </w:rPr>
        <w:t>be</w:t>
      </w:r>
      <w:r w:rsidR="00BA193D">
        <w:rPr>
          <w:rFonts w:asciiTheme="minorHAnsi" w:eastAsia="MS Mincho" w:hAnsiTheme="minorHAnsi"/>
        </w:rPr>
        <w:t>en</w:t>
      </w:r>
      <w:r w:rsidRPr="00D9025F">
        <w:rPr>
          <w:rFonts w:asciiTheme="minorHAnsi" w:eastAsia="MS Mincho" w:hAnsiTheme="minorHAnsi"/>
        </w:rPr>
        <w:t xml:space="preserve"> a result of patient and  prescriber experience of intolerance and adverse events or achievement of less than expected benefit</w:t>
      </w:r>
      <w:r w:rsidR="00BA193D">
        <w:rPr>
          <w:rFonts w:asciiTheme="minorHAnsi" w:eastAsia="MS Mincho" w:hAnsiTheme="minorHAnsi"/>
        </w:rPr>
        <w:t>.</w:t>
      </w:r>
    </w:p>
    <w:p w:rsidR="00D75B7D" w:rsidRDefault="00D75B7D" w:rsidP="00E5264F">
      <w:pPr>
        <w:pStyle w:val="ListParagraph"/>
        <w:spacing w:after="200"/>
        <w:ind w:left="0"/>
        <w:contextualSpacing/>
        <w:rPr>
          <w:rFonts w:asciiTheme="minorHAnsi" w:eastAsia="MS Mincho" w:hAnsiTheme="minorHAnsi"/>
        </w:rPr>
      </w:pPr>
    </w:p>
    <w:p w:rsidR="004A41E8" w:rsidRDefault="004A41E8" w:rsidP="00692AAD">
      <w:pPr>
        <w:pStyle w:val="ListParagraph"/>
        <w:spacing w:after="200"/>
        <w:ind w:left="0"/>
        <w:contextualSpacing/>
        <w:rPr>
          <w:rFonts w:asciiTheme="minorHAnsi" w:eastAsia="MS Mincho" w:hAnsiTheme="minorHAnsi"/>
        </w:rPr>
      </w:pPr>
      <w:r w:rsidRPr="00D9025F">
        <w:rPr>
          <w:rFonts w:asciiTheme="minorHAnsi" w:hAnsiTheme="minorHAnsi"/>
        </w:rPr>
        <w:t>The overestimate</w:t>
      </w:r>
      <w:r w:rsidR="007404D8">
        <w:rPr>
          <w:rFonts w:asciiTheme="minorHAnsi" w:hAnsiTheme="minorHAnsi"/>
        </w:rPr>
        <w:t xml:space="preserve"> of</w:t>
      </w:r>
      <w:r w:rsidRPr="00D9025F">
        <w:rPr>
          <w:rFonts w:asciiTheme="minorHAnsi" w:hAnsiTheme="minorHAnsi"/>
        </w:rPr>
        <w:t xml:space="preserve"> the number of prescriptions </w:t>
      </w:r>
      <w:r w:rsidR="001145B4">
        <w:rPr>
          <w:rFonts w:asciiTheme="minorHAnsi" w:hAnsiTheme="minorHAnsi"/>
        </w:rPr>
        <w:t xml:space="preserve">per patient </w:t>
      </w:r>
      <w:r w:rsidR="00C613EE">
        <w:rPr>
          <w:rFonts w:asciiTheme="minorHAnsi" w:hAnsiTheme="minorHAnsi"/>
        </w:rPr>
        <w:t xml:space="preserve">in the first year of listing may be due to the distribution of patients </w:t>
      </w:r>
      <w:r w:rsidR="008C0C0B">
        <w:rPr>
          <w:rFonts w:asciiTheme="minorHAnsi" w:hAnsiTheme="minorHAnsi"/>
        </w:rPr>
        <w:t xml:space="preserve">initiating </w:t>
      </w:r>
      <w:r w:rsidR="00C613EE">
        <w:rPr>
          <w:rFonts w:asciiTheme="minorHAnsi" w:hAnsiTheme="minorHAnsi"/>
        </w:rPr>
        <w:t>treatment throughout the year</w:t>
      </w:r>
      <w:r w:rsidR="0028771A">
        <w:rPr>
          <w:rFonts w:asciiTheme="minorHAnsi" w:eastAsia="MS Mincho" w:hAnsiTheme="minorHAnsi"/>
        </w:rPr>
        <w:t xml:space="preserve">. </w:t>
      </w:r>
      <w:r w:rsidRPr="00D9025F">
        <w:rPr>
          <w:rFonts w:asciiTheme="minorHAnsi" w:eastAsia="MS Mincho" w:hAnsiTheme="minorHAnsi"/>
        </w:rPr>
        <w:t xml:space="preserve">This analysis found that the number of prescriptions per patient </w:t>
      </w:r>
      <w:r w:rsidRPr="0007382E">
        <w:rPr>
          <w:rFonts w:asciiTheme="minorHAnsi" w:eastAsia="MS Mincho" w:hAnsiTheme="minorHAnsi"/>
        </w:rPr>
        <w:t>overall</w:t>
      </w:r>
      <w:r w:rsidRPr="00D9025F">
        <w:rPr>
          <w:rFonts w:asciiTheme="minorHAnsi" w:eastAsia="MS Mincho" w:hAnsiTheme="minorHAnsi"/>
        </w:rPr>
        <w:t xml:space="preserve"> was slightly more than expected, but these were spread over a longer period than expected and included breaks in treatment.</w:t>
      </w:r>
    </w:p>
    <w:p w:rsidR="00692AAD" w:rsidRPr="00D9025F" w:rsidRDefault="00692AAD" w:rsidP="00692AAD">
      <w:pPr>
        <w:pStyle w:val="ListParagraph"/>
        <w:spacing w:after="200"/>
        <w:ind w:left="0"/>
        <w:contextualSpacing/>
        <w:rPr>
          <w:rFonts w:asciiTheme="minorHAnsi" w:hAnsiTheme="minorHAnsi"/>
        </w:rPr>
      </w:pPr>
    </w:p>
    <w:p w:rsidR="00324E38" w:rsidRDefault="004A41E8" w:rsidP="00692AAD">
      <w:pPr>
        <w:pStyle w:val="ListParagraph"/>
        <w:spacing w:after="200"/>
        <w:ind w:left="0"/>
        <w:contextualSpacing/>
        <w:rPr>
          <w:rFonts w:eastAsia="MS Mincho"/>
          <w:szCs w:val="24"/>
        </w:rPr>
      </w:pPr>
      <w:r w:rsidRPr="00D9025F">
        <w:rPr>
          <w:rFonts w:asciiTheme="minorHAnsi" w:eastAsia="MS Mincho" w:hAnsiTheme="minorHAnsi"/>
        </w:rPr>
        <w:t xml:space="preserve">The proportion of use of the 5mg capsules was higher than </w:t>
      </w:r>
      <w:r w:rsidR="0028771A">
        <w:rPr>
          <w:rFonts w:asciiTheme="minorHAnsi" w:eastAsia="MS Mincho" w:hAnsiTheme="minorHAnsi"/>
        </w:rPr>
        <w:t xml:space="preserve">predicted. This result </w:t>
      </w:r>
      <w:r w:rsidR="005E11DF">
        <w:rPr>
          <w:rFonts w:asciiTheme="minorHAnsi" w:eastAsia="MS Mincho" w:hAnsiTheme="minorHAnsi"/>
        </w:rPr>
        <w:t>may indicate</w:t>
      </w:r>
      <w:r w:rsidRPr="00D9025F">
        <w:rPr>
          <w:rFonts w:asciiTheme="minorHAnsi" w:eastAsia="MS Mincho" w:hAnsiTheme="minorHAnsi"/>
        </w:rPr>
        <w:t xml:space="preserve"> that adverse events and dose reduction </w:t>
      </w:r>
      <w:r w:rsidR="005E11DF">
        <w:rPr>
          <w:rFonts w:asciiTheme="minorHAnsi" w:eastAsia="MS Mincho" w:hAnsiTheme="minorHAnsi"/>
        </w:rPr>
        <w:t>was</w:t>
      </w:r>
      <w:r w:rsidRPr="00D9025F">
        <w:rPr>
          <w:rFonts w:asciiTheme="minorHAnsi" w:eastAsia="MS Mincho" w:hAnsiTheme="minorHAnsi"/>
        </w:rPr>
        <w:t xml:space="preserve"> greater than predicted.</w:t>
      </w:r>
      <w:r w:rsidR="005468C1">
        <w:rPr>
          <w:rFonts w:asciiTheme="minorHAnsi" w:eastAsia="MS Mincho" w:hAnsiTheme="minorHAnsi"/>
        </w:rPr>
        <w:t xml:space="preserve"> </w:t>
      </w:r>
      <w:r w:rsidRPr="00D9025F">
        <w:rPr>
          <w:rFonts w:asciiTheme="minorHAnsi" w:eastAsia="MS Mincho" w:hAnsiTheme="minorHAnsi"/>
        </w:rPr>
        <w:t xml:space="preserve">The predicted cost savings from reduction of </w:t>
      </w:r>
      <w:r w:rsidRPr="00D9025F">
        <w:rPr>
          <w:rFonts w:asciiTheme="minorHAnsi" w:hAnsiTheme="minorHAnsi"/>
        </w:rPr>
        <w:t xml:space="preserve">deferasirox use </w:t>
      </w:r>
      <w:r w:rsidRPr="00D9025F">
        <w:rPr>
          <w:rFonts w:asciiTheme="minorHAnsi" w:eastAsia="MS Mincho" w:hAnsiTheme="minorHAnsi"/>
        </w:rPr>
        <w:t>were not realised.</w:t>
      </w:r>
    </w:p>
    <w:p w:rsidR="00692AAD" w:rsidRDefault="00692AAD" w:rsidP="00692AAD">
      <w:pPr>
        <w:contextualSpacing/>
        <w:rPr>
          <w:rFonts w:eastAsia="MS Mincho"/>
          <w:sz w:val="24"/>
          <w:szCs w:val="24"/>
        </w:rPr>
      </w:pPr>
      <w:r w:rsidRPr="00037A0C">
        <w:rPr>
          <w:rFonts w:eastAsia="MS Mincho"/>
          <w:sz w:val="24"/>
          <w:szCs w:val="24"/>
        </w:rPr>
        <w:t>DUSC requested that the report be provided to the PBAC.</w:t>
      </w:r>
    </w:p>
    <w:p w:rsidR="00324E38" w:rsidRDefault="00324E38" w:rsidP="0099648E">
      <w:pPr>
        <w:contextualSpacing/>
        <w:rPr>
          <w:rFonts w:eastAsia="MS Mincho"/>
          <w:sz w:val="24"/>
          <w:szCs w:val="24"/>
        </w:rPr>
      </w:pPr>
    </w:p>
    <w:p w:rsidR="00324E38" w:rsidRPr="00324E38" w:rsidRDefault="00324E38" w:rsidP="00324E38">
      <w:pPr>
        <w:autoSpaceDE w:val="0"/>
        <w:autoSpaceDN w:val="0"/>
        <w:adjustRightInd w:val="0"/>
        <w:contextualSpacing/>
        <w:rPr>
          <w:rFonts w:eastAsia="MS Mincho"/>
          <w:b/>
          <w:sz w:val="24"/>
          <w:szCs w:val="24"/>
        </w:rPr>
      </w:pPr>
      <w:r w:rsidRPr="00324E38">
        <w:rPr>
          <w:rFonts w:eastAsia="MS Mincho"/>
          <w:b/>
          <w:sz w:val="24"/>
          <w:szCs w:val="24"/>
        </w:rPr>
        <w:t>Eculizumab for atypical haemolytic uraemic syndrome (aHUS)</w:t>
      </w:r>
    </w:p>
    <w:p w:rsidR="006C0EEE" w:rsidRPr="006C0EEE" w:rsidRDefault="006C0EEE" w:rsidP="006C0EEE">
      <w:pPr>
        <w:rPr>
          <w:rFonts w:eastAsia="MS Mincho"/>
          <w:sz w:val="24"/>
          <w:szCs w:val="24"/>
        </w:rPr>
      </w:pPr>
      <w:r w:rsidRPr="006C0EEE">
        <w:rPr>
          <w:rFonts w:eastAsia="MS Mincho"/>
          <w:sz w:val="24"/>
          <w:szCs w:val="24"/>
        </w:rPr>
        <w:t xml:space="preserve">Use of eculizumab for atypical haemolytic uraemic syndrome (aHUS) in terms of the number of patients, vials and expenditure was more than double what was predicted in both the first and second years of listing. Since its listing in December 2014, 145 patients have been supplied eculizumab for aHUS at a cost to Government of $71.5 million (to May 2017). </w:t>
      </w:r>
    </w:p>
    <w:p w:rsidR="006C0EEE" w:rsidRPr="006C0EEE" w:rsidRDefault="006C0EEE" w:rsidP="006C0EEE">
      <w:pPr>
        <w:rPr>
          <w:rFonts w:eastAsia="MS Mincho"/>
          <w:sz w:val="24"/>
          <w:szCs w:val="24"/>
        </w:rPr>
      </w:pPr>
    </w:p>
    <w:p w:rsidR="006C0EEE" w:rsidRPr="006C0EEE" w:rsidRDefault="006C0EEE" w:rsidP="006C0EEE">
      <w:pPr>
        <w:rPr>
          <w:rFonts w:eastAsia="MS Mincho"/>
          <w:sz w:val="24"/>
          <w:szCs w:val="24"/>
        </w:rPr>
      </w:pPr>
      <w:r w:rsidRPr="006C0EEE">
        <w:rPr>
          <w:rFonts w:eastAsia="MS Mincho"/>
          <w:sz w:val="24"/>
          <w:szCs w:val="24"/>
        </w:rPr>
        <w:lastRenderedPageBreak/>
        <w:t xml:space="preserve">DUSC considered that uncertain estimates of Australian aHUS prevalence at the time of listing may </w:t>
      </w:r>
      <w:r w:rsidR="004B259A">
        <w:rPr>
          <w:rFonts w:eastAsia="MS Mincho"/>
          <w:sz w:val="24"/>
          <w:szCs w:val="24"/>
        </w:rPr>
        <w:t xml:space="preserve">be one factor </w:t>
      </w:r>
      <w:r w:rsidRPr="006C0EEE">
        <w:rPr>
          <w:rFonts w:eastAsia="MS Mincho"/>
          <w:sz w:val="24"/>
          <w:szCs w:val="24"/>
        </w:rPr>
        <w:t>contribut</w:t>
      </w:r>
      <w:r w:rsidR="004B259A">
        <w:rPr>
          <w:rFonts w:eastAsia="MS Mincho"/>
          <w:sz w:val="24"/>
          <w:szCs w:val="24"/>
        </w:rPr>
        <w:t>ing</w:t>
      </w:r>
      <w:r w:rsidRPr="006C0EEE">
        <w:rPr>
          <w:rFonts w:eastAsia="MS Mincho"/>
          <w:sz w:val="24"/>
          <w:szCs w:val="24"/>
        </w:rPr>
        <w:t xml:space="preserve"> to higher than expected use of eculizumab. DUSC noted ongoing research regarding whether discontinuation of eculizumab is appropriate. Some patients appear to discontinue eculizumab after around two years of treatment. While PBS data do not provide the reason for stopping treatment, DUSC questioned whether some patients may proceed to transplant.</w:t>
      </w:r>
    </w:p>
    <w:p w:rsidR="006C0EEE" w:rsidRPr="006C0EEE" w:rsidRDefault="006C0EEE" w:rsidP="006C0EEE">
      <w:pPr>
        <w:rPr>
          <w:rFonts w:eastAsia="MS Mincho"/>
          <w:sz w:val="24"/>
          <w:szCs w:val="24"/>
        </w:rPr>
      </w:pPr>
    </w:p>
    <w:p w:rsidR="006C0EEE" w:rsidRPr="006C0EEE" w:rsidRDefault="006C0EEE" w:rsidP="006C0EEE">
      <w:pPr>
        <w:rPr>
          <w:rFonts w:eastAsia="MS Mincho"/>
          <w:sz w:val="24"/>
          <w:szCs w:val="24"/>
        </w:rPr>
      </w:pPr>
      <w:r w:rsidRPr="006C0EEE">
        <w:rPr>
          <w:rFonts w:eastAsia="MS Mincho"/>
          <w:sz w:val="24"/>
          <w:szCs w:val="24"/>
        </w:rPr>
        <w:t>DUSC recalled the changes that have been made to the restriction criteria, including administrative arrangements, with increasing understanding of Australian clinical practice in using eculizumab for the treatment of aHUS. DUSC acknowledged the important role of expert clinicians in clarifying the clinical place for eculizumab in aHUS. Given use beyond predictions and the high cost of the medicine, DUSC requested a further review of ecul</w:t>
      </w:r>
      <w:r w:rsidR="00387684">
        <w:rPr>
          <w:rFonts w:eastAsia="MS Mincho"/>
          <w:sz w:val="24"/>
          <w:szCs w:val="24"/>
        </w:rPr>
        <w:t>izumab use in 12 months’ time.</w:t>
      </w:r>
    </w:p>
    <w:p w:rsidR="005468C1" w:rsidRDefault="005468C1" w:rsidP="0099648E">
      <w:pPr>
        <w:contextualSpacing/>
        <w:rPr>
          <w:rFonts w:eastAsia="MS Mincho"/>
          <w:sz w:val="24"/>
          <w:szCs w:val="24"/>
        </w:rPr>
      </w:pPr>
    </w:p>
    <w:p w:rsidR="00324E38" w:rsidRPr="00324E38" w:rsidRDefault="00324E38" w:rsidP="00324E38">
      <w:pPr>
        <w:autoSpaceDE w:val="0"/>
        <w:autoSpaceDN w:val="0"/>
        <w:adjustRightInd w:val="0"/>
        <w:contextualSpacing/>
        <w:rPr>
          <w:rFonts w:eastAsia="MS Mincho"/>
          <w:b/>
          <w:sz w:val="24"/>
          <w:szCs w:val="24"/>
        </w:rPr>
      </w:pPr>
      <w:r w:rsidRPr="00324E38">
        <w:rPr>
          <w:rFonts w:eastAsia="MS Mincho"/>
          <w:b/>
          <w:sz w:val="24"/>
          <w:szCs w:val="24"/>
        </w:rPr>
        <w:t>Paclitaxel, nanoparticle albumin-bound, for metastatic adenocarcinoma of the pancreas</w:t>
      </w:r>
    </w:p>
    <w:p w:rsidR="00DF5BCC" w:rsidRPr="00DF5BCC" w:rsidRDefault="00DF5BCC" w:rsidP="00DF5BCC">
      <w:pPr>
        <w:contextualSpacing/>
        <w:rPr>
          <w:rFonts w:eastAsia="MS Mincho"/>
          <w:sz w:val="24"/>
          <w:szCs w:val="24"/>
        </w:rPr>
      </w:pPr>
      <w:r w:rsidRPr="00DF5BCC">
        <w:rPr>
          <w:rFonts w:eastAsia="MS Mincho"/>
          <w:sz w:val="24"/>
          <w:szCs w:val="24"/>
        </w:rPr>
        <w:t xml:space="preserve">Since listing, 3,284 patients have been supplied nanoparticle albumin-bound paclitaxel (nab-paclitaxel) for stage IV (metastatic) adenocarcinoma of the pancreas. The number of patients treated per month had stabilised after 6 months of listing. DUSC noted pancreatic cancer is often not found until it has spread to other organs, and considered it was expected that for most patients there would not be long term or ongoing treatment of nab-paclitaxel for </w:t>
      </w:r>
      <w:r w:rsidR="00387684">
        <w:rPr>
          <w:rFonts w:eastAsia="MS Mincho"/>
          <w:sz w:val="24"/>
          <w:szCs w:val="24"/>
        </w:rPr>
        <w:t>adenocarcinoma of the pancreas.</w:t>
      </w:r>
    </w:p>
    <w:p w:rsidR="00DF5BCC" w:rsidRPr="00DF5BCC" w:rsidRDefault="00DF5BCC" w:rsidP="00DF5BCC">
      <w:pPr>
        <w:contextualSpacing/>
        <w:rPr>
          <w:rFonts w:eastAsia="MS Mincho"/>
          <w:sz w:val="24"/>
          <w:szCs w:val="24"/>
        </w:rPr>
      </w:pPr>
    </w:p>
    <w:p w:rsidR="00DF5BCC" w:rsidRPr="00DF5BCC" w:rsidRDefault="00DF5BCC" w:rsidP="00DF5BCC">
      <w:pPr>
        <w:contextualSpacing/>
        <w:rPr>
          <w:rFonts w:eastAsia="MS Mincho"/>
          <w:sz w:val="24"/>
          <w:szCs w:val="24"/>
        </w:rPr>
      </w:pPr>
      <w:r w:rsidRPr="00DF5BCC">
        <w:rPr>
          <w:rFonts w:eastAsia="MS Mincho"/>
          <w:sz w:val="24"/>
          <w:szCs w:val="24"/>
        </w:rPr>
        <w:t>An analysis of use found the number of patients was very similar to predicted, but the number of vials and prescriptions were lower than predicted. DUSC commented that PBS patients were likely to be older and sicker than the clinical trial patients. DUSC considered that the PBS patients may be more likely to experience drug related toxicity or need lo</w:t>
      </w:r>
      <w:r w:rsidR="00387684">
        <w:rPr>
          <w:rFonts w:eastAsia="MS Mincho"/>
          <w:sz w:val="24"/>
          <w:szCs w:val="24"/>
        </w:rPr>
        <w:t>nger breaks between treatments.</w:t>
      </w:r>
    </w:p>
    <w:p w:rsidR="00DF5BCC" w:rsidRPr="00DF5BCC" w:rsidRDefault="00DF5BCC" w:rsidP="00DF5BCC">
      <w:pPr>
        <w:contextualSpacing/>
        <w:rPr>
          <w:rFonts w:eastAsia="MS Mincho"/>
          <w:sz w:val="24"/>
          <w:szCs w:val="24"/>
        </w:rPr>
      </w:pPr>
    </w:p>
    <w:p w:rsidR="00DF5BCC" w:rsidRDefault="00DF5BCC" w:rsidP="00DF5BCC">
      <w:pPr>
        <w:contextualSpacing/>
        <w:rPr>
          <w:rFonts w:eastAsia="MS Mincho"/>
          <w:sz w:val="24"/>
          <w:szCs w:val="24"/>
        </w:rPr>
      </w:pPr>
      <w:r w:rsidRPr="00DF5BCC">
        <w:rPr>
          <w:rFonts w:eastAsia="MS Mincho"/>
          <w:sz w:val="24"/>
          <w:szCs w:val="24"/>
        </w:rPr>
        <w:t>DUSC requested that the report be provided to the PBAC.</w:t>
      </w:r>
    </w:p>
    <w:p w:rsidR="00324E38" w:rsidRDefault="00324E38" w:rsidP="0099648E">
      <w:pPr>
        <w:contextualSpacing/>
        <w:rPr>
          <w:rFonts w:eastAsia="MS Mincho"/>
          <w:sz w:val="24"/>
          <w:szCs w:val="24"/>
        </w:rPr>
      </w:pPr>
    </w:p>
    <w:p w:rsidR="00324E38" w:rsidRDefault="00324E38" w:rsidP="0099648E">
      <w:pPr>
        <w:contextualSpacing/>
        <w:rPr>
          <w:rFonts w:eastAsia="MS Mincho"/>
          <w:sz w:val="24"/>
          <w:szCs w:val="24"/>
        </w:rPr>
      </w:pPr>
      <w:r>
        <w:rPr>
          <w:rFonts w:eastAsia="MS Mincho"/>
          <w:b/>
          <w:sz w:val="24"/>
          <w:szCs w:val="24"/>
        </w:rPr>
        <w:t>Multiple myeloma</w:t>
      </w:r>
    </w:p>
    <w:p w:rsidR="0006189D" w:rsidRPr="0006189D" w:rsidRDefault="0006189D" w:rsidP="0006189D">
      <w:pPr>
        <w:rPr>
          <w:sz w:val="24"/>
          <w:szCs w:val="24"/>
        </w:rPr>
      </w:pPr>
      <w:r w:rsidRPr="0006189D">
        <w:rPr>
          <w:sz w:val="24"/>
          <w:szCs w:val="24"/>
        </w:rPr>
        <w:t>DUSC reviewed the utilisation of four medicines which are used in the management of multiple myeloma, including thalidomide, bortezomib, lenalidomide and pomalidomide. DUSC noted that the number of patients with multiple myeloma had increased over time. This may reflect an improving life expectancy of multiple myeloma patients from advances in t</w:t>
      </w:r>
      <w:r w:rsidR="00387684">
        <w:rPr>
          <w:sz w:val="24"/>
          <w:szCs w:val="24"/>
        </w:rPr>
        <w:t>he treatment of this condition.</w:t>
      </w:r>
    </w:p>
    <w:p w:rsidR="0006189D" w:rsidRPr="0006189D" w:rsidRDefault="0006189D" w:rsidP="0006189D">
      <w:pPr>
        <w:rPr>
          <w:sz w:val="24"/>
          <w:szCs w:val="24"/>
        </w:rPr>
      </w:pPr>
    </w:p>
    <w:p w:rsidR="0006189D" w:rsidRPr="0006189D" w:rsidRDefault="0006189D" w:rsidP="0006189D">
      <w:pPr>
        <w:rPr>
          <w:sz w:val="24"/>
          <w:szCs w:val="24"/>
        </w:rPr>
      </w:pPr>
      <w:r w:rsidRPr="0006189D">
        <w:rPr>
          <w:sz w:val="24"/>
          <w:szCs w:val="24"/>
        </w:rPr>
        <w:t xml:space="preserve">DUSC noted that in most cases, the medicines were being used consistent with their restriction criteria. The restrictions for thalidomide, bortezomib, lenalidomide and pomalidomide require that these medicines cannot be used in combination with each other. There were very few cases found (less than 1%) where more than one medicine was being </w:t>
      </w:r>
      <w:r w:rsidR="0018567C">
        <w:rPr>
          <w:sz w:val="24"/>
          <w:szCs w:val="24"/>
        </w:rPr>
        <w:t xml:space="preserve">prescribed on the PBS </w:t>
      </w:r>
      <w:r w:rsidRPr="0006189D">
        <w:rPr>
          <w:sz w:val="24"/>
          <w:szCs w:val="24"/>
        </w:rPr>
        <w:t>at a time. Under the restriction for pomalidomide, a patient may only get approval to use this medicine if they have not responded to previous therapy with lenalidomide and also prior therapy with bortezomib. Only a small number of patients were identified as using pomalidomide without first being treated with lenalidomide and bortezomib. Over the data analysis period</w:t>
      </w:r>
      <w:r w:rsidR="00B561D0">
        <w:rPr>
          <w:sz w:val="24"/>
          <w:szCs w:val="24"/>
        </w:rPr>
        <w:t>, which was</w:t>
      </w:r>
      <w:r w:rsidRPr="0006189D">
        <w:rPr>
          <w:sz w:val="24"/>
          <w:szCs w:val="24"/>
        </w:rPr>
        <w:t xml:space="preserve"> up to December 2016, lenalidomide was not listed to treat patients with newly diagnosed multiple myeloma. A small proportion of patients did not have a prior medicine before using lenalidomide. DUSC noted that lenalidomide had since listed to treat newly diagnosed patients from 1 February 2017.</w:t>
      </w:r>
    </w:p>
    <w:p w:rsidR="0006189D" w:rsidRPr="0006189D" w:rsidRDefault="0006189D" w:rsidP="0006189D">
      <w:pPr>
        <w:rPr>
          <w:sz w:val="24"/>
          <w:szCs w:val="24"/>
        </w:rPr>
      </w:pPr>
    </w:p>
    <w:p w:rsidR="0006189D" w:rsidRPr="0006189D" w:rsidRDefault="0006189D" w:rsidP="0006189D">
      <w:pPr>
        <w:rPr>
          <w:sz w:val="24"/>
          <w:szCs w:val="24"/>
        </w:rPr>
      </w:pPr>
      <w:r w:rsidRPr="0006189D">
        <w:rPr>
          <w:sz w:val="24"/>
          <w:szCs w:val="24"/>
        </w:rPr>
        <w:t>DUSC noted that new clinical practice guidelines for the treatment of multiple myeloma were released by the Medical Scientific Advisory Group to the Myeloma Foundation of Australia in 2017. DUSC considered that the introduction of the new guidelines had the potential to change the utilisation of medicines for multiple myeloma in the future.</w:t>
      </w:r>
    </w:p>
    <w:p w:rsidR="0006189D" w:rsidRPr="0006189D" w:rsidRDefault="0006189D" w:rsidP="0006189D">
      <w:pPr>
        <w:rPr>
          <w:sz w:val="24"/>
          <w:szCs w:val="24"/>
        </w:rPr>
      </w:pPr>
    </w:p>
    <w:p w:rsidR="0006189D" w:rsidRPr="0006189D" w:rsidRDefault="0006189D" w:rsidP="0006189D">
      <w:pPr>
        <w:rPr>
          <w:sz w:val="24"/>
          <w:szCs w:val="24"/>
        </w:rPr>
      </w:pPr>
      <w:r w:rsidRPr="0006189D">
        <w:rPr>
          <w:sz w:val="24"/>
          <w:szCs w:val="24"/>
        </w:rPr>
        <w:t>DUSC requested that the report be provided to the PBAC.</w:t>
      </w:r>
    </w:p>
    <w:p w:rsidR="00D73D6C" w:rsidRPr="00D73D6C" w:rsidRDefault="00D73D6C" w:rsidP="00D73D6C"/>
    <w:p w:rsidR="00813C07" w:rsidRPr="00584E81" w:rsidRDefault="00EC27B1" w:rsidP="008B6946">
      <w:pPr>
        <w:pStyle w:val="Heading2"/>
      </w:pPr>
      <w:r w:rsidRPr="00584E81">
        <w:t>Upcoming</w:t>
      </w:r>
      <w:r w:rsidR="00813C07" w:rsidRPr="00584E81">
        <w:t xml:space="preserve"> </w:t>
      </w:r>
      <w:r w:rsidR="00006EF5" w:rsidRPr="00584E81">
        <w:t>U</w:t>
      </w:r>
      <w:r w:rsidR="00E60246" w:rsidRPr="00584E81">
        <w:t xml:space="preserve">tilisation </w:t>
      </w:r>
      <w:r w:rsidR="00006EF5" w:rsidRPr="00584E81">
        <w:t>A</w:t>
      </w:r>
      <w:r w:rsidR="00E60246" w:rsidRPr="00584E81">
        <w:t xml:space="preserve">nalysis </w:t>
      </w:r>
      <w:r w:rsidR="00006EF5" w:rsidRPr="00584E81">
        <w:t>of PBS L</w:t>
      </w:r>
      <w:r w:rsidR="00813C07" w:rsidRPr="00584E81">
        <w:t xml:space="preserve">isted </w:t>
      </w:r>
      <w:r w:rsidR="007D4108" w:rsidRPr="00584E81">
        <w:t>Medicines</w:t>
      </w:r>
    </w:p>
    <w:p w:rsidR="00D06634" w:rsidRDefault="002B7EE2" w:rsidP="008B6946">
      <w:pPr>
        <w:rPr>
          <w:sz w:val="24"/>
          <w:szCs w:val="24"/>
        </w:rPr>
      </w:pPr>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 xml:space="preserve">and therapeutic areas have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513E5D" w:rsidRPr="00584E81" w:rsidRDefault="00513E5D" w:rsidP="008B6946">
      <w:pPr>
        <w:rPr>
          <w:sz w:val="24"/>
          <w:szCs w:val="24"/>
        </w:rPr>
      </w:pPr>
    </w:p>
    <w:p w:rsidR="0099648E" w:rsidRPr="00235EF9" w:rsidRDefault="0099648E" w:rsidP="0099648E">
      <w:pPr>
        <w:pStyle w:val="ListParagraph"/>
        <w:autoSpaceDE w:val="0"/>
        <w:autoSpaceDN w:val="0"/>
        <w:adjustRightInd w:val="0"/>
        <w:ind w:left="0"/>
        <w:contextualSpacing/>
        <w:rPr>
          <w:b/>
          <w:szCs w:val="24"/>
        </w:rPr>
      </w:pPr>
      <w:r w:rsidRPr="00235EF9">
        <w:rPr>
          <w:b/>
          <w:szCs w:val="24"/>
        </w:rPr>
        <w:t>Analysis of multiple medicines in a treatment area</w:t>
      </w:r>
    </w:p>
    <w:p w:rsidR="00324E38" w:rsidRDefault="0004475E" w:rsidP="0099648E">
      <w:pPr>
        <w:pStyle w:val="ListParagraph"/>
        <w:numPr>
          <w:ilvl w:val="0"/>
          <w:numId w:val="1"/>
        </w:numPr>
        <w:autoSpaceDE w:val="0"/>
        <w:autoSpaceDN w:val="0"/>
        <w:adjustRightInd w:val="0"/>
        <w:contextualSpacing/>
        <w:rPr>
          <w:szCs w:val="24"/>
        </w:rPr>
      </w:pPr>
      <w:r>
        <w:rPr>
          <w:szCs w:val="24"/>
        </w:rPr>
        <w:t>Trastuzumab, trastuzumab emtansine and pertuzumab for HER2 positive metastatic breast cancer</w:t>
      </w:r>
    </w:p>
    <w:p w:rsidR="002B4E60" w:rsidRDefault="00324E38" w:rsidP="0004475E">
      <w:pPr>
        <w:pStyle w:val="ListParagraph"/>
        <w:numPr>
          <w:ilvl w:val="0"/>
          <w:numId w:val="1"/>
        </w:numPr>
        <w:autoSpaceDE w:val="0"/>
        <w:autoSpaceDN w:val="0"/>
        <w:adjustRightInd w:val="0"/>
        <w:contextualSpacing/>
        <w:rPr>
          <w:szCs w:val="24"/>
        </w:rPr>
      </w:pPr>
      <w:r w:rsidRPr="0004475E">
        <w:rPr>
          <w:szCs w:val="24"/>
        </w:rPr>
        <w:t xml:space="preserve">Ranibizumab and aflibercept for </w:t>
      </w:r>
      <w:r w:rsidR="0004475E">
        <w:rPr>
          <w:szCs w:val="24"/>
        </w:rPr>
        <w:t>age-related macular degeneration, diabetic macular oedema, central retinal vein occlusion and branch retinal vein occlusion.</w:t>
      </w:r>
    </w:p>
    <w:p w:rsidR="00002AE8" w:rsidRDefault="00002AE8" w:rsidP="008B6946">
      <w:pPr>
        <w:rPr>
          <w:sz w:val="24"/>
          <w:szCs w:val="24"/>
        </w:rPr>
      </w:pPr>
    </w:p>
    <w:p w:rsidR="00D73D6C" w:rsidRPr="00D73D6C" w:rsidRDefault="00D73D6C" w:rsidP="00D73D6C">
      <w:pPr>
        <w:pStyle w:val="Heading2"/>
      </w:pPr>
      <w:r w:rsidRPr="00D73D6C">
        <w:t>Other matters</w:t>
      </w:r>
    </w:p>
    <w:p w:rsidR="00D73D6C" w:rsidRPr="00D73D6C" w:rsidRDefault="00D73D6C" w:rsidP="00D73D6C">
      <w:pPr>
        <w:rPr>
          <w:sz w:val="24"/>
          <w:szCs w:val="24"/>
        </w:rPr>
      </w:pPr>
    </w:p>
    <w:p w:rsidR="00C14FE4" w:rsidRPr="0018567C" w:rsidRDefault="00C14FE4" w:rsidP="00C14FE4">
      <w:pPr>
        <w:rPr>
          <w:sz w:val="24"/>
          <w:szCs w:val="24"/>
        </w:rPr>
      </w:pPr>
      <w:r w:rsidRPr="0018567C">
        <w:rPr>
          <w:sz w:val="24"/>
          <w:szCs w:val="24"/>
        </w:rPr>
        <w:t xml:space="preserve">DUSC reviewed the research report on the utilisation of PBS-listed medicines to treat asthma in children, which was an update of the utilisation analysis and clinical evidence presented </w:t>
      </w:r>
      <w:r w:rsidR="003C1363" w:rsidRPr="0018567C">
        <w:rPr>
          <w:sz w:val="24"/>
          <w:szCs w:val="24"/>
        </w:rPr>
        <w:t xml:space="preserve"> in</w:t>
      </w:r>
      <w:r w:rsidR="00766DBB" w:rsidRPr="0018567C">
        <w:rPr>
          <w:sz w:val="24"/>
          <w:szCs w:val="24"/>
        </w:rPr>
        <w:t xml:space="preserve"> the 2014 post-market review</w:t>
      </w:r>
      <w:r w:rsidRPr="0018567C">
        <w:rPr>
          <w:sz w:val="24"/>
          <w:szCs w:val="24"/>
        </w:rPr>
        <w:t xml:space="preserve"> of these medicines.</w:t>
      </w:r>
    </w:p>
    <w:p w:rsidR="00C14FE4" w:rsidRPr="0018567C" w:rsidRDefault="00C14FE4" w:rsidP="00C14FE4">
      <w:pPr>
        <w:rPr>
          <w:sz w:val="24"/>
          <w:szCs w:val="24"/>
        </w:rPr>
      </w:pPr>
    </w:p>
    <w:p w:rsidR="00C14FE4" w:rsidRPr="00A65083" w:rsidRDefault="00C14FE4" w:rsidP="00C14FE4">
      <w:pPr>
        <w:rPr>
          <w:sz w:val="24"/>
          <w:szCs w:val="24"/>
        </w:rPr>
      </w:pPr>
      <w:r w:rsidRPr="0018567C">
        <w:rPr>
          <w:sz w:val="24"/>
          <w:szCs w:val="24"/>
        </w:rPr>
        <w:t xml:space="preserve">DUSC noted that, of those children who initiated </w:t>
      </w:r>
      <w:r w:rsidR="00541A35" w:rsidRPr="00541A35">
        <w:rPr>
          <w:sz w:val="24"/>
          <w:szCs w:val="24"/>
        </w:rPr>
        <w:t>inhaled corticosteroid (ICS)/long acting beta-antagonists (LABA)</w:t>
      </w:r>
      <w:r w:rsidRPr="0018567C">
        <w:rPr>
          <w:sz w:val="24"/>
          <w:szCs w:val="24"/>
        </w:rPr>
        <w:t xml:space="preserve">, 64%  had no prior dispensing of ICS or oral corticosteroids, contrary  to PBS restrictions.   DUSC noted, whilst the 2017 research identified a small reduction in the  use of ICS /LABA inhalers, current utilisation was  still problematic. DUSC </w:t>
      </w:r>
      <w:r w:rsidR="0018567C" w:rsidRPr="0018567C">
        <w:rPr>
          <w:sz w:val="24"/>
          <w:szCs w:val="24"/>
        </w:rPr>
        <w:t>referred to the stepped approach to adjusting asthma medication in children, as outlined in the 2014 Australian Asthma Handbook, and</w:t>
      </w:r>
      <w:r w:rsidRPr="0018567C">
        <w:rPr>
          <w:sz w:val="24"/>
          <w:szCs w:val="24"/>
        </w:rPr>
        <w:t xml:space="preserve"> noted that only a small proportion of children with asthma  require an ICS/LABA combination.</w:t>
      </w:r>
    </w:p>
    <w:p w:rsidR="002D50B7" w:rsidRPr="00A65083" w:rsidRDefault="002D50B7" w:rsidP="002D50B7">
      <w:pPr>
        <w:rPr>
          <w:sz w:val="24"/>
          <w:szCs w:val="24"/>
        </w:rPr>
      </w:pPr>
    </w:p>
    <w:p w:rsidR="002D50B7" w:rsidRDefault="002D50B7" w:rsidP="002D50B7">
      <w:pPr>
        <w:rPr>
          <w:sz w:val="24"/>
          <w:szCs w:val="24"/>
        </w:rPr>
      </w:pPr>
      <w:r w:rsidRPr="00A65083">
        <w:rPr>
          <w:sz w:val="24"/>
          <w:szCs w:val="24"/>
        </w:rPr>
        <w:t>DUSC  considered that an Authority Required</w:t>
      </w:r>
      <w:r>
        <w:rPr>
          <w:sz w:val="24"/>
          <w:szCs w:val="24"/>
        </w:rPr>
        <w:t xml:space="preserve"> Streamlined restriction of ICS/LABA for all ICS/LABA FDCs may help address the above mentioned QUM issues. The DUSC requested that the report be provided to the PBAC.</w:t>
      </w:r>
    </w:p>
    <w:p w:rsidR="00E224FD" w:rsidRDefault="00E224FD" w:rsidP="009D2858">
      <w:pPr>
        <w:rPr>
          <w:sz w:val="24"/>
          <w:szCs w:val="24"/>
        </w:rPr>
      </w:pPr>
    </w:p>
    <w:p w:rsidR="009D2858" w:rsidRDefault="009D2858" w:rsidP="009D2858">
      <w:pPr>
        <w:rPr>
          <w:sz w:val="24"/>
          <w:szCs w:val="24"/>
        </w:rPr>
      </w:pPr>
      <w:r w:rsidRPr="009D2858">
        <w:rPr>
          <w:sz w:val="24"/>
          <w:szCs w:val="24"/>
        </w:rPr>
        <w:t>An outcome statement will be available following each meeting of DUSC. For further information, please contact the DUSC Secretariat at DUSC@health.gov.au.</w:t>
      </w:r>
    </w:p>
    <w:p w:rsidR="00313B7D" w:rsidRDefault="00313B7D" w:rsidP="008B6946">
      <w:pPr>
        <w:rPr>
          <w:sz w:val="24"/>
          <w:szCs w:val="24"/>
        </w:rPr>
      </w:pPr>
    </w:p>
    <w:p w:rsidR="009B25AF" w:rsidRDefault="009B25AF" w:rsidP="008B6946">
      <w:pPr>
        <w:rPr>
          <w:sz w:val="24"/>
          <w:szCs w:val="24"/>
        </w:rPr>
      </w:pPr>
      <w:bookmarkStart w:id="0" w:name="_GoBack"/>
      <w:bookmarkEnd w:id="0"/>
    </w:p>
    <w:p w:rsidR="00002AE8" w:rsidRDefault="00303E60" w:rsidP="008B6946">
      <w:pPr>
        <w:rPr>
          <w:sz w:val="24"/>
          <w:szCs w:val="24"/>
        </w:rPr>
      </w:pPr>
      <w:r>
        <w:rPr>
          <w:sz w:val="24"/>
          <w:szCs w:val="24"/>
        </w:rPr>
        <w:t>A/</w:t>
      </w:r>
      <w:r w:rsidR="00002AE8">
        <w:rPr>
          <w:sz w:val="24"/>
          <w:szCs w:val="24"/>
        </w:rPr>
        <w:t xml:space="preserve">Professor </w:t>
      </w:r>
      <w:r w:rsidR="009341E3">
        <w:rPr>
          <w:sz w:val="24"/>
          <w:szCs w:val="24"/>
        </w:rPr>
        <w:t>Chris</w:t>
      </w:r>
      <w:r>
        <w:rPr>
          <w:sz w:val="24"/>
          <w:szCs w:val="24"/>
        </w:rPr>
        <w:t>topher</w:t>
      </w:r>
      <w:r w:rsidR="009341E3">
        <w:rPr>
          <w:sz w:val="24"/>
          <w:szCs w:val="24"/>
        </w:rPr>
        <w:t xml:space="preserve"> Etherton-Beer</w:t>
      </w:r>
    </w:p>
    <w:p w:rsidR="00002AE8" w:rsidRDefault="00002AE8" w:rsidP="008B6946">
      <w:pPr>
        <w:rPr>
          <w:sz w:val="24"/>
          <w:szCs w:val="24"/>
        </w:rPr>
      </w:pPr>
      <w:r>
        <w:rPr>
          <w:sz w:val="24"/>
          <w:szCs w:val="24"/>
        </w:rPr>
        <w:t>Chair</w:t>
      </w:r>
    </w:p>
    <w:p w:rsidR="00002AE8" w:rsidRPr="003F06C8" w:rsidRDefault="00C9017B" w:rsidP="008B6946">
      <w:pPr>
        <w:rPr>
          <w:sz w:val="24"/>
          <w:szCs w:val="24"/>
        </w:rPr>
      </w:pPr>
      <w:r>
        <w:rPr>
          <w:sz w:val="24"/>
          <w:szCs w:val="24"/>
        </w:rPr>
        <w:t>Drug Utilisation Sub-Committee</w:t>
      </w:r>
    </w:p>
    <w:sectPr w:rsidR="00002AE8" w:rsidRPr="003F06C8" w:rsidSect="007166A9">
      <w:footerReference w:type="default" r:id="rId14"/>
      <w:headerReference w:type="first" r:id="rId15"/>
      <w:footerReference w:type="first" r:id="rId16"/>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7A" w:rsidRDefault="00473E7A">
      <w:r>
        <w:separator/>
      </w:r>
    </w:p>
  </w:endnote>
  <w:endnote w:type="continuationSeparator" w:id="0">
    <w:p w:rsidR="00473E7A" w:rsidRDefault="0047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9B25AF">
      <w:rPr>
        <w:noProof/>
      </w:rPr>
      <w:t>4</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E0093A">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7A" w:rsidRDefault="00473E7A">
      <w:r>
        <w:separator/>
      </w:r>
    </w:p>
  </w:footnote>
  <w:footnote w:type="continuationSeparator" w:id="0">
    <w:p w:rsidR="00473E7A" w:rsidRDefault="0047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562AF">
    <w:pPr>
      <w:pStyle w:val="Header"/>
    </w:pPr>
    <w:r>
      <w:rPr>
        <w:noProof/>
      </w:rPr>
      <w:drawing>
        <wp:inline distT="0" distB="0" distL="0" distR="0" wp14:anchorId="589A212B" wp14:editId="2BF75CFE">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324E38">
      <w:rPr>
        <w:rStyle w:val="Heading1Char"/>
        <w:b/>
      </w:rPr>
      <w:t>28-29 September</w:t>
    </w:r>
    <w:r w:rsidR="001F7E8B">
      <w:rPr>
        <w:rStyle w:val="Heading1Char"/>
        <w:b/>
      </w:rPr>
      <w:t xml:space="preserve"> 2017</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1AF3"/>
    <w:rsid w:val="000253E4"/>
    <w:rsid w:val="0002613B"/>
    <w:rsid w:val="00026898"/>
    <w:rsid w:val="000304CA"/>
    <w:rsid w:val="000308AD"/>
    <w:rsid w:val="00032252"/>
    <w:rsid w:val="0003541E"/>
    <w:rsid w:val="00037A0C"/>
    <w:rsid w:val="0004475E"/>
    <w:rsid w:val="00047105"/>
    <w:rsid w:val="00054C1A"/>
    <w:rsid w:val="00055BF6"/>
    <w:rsid w:val="00061505"/>
    <w:rsid w:val="0006189D"/>
    <w:rsid w:val="00061BD3"/>
    <w:rsid w:val="000701B8"/>
    <w:rsid w:val="00071505"/>
    <w:rsid w:val="0007382E"/>
    <w:rsid w:val="0007482C"/>
    <w:rsid w:val="00076E4C"/>
    <w:rsid w:val="00080B21"/>
    <w:rsid w:val="00080FDB"/>
    <w:rsid w:val="0009006A"/>
    <w:rsid w:val="00090474"/>
    <w:rsid w:val="00094597"/>
    <w:rsid w:val="00096B9B"/>
    <w:rsid w:val="0009747E"/>
    <w:rsid w:val="000A02F8"/>
    <w:rsid w:val="000A0713"/>
    <w:rsid w:val="000A13FE"/>
    <w:rsid w:val="000A31AD"/>
    <w:rsid w:val="000A53A6"/>
    <w:rsid w:val="000B14A0"/>
    <w:rsid w:val="000B5448"/>
    <w:rsid w:val="000C1D0B"/>
    <w:rsid w:val="000C58C8"/>
    <w:rsid w:val="000D6712"/>
    <w:rsid w:val="000E178A"/>
    <w:rsid w:val="000E18F9"/>
    <w:rsid w:val="000F3387"/>
    <w:rsid w:val="000F5C42"/>
    <w:rsid w:val="000F70AE"/>
    <w:rsid w:val="000F73FB"/>
    <w:rsid w:val="000F7CE1"/>
    <w:rsid w:val="00101877"/>
    <w:rsid w:val="00102579"/>
    <w:rsid w:val="001062BB"/>
    <w:rsid w:val="00106A1B"/>
    <w:rsid w:val="001071DA"/>
    <w:rsid w:val="001145B4"/>
    <w:rsid w:val="001215D4"/>
    <w:rsid w:val="00121F43"/>
    <w:rsid w:val="001223D1"/>
    <w:rsid w:val="00123237"/>
    <w:rsid w:val="00137CE5"/>
    <w:rsid w:val="00141172"/>
    <w:rsid w:val="00142512"/>
    <w:rsid w:val="00151940"/>
    <w:rsid w:val="00152272"/>
    <w:rsid w:val="001528A6"/>
    <w:rsid w:val="00153667"/>
    <w:rsid w:val="00154D0A"/>
    <w:rsid w:val="00160EF6"/>
    <w:rsid w:val="00166CEB"/>
    <w:rsid w:val="00170E5B"/>
    <w:rsid w:val="001779FD"/>
    <w:rsid w:val="0018567C"/>
    <w:rsid w:val="00186DD1"/>
    <w:rsid w:val="0018700E"/>
    <w:rsid w:val="001902AC"/>
    <w:rsid w:val="001933E2"/>
    <w:rsid w:val="0019724B"/>
    <w:rsid w:val="001A10FD"/>
    <w:rsid w:val="001A3F70"/>
    <w:rsid w:val="001A449F"/>
    <w:rsid w:val="001A4CD7"/>
    <w:rsid w:val="001A7B67"/>
    <w:rsid w:val="001B1949"/>
    <w:rsid w:val="001B19E3"/>
    <w:rsid w:val="001B2A10"/>
    <w:rsid w:val="001C0316"/>
    <w:rsid w:val="001C5A7B"/>
    <w:rsid w:val="001C61FD"/>
    <w:rsid w:val="001C7C04"/>
    <w:rsid w:val="001F33DA"/>
    <w:rsid w:val="001F4200"/>
    <w:rsid w:val="001F6850"/>
    <w:rsid w:val="001F7E8B"/>
    <w:rsid w:val="001F7F87"/>
    <w:rsid w:val="00200BA3"/>
    <w:rsid w:val="00203342"/>
    <w:rsid w:val="00203986"/>
    <w:rsid w:val="00211F6D"/>
    <w:rsid w:val="00213EAC"/>
    <w:rsid w:val="002168C1"/>
    <w:rsid w:val="00216CE7"/>
    <w:rsid w:val="00224079"/>
    <w:rsid w:val="00224DF5"/>
    <w:rsid w:val="00230732"/>
    <w:rsid w:val="00235EF9"/>
    <w:rsid w:val="002362A1"/>
    <w:rsid w:val="00237631"/>
    <w:rsid w:val="002421EE"/>
    <w:rsid w:val="00242420"/>
    <w:rsid w:val="00247102"/>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8771A"/>
    <w:rsid w:val="00291D51"/>
    <w:rsid w:val="00292E10"/>
    <w:rsid w:val="00294F3F"/>
    <w:rsid w:val="0029548B"/>
    <w:rsid w:val="002A2FEF"/>
    <w:rsid w:val="002A48D7"/>
    <w:rsid w:val="002A6291"/>
    <w:rsid w:val="002A6A51"/>
    <w:rsid w:val="002B0FD1"/>
    <w:rsid w:val="002B4E60"/>
    <w:rsid w:val="002B4FA1"/>
    <w:rsid w:val="002B519D"/>
    <w:rsid w:val="002B7EE2"/>
    <w:rsid w:val="002C1B64"/>
    <w:rsid w:val="002D3C76"/>
    <w:rsid w:val="002D3FC7"/>
    <w:rsid w:val="002D50B7"/>
    <w:rsid w:val="002D516C"/>
    <w:rsid w:val="002D734E"/>
    <w:rsid w:val="002E6F6A"/>
    <w:rsid w:val="002E7CA2"/>
    <w:rsid w:val="002E7E14"/>
    <w:rsid w:val="002F131D"/>
    <w:rsid w:val="002F281B"/>
    <w:rsid w:val="002F6C13"/>
    <w:rsid w:val="002F7138"/>
    <w:rsid w:val="003026E0"/>
    <w:rsid w:val="00303E60"/>
    <w:rsid w:val="00307F20"/>
    <w:rsid w:val="00312E8E"/>
    <w:rsid w:val="00313B7D"/>
    <w:rsid w:val="00313FED"/>
    <w:rsid w:val="00324E38"/>
    <w:rsid w:val="00325C25"/>
    <w:rsid w:val="0032620A"/>
    <w:rsid w:val="0033439A"/>
    <w:rsid w:val="00335BE5"/>
    <w:rsid w:val="003361C9"/>
    <w:rsid w:val="00336E3A"/>
    <w:rsid w:val="00337241"/>
    <w:rsid w:val="003409D6"/>
    <w:rsid w:val="003468B6"/>
    <w:rsid w:val="003512F6"/>
    <w:rsid w:val="0035266E"/>
    <w:rsid w:val="00352D12"/>
    <w:rsid w:val="003555E8"/>
    <w:rsid w:val="00357332"/>
    <w:rsid w:val="0035787B"/>
    <w:rsid w:val="003620F9"/>
    <w:rsid w:val="00362581"/>
    <w:rsid w:val="00371376"/>
    <w:rsid w:val="0037338E"/>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3E03"/>
    <w:rsid w:val="003C5342"/>
    <w:rsid w:val="003C7822"/>
    <w:rsid w:val="003D0574"/>
    <w:rsid w:val="003D6109"/>
    <w:rsid w:val="003D62AA"/>
    <w:rsid w:val="003D6C07"/>
    <w:rsid w:val="003E1ED8"/>
    <w:rsid w:val="003E601F"/>
    <w:rsid w:val="003F021A"/>
    <w:rsid w:val="003F06C8"/>
    <w:rsid w:val="003F1DCA"/>
    <w:rsid w:val="00405743"/>
    <w:rsid w:val="00406FC4"/>
    <w:rsid w:val="00415BE7"/>
    <w:rsid w:val="0042032E"/>
    <w:rsid w:val="00420E99"/>
    <w:rsid w:val="0042129E"/>
    <w:rsid w:val="00421874"/>
    <w:rsid w:val="00423C42"/>
    <w:rsid w:val="00435449"/>
    <w:rsid w:val="004374C3"/>
    <w:rsid w:val="0044076B"/>
    <w:rsid w:val="0044367B"/>
    <w:rsid w:val="00445679"/>
    <w:rsid w:val="00451ABF"/>
    <w:rsid w:val="004521E9"/>
    <w:rsid w:val="00455C86"/>
    <w:rsid w:val="004566A9"/>
    <w:rsid w:val="00461EAF"/>
    <w:rsid w:val="00463497"/>
    <w:rsid w:val="00463B7E"/>
    <w:rsid w:val="00465EED"/>
    <w:rsid w:val="00466242"/>
    <w:rsid w:val="00471240"/>
    <w:rsid w:val="00473DA7"/>
    <w:rsid w:val="00473E7A"/>
    <w:rsid w:val="0047415B"/>
    <w:rsid w:val="00477500"/>
    <w:rsid w:val="00477A9F"/>
    <w:rsid w:val="00477B65"/>
    <w:rsid w:val="004839FE"/>
    <w:rsid w:val="00487B49"/>
    <w:rsid w:val="0049330F"/>
    <w:rsid w:val="0049403E"/>
    <w:rsid w:val="00496AC8"/>
    <w:rsid w:val="004A055D"/>
    <w:rsid w:val="004A41E8"/>
    <w:rsid w:val="004B07E1"/>
    <w:rsid w:val="004B259A"/>
    <w:rsid w:val="004B37DD"/>
    <w:rsid w:val="004B41AC"/>
    <w:rsid w:val="004B4E02"/>
    <w:rsid w:val="004C01CD"/>
    <w:rsid w:val="004C1966"/>
    <w:rsid w:val="004C3CFD"/>
    <w:rsid w:val="004C7FA9"/>
    <w:rsid w:val="004D0311"/>
    <w:rsid w:val="004D75BE"/>
    <w:rsid w:val="004E5A1F"/>
    <w:rsid w:val="004F049D"/>
    <w:rsid w:val="004F083B"/>
    <w:rsid w:val="004F17CC"/>
    <w:rsid w:val="004F201C"/>
    <w:rsid w:val="004F60E0"/>
    <w:rsid w:val="004F6113"/>
    <w:rsid w:val="004F6927"/>
    <w:rsid w:val="00503251"/>
    <w:rsid w:val="005105BE"/>
    <w:rsid w:val="00512CE1"/>
    <w:rsid w:val="00513E5D"/>
    <w:rsid w:val="0051701B"/>
    <w:rsid w:val="00525347"/>
    <w:rsid w:val="0052725D"/>
    <w:rsid w:val="005317C8"/>
    <w:rsid w:val="005363CA"/>
    <w:rsid w:val="00536FAF"/>
    <w:rsid w:val="00540349"/>
    <w:rsid w:val="005414F3"/>
    <w:rsid w:val="00541A35"/>
    <w:rsid w:val="00543CD8"/>
    <w:rsid w:val="005468C1"/>
    <w:rsid w:val="00546A61"/>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C053B"/>
    <w:rsid w:val="005C148E"/>
    <w:rsid w:val="005D1BB0"/>
    <w:rsid w:val="005D4EB2"/>
    <w:rsid w:val="005D696D"/>
    <w:rsid w:val="005E116A"/>
    <w:rsid w:val="005E11DF"/>
    <w:rsid w:val="005E14B6"/>
    <w:rsid w:val="005E1E28"/>
    <w:rsid w:val="005E4D8D"/>
    <w:rsid w:val="005E71D4"/>
    <w:rsid w:val="005E77F8"/>
    <w:rsid w:val="005E7DF8"/>
    <w:rsid w:val="005F20C5"/>
    <w:rsid w:val="005F20FE"/>
    <w:rsid w:val="005F3EF0"/>
    <w:rsid w:val="0060015D"/>
    <w:rsid w:val="00602B28"/>
    <w:rsid w:val="00602DC3"/>
    <w:rsid w:val="00603A1E"/>
    <w:rsid w:val="00605905"/>
    <w:rsid w:val="00605D9C"/>
    <w:rsid w:val="00606F6A"/>
    <w:rsid w:val="00610F72"/>
    <w:rsid w:val="006118CB"/>
    <w:rsid w:val="006146D0"/>
    <w:rsid w:val="00622522"/>
    <w:rsid w:val="006231FB"/>
    <w:rsid w:val="0062459E"/>
    <w:rsid w:val="006314E6"/>
    <w:rsid w:val="00635EA5"/>
    <w:rsid w:val="0064252F"/>
    <w:rsid w:val="006431B8"/>
    <w:rsid w:val="00645035"/>
    <w:rsid w:val="00647F2B"/>
    <w:rsid w:val="00651A8E"/>
    <w:rsid w:val="00667381"/>
    <w:rsid w:val="00670BD6"/>
    <w:rsid w:val="00670E22"/>
    <w:rsid w:val="006723D5"/>
    <w:rsid w:val="00676304"/>
    <w:rsid w:val="00677B98"/>
    <w:rsid w:val="006826C3"/>
    <w:rsid w:val="006878A3"/>
    <w:rsid w:val="00692AAD"/>
    <w:rsid w:val="00692B74"/>
    <w:rsid w:val="006946E1"/>
    <w:rsid w:val="00695073"/>
    <w:rsid w:val="00695BF3"/>
    <w:rsid w:val="006969FE"/>
    <w:rsid w:val="006A71A2"/>
    <w:rsid w:val="006B1CD8"/>
    <w:rsid w:val="006B33A6"/>
    <w:rsid w:val="006B3D40"/>
    <w:rsid w:val="006B5BFA"/>
    <w:rsid w:val="006C0EEE"/>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4185"/>
    <w:rsid w:val="006E66AD"/>
    <w:rsid w:val="006E7FA3"/>
    <w:rsid w:val="006F09EF"/>
    <w:rsid w:val="006F60A7"/>
    <w:rsid w:val="006F7103"/>
    <w:rsid w:val="006F7466"/>
    <w:rsid w:val="00702F49"/>
    <w:rsid w:val="00703C4C"/>
    <w:rsid w:val="007048E7"/>
    <w:rsid w:val="00704FED"/>
    <w:rsid w:val="00706AF7"/>
    <w:rsid w:val="0071514B"/>
    <w:rsid w:val="0071558A"/>
    <w:rsid w:val="00715E10"/>
    <w:rsid w:val="007166A9"/>
    <w:rsid w:val="00722564"/>
    <w:rsid w:val="0072634E"/>
    <w:rsid w:val="007327B8"/>
    <w:rsid w:val="00735BBE"/>
    <w:rsid w:val="0073626D"/>
    <w:rsid w:val="007404D8"/>
    <w:rsid w:val="0074244E"/>
    <w:rsid w:val="0074399F"/>
    <w:rsid w:val="00747495"/>
    <w:rsid w:val="00753580"/>
    <w:rsid w:val="00753AE8"/>
    <w:rsid w:val="00753D42"/>
    <w:rsid w:val="00755BF3"/>
    <w:rsid w:val="007605B0"/>
    <w:rsid w:val="00761116"/>
    <w:rsid w:val="00766D92"/>
    <w:rsid w:val="00766DBB"/>
    <w:rsid w:val="0079098A"/>
    <w:rsid w:val="00792D24"/>
    <w:rsid w:val="007A025D"/>
    <w:rsid w:val="007A06B9"/>
    <w:rsid w:val="007A1ABE"/>
    <w:rsid w:val="007A1C91"/>
    <w:rsid w:val="007A291C"/>
    <w:rsid w:val="007A5016"/>
    <w:rsid w:val="007A5F03"/>
    <w:rsid w:val="007B072C"/>
    <w:rsid w:val="007B0C39"/>
    <w:rsid w:val="007B10CC"/>
    <w:rsid w:val="007B264F"/>
    <w:rsid w:val="007B45CE"/>
    <w:rsid w:val="007C0BB4"/>
    <w:rsid w:val="007C4B1F"/>
    <w:rsid w:val="007D29DA"/>
    <w:rsid w:val="007D3A05"/>
    <w:rsid w:val="007D4108"/>
    <w:rsid w:val="007D53F5"/>
    <w:rsid w:val="007D71F4"/>
    <w:rsid w:val="007E0FFA"/>
    <w:rsid w:val="007E3E41"/>
    <w:rsid w:val="007E45EB"/>
    <w:rsid w:val="007F03B3"/>
    <w:rsid w:val="007F224E"/>
    <w:rsid w:val="007F6799"/>
    <w:rsid w:val="00802954"/>
    <w:rsid w:val="008032CF"/>
    <w:rsid w:val="008032DE"/>
    <w:rsid w:val="00806FF3"/>
    <w:rsid w:val="00812097"/>
    <w:rsid w:val="00812A58"/>
    <w:rsid w:val="00812E43"/>
    <w:rsid w:val="00813C07"/>
    <w:rsid w:val="008226BA"/>
    <w:rsid w:val="008232E9"/>
    <w:rsid w:val="00824D2F"/>
    <w:rsid w:val="00825E26"/>
    <w:rsid w:val="00834AC0"/>
    <w:rsid w:val="0084274F"/>
    <w:rsid w:val="00844137"/>
    <w:rsid w:val="008443DF"/>
    <w:rsid w:val="00851077"/>
    <w:rsid w:val="00855B59"/>
    <w:rsid w:val="00861B30"/>
    <w:rsid w:val="008671AC"/>
    <w:rsid w:val="008730E5"/>
    <w:rsid w:val="00885679"/>
    <w:rsid w:val="00886FF7"/>
    <w:rsid w:val="00887242"/>
    <w:rsid w:val="008909B5"/>
    <w:rsid w:val="008933AA"/>
    <w:rsid w:val="00893956"/>
    <w:rsid w:val="008945B1"/>
    <w:rsid w:val="008952FA"/>
    <w:rsid w:val="008A17E6"/>
    <w:rsid w:val="008A271D"/>
    <w:rsid w:val="008A27C1"/>
    <w:rsid w:val="008A2B60"/>
    <w:rsid w:val="008A5C6B"/>
    <w:rsid w:val="008B25F5"/>
    <w:rsid w:val="008B44FC"/>
    <w:rsid w:val="008B6054"/>
    <w:rsid w:val="008B6946"/>
    <w:rsid w:val="008B6E94"/>
    <w:rsid w:val="008C0C0B"/>
    <w:rsid w:val="008C1C17"/>
    <w:rsid w:val="008C2829"/>
    <w:rsid w:val="008C28B4"/>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5D6E"/>
    <w:rsid w:val="009168AA"/>
    <w:rsid w:val="009230A9"/>
    <w:rsid w:val="009237FF"/>
    <w:rsid w:val="00923CBA"/>
    <w:rsid w:val="009245B3"/>
    <w:rsid w:val="00926116"/>
    <w:rsid w:val="009261D7"/>
    <w:rsid w:val="009307DE"/>
    <w:rsid w:val="00933D66"/>
    <w:rsid w:val="009341E3"/>
    <w:rsid w:val="00940287"/>
    <w:rsid w:val="009427BA"/>
    <w:rsid w:val="0094562D"/>
    <w:rsid w:val="00965552"/>
    <w:rsid w:val="0096600D"/>
    <w:rsid w:val="0096605A"/>
    <w:rsid w:val="00982C4C"/>
    <w:rsid w:val="00990492"/>
    <w:rsid w:val="009950E1"/>
    <w:rsid w:val="0099648E"/>
    <w:rsid w:val="00997DB5"/>
    <w:rsid w:val="009A22C0"/>
    <w:rsid w:val="009B25AF"/>
    <w:rsid w:val="009C32BA"/>
    <w:rsid w:val="009C4D57"/>
    <w:rsid w:val="009C5FCE"/>
    <w:rsid w:val="009C6EB1"/>
    <w:rsid w:val="009D1661"/>
    <w:rsid w:val="009D1C4B"/>
    <w:rsid w:val="009D2858"/>
    <w:rsid w:val="009D3B7F"/>
    <w:rsid w:val="009D4354"/>
    <w:rsid w:val="009D71B6"/>
    <w:rsid w:val="009E130A"/>
    <w:rsid w:val="009E13E7"/>
    <w:rsid w:val="009E18B1"/>
    <w:rsid w:val="009E23F2"/>
    <w:rsid w:val="009E2CA6"/>
    <w:rsid w:val="009E5D90"/>
    <w:rsid w:val="009F1A70"/>
    <w:rsid w:val="009F37E6"/>
    <w:rsid w:val="009F44EE"/>
    <w:rsid w:val="009F5D71"/>
    <w:rsid w:val="00A02C13"/>
    <w:rsid w:val="00A06FDB"/>
    <w:rsid w:val="00A1378E"/>
    <w:rsid w:val="00A140B4"/>
    <w:rsid w:val="00A20CBD"/>
    <w:rsid w:val="00A23071"/>
    <w:rsid w:val="00A27FE5"/>
    <w:rsid w:val="00A33086"/>
    <w:rsid w:val="00A340B2"/>
    <w:rsid w:val="00A372EE"/>
    <w:rsid w:val="00A42B7A"/>
    <w:rsid w:val="00A432AE"/>
    <w:rsid w:val="00A453E3"/>
    <w:rsid w:val="00A479D4"/>
    <w:rsid w:val="00A50646"/>
    <w:rsid w:val="00A50FB6"/>
    <w:rsid w:val="00A50FF8"/>
    <w:rsid w:val="00A52067"/>
    <w:rsid w:val="00A52E9A"/>
    <w:rsid w:val="00A5505E"/>
    <w:rsid w:val="00A62C85"/>
    <w:rsid w:val="00A64459"/>
    <w:rsid w:val="00A64E13"/>
    <w:rsid w:val="00A72A5F"/>
    <w:rsid w:val="00A744EA"/>
    <w:rsid w:val="00A75CE9"/>
    <w:rsid w:val="00A8138B"/>
    <w:rsid w:val="00A85479"/>
    <w:rsid w:val="00A96763"/>
    <w:rsid w:val="00AB2981"/>
    <w:rsid w:val="00AB4A37"/>
    <w:rsid w:val="00AB6DF6"/>
    <w:rsid w:val="00AC42CE"/>
    <w:rsid w:val="00AC6543"/>
    <w:rsid w:val="00AD405E"/>
    <w:rsid w:val="00AD61AC"/>
    <w:rsid w:val="00AE0098"/>
    <w:rsid w:val="00AE2C4F"/>
    <w:rsid w:val="00AE46E7"/>
    <w:rsid w:val="00AE5D15"/>
    <w:rsid w:val="00AE7D19"/>
    <w:rsid w:val="00AF1FCD"/>
    <w:rsid w:val="00AF54A2"/>
    <w:rsid w:val="00AF646A"/>
    <w:rsid w:val="00B0144A"/>
    <w:rsid w:val="00B12B2F"/>
    <w:rsid w:val="00B171C5"/>
    <w:rsid w:val="00B17B4F"/>
    <w:rsid w:val="00B20269"/>
    <w:rsid w:val="00B25209"/>
    <w:rsid w:val="00B2765B"/>
    <w:rsid w:val="00B41D14"/>
    <w:rsid w:val="00B434A2"/>
    <w:rsid w:val="00B471D0"/>
    <w:rsid w:val="00B47E46"/>
    <w:rsid w:val="00B51A8A"/>
    <w:rsid w:val="00B529E3"/>
    <w:rsid w:val="00B54AC5"/>
    <w:rsid w:val="00B54D25"/>
    <w:rsid w:val="00B561D0"/>
    <w:rsid w:val="00B66FD7"/>
    <w:rsid w:val="00B73EC0"/>
    <w:rsid w:val="00B748A3"/>
    <w:rsid w:val="00B83E80"/>
    <w:rsid w:val="00B8425D"/>
    <w:rsid w:val="00B94D51"/>
    <w:rsid w:val="00B94E75"/>
    <w:rsid w:val="00BA0109"/>
    <w:rsid w:val="00BA193D"/>
    <w:rsid w:val="00BA1DAB"/>
    <w:rsid w:val="00BA3D51"/>
    <w:rsid w:val="00BB08CB"/>
    <w:rsid w:val="00BB0CB8"/>
    <w:rsid w:val="00BB2314"/>
    <w:rsid w:val="00BC71C3"/>
    <w:rsid w:val="00BD43B4"/>
    <w:rsid w:val="00BD606B"/>
    <w:rsid w:val="00BE14B6"/>
    <w:rsid w:val="00BE2C79"/>
    <w:rsid w:val="00BE7AE1"/>
    <w:rsid w:val="00BF1645"/>
    <w:rsid w:val="00BF1F11"/>
    <w:rsid w:val="00BF5017"/>
    <w:rsid w:val="00BF5B1D"/>
    <w:rsid w:val="00BF7B3F"/>
    <w:rsid w:val="00BF7E3D"/>
    <w:rsid w:val="00C04EF5"/>
    <w:rsid w:val="00C05DF1"/>
    <w:rsid w:val="00C071EA"/>
    <w:rsid w:val="00C10F2E"/>
    <w:rsid w:val="00C116AA"/>
    <w:rsid w:val="00C1278B"/>
    <w:rsid w:val="00C14149"/>
    <w:rsid w:val="00C14FE4"/>
    <w:rsid w:val="00C17CD9"/>
    <w:rsid w:val="00C201AF"/>
    <w:rsid w:val="00C20C99"/>
    <w:rsid w:val="00C34468"/>
    <w:rsid w:val="00C372F8"/>
    <w:rsid w:val="00C37A17"/>
    <w:rsid w:val="00C42588"/>
    <w:rsid w:val="00C427A0"/>
    <w:rsid w:val="00C42F38"/>
    <w:rsid w:val="00C43937"/>
    <w:rsid w:val="00C44022"/>
    <w:rsid w:val="00C4627A"/>
    <w:rsid w:val="00C5080C"/>
    <w:rsid w:val="00C517B0"/>
    <w:rsid w:val="00C53506"/>
    <w:rsid w:val="00C5386C"/>
    <w:rsid w:val="00C57702"/>
    <w:rsid w:val="00C606AF"/>
    <w:rsid w:val="00C613EE"/>
    <w:rsid w:val="00C6282E"/>
    <w:rsid w:val="00C65ECB"/>
    <w:rsid w:val="00C6751B"/>
    <w:rsid w:val="00C70D16"/>
    <w:rsid w:val="00C720BE"/>
    <w:rsid w:val="00C72A99"/>
    <w:rsid w:val="00C73D5B"/>
    <w:rsid w:val="00C750B3"/>
    <w:rsid w:val="00C76321"/>
    <w:rsid w:val="00C77308"/>
    <w:rsid w:val="00C814DC"/>
    <w:rsid w:val="00C83918"/>
    <w:rsid w:val="00C844E5"/>
    <w:rsid w:val="00C85D05"/>
    <w:rsid w:val="00C9017B"/>
    <w:rsid w:val="00C96777"/>
    <w:rsid w:val="00CA1100"/>
    <w:rsid w:val="00CA1A98"/>
    <w:rsid w:val="00CA1AA9"/>
    <w:rsid w:val="00CA347D"/>
    <w:rsid w:val="00CA6D48"/>
    <w:rsid w:val="00CA78D9"/>
    <w:rsid w:val="00CB1889"/>
    <w:rsid w:val="00CC4F1F"/>
    <w:rsid w:val="00CD1FF1"/>
    <w:rsid w:val="00CD3D32"/>
    <w:rsid w:val="00CD4F83"/>
    <w:rsid w:val="00CD748A"/>
    <w:rsid w:val="00CE106A"/>
    <w:rsid w:val="00CE2340"/>
    <w:rsid w:val="00CE2E5D"/>
    <w:rsid w:val="00CE3022"/>
    <w:rsid w:val="00CE505F"/>
    <w:rsid w:val="00CF2E8F"/>
    <w:rsid w:val="00CF773D"/>
    <w:rsid w:val="00D03704"/>
    <w:rsid w:val="00D06634"/>
    <w:rsid w:val="00D06EDB"/>
    <w:rsid w:val="00D14024"/>
    <w:rsid w:val="00D144A5"/>
    <w:rsid w:val="00D16502"/>
    <w:rsid w:val="00D23DEB"/>
    <w:rsid w:val="00D24CB5"/>
    <w:rsid w:val="00D26F01"/>
    <w:rsid w:val="00D326B4"/>
    <w:rsid w:val="00D36D8C"/>
    <w:rsid w:val="00D37EA6"/>
    <w:rsid w:val="00D412C9"/>
    <w:rsid w:val="00D51FE0"/>
    <w:rsid w:val="00D55ED4"/>
    <w:rsid w:val="00D562AF"/>
    <w:rsid w:val="00D5726A"/>
    <w:rsid w:val="00D573C4"/>
    <w:rsid w:val="00D61A07"/>
    <w:rsid w:val="00D61C73"/>
    <w:rsid w:val="00D67AB7"/>
    <w:rsid w:val="00D716A5"/>
    <w:rsid w:val="00D71C86"/>
    <w:rsid w:val="00D73D6C"/>
    <w:rsid w:val="00D74700"/>
    <w:rsid w:val="00D75023"/>
    <w:rsid w:val="00D75B7D"/>
    <w:rsid w:val="00D75B8D"/>
    <w:rsid w:val="00D776E5"/>
    <w:rsid w:val="00D801D7"/>
    <w:rsid w:val="00D871B1"/>
    <w:rsid w:val="00D92B61"/>
    <w:rsid w:val="00D960D9"/>
    <w:rsid w:val="00D97B8F"/>
    <w:rsid w:val="00DA019E"/>
    <w:rsid w:val="00DA0C9B"/>
    <w:rsid w:val="00DA3B72"/>
    <w:rsid w:val="00DA5030"/>
    <w:rsid w:val="00DA52B0"/>
    <w:rsid w:val="00DA5928"/>
    <w:rsid w:val="00DA7DAC"/>
    <w:rsid w:val="00DB34F7"/>
    <w:rsid w:val="00DB37E8"/>
    <w:rsid w:val="00DB40BE"/>
    <w:rsid w:val="00DB4645"/>
    <w:rsid w:val="00DB499A"/>
    <w:rsid w:val="00DB4B02"/>
    <w:rsid w:val="00DB5E1F"/>
    <w:rsid w:val="00DB7938"/>
    <w:rsid w:val="00DC35B0"/>
    <w:rsid w:val="00DC5383"/>
    <w:rsid w:val="00DC669D"/>
    <w:rsid w:val="00DC76E4"/>
    <w:rsid w:val="00DD3F56"/>
    <w:rsid w:val="00DD472F"/>
    <w:rsid w:val="00DD508E"/>
    <w:rsid w:val="00DD6C98"/>
    <w:rsid w:val="00DE2F42"/>
    <w:rsid w:val="00DE3430"/>
    <w:rsid w:val="00DE3FA2"/>
    <w:rsid w:val="00DE465A"/>
    <w:rsid w:val="00DE49A5"/>
    <w:rsid w:val="00DE6DED"/>
    <w:rsid w:val="00DF5BCC"/>
    <w:rsid w:val="00DF6D10"/>
    <w:rsid w:val="00E0093A"/>
    <w:rsid w:val="00E013AC"/>
    <w:rsid w:val="00E02342"/>
    <w:rsid w:val="00E05CA9"/>
    <w:rsid w:val="00E069B9"/>
    <w:rsid w:val="00E06E1E"/>
    <w:rsid w:val="00E1073E"/>
    <w:rsid w:val="00E13E1F"/>
    <w:rsid w:val="00E15343"/>
    <w:rsid w:val="00E15D96"/>
    <w:rsid w:val="00E202D8"/>
    <w:rsid w:val="00E21AB6"/>
    <w:rsid w:val="00E224FD"/>
    <w:rsid w:val="00E25B12"/>
    <w:rsid w:val="00E358B8"/>
    <w:rsid w:val="00E35E50"/>
    <w:rsid w:val="00E37051"/>
    <w:rsid w:val="00E42DD2"/>
    <w:rsid w:val="00E440D2"/>
    <w:rsid w:val="00E44900"/>
    <w:rsid w:val="00E45922"/>
    <w:rsid w:val="00E46594"/>
    <w:rsid w:val="00E47551"/>
    <w:rsid w:val="00E51946"/>
    <w:rsid w:val="00E51D90"/>
    <w:rsid w:val="00E5264F"/>
    <w:rsid w:val="00E5392E"/>
    <w:rsid w:val="00E57443"/>
    <w:rsid w:val="00E60246"/>
    <w:rsid w:val="00E606DC"/>
    <w:rsid w:val="00E63B16"/>
    <w:rsid w:val="00E63C49"/>
    <w:rsid w:val="00E63C9A"/>
    <w:rsid w:val="00E72175"/>
    <w:rsid w:val="00E77E9D"/>
    <w:rsid w:val="00E855DB"/>
    <w:rsid w:val="00E91369"/>
    <w:rsid w:val="00E929BF"/>
    <w:rsid w:val="00E9717F"/>
    <w:rsid w:val="00E97D3B"/>
    <w:rsid w:val="00EA1348"/>
    <w:rsid w:val="00EA266C"/>
    <w:rsid w:val="00EA4A72"/>
    <w:rsid w:val="00EA4C8E"/>
    <w:rsid w:val="00EA6068"/>
    <w:rsid w:val="00EA6638"/>
    <w:rsid w:val="00EB0314"/>
    <w:rsid w:val="00EB6D4F"/>
    <w:rsid w:val="00EC188E"/>
    <w:rsid w:val="00EC27B1"/>
    <w:rsid w:val="00EC4D9B"/>
    <w:rsid w:val="00EC7AD6"/>
    <w:rsid w:val="00ED1541"/>
    <w:rsid w:val="00ED262E"/>
    <w:rsid w:val="00ED4688"/>
    <w:rsid w:val="00ED55CD"/>
    <w:rsid w:val="00EE3BF8"/>
    <w:rsid w:val="00EF17AE"/>
    <w:rsid w:val="00EF2F88"/>
    <w:rsid w:val="00EF43E9"/>
    <w:rsid w:val="00EF6034"/>
    <w:rsid w:val="00F00711"/>
    <w:rsid w:val="00F00BA6"/>
    <w:rsid w:val="00F0120B"/>
    <w:rsid w:val="00F02D45"/>
    <w:rsid w:val="00F05674"/>
    <w:rsid w:val="00F07DC7"/>
    <w:rsid w:val="00F11D52"/>
    <w:rsid w:val="00F1203C"/>
    <w:rsid w:val="00F22A1A"/>
    <w:rsid w:val="00F22B3B"/>
    <w:rsid w:val="00F24AD2"/>
    <w:rsid w:val="00F254F2"/>
    <w:rsid w:val="00F256FA"/>
    <w:rsid w:val="00F2717C"/>
    <w:rsid w:val="00F31CBF"/>
    <w:rsid w:val="00F328A6"/>
    <w:rsid w:val="00F33165"/>
    <w:rsid w:val="00F36509"/>
    <w:rsid w:val="00F429AA"/>
    <w:rsid w:val="00F45B22"/>
    <w:rsid w:val="00F50775"/>
    <w:rsid w:val="00F52BA8"/>
    <w:rsid w:val="00F55FF7"/>
    <w:rsid w:val="00F5721A"/>
    <w:rsid w:val="00F57CF8"/>
    <w:rsid w:val="00F64BDE"/>
    <w:rsid w:val="00F66C36"/>
    <w:rsid w:val="00F70D3F"/>
    <w:rsid w:val="00F7236A"/>
    <w:rsid w:val="00F7337C"/>
    <w:rsid w:val="00F747BC"/>
    <w:rsid w:val="00F7563D"/>
    <w:rsid w:val="00F776DD"/>
    <w:rsid w:val="00F77C55"/>
    <w:rsid w:val="00F8217A"/>
    <w:rsid w:val="00F85AC0"/>
    <w:rsid w:val="00F85C3D"/>
    <w:rsid w:val="00F97C51"/>
    <w:rsid w:val="00FA1200"/>
    <w:rsid w:val="00FA149F"/>
    <w:rsid w:val="00FA2C8E"/>
    <w:rsid w:val="00FA5657"/>
    <w:rsid w:val="00FA7C40"/>
    <w:rsid w:val="00FB02FC"/>
    <w:rsid w:val="00FC1D32"/>
    <w:rsid w:val="00FC7075"/>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dustry/listing/elements/dusc-meetings/dos/dusc-outcome-statement-june-201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b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BAC_online_submission_for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bs.gov.au/info/industry/listing/elements/pbac-meetings/agenda/july-2017-pbac-meeting" TargetMode="External"/><Relationship Id="rId4" Type="http://schemas.microsoft.com/office/2007/relationships/stylesWithEffects" Target="stylesWithEffects.xml"/><Relationship Id="rId9" Type="http://schemas.openxmlformats.org/officeDocument/2006/relationships/hyperlink" Target="http://www.pbs.gov.au/info/industry/listing/elements/pbac-meetings/agenda/november-2017-pbac-meet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9B17-5ECA-4950-BBD9-926C5B8B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2017-10-26T22:15:00Z</dcterms:created>
  <dcterms:modified xsi:type="dcterms:W3CDTF">2017-10-26T22:25:00Z</dcterms:modified>
</cp:coreProperties>
</file>