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CBD" w:rsidRDefault="00A20CBD" w:rsidP="00855B59">
      <w:pPr>
        <w:ind w:left="2160" w:firstLine="720"/>
        <w:rPr>
          <w:b/>
          <w:sz w:val="24"/>
          <w:szCs w:val="24"/>
        </w:rPr>
      </w:pPr>
    </w:p>
    <w:p w:rsidR="003F06C8" w:rsidRPr="005F3EF0" w:rsidRDefault="003F06C8" w:rsidP="008B6946">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w:t>
      </w:r>
      <w:r w:rsidR="000A0713">
        <w:rPr>
          <w:sz w:val="24"/>
          <w:szCs w:val="24"/>
        </w:rPr>
        <w:t>8</w:t>
      </w:r>
      <w:r w:rsidR="00CA78D9">
        <w:rPr>
          <w:sz w:val="24"/>
          <w:szCs w:val="24"/>
        </w:rPr>
        <w:t>6</w:t>
      </w:r>
      <w:r w:rsidR="000A0713">
        <w:rPr>
          <w:sz w:val="24"/>
          <w:szCs w:val="24"/>
        </w:rPr>
        <w:t>th</w:t>
      </w:r>
      <w:r w:rsidR="000A0713" w:rsidRPr="005F3EF0">
        <w:rPr>
          <w:sz w:val="24"/>
          <w:szCs w:val="24"/>
        </w:rPr>
        <w:t xml:space="preserve"> </w:t>
      </w:r>
      <w:r w:rsidRPr="005F3EF0">
        <w:rPr>
          <w:sz w:val="24"/>
          <w:szCs w:val="24"/>
        </w:rPr>
        <w:t xml:space="preserve">meeting on </w:t>
      </w:r>
      <w:r w:rsidR="00CA78D9">
        <w:rPr>
          <w:sz w:val="24"/>
          <w:szCs w:val="24"/>
        </w:rPr>
        <w:t>4-5 February</w:t>
      </w:r>
      <w:r w:rsidR="000F7CE1">
        <w:rPr>
          <w:sz w:val="24"/>
          <w:szCs w:val="24"/>
        </w:rPr>
        <w:t xml:space="preserve"> 201</w:t>
      </w:r>
      <w:r w:rsidR="00CA78D9">
        <w:rPr>
          <w:sz w:val="24"/>
          <w:szCs w:val="24"/>
        </w:rPr>
        <w:t>6</w:t>
      </w:r>
      <w:r w:rsidRPr="005F3EF0">
        <w:rPr>
          <w:sz w:val="24"/>
          <w:szCs w:val="24"/>
        </w:rPr>
        <w:t>.</w:t>
      </w:r>
    </w:p>
    <w:p w:rsidR="003F06C8" w:rsidRDefault="003F06C8" w:rsidP="008B6946">
      <w:pPr>
        <w:tabs>
          <w:tab w:val="left" w:pos="4820"/>
          <w:tab w:val="left" w:pos="8931"/>
          <w:tab w:val="left" w:pos="9028"/>
          <w:tab w:val="left" w:pos="9072"/>
        </w:tabs>
        <w:rPr>
          <w:sz w:val="24"/>
          <w:szCs w:val="24"/>
        </w:rPr>
      </w:pPr>
    </w:p>
    <w:p w:rsidR="00855B59" w:rsidRDefault="001071DA" w:rsidP="008B6946">
      <w:pPr>
        <w:tabs>
          <w:tab w:val="left" w:pos="4820"/>
          <w:tab w:val="left" w:pos="8931"/>
          <w:tab w:val="left" w:pos="9028"/>
          <w:tab w:val="left" w:pos="9072"/>
        </w:tabs>
        <w:rPr>
          <w:sz w:val="24"/>
          <w:szCs w:val="24"/>
        </w:rPr>
      </w:pPr>
      <w:r w:rsidRPr="001071DA">
        <w:rPr>
          <w:sz w:val="24"/>
          <w:szCs w:val="24"/>
        </w:rPr>
        <w:t>DUSC is a national focus of excellence in collecting, analysing and interpreting data on the utilisation of medicines in Australia</w:t>
      </w:r>
      <w:r w:rsidR="00855B59">
        <w:rPr>
          <w:sz w:val="24"/>
          <w:szCs w:val="24"/>
        </w:rPr>
        <w:t xml:space="preserve"> for use by the PBAC</w:t>
      </w:r>
      <w:r w:rsidRPr="001071DA">
        <w:rPr>
          <w:sz w:val="24"/>
          <w:szCs w:val="24"/>
        </w:rPr>
        <w:t xml:space="preserve">. </w:t>
      </w:r>
      <w:r w:rsidR="003361C9">
        <w:rPr>
          <w:sz w:val="24"/>
          <w:szCs w:val="24"/>
        </w:rPr>
        <w:t>Review of the</w:t>
      </w:r>
      <w:r w:rsidRPr="001071DA">
        <w:rPr>
          <w:sz w:val="24"/>
          <w:szCs w:val="24"/>
        </w:rPr>
        <w:t xml:space="preserve"> </w:t>
      </w:r>
      <w:r w:rsidR="003361C9">
        <w:rPr>
          <w:sz w:val="24"/>
          <w:szCs w:val="24"/>
        </w:rPr>
        <w:t>u</w:t>
      </w:r>
      <w:r w:rsidRPr="001071DA">
        <w:rPr>
          <w:sz w:val="24"/>
          <w:szCs w:val="24"/>
        </w:rPr>
        <w:t>tilisation of medicines is an essential management tool in facilitating the objectives of the National Medicines Policy</w:t>
      </w:r>
      <w:r w:rsidR="00855B59">
        <w:rPr>
          <w:sz w:val="24"/>
          <w:szCs w:val="24"/>
        </w:rPr>
        <w:t xml:space="preserve">. </w:t>
      </w:r>
    </w:p>
    <w:p w:rsidR="00855B59" w:rsidRDefault="00855B59" w:rsidP="008B6946">
      <w:pPr>
        <w:tabs>
          <w:tab w:val="left" w:pos="4820"/>
          <w:tab w:val="left" w:pos="8931"/>
          <w:tab w:val="left" w:pos="9028"/>
          <w:tab w:val="left" w:pos="9072"/>
        </w:tabs>
        <w:rPr>
          <w:sz w:val="24"/>
          <w:szCs w:val="24"/>
        </w:rPr>
      </w:pPr>
    </w:p>
    <w:p w:rsidR="004566A9" w:rsidRPr="00855B59" w:rsidRDefault="00855B59" w:rsidP="008B6946">
      <w:pPr>
        <w:pStyle w:val="Heading2"/>
      </w:pPr>
      <w:r w:rsidRPr="00855B59">
        <w:t>Su</w:t>
      </w:r>
      <w:r w:rsidR="004566A9" w:rsidRPr="00855B59">
        <w:t>bmissions to the PBAC</w:t>
      </w:r>
    </w:p>
    <w:p w:rsidR="009237FF" w:rsidRDefault="003F06C8" w:rsidP="008B6946">
      <w:pPr>
        <w:rPr>
          <w:sz w:val="24"/>
          <w:szCs w:val="24"/>
        </w:rPr>
      </w:pPr>
      <w:r>
        <w:rPr>
          <w:sz w:val="24"/>
          <w:szCs w:val="24"/>
        </w:rPr>
        <w:t xml:space="preserve">DUSC </w:t>
      </w:r>
      <w:r w:rsidRPr="00463497">
        <w:rPr>
          <w:sz w:val="24"/>
          <w:szCs w:val="24"/>
        </w:rPr>
        <w:t xml:space="preserve">noted that </w:t>
      </w:r>
      <w:r w:rsidR="00463497" w:rsidRPr="00463497">
        <w:rPr>
          <w:sz w:val="24"/>
          <w:szCs w:val="24"/>
        </w:rPr>
        <w:t>3</w:t>
      </w:r>
      <w:r w:rsidR="00CA78D9">
        <w:rPr>
          <w:sz w:val="24"/>
          <w:szCs w:val="24"/>
        </w:rPr>
        <w:t>5</w:t>
      </w:r>
      <w:r w:rsidRPr="00463497">
        <w:rPr>
          <w:sz w:val="24"/>
          <w:szCs w:val="24"/>
        </w:rPr>
        <w:t xml:space="preserve"> major submissions</w:t>
      </w:r>
      <w:r>
        <w:rPr>
          <w:sz w:val="24"/>
          <w:szCs w:val="24"/>
        </w:rPr>
        <w:t xml:space="preserve"> had been received for the </w:t>
      </w:r>
      <w:r w:rsidR="00CA78D9">
        <w:rPr>
          <w:sz w:val="24"/>
          <w:szCs w:val="24"/>
        </w:rPr>
        <w:t>March 2016</w:t>
      </w:r>
      <w:r>
        <w:rPr>
          <w:sz w:val="24"/>
          <w:szCs w:val="24"/>
        </w:rPr>
        <w:t xml:space="preserve"> meeting of PBAC. </w:t>
      </w:r>
      <w:r w:rsidR="008F7F63">
        <w:rPr>
          <w:sz w:val="24"/>
          <w:szCs w:val="24"/>
        </w:rPr>
        <w:t xml:space="preserve">DUSC provided detailed advice to the PBAC on </w:t>
      </w:r>
      <w:r w:rsidR="009230A9" w:rsidRPr="009230A9">
        <w:rPr>
          <w:sz w:val="24"/>
          <w:szCs w:val="24"/>
        </w:rPr>
        <w:t xml:space="preserve">projected usage and financial cost for </w:t>
      </w:r>
      <w:r w:rsidR="005C053B">
        <w:rPr>
          <w:sz w:val="24"/>
          <w:szCs w:val="24"/>
        </w:rPr>
        <w:t>major</w:t>
      </w:r>
      <w:r>
        <w:rPr>
          <w:sz w:val="24"/>
          <w:szCs w:val="24"/>
        </w:rPr>
        <w:t xml:space="preserve"> submissions</w:t>
      </w:r>
      <w:r w:rsidR="00C814DC">
        <w:rPr>
          <w:sz w:val="24"/>
          <w:szCs w:val="24"/>
        </w:rPr>
        <w:t xml:space="preserve"> where there is high cost, uncertain utilisation</w:t>
      </w:r>
      <w:r w:rsidR="00FA149F">
        <w:rPr>
          <w:sz w:val="24"/>
          <w:szCs w:val="24"/>
        </w:rPr>
        <w:t xml:space="preserve">, first </w:t>
      </w:r>
      <w:r w:rsidR="007D4108">
        <w:rPr>
          <w:sz w:val="24"/>
          <w:szCs w:val="24"/>
        </w:rPr>
        <w:t xml:space="preserve">medicine </w:t>
      </w:r>
      <w:r w:rsidR="00FA149F">
        <w:rPr>
          <w:sz w:val="24"/>
          <w:szCs w:val="24"/>
        </w:rPr>
        <w:t xml:space="preserve">in class or </w:t>
      </w:r>
      <w:r w:rsidR="003361C9">
        <w:rPr>
          <w:sz w:val="24"/>
          <w:szCs w:val="24"/>
        </w:rPr>
        <w:t>q</w:t>
      </w:r>
      <w:r w:rsidR="00FA149F">
        <w:rPr>
          <w:sz w:val="24"/>
          <w:szCs w:val="24"/>
        </w:rPr>
        <w:t xml:space="preserve">uality </w:t>
      </w:r>
      <w:r w:rsidR="003361C9">
        <w:rPr>
          <w:sz w:val="24"/>
          <w:szCs w:val="24"/>
        </w:rPr>
        <w:t>u</w:t>
      </w:r>
      <w:r w:rsidR="00FA149F">
        <w:rPr>
          <w:sz w:val="24"/>
          <w:szCs w:val="24"/>
        </w:rPr>
        <w:t xml:space="preserve">se of </w:t>
      </w:r>
      <w:r w:rsidR="003361C9">
        <w:rPr>
          <w:sz w:val="24"/>
          <w:szCs w:val="24"/>
        </w:rPr>
        <w:t>m</w:t>
      </w:r>
      <w:r w:rsidR="00FA149F">
        <w:rPr>
          <w:sz w:val="24"/>
          <w:szCs w:val="24"/>
        </w:rPr>
        <w:t xml:space="preserve">edicines </w:t>
      </w:r>
      <w:r w:rsidR="0042129E">
        <w:rPr>
          <w:sz w:val="24"/>
          <w:szCs w:val="24"/>
        </w:rPr>
        <w:t>concerns</w:t>
      </w:r>
      <w:r w:rsidR="005C053B">
        <w:rPr>
          <w:sz w:val="24"/>
          <w:szCs w:val="24"/>
        </w:rPr>
        <w:t xml:space="preserve">. </w:t>
      </w:r>
      <w:r w:rsidR="008F7F63">
        <w:rPr>
          <w:sz w:val="24"/>
          <w:szCs w:val="24"/>
        </w:rPr>
        <w:t xml:space="preserve">The </w:t>
      </w:r>
      <w:r w:rsidR="005C053B">
        <w:rPr>
          <w:sz w:val="24"/>
          <w:szCs w:val="24"/>
        </w:rPr>
        <w:t>a</w:t>
      </w:r>
      <w:r w:rsidR="008F7F63">
        <w:rPr>
          <w:sz w:val="24"/>
          <w:szCs w:val="24"/>
        </w:rPr>
        <w:t xml:space="preserve">genda </w:t>
      </w:r>
      <w:r w:rsidR="005C053B">
        <w:rPr>
          <w:sz w:val="24"/>
          <w:szCs w:val="24"/>
        </w:rPr>
        <w:t xml:space="preserve">for the </w:t>
      </w:r>
      <w:r w:rsidR="002522B2">
        <w:rPr>
          <w:sz w:val="24"/>
          <w:szCs w:val="24"/>
        </w:rPr>
        <w:t>March 2016</w:t>
      </w:r>
      <w:r w:rsidR="005C053B">
        <w:rPr>
          <w:sz w:val="24"/>
          <w:szCs w:val="24"/>
        </w:rPr>
        <w:t xml:space="preserve"> PBAC meeting </w:t>
      </w:r>
      <w:r w:rsidR="008F7F63">
        <w:rPr>
          <w:sz w:val="24"/>
          <w:szCs w:val="24"/>
        </w:rPr>
        <w:t xml:space="preserve">can be found </w:t>
      </w:r>
      <w:r w:rsidR="00E013AC">
        <w:rPr>
          <w:sz w:val="24"/>
          <w:szCs w:val="24"/>
        </w:rPr>
        <w:t xml:space="preserve">on the </w:t>
      </w:r>
      <w:hyperlink r:id="rId9" w:history="1">
        <w:r w:rsidR="00E013AC" w:rsidRPr="00E013AC">
          <w:rPr>
            <w:rStyle w:val="Hyperlink"/>
            <w:sz w:val="24"/>
            <w:szCs w:val="24"/>
          </w:rPr>
          <w:t>PBS web</w:t>
        </w:r>
        <w:r w:rsidR="00E013AC" w:rsidRPr="00E013AC">
          <w:rPr>
            <w:rStyle w:val="Hyperlink"/>
            <w:sz w:val="24"/>
            <w:szCs w:val="24"/>
          </w:rPr>
          <w:t>s</w:t>
        </w:r>
        <w:r w:rsidR="00E013AC" w:rsidRPr="00E013AC">
          <w:rPr>
            <w:rStyle w:val="Hyperlink"/>
            <w:sz w:val="24"/>
            <w:szCs w:val="24"/>
          </w:rPr>
          <w:t>ite</w:t>
        </w:r>
      </w:hyperlink>
      <w:r w:rsidR="00E013AC">
        <w:rPr>
          <w:sz w:val="24"/>
          <w:szCs w:val="24"/>
        </w:rPr>
        <w:t>.</w:t>
      </w:r>
      <w:r w:rsidR="009C32BA">
        <w:rPr>
          <w:sz w:val="24"/>
          <w:szCs w:val="24"/>
        </w:rPr>
        <w:t xml:space="preserve"> </w:t>
      </w:r>
      <w:bookmarkStart w:id="0" w:name="_GoBack"/>
      <w:bookmarkEnd w:id="0"/>
    </w:p>
    <w:p w:rsidR="00A453E3" w:rsidRDefault="00A453E3" w:rsidP="008B6946">
      <w:pPr>
        <w:rPr>
          <w:sz w:val="24"/>
          <w:szCs w:val="24"/>
        </w:rPr>
      </w:pPr>
    </w:p>
    <w:p w:rsidR="004566A9" w:rsidRPr="004566A9" w:rsidRDefault="00DA5030" w:rsidP="008B6946">
      <w:pPr>
        <w:pStyle w:val="Heading2"/>
      </w:pPr>
      <w:r>
        <w:t xml:space="preserve">Utilisation </w:t>
      </w:r>
      <w:r w:rsidR="00006EF5">
        <w:t>of PBS L</w:t>
      </w:r>
      <w:r w:rsidR="004566A9" w:rsidRPr="004566A9">
        <w:t xml:space="preserve">isted </w:t>
      </w:r>
      <w:r w:rsidR="00006EF5">
        <w:t>M</w:t>
      </w:r>
      <w:r w:rsidR="007D4108">
        <w:t>edicine</w:t>
      </w:r>
      <w:r w:rsidR="007D4108" w:rsidRPr="004566A9">
        <w:t>s</w:t>
      </w:r>
    </w:p>
    <w:p w:rsidR="00B0144A" w:rsidRDefault="00CD4F83" w:rsidP="008B6946">
      <w:pPr>
        <w:rPr>
          <w:sz w:val="24"/>
          <w:szCs w:val="24"/>
        </w:rPr>
      </w:pPr>
      <w:r>
        <w:rPr>
          <w:sz w:val="24"/>
          <w:szCs w:val="24"/>
        </w:rPr>
        <w:t xml:space="preserve">DUSC </w:t>
      </w:r>
      <w:r w:rsidR="001071DA">
        <w:rPr>
          <w:sz w:val="24"/>
          <w:szCs w:val="24"/>
        </w:rPr>
        <w:t xml:space="preserve">regularly </w:t>
      </w:r>
      <w:r w:rsidR="00DA5030">
        <w:rPr>
          <w:sz w:val="24"/>
          <w:szCs w:val="24"/>
        </w:rPr>
        <w:t>examines</w:t>
      </w:r>
      <w:r>
        <w:rPr>
          <w:sz w:val="24"/>
          <w:szCs w:val="24"/>
        </w:rPr>
        <w:t xml:space="preserve"> </w:t>
      </w:r>
      <w:r w:rsidR="00DA5030">
        <w:rPr>
          <w:sz w:val="24"/>
          <w:szCs w:val="24"/>
        </w:rPr>
        <w:t xml:space="preserve">utilisation of </w:t>
      </w:r>
      <w:r w:rsidR="00F77C55">
        <w:rPr>
          <w:sz w:val="24"/>
          <w:szCs w:val="24"/>
        </w:rPr>
        <w:t xml:space="preserve">PBS items when there is at least </w:t>
      </w:r>
      <w:r w:rsidR="00D144A5">
        <w:rPr>
          <w:sz w:val="24"/>
          <w:szCs w:val="24"/>
        </w:rPr>
        <w:t>24</w:t>
      </w:r>
      <w:r>
        <w:rPr>
          <w:sz w:val="24"/>
          <w:szCs w:val="24"/>
        </w:rPr>
        <w:t xml:space="preserve"> months of </w:t>
      </w:r>
      <w:r w:rsidRPr="00BD606B">
        <w:rPr>
          <w:sz w:val="24"/>
          <w:szCs w:val="24"/>
        </w:rPr>
        <w:t xml:space="preserve">prescription data </w:t>
      </w:r>
      <w:r w:rsidR="00F77C55" w:rsidRPr="00BD606B">
        <w:rPr>
          <w:sz w:val="24"/>
          <w:szCs w:val="24"/>
        </w:rPr>
        <w:t xml:space="preserve">available </w:t>
      </w:r>
      <w:r w:rsidRPr="00BD606B">
        <w:rPr>
          <w:sz w:val="24"/>
          <w:szCs w:val="24"/>
        </w:rPr>
        <w:t xml:space="preserve">and where DUSC </w:t>
      </w:r>
      <w:r w:rsidR="00590036" w:rsidRPr="00BD606B">
        <w:rPr>
          <w:sz w:val="24"/>
          <w:szCs w:val="24"/>
        </w:rPr>
        <w:t xml:space="preserve">or the PBAC </w:t>
      </w:r>
      <w:r w:rsidRPr="00BD606B">
        <w:rPr>
          <w:sz w:val="24"/>
          <w:szCs w:val="24"/>
        </w:rPr>
        <w:t>has highlighted items of interest.</w:t>
      </w:r>
      <w:r>
        <w:rPr>
          <w:sz w:val="24"/>
          <w:szCs w:val="24"/>
        </w:rPr>
        <w:t xml:space="preserve"> </w:t>
      </w:r>
      <w:r w:rsidR="00FA149F">
        <w:rPr>
          <w:sz w:val="24"/>
          <w:szCs w:val="24"/>
        </w:rPr>
        <w:t>When a</w:t>
      </w:r>
      <w:r w:rsidR="003D6C07">
        <w:rPr>
          <w:sz w:val="24"/>
          <w:szCs w:val="24"/>
        </w:rPr>
        <w:t>n analysis</w:t>
      </w:r>
      <w:r w:rsidR="00DA5030">
        <w:rPr>
          <w:sz w:val="24"/>
          <w:szCs w:val="24"/>
        </w:rPr>
        <w:t xml:space="preserve"> of u</w:t>
      </w:r>
      <w:r w:rsidR="003D6C07">
        <w:rPr>
          <w:sz w:val="24"/>
          <w:szCs w:val="24"/>
        </w:rPr>
        <w:t>tilisation</w:t>
      </w:r>
      <w:r w:rsidR="001071DA">
        <w:rPr>
          <w:sz w:val="24"/>
          <w:szCs w:val="24"/>
        </w:rPr>
        <w:t xml:space="preserve"> is to be undertaken</w:t>
      </w:r>
      <w:r w:rsidR="00FA149F">
        <w:rPr>
          <w:sz w:val="24"/>
          <w:szCs w:val="24"/>
        </w:rPr>
        <w:t xml:space="preserve"> sponsors are notified,</w:t>
      </w:r>
      <w:r w:rsidR="001071DA">
        <w:rPr>
          <w:sz w:val="24"/>
          <w:szCs w:val="24"/>
        </w:rPr>
        <w:t xml:space="preserve"> </w:t>
      </w:r>
      <w:r w:rsidR="00FA149F">
        <w:rPr>
          <w:sz w:val="24"/>
          <w:szCs w:val="24"/>
        </w:rPr>
        <w:t>provided with a copy of the re</w:t>
      </w:r>
      <w:r w:rsidR="00DA5030">
        <w:rPr>
          <w:sz w:val="24"/>
          <w:szCs w:val="24"/>
        </w:rPr>
        <w:t>port</w:t>
      </w:r>
      <w:r w:rsidR="00FA149F">
        <w:rPr>
          <w:sz w:val="24"/>
          <w:szCs w:val="24"/>
        </w:rPr>
        <w:t xml:space="preserve"> and an opportunity to comment</w:t>
      </w:r>
      <w:r w:rsidR="001071DA">
        <w:rPr>
          <w:sz w:val="24"/>
          <w:szCs w:val="24"/>
        </w:rPr>
        <w:t xml:space="preserve"> prior to the DUSC meeting.</w:t>
      </w:r>
    </w:p>
    <w:p w:rsidR="00F77C55" w:rsidRDefault="00B0144A" w:rsidP="008B6946">
      <w:pPr>
        <w:rPr>
          <w:sz w:val="24"/>
          <w:szCs w:val="24"/>
        </w:rPr>
      </w:pPr>
      <w:r>
        <w:rPr>
          <w:sz w:val="24"/>
          <w:szCs w:val="24"/>
        </w:rPr>
        <w:t>All reports, Sponsor comments and DUSC consideration of the reports are subsequently provided to the PBAC.</w:t>
      </w:r>
      <w:r w:rsidR="00FA149F">
        <w:rPr>
          <w:sz w:val="24"/>
          <w:szCs w:val="24"/>
        </w:rPr>
        <w:t xml:space="preserve"> </w:t>
      </w:r>
    </w:p>
    <w:p w:rsidR="00FD755C" w:rsidRDefault="00FD755C" w:rsidP="008B6946">
      <w:pPr>
        <w:rPr>
          <w:sz w:val="24"/>
          <w:szCs w:val="24"/>
        </w:rPr>
      </w:pPr>
    </w:p>
    <w:p w:rsidR="00FA149F" w:rsidRDefault="00FD755C" w:rsidP="008B6946">
      <w:pPr>
        <w:rPr>
          <w:sz w:val="24"/>
          <w:szCs w:val="24"/>
        </w:rPr>
      </w:pPr>
      <w:r>
        <w:rPr>
          <w:sz w:val="24"/>
          <w:szCs w:val="24"/>
        </w:rPr>
        <w:t xml:space="preserve">Full restrictions for PBS listed </w:t>
      </w:r>
      <w:r w:rsidR="007D4108">
        <w:rPr>
          <w:sz w:val="24"/>
          <w:szCs w:val="24"/>
        </w:rPr>
        <w:t xml:space="preserve">medicines </w:t>
      </w:r>
      <w:r>
        <w:rPr>
          <w:sz w:val="24"/>
          <w:szCs w:val="24"/>
        </w:rPr>
        <w:t xml:space="preserve">are available in the </w:t>
      </w:r>
      <w:hyperlink r:id="rId10" w:history="1">
        <w:r w:rsidRPr="00EF43E9">
          <w:rPr>
            <w:rStyle w:val="Hyperlink"/>
            <w:sz w:val="24"/>
            <w:szCs w:val="24"/>
          </w:rPr>
          <w:t>PBS Schedule</w:t>
        </w:r>
      </w:hyperlink>
      <w:r w:rsidR="00EF43E9">
        <w:rPr>
          <w:sz w:val="24"/>
          <w:szCs w:val="24"/>
        </w:rPr>
        <w:t>.</w:t>
      </w:r>
    </w:p>
    <w:p w:rsidR="00FD755C" w:rsidRDefault="00FD755C" w:rsidP="008B6946">
      <w:pPr>
        <w:rPr>
          <w:sz w:val="24"/>
          <w:szCs w:val="24"/>
        </w:rPr>
      </w:pPr>
    </w:p>
    <w:p w:rsidR="00101877" w:rsidRPr="00CA347D" w:rsidRDefault="00101877" w:rsidP="008B6946">
      <w:pPr>
        <w:rPr>
          <w:sz w:val="24"/>
          <w:szCs w:val="24"/>
        </w:rPr>
      </w:pPr>
      <w:r w:rsidRPr="00CA347D">
        <w:rPr>
          <w:sz w:val="24"/>
          <w:szCs w:val="24"/>
        </w:rPr>
        <w:t xml:space="preserve">DUSC </w:t>
      </w:r>
      <w:r w:rsidR="003D6C07" w:rsidRPr="00CA347D">
        <w:rPr>
          <w:sz w:val="24"/>
          <w:szCs w:val="24"/>
        </w:rPr>
        <w:t>reviewed</w:t>
      </w:r>
      <w:r w:rsidRPr="00CA347D">
        <w:rPr>
          <w:sz w:val="24"/>
          <w:szCs w:val="24"/>
        </w:rPr>
        <w:t xml:space="preserve"> the utilisation of the following PBS medicines</w:t>
      </w:r>
      <w:r w:rsidR="00A744EA" w:rsidRPr="00CA347D">
        <w:rPr>
          <w:sz w:val="24"/>
          <w:szCs w:val="24"/>
        </w:rPr>
        <w:t>/groups of medicines</w:t>
      </w:r>
      <w:r w:rsidR="001071DA" w:rsidRPr="00CA347D">
        <w:rPr>
          <w:sz w:val="24"/>
          <w:szCs w:val="24"/>
        </w:rPr>
        <w:t xml:space="preserve"> in </w:t>
      </w:r>
      <w:r w:rsidR="00CA78D9">
        <w:rPr>
          <w:sz w:val="24"/>
          <w:szCs w:val="24"/>
        </w:rPr>
        <w:t>February 2016</w:t>
      </w:r>
      <w:r w:rsidRPr="00CA347D">
        <w:rPr>
          <w:sz w:val="24"/>
          <w:szCs w:val="24"/>
        </w:rPr>
        <w:t>:</w:t>
      </w:r>
    </w:p>
    <w:p w:rsidR="00101877" w:rsidRDefault="00101877" w:rsidP="008B6946">
      <w:pPr>
        <w:rPr>
          <w:sz w:val="24"/>
          <w:szCs w:val="24"/>
        </w:rPr>
      </w:pPr>
    </w:p>
    <w:p w:rsidR="00CA78D9" w:rsidRDefault="00CA78D9" w:rsidP="008B6946">
      <w:pPr>
        <w:rPr>
          <w:b/>
          <w:sz w:val="24"/>
          <w:szCs w:val="24"/>
        </w:rPr>
      </w:pPr>
      <w:r>
        <w:rPr>
          <w:b/>
          <w:sz w:val="24"/>
          <w:szCs w:val="24"/>
        </w:rPr>
        <w:t>Biological disease-modifying anti-rheumatic drugs (bDMARDs) for ankylosing spondylitis</w:t>
      </w:r>
    </w:p>
    <w:p w:rsidR="00CA78D9" w:rsidRPr="00FA1200" w:rsidRDefault="00CA78D9" w:rsidP="008B6946">
      <w:pPr>
        <w:rPr>
          <w:sz w:val="24"/>
          <w:szCs w:val="24"/>
        </w:rPr>
      </w:pPr>
    </w:p>
    <w:p w:rsidR="00FA1200" w:rsidRPr="00FA1200" w:rsidRDefault="00FA1200" w:rsidP="00FA1200">
      <w:pPr>
        <w:rPr>
          <w:sz w:val="24"/>
          <w:szCs w:val="24"/>
        </w:rPr>
      </w:pPr>
      <w:r w:rsidRPr="00FA1200">
        <w:rPr>
          <w:sz w:val="24"/>
          <w:szCs w:val="24"/>
        </w:rPr>
        <w:t xml:space="preserve">The number of new patients initiating bDMARD therapy for ankylosing spondylitis has increased steadily from 453 in 2005 to almost 1,190 in 2014. As the majority of patients remain on therapy for many years, there has also been a steady increase in the total number of patients treated with bDMARDs. In 2006 approximately 1,000 patients received bDMARD therapy, and this number has increased to more than 6,000 in 2014. </w:t>
      </w:r>
    </w:p>
    <w:p w:rsidR="00FA1200" w:rsidRPr="00FA1200" w:rsidRDefault="00FA1200" w:rsidP="00FA1200">
      <w:pPr>
        <w:rPr>
          <w:sz w:val="24"/>
          <w:szCs w:val="24"/>
        </w:rPr>
      </w:pPr>
    </w:p>
    <w:p w:rsidR="00FA1200" w:rsidRDefault="00FA1200" w:rsidP="00FA1200">
      <w:pPr>
        <w:rPr>
          <w:sz w:val="24"/>
          <w:szCs w:val="24"/>
        </w:rPr>
      </w:pPr>
      <w:r w:rsidRPr="00FA1200">
        <w:rPr>
          <w:sz w:val="24"/>
          <w:szCs w:val="24"/>
        </w:rPr>
        <w:t>DUSC considered that there are multiple reasons for high and increasing utilisation of bDMARDs for ankylosing spondylitis</w:t>
      </w:r>
      <w:r w:rsidR="00E25B12">
        <w:rPr>
          <w:sz w:val="24"/>
          <w:szCs w:val="24"/>
        </w:rPr>
        <w:t>,</w:t>
      </w:r>
      <w:r w:rsidRPr="00FA1200">
        <w:rPr>
          <w:sz w:val="24"/>
          <w:szCs w:val="24"/>
        </w:rPr>
        <w:t xml:space="preserve"> including that the prevalence of ankylosing spondylitis in Australia may have been underestimated at the time bDMARDs were first listed for this indication, high rates of continuation on treatment may partly be driven by a reluctance to withdraw treatment where patients are achieving a partial response </w:t>
      </w:r>
      <w:r w:rsidR="00E25B12">
        <w:rPr>
          <w:sz w:val="24"/>
          <w:szCs w:val="24"/>
        </w:rPr>
        <w:t>(</w:t>
      </w:r>
      <w:r w:rsidRPr="00FA1200">
        <w:rPr>
          <w:sz w:val="24"/>
          <w:szCs w:val="24"/>
        </w:rPr>
        <w:t>particularly as there is a lack of alternat</w:t>
      </w:r>
      <w:r w:rsidR="003409D6">
        <w:rPr>
          <w:sz w:val="24"/>
          <w:szCs w:val="24"/>
        </w:rPr>
        <w:t>iv</w:t>
      </w:r>
      <w:r w:rsidRPr="00FA1200">
        <w:rPr>
          <w:sz w:val="24"/>
          <w:szCs w:val="24"/>
        </w:rPr>
        <w:t>e therapies</w:t>
      </w:r>
      <w:r w:rsidR="00E25B12">
        <w:rPr>
          <w:sz w:val="24"/>
          <w:szCs w:val="24"/>
        </w:rPr>
        <w:t>),</w:t>
      </w:r>
      <w:r w:rsidRPr="00FA1200">
        <w:rPr>
          <w:sz w:val="24"/>
          <w:szCs w:val="24"/>
        </w:rPr>
        <w:t xml:space="preserve"> and treatment of earlier stage disease. DUSC also considered that increased familiarity with bDMARDs and improved awareness of inflammatory back pain leading to more referrals from GPs to rheumatologists may be contributing to increasing use over time.</w:t>
      </w:r>
    </w:p>
    <w:p w:rsidR="00F45B22" w:rsidRPr="00FA1200" w:rsidRDefault="00F45B22" w:rsidP="00FA1200">
      <w:pPr>
        <w:rPr>
          <w:sz w:val="24"/>
          <w:szCs w:val="24"/>
        </w:rPr>
      </w:pPr>
      <w:r w:rsidRPr="00F45B22">
        <w:rPr>
          <w:sz w:val="24"/>
          <w:szCs w:val="24"/>
        </w:rPr>
        <w:lastRenderedPageBreak/>
        <w:t>The DUSC requested that the report be provided to the PBAC.</w:t>
      </w:r>
    </w:p>
    <w:p w:rsidR="00FA1200" w:rsidRDefault="00FA1200" w:rsidP="008B6946">
      <w:pPr>
        <w:rPr>
          <w:b/>
          <w:sz w:val="24"/>
          <w:szCs w:val="24"/>
        </w:rPr>
      </w:pPr>
    </w:p>
    <w:p w:rsidR="00CA78D9" w:rsidRDefault="00CA78D9" w:rsidP="008B6946">
      <w:pPr>
        <w:rPr>
          <w:b/>
          <w:sz w:val="24"/>
          <w:szCs w:val="24"/>
        </w:rPr>
      </w:pPr>
      <w:r>
        <w:rPr>
          <w:b/>
          <w:sz w:val="24"/>
          <w:szCs w:val="24"/>
        </w:rPr>
        <w:t>Biological disease-modifying anti-rheumatic drugs (bDMARDs) for psoriatic arthritis</w:t>
      </w:r>
    </w:p>
    <w:p w:rsidR="00FA1200" w:rsidRDefault="00FA1200" w:rsidP="00FA1200">
      <w:pPr>
        <w:rPr>
          <w:sz w:val="24"/>
          <w:szCs w:val="24"/>
        </w:rPr>
      </w:pPr>
    </w:p>
    <w:p w:rsidR="00FA1200" w:rsidRPr="00FA1200" w:rsidRDefault="00FA1200" w:rsidP="00FA1200">
      <w:pPr>
        <w:rPr>
          <w:sz w:val="24"/>
          <w:szCs w:val="24"/>
        </w:rPr>
      </w:pPr>
      <w:r w:rsidRPr="00FA1200">
        <w:rPr>
          <w:sz w:val="24"/>
          <w:szCs w:val="24"/>
        </w:rPr>
        <w:t>The PBS restriction for biological disease modifying anti-rheumatic drugs (</w:t>
      </w:r>
      <w:proofErr w:type="spellStart"/>
      <w:r w:rsidRPr="00FA1200">
        <w:rPr>
          <w:sz w:val="24"/>
          <w:szCs w:val="24"/>
        </w:rPr>
        <w:t>bDMARD</w:t>
      </w:r>
      <w:r w:rsidR="00E25B12">
        <w:rPr>
          <w:sz w:val="24"/>
          <w:szCs w:val="24"/>
        </w:rPr>
        <w:t>s</w:t>
      </w:r>
      <w:proofErr w:type="spellEnd"/>
      <w:r w:rsidRPr="00FA1200">
        <w:rPr>
          <w:sz w:val="24"/>
          <w:szCs w:val="24"/>
        </w:rPr>
        <w:t>) requires patients to have trialled methotrexate and either sulfasalazine or leflunomide prior to initiation unless contraindicated. An analysis of PBS dispensing data showed that 17% of people starting bDMARDs have not received methotrexate and either sulfasalazine or leflunomide. DUSC considered that contraindication to these therapies is likely to account for the majority of these cases. A minority of patients may not meet the restriction criteria for prior therapies.</w:t>
      </w:r>
    </w:p>
    <w:p w:rsidR="00FA1200" w:rsidRDefault="00FA1200" w:rsidP="008B6946">
      <w:pPr>
        <w:rPr>
          <w:b/>
          <w:sz w:val="24"/>
          <w:szCs w:val="24"/>
        </w:rPr>
      </w:pPr>
    </w:p>
    <w:p w:rsidR="00F45B22" w:rsidRPr="00F45B22" w:rsidRDefault="00F45B22" w:rsidP="008B6946">
      <w:pPr>
        <w:rPr>
          <w:sz w:val="24"/>
          <w:szCs w:val="24"/>
        </w:rPr>
      </w:pPr>
      <w:r w:rsidRPr="00F45B22">
        <w:rPr>
          <w:sz w:val="24"/>
          <w:szCs w:val="24"/>
        </w:rPr>
        <w:t>The DUSC requested that the report be provided to the PBAC.</w:t>
      </w:r>
    </w:p>
    <w:p w:rsidR="00F45B22" w:rsidRDefault="00F45B22" w:rsidP="008B6946">
      <w:pPr>
        <w:rPr>
          <w:b/>
          <w:sz w:val="24"/>
          <w:szCs w:val="24"/>
        </w:rPr>
      </w:pPr>
    </w:p>
    <w:p w:rsidR="009112F4" w:rsidRDefault="005D696D" w:rsidP="008B6946">
      <w:pPr>
        <w:rPr>
          <w:b/>
          <w:sz w:val="24"/>
          <w:szCs w:val="24"/>
        </w:rPr>
      </w:pPr>
      <w:r>
        <w:rPr>
          <w:b/>
          <w:sz w:val="24"/>
          <w:szCs w:val="24"/>
        </w:rPr>
        <w:t xml:space="preserve">Medicines for </w:t>
      </w:r>
      <w:r w:rsidR="00CA78D9">
        <w:rPr>
          <w:b/>
          <w:sz w:val="24"/>
          <w:szCs w:val="24"/>
        </w:rPr>
        <w:t>Alzheimer disease</w:t>
      </w:r>
    </w:p>
    <w:p w:rsidR="005E71D4" w:rsidRDefault="005E71D4" w:rsidP="00CA78D9">
      <w:pPr>
        <w:rPr>
          <w:sz w:val="24"/>
          <w:szCs w:val="24"/>
        </w:rPr>
      </w:pPr>
    </w:p>
    <w:p w:rsidR="00F45B22" w:rsidRDefault="00FA1200" w:rsidP="00CA78D9">
      <w:pPr>
        <w:rPr>
          <w:sz w:val="24"/>
          <w:szCs w:val="24"/>
        </w:rPr>
      </w:pPr>
      <w:r>
        <w:rPr>
          <w:sz w:val="24"/>
          <w:szCs w:val="24"/>
        </w:rPr>
        <w:t>A post-market review was undertaken for anti-dementia medicines in 2012. The outcomes of this review included a change in the PBS restriction of these medicines to</w:t>
      </w:r>
      <w:r w:rsidRPr="00FA1200">
        <w:rPr>
          <w:sz w:val="24"/>
          <w:szCs w:val="24"/>
        </w:rPr>
        <w:t xml:space="preserve"> </w:t>
      </w:r>
      <w:r>
        <w:rPr>
          <w:sz w:val="24"/>
          <w:szCs w:val="24"/>
        </w:rPr>
        <w:t xml:space="preserve">allow a clinical assessment of response at </w:t>
      </w:r>
      <w:r w:rsidR="00E25B12">
        <w:rPr>
          <w:sz w:val="24"/>
          <w:szCs w:val="24"/>
        </w:rPr>
        <w:t>six months (</w:t>
      </w:r>
      <w:r>
        <w:rPr>
          <w:sz w:val="24"/>
          <w:szCs w:val="24"/>
        </w:rPr>
        <w:t xml:space="preserve">rather than requiring assessment with the </w:t>
      </w:r>
      <w:r w:rsidR="004B4E02">
        <w:rPr>
          <w:sz w:val="24"/>
          <w:szCs w:val="24"/>
        </w:rPr>
        <w:t xml:space="preserve">Standardised Mini-mental State Examination </w:t>
      </w:r>
      <w:r w:rsidR="001F7F87">
        <w:rPr>
          <w:sz w:val="24"/>
          <w:szCs w:val="24"/>
        </w:rPr>
        <w:t>(</w:t>
      </w:r>
      <w:r w:rsidRPr="00FA1200">
        <w:rPr>
          <w:sz w:val="24"/>
          <w:szCs w:val="24"/>
        </w:rPr>
        <w:t>S/MMSE</w:t>
      </w:r>
      <w:r w:rsidR="001F7F87">
        <w:rPr>
          <w:sz w:val="24"/>
          <w:szCs w:val="24"/>
        </w:rPr>
        <w:t>)</w:t>
      </w:r>
      <w:r w:rsidRPr="00FA1200">
        <w:rPr>
          <w:sz w:val="24"/>
          <w:szCs w:val="24"/>
        </w:rPr>
        <w:t xml:space="preserve"> or the Alzheimer disease Assessment Scale - Cognition (ADAS-Cog) tools</w:t>
      </w:r>
      <w:r w:rsidR="00E25B12">
        <w:rPr>
          <w:sz w:val="24"/>
          <w:szCs w:val="24"/>
        </w:rPr>
        <w:t>)</w:t>
      </w:r>
      <w:r w:rsidR="00F45B22">
        <w:rPr>
          <w:sz w:val="24"/>
          <w:szCs w:val="24"/>
        </w:rPr>
        <w:t xml:space="preserve">, and </w:t>
      </w:r>
      <w:r w:rsidRPr="00FA1200">
        <w:rPr>
          <w:sz w:val="24"/>
          <w:szCs w:val="24"/>
        </w:rPr>
        <w:t>a price reduction to re-establish cost-effectiveness.</w:t>
      </w:r>
      <w:r w:rsidR="005D696D" w:rsidRPr="005D696D">
        <w:rPr>
          <w:sz w:val="24"/>
          <w:szCs w:val="24"/>
        </w:rPr>
        <w:t xml:space="preserve"> </w:t>
      </w:r>
      <w:r w:rsidR="00F45B22">
        <w:rPr>
          <w:sz w:val="24"/>
          <w:szCs w:val="24"/>
        </w:rPr>
        <w:t xml:space="preserve"> </w:t>
      </w:r>
    </w:p>
    <w:p w:rsidR="00F45B22" w:rsidRDefault="00F45B22" w:rsidP="00CA78D9">
      <w:pPr>
        <w:rPr>
          <w:sz w:val="24"/>
          <w:szCs w:val="24"/>
        </w:rPr>
      </w:pPr>
    </w:p>
    <w:p w:rsidR="005D696D" w:rsidRDefault="00F45B22" w:rsidP="00CA78D9">
      <w:pPr>
        <w:rPr>
          <w:sz w:val="24"/>
          <w:szCs w:val="24"/>
        </w:rPr>
      </w:pPr>
      <w:r>
        <w:rPr>
          <w:sz w:val="24"/>
          <w:szCs w:val="24"/>
        </w:rPr>
        <w:t xml:space="preserve">DUSC noted that these </w:t>
      </w:r>
      <w:r w:rsidR="005D696D" w:rsidRPr="005D696D">
        <w:rPr>
          <w:sz w:val="24"/>
          <w:szCs w:val="24"/>
        </w:rPr>
        <w:t>changes do not appear to have resulted in major changes to treatment continuation.</w:t>
      </w:r>
      <w:r>
        <w:rPr>
          <w:sz w:val="24"/>
          <w:szCs w:val="24"/>
        </w:rPr>
        <w:t xml:space="preserve"> DUSC considered that Quality Use of Medicines</w:t>
      </w:r>
      <w:r w:rsidR="00E25B12">
        <w:rPr>
          <w:sz w:val="24"/>
          <w:szCs w:val="24"/>
        </w:rPr>
        <w:t xml:space="preserve"> (QUM)</w:t>
      </w:r>
      <w:r>
        <w:rPr>
          <w:sz w:val="24"/>
          <w:szCs w:val="24"/>
        </w:rPr>
        <w:t xml:space="preserve"> i</w:t>
      </w:r>
      <w:r w:rsidR="005D696D" w:rsidRPr="005D696D">
        <w:rPr>
          <w:sz w:val="24"/>
          <w:szCs w:val="24"/>
        </w:rPr>
        <w:t>ssues remain with anti-dementia medicines. Of particular concern to DUSC was the likely continuation on anti-dementia medicines for long periods of time where there may be little or no benefit, and co-administration of anticholinergic medicines with cholinesterase inhibitors.</w:t>
      </w:r>
      <w:r w:rsidR="005E71D4">
        <w:rPr>
          <w:sz w:val="24"/>
          <w:szCs w:val="24"/>
        </w:rPr>
        <w:t xml:space="preserve"> </w:t>
      </w:r>
      <w:r w:rsidR="005E71D4" w:rsidRPr="005E71D4">
        <w:rPr>
          <w:sz w:val="24"/>
          <w:szCs w:val="24"/>
        </w:rPr>
        <w:t xml:space="preserve">DUSC considered that a reinforcement of QUM message </w:t>
      </w:r>
      <w:r w:rsidR="003409D6">
        <w:rPr>
          <w:sz w:val="24"/>
          <w:szCs w:val="24"/>
        </w:rPr>
        <w:t>would</w:t>
      </w:r>
      <w:r w:rsidR="003409D6" w:rsidRPr="005E71D4">
        <w:rPr>
          <w:sz w:val="24"/>
          <w:szCs w:val="24"/>
        </w:rPr>
        <w:t xml:space="preserve"> </w:t>
      </w:r>
      <w:r w:rsidR="005E71D4" w:rsidRPr="005E71D4">
        <w:rPr>
          <w:sz w:val="24"/>
          <w:szCs w:val="24"/>
        </w:rPr>
        <w:t>be of value.</w:t>
      </w:r>
    </w:p>
    <w:p w:rsidR="005D696D" w:rsidRDefault="005D696D" w:rsidP="00CA78D9">
      <w:pPr>
        <w:rPr>
          <w:sz w:val="24"/>
          <w:szCs w:val="24"/>
        </w:rPr>
      </w:pPr>
    </w:p>
    <w:p w:rsidR="005D696D" w:rsidRPr="005D696D" w:rsidRDefault="005D696D" w:rsidP="00CA78D9">
      <w:pPr>
        <w:rPr>
          <w:sz w:val="24"/>
          <w:szCs w:val="24"/>
        </w:rPr>
      </w:pPr>
      <w:r w:rsidRPr="005D696D">
        <w:rPr>
          <w:sz w:val="24"/>
          <w:szCs w:val="24"/>
        </w:rPr>
        <w:t>The DUSC requested that the report be provided to the PBAC.</w:t>
      </w:r>
    </w:p>
    <w:p w:rsidR="00CA78D9" w:rsidRDefault="00CA78D9" w:rsidP="008B6946">
      <w:pPr>
        <w:rPr>
          <w:sz w:val="24"/>
          <w:szCs w:val="24"/>
        </w:rPr>
      </w:pPr>
    </w:p>
    <w:p w:rsidR="00B529E3" w:rsidRPr="00B529E3" w:rsidRDefault="00B529E3" w:rsidP="00B529E3">
      <w:pPr>
        <w:keepNext/>
        <w:outlineLvl w:val="3"/>
        <w:rPr>
          <w:b/>
          <w:sz w:val="24"/>
          <w:szCs w:val="24"/>
        </w:rPr>
      </w:pPr>
      <w:r w:rsidRPr="00B529E3">
        <w:rPr>
          <w:b/>
          <w:sz w:val="24"/>
          <w:szCs w:val="24"/>
        </w:rPr>
        <w:t xml:space="preserve">Smoking Cessation: bupropion, nicotine replacement therapy and varenicline  </w:t>
      </w:r>
    </w:p>
    <w:p w:rsidR="00B529E3" w:rsidRPr="00B529E3" w:rsidRDefault="00B529E3" w:rsidP="00B529E3">
      <w:pPr>
        <w:keepNext/>
        <w:outlineLvl w:val="3"/>
        <w:rPr>
          <w:sz w:val="24"/>
          <w:szCs w:val="24"/>
        </w:rPr>
      </w:pPr>
    </w:p>
    <w:p w:rsidR="00B529E3" w:rsidRPr="00B529E3" w:rsidRDefault="00B529E3" w:rsidP="00B529E3">
      <w:pPr>
        <w:keepNext/>
        <w:outlineLvl w:val="3"/>
        <w:rPr>
          <w:sz w:val="24"/>
          <w:szCs w:val="24"/>
        </w:rPr>
      </w:pPr>
      <w:r w:rsidRPr="00B529E3">
        <w:rPr>
          <w:sz w:val="24"/>
          <w:szCs w:val="24"/>
        </w:rPr>
        <w:t xml:space="preserve">In 2014, 373,934 Australians were supplied 487,472 R/PBS prescriptions for smoking cessation therapies. Varenicline was the most used smoking cessation therapy on the R/PBS since its listing in January 2008 with </w:t>
      </w:r>
      <w:r w:rsidR="00E25B12">
        <w:rPr>
          <w:sz w:val="24"/>
          <w:szCs w:val="24"/>
        </w:rPr>
        <w:t>n</w:t>
      </w:r>
      <w:r w:rsidR="004B4E02">
        <w:rPr>
          <w:sz w:val="24"/>
          <w:szCs w:val="24"/>
        </w:rPr>
        <w:t xml:space="preserve">icotine </w:t>
      </w:r>
      <w:r w:rsidR="00E25B12">
        <w:rPr>
          <w:sz w:val="24"/>
          <w:szCs w:val="24"/>
        </w:rPr>
        <w:t>r</w:t>
      </w:r>
      <w:r w:rsidR="004B4E02">
        <w:rPr>
          <w:sz w:val="24"/>
          <w:szCs w:val="24"/>
        </w:rPr>
        <w:t xml:space="preserve">eplacement </w:t>
      </w:r>
      <w:r w:rsidR="00E25B12">
        <w:rPr>
          <w:sz w:val="24"/>
          <w:szCs w:val="24"/>
        </w:rPr>
        <w:t>t</w:t>
      </w:r>
      <w:r w:rsidR="004B4E02">
        <w:rPr>
          <w:sz w:val="24"/>
          <w:szCs w:val="24"/>
        </w:rPr>
        <w:t>herapy</w:t>
      </w:r>
      <w:r w:rsidRPr="00B529E3">
        <w:rPr>
          <w:sz w:val="24"/>
          <w:szCs w:val="24"/>
        </w:rPr>
        <w:t xml:space="preserve"> </w:t>
      </w:r>
      <w:r w:rsidR="00BA1DAB">
        <w:rPr>
          <w:sz w:val="24"/>
          <w:szCs w:val="24"/>
        </w:rPr>
        <w:t xml:space="preserve">(NRT) </w:t>
      </w:r>
      <w:r w:rsidRPr="00B529E3">
        <w:rPr>
          <w:sz w:val="24"/>
          <w:szCs w:val="24"/>
        </w:rPr>
        <w:t xml:space="preserve">as the second most used since its listing. DUSC noted that there was no major change in the use of smoking cessation therapies with the streamlining of the NRT restriction in December 2013. </w:t>
      </w:r>
    </w:p>
    <w:p w:rsidR="00B529E3" w:rsidRPr="00B529E3" w:rsidRDefault="00B529E3" w:rsidP="00B529E3">
      <w:pPr>
        <w:keepNext/>
        <w:outlineLvl w:val="3"/>
        <w:rPr>
          <w:sz w:val="24"/>
          <w:szCs w:val="24"/>
        </w:rPr>
      </w:pPr>
    </w:p>
    <w:p w:rsidR="00B529E3" w:rsidRPr="00B529E3" w:rsidRDefault="00B529E3" w:rsidP="00B529E3">
      <w:pPr>
        <w:keepNext/>
        <w:outlineLvl w:val="3"/>
        <w:rPr>
          <w:sz w:val="24"/>
          <w:szCs w:val="24"/>
        </w:rPr>
      </w:pPr>
      <w:r w:rsidRPr="00B529E3">
        <w:rPr>
          <w:sz w:val="24"/>
          <w:szCs w:val="24"/>
        </w:rPr>
        <w:t>Use of R/PBS smoking cessation therapies in 2014 was down 1.7% from the previous year. Whilst it is difficult to determine cause and effect, a reduced prevalence</w:t>
      </w:r>
      <w:r w:rsidR="004C3CFD" w:rsidRPr="00BA1DAB">
        <w:rPr>
          <w:rStyle w:val="FootnoteReference"/>
          <w:sz w:val="24"/>
          <w:szCs w:val="24"/>
          <w:vertAlign w:val="superscript"/>
        </w:rPr>
        <w:footnoteReference w:id="1"/>
      </w:r>
      <w:r w:rsidRPr="00B529E3">
        <w:rPr>
          <w:sz w:val="24"/>
          <w:szCs w:val="24"/>
        </w:rPr>
        <w:t xml:space="preserve"> of smoking may be contributing to the reduction in the use of smoking cessation products. DUSC noted the clinical place for smoking cessation therapies among the available options to assist people who want to quit smoking.</w:t>
      </w:r>
    </w:p>
    <w:p w:rsidR="008B6946" w:rsidRDefault="008B6946" w:rsidP="008B6946">
      <w:pPr>
        <w:keepNext/>
        <w:outlineLvl w:val="3"/>
        <w:rPr>
          <w:sz w:val="24"/>
          <w:szCs w:val="24"/>
        </w:rPr>
      </w:pPr>
    </w:p>
    <w:p w:rsidR="00F45B22" w:rsidRPr="00F45B22" w:rsidRDefault="00F45B22" w:rsidP="00CA78D9">
      <w:pPr>
        <w:rPr>
          <w:sz w:val="24"/>
          <w:szCs w:val="24"/>
        </w:rPr>
      </w:pPr>
      <w:r w:rsidRPr="00F45B22">
        <w:rPr>
          <w:sz w:val="24"/>
          <w:szCs w:val="24"/>
        </w:rPr>
        <w:t>The DUSC requested that the report be provided to the PBAC.</w:t>
      </w:r>
    </w:p>
    <w:p w:rsidR="00F45B22" w:rsidRDefault="00F45B22" w:rsidP="00CA78D9">
      <w:pPr>
        <w:rPr>
          <w:b/>
          <w:sz w:val="24"/>
          <w:szCs w:val="24"/>
        </w:rPr>
      </w:pPr>
    </w:p>
    <w:p w:rsidR="00CA78D9" w:rsidRPr="00CA78D9" w:rsidRDefault="00CA78D9" w:rsidP="00CA78D9">
      <w:pPr>
        <w:rPr>
          <w:b/>
          <w:sz w:val="24"/>
          <w:szCs w:val="24"/>
        </w:rPr>
      </w:pPr>
      <w:proofErr w:type="spellStart"/>
      <w:r>
        <w:rPr>
          <w:b/>
          <w:sz w:val="24"/>
          <w:szCs w:val="24"/>
        </w:rPr>
        <w:lastRenderedPageBreak/>
        <w:t>Ticagrelor</w:t>
      </w:r>
      <w:proofErr w:type="spellEnd"/>
      <w:r>
        <w:rPr>
          <w:b/>
          <w:sz w:val="24"/>
          <w:szCs w:val="24"/>
        </w:rPr>
        <w:t xml:space="preserve"> </w:t>
      </w:r>
      <w:r w:rsidRPr="00CA78D9">
        <w:rPr>
          <w:b/>
          <w:sz w:val="24"/>
          <w:szCs w:val="24"/>
        </w:rPr>
        <w:t>for treatment of acute coronary syndrome</w:t>
      </w:r>
    </w:p>
    <w:p w:rsidR="005E71D4" w:rsidRDefault="005E71D4" w:rsidP="00F85AC0">
      <w:pPr>
        <w:rPr>
          <w:sz w:val="24"/>
          <w:szCs w:val="24"/>
        </w:rPr>
      </w:pPr>
    </w:p>
    <w:p w:rsidR="00F85AC0" w:rsidRPr="00F85AC0" w:rsidRDefault="00F85AC0" w:rsidP="00F85AC0">
      <w:pPr>
        <w:rPr>
          <w:sz w:val="24"/>
          <w:szCs w:val="24"/>
        </w:rPr>
      </w:pPr>
      <w:r w:rsidRPr="00F85AC0">
        <w:rPr>
          <w:sz w:val="24"/>
          <w:szCs w:val="24"/>
        </w:rPr>
        <w:t xml:space="preserve">The uptake of </w:t>
      </w:r>
      <w:proofErr w:type="spellStart"/>
      <w:r w:rsidRPr="00F85AC0">
        <w:rPr>
          <w:sz w:val="24"/>
          <w:szCs w:val="24"/>
        </w:rPr>
        <w:t>ticagrelor</w:t>
      </w:r>
      <w:proofErr w:type="spellEnd"/>
      <w:r w:rsidRPr="00F85AC0">
        <w:rPr>
          <w:sz w:val="24"/>
          <w:szCs w:val="24"/>
        </w:rPr>
        <w:t xml:space="preserve"> has been </w:t>
      </w:r>
      <w:r w:rsidR="003409D6">
        <w:rPr>
          <w:sz w:val="24"/>
          <w:szCs w:val="24"/>
        </w:rPr>
        <w:t>increasing at a steady rate</w:t>
      </w:r>
      <w:r w:rsidRPr="00F85AC0">
        <w:rPr>
          <w:sz w:val="24"/>
          <w:szCs w:val="24"/>
        </w:rPr>
        <w:t xml:space="preserve"> since listing. </w:t>
      </w:r>
      <w:proofErr w:type="spellStart"/>
      <w:r w:rsidRPr="00F85AC0">
        <w:rPr>
          <w:sz w:val="24"/>
          <w:szCs w:val="24"/>
        </w:rPr>
        <w:t>Ticagrelor</w:t>
      </w:r>
      <w:proofErr w:type="spellEnd"/>
      <w:r w:rsidRPr="00F85AC0">
        <w:rPr>
          <w:sz w:val="24"/>
          <w:szCs w:val="24"/>
        </w:rPr>
        <w:t xml:space="preserve"> has taken a small proportion of the market of </w:t>
      </w:r>
      <w:proofErr w:type="spellStart"/>
      <w:r w:rsidRPr="00F85AC0">
        <w:rPr>
          <w:sz w:val="24"/>
          <w:szCs w:val="24"/>
        </w:rPr>
        <w:t>clopidogrel</w:t>
      </w:r>
      <w:proofErr w:type="spellEnd"/>
      <w:r w:rsidRPr="00F85AC0">
        <w:rPr>
          <w:sz w:val="24"/>
          <w:szCs w:val="24"/>
        </w:rPr>
        <w:t xml:space="preserve">, </w:t>
      </w:r>
      <w:proofErr w:type="spellStart"/>
      <w:r w:rsidRPr="00F85AC0">
        <w:rPr>
          <w:sz w:val="24"/>
          <w:szCs w:val="24"/>
        </w:rPr>
        <w:t>clopidog</w:t>
      </w:r>
      <w:r w:rsidR="00EC188E">
        <w:rPr>
          <w:sz w:val="24"/>
          <w:szCs w:val="24"/>
        </w:rPr>
        <w:t>rel</w:t>
      </w:r>
      <w:proofErr w:type="spellEnd"/>
      <w:r w:rsidR="00EC188E">
        <w:rPr>
          <w:sz w:val="24"/>
          <w:szCs w:val="24"/>
        </w:rPr>
        <w:t xml:space="preserve"> with aspirin, and </w:t>
      </w:r>
      <w:proofErr w:type="spellStart"/>
      <w:r w:rsidR="00EC188E">
        <w:rPr>
          <w:sz w:val="24"/>
          <w:szCs w:val="24"/>
        </w:rPr>
        <w:t>prasugrel</w:t>
      </w:r>
      <w:proofErr w:type="spellEnd"/>
      <w:r w:rsidRPr="00F85AC0">
        <w:rPr>
          <w:sz w:val="24"/>
          <w:szCs w:val="24"/>
        </w:rPr>
        <w:t xml:space="preserve"> </w:t>
      </w:r>
      <w:r w:rsidR="003409D6">
        <w:rPr>
          <w:sz w:val="24"/>
          <w:szCs w:val="24"/>
        </w:rPr>
        <w:t>(note;</w:t>
      </w:r>
      <w:r w:rsidRPr="00F85AC0">
        <w:rPr>
          <w:sz w:val="24"/>
          <w:szCs w:val="24"/>
        </w:rPr>
        <w:t xml:space="preserve"> these medicines are PBS listed for several other indications</w:t>
      </w:r>
      <w:r w:rsidR="003409D6">
        <w:rPr>
          <w:sz w:val="24"/>
          <w:szCs w:val="24"/>
        </w:rPr>
        <w:t>)</w:t>
      </w:r>
      <w:r w:rsidRPr="00F85AC0">
        <w:rPr>
          <w:sz w:val="24"/>
          <w:szCs w:val="24"/>
        </w:rPr>
        <w:t xml:space="preserve">. However, </w:t>
      </w:r>
      <w:proofErr w:type="spellStart"/>
      <w:r w:rsidRPr="00F85AC0">
        <w:rPr>
          <w:sz w:val="24"/>
          <w:szCs w:val="24"/>
        </w:rPr>
        <w:t>ticagrelor</w:t>
      </w:r>
      <w:proofErr w:type="spellEnd"/>
      <w:r w:rsidRPr="00F85AC0">
        <w:rPr>
          <w:sz w:val="24"/>
          <w:szCs w:val="24"/>
        </w:rPr>
        <w:t xml:space="preserve"> is now the most commonly used medicine for acute coronary syndrome</w:t>
      </w:r>
      <w:r w:rsidR="003409D6">
        <w:rPr>
          <w:sz w:val="24"/>
          <w:szCs w:val="24"/>
        </w:rPr>
        <w:t>, when analysis was limited to PBS item codes for this indication</w:t>
      </w:r>
      <w:r w:rsidRPr="00F85AC0">
        <w:rPr>
          <w:sz w:val="24"/>
          <w:szCs w:val="24"/>
        </w:rPr>
        <w:t>.</w:t>
      </w:r>
    </w:p>
    <w:p w:rsidR="00F85AC0" w:rsidRPr="00F85AC0" w:rsidRDefault="00F85AC0" w:rsidP="00F85AC0">
      <w:pPr>
        <w:rPr>
          <w:sz w:val="24"/>
          <w:szCs w:val="24"/>
        </w:rPr>
      </w:pPr>
    </w:p>
    <w:p w:rsidR="00F85AC0" w:rsidRPr="00F85AC0" w:rsidRDefault="00F85AC0" w:rsidP="00F85AC0">
      <w:pPr>
        <w:rPr>
          <w:sz w:val="24"/>
          <w:szCs w:val="24"/>
        </w:rPr>
      </w:pPr>
      <w:r w:rsidRPr="00F85AC0">
        <w:rPr>
          <w:sz w:val="24"/>
          <w:szCs w:val="24"/>
        </w:rPr>
        <w:t>At the time of recommendation</w:t>
      </w:r>
      <w:r w:rsidR="003409D6">
        <w:rPr>
          <w:sz w:val="24"/>
          <w:szCs w:val="24"/>
        </w:rPr>
        <w:t xml:space="preserve"> for listing</w:t>
      </w:r>
      <w:r w:rsidRPr="00F85AC0">
        <w:rPr>
          <w:sz w:val="24"/>
          <w:szCs w:val="24"/>
        </w:rPr>
        <w:t xml:space="preserve">, the PBAC considered whether it would be appropriate for the restriction to limit treatment up to a maximum of 12 months duration. However, the PBAC considered that length of treatment should be determined by the treating clinician. The length of treatment analysis showed that although some patients remain on treatment for more than two years, the majority have stopped taking </w:t>
      </w:r>
      <w:proofErr w:type="spellStart"/>
      <w:r w:rsidRPr="00F85AC0">
        <w:rPr>
          <w:sz w:val="24"/>
          <w:szCs w:val="24"/>
        </w:rPr>
        <w:t>ticagrelor</w:t>
      </w:r>
      <w:proofErr w:type="spellEnd"/>
      <w:r w:rsidRPr="00F85AC0">
        <w:rPr>
          <w:sz w:val="24"/>
          <w:szCs w:val="24"/>
        </w:rPr>
        <w:t xml:space="preserve"> one year after initiation.</w:t>
      </w:r>
    </w:p>
    <w:p w:rsidR="00F85AC0" w:rsidRPr="00F85AC0" w:rsidRDefault="00F85AC0" w:rsidP="00F85AC0">
      <w:pPr>
        <w:rPr>
          <w:sz w:val="24"/>
          <w:szCs w:val="24"/>
        </w:rPr>
      </w:pPr>
    </w:p>
    <w:p w:rsidR="00F85AC0" w:rsidRPr="00F85AC0" w:rsidRDefault="00F85AC0" w:rsidP="00F85AC0">
      <w:pPr>
        <w:rPr>
          <w:sz w:val="24"/>
          <w:szCs w:val="24"/>
        </w:rPr>
      </w:pPr>
      <w:r w:rsidRPr="00F85AC0">
        <w:rPr>
          <w:sz w:val="24"/>
          <w:szCs w:val="24"/>
        </w:rPr>
        <w:t>DUSC requested that the report be provided to the PBAC.</w:t>
      </w:r>
    </w:p>
    <w:p w:rsidR="00EF6034" w:rsidRDefault="00EF6034" w:rsidP="00CA78D9">
      <w:pPr>
        <w:rPr>
          <w:sz w:val="24"/>
          <w:szCs w:val="24"/>
        </w:rPr>
      </w:pPr>
    </w:p>
    <w:p w:rsidR="00813C07" w:rsidRPr="00584E81" w:rsidRDefault="00EC27B1" w:rsidP="008B6946">
      <w:pPr>
        <w:pStyle w:val="Heading2"/>
      </w:pPr>
      <w:r w:rsidRPr="00584E81">
        <w:t>Upcoming</w:t>
      </w:r>
      <w:r w:rsidR="00813C07" w:rsidRPr="00584E81">
        <w:t xml:space="preserve"> </w:t>
      </w:r>
      <w:r w:rsidR="00006EF5" w:rsidRPr="00584E81">
        <w:t>U</w:t>
      </w:r>
      <w:r w:rsidR="00E60246" w:rsidRPr="00584E81">
        <w:t xml:space="preserve">tilisation </w:t>
      </w:r>
      <w:r w:rsidR="00006EF5" w:rsidRPr="00584E81">
        <w:t>A</w:t>
      </w:r>
      <w:r w:rsidR="00E60246" w:rsidRPr="00584E81">
        <w:t xml:space="preserve">nalysis </w:t>
      </w:r>
      <w:r w:rsidR="00006EF5" w:rsidRPr="00584E81">
        <w:t>of PBS L</w:t>
      </w:r>
      <w:r w:rsidR="00813C07" w:rsidRPr="00584E81">
        <w:t xml:space="preserve">isted </w:t>
      </w:r>
      <w:r w:rsidR="007D4108" w:rsidRPr="00584E81">
        <w:t>Medicines</w:t>
      </w:r>
    </w:p>
    <w:p w:rsidR="00D06634" w:rsidRPr="00584E81" w:rsidRDefault="002B7EE2" w:rsidP="008B6946">
      <w:pPr>
        <w:rPr>
          <w:sz w:val="24"/>
          <w:szCs w:val="24"/>
        </w:rPr>
      </w:pPr>
      <w:proofErr w:type="gramStart"/>
      <w:r w:rsidRPr="00584E81">
        <w:rPr>
          <w:sz w:val="24"/>
          <w:szCs w:val="24"/>
        </w:rPr>
        <w:t xml:space="preserve">Utilisation </w:t>
      </w:r>
      <w:r w:rsidR="00DA5030" w:rsidRPr="00584E81">
        <w:rPr>
          <w:sz w:val="24"/>
          <w:szCs w:val="24"/>
        </w:rPr>
        <w:t>of t</w:t>
      </w:r>
      <w:r w:rsidR="005E1E28" w:rsidRPr="00584E81">
        <w:rPr>
          <w:sz w:val="24"/>
          <w:szCs w:val="24"/>
        </w:rPr>
        <w:t xml:space="preserve">he following </w:t>
      </w:r>
      <w:r w:rsidR="007D4108" w:rsidRPr="00584E81">
        <w:rPr>
          <w:sz w:val="24"/>
          <w:szCs w:val="24"/>
        </w:rPr>
        <w:t xml:space="preserve">medicines </w:t>
      </w:r>
      <w:r w:rsidR="00D55ED4" w:rsidRPr="00584E81">
        <w:rPr>
          <w:sz w:val="24"/>
          <w:szCs w:val="24"/>
        </w:rPr>
        <w:t>and therapeutic areas have</w:t>
      </w:r>
      <w:proofErr w:type="gramEnd"/>
      <w:r w:rsidR="00D55ED4" w:rsidRPr="00584E81">
        <w:rPr>
          <w:sz w:val="24"/>
          <w:szCs w:val="24"/>
        </w:rPr>
        <w:t xml:space="preserve"> been </w:t>
      </w:r>
      <w:r w:rsidR="00EC27B1" w:rsidRPr="00584E81">
        <w:rPr>
          <w:sz w:val="24"/>
          <w:szCs w:val="24"/>
        </w:rPr>
        <w:t>selected for</w:t>
      </w:r>
      <w:r w:rsidR="005E1E28" w:rsidRPr="00584E81">
        <w:rPr>
          <w:sz w:val="24"/>
          <w:szCs w:val="24"/>
        </w:rPr>
        <w:t xml:space="preserve"> </w:t>
      </w:r>
      <w:r w:rsidRPr="00584E81">
        <w:rPr>
          <w:sz w:val="24"/>
          <w:szCs w:val="24"/>
        </w:rPr>
        <w:t xml:space="preserve">consideration </w:t>
      </w:r>
      <w:r w:rsidR="005E1E28" w:rsidRPr="00584E81">
        <w:rPr>
          <w:sz w:val="24"/>
          <w:szCs w:val="24"/>
        </w:rPr>
        <w:t xml:space="preserve">at </w:t>
      </w:r>
      <w:r w:rsidR="00AE46E7" w:rsidRPr="00584E81">
        <w:rPr>
          <w:sz w:val="24"/>
          <w:szCs w:val="24"/>
        </w:rPr>
        <w:t xml:space="preserve">future </w:t>
      </w:r>
      <w:r w:rsidR="005E1E28" w:rsidRPr="00584E81">
        <w:rPr>
          <w:sz w:val="24"/>
          <w:szCs w:val="24"/>
        </w:rPr>
        <w:t>DUSC meetin</w:t>
      </w:r>
      <w:r w:rsidR="00094597" w:rsidRPr="00584E81">
        <w:rPr>
          <w:sz w:val="24"/>
          <w:szCs w:val="24"/>
        </w:rPr>
        <w:t>g</w:t>
      </w:r>
      <w:r w:rsidR="00AE46E7" w:rsidRPr="00584E81">
        <w:rPr>
          <w:sz w:val="24"/>
          <w:szCs w:val="24"/>
        </w:rPr>
        <w:t>s.</w:t>
      </w:r>
    </w:p>
    <w:p w:rsidR="001071DA" w:rsidRPr="00584E81" w:rsidRDefault="001071DA" w:rsidP="008B6946">
      <w:pPr>
        <w:rPr>
          <w:sz w:val="24"/>
          <w:szCs w:val="24"/>
          <w:highlight w:val="yellow"/>
          <w:u w:val="single"/>
        </w:rPr>
      </w:pPr>
    </w:p>
    <w:p w:rsidR="00237631" w:rsidRPr="00237631" w:rsidRDefault="00237631" w:rsidP="008B6946">
      <w:pPr>
        <w:rPr>
          <w:b/>
          <w:sz w:val="24"/>
          <w:szCs w:val="24"/>
        </w:rPr>
      </w:pPr>
      <w:r w:rsidRPr="00237631">
        <w:rPr>
          <w:b/>
          <w:sz w:val="24"/>
          <w:szCs w:val="24"/>
        </w:rPr>
        <w:t>Predicted versus Actual Utilisation Analysis</w:t>
      </w:r>
      <w:r w:rsidR="002722F2">
        <w:rPr>
          <w:b/>
          <w:sz w:val="24"/>
          <w:szCs w:val="24"/>
        </w:rPr>
        <w:t xml:space="preserve"> </w:t>
      </w:r>
    </w:p>
    <w:p w:rsidR="00593298" w:rsidRPr="00F45B22" w:rsidRDefault="00F45B22" w:rsidP="00F45B22">
      <w:pPr>
        <w:pStyle w:val="ListParagraph"/>
        <w:numPr>
          <w:ilvl w:val="0"/>
          <w:numId w:val="39"/>
        </w:numPr>
        <w:autoSpaceDE w:val="0"/>
        <w:autoSpaceDN w:val="0"/>
        <w:adjustRightInd w:val="0"/>
        <w:contextualSpacing/>
        <w:rPr>
          <w:szCs w:val="24"/>
        </w:rPr>
      </w:pPr>
      <w:proofErr w:type="spellStart"/>
      <w:r w:rsidRPr="00F45B22">
        <w:rPr>
          <w:szCs w:val="24"/>
        </w:rPr>
        <w:t>Apixiban</w:t>
      </w:r>
      <w:proofErr w:type="spellEnd"/>
      <w:r w:rsidRPr="00F45B22">
        <w:rPr>
          <w:szCs w:val="24"/>
        </w:rPr>
        <w:t xml:space="preserve">, </w:t>
      </w:r>
      <w:proofErr w:type="spellStart"/>
      <w:r w:rsidRPr="00F45B22">
        <w:rPr>
          <w:szCs w:val="24"/>
        </w:rPr>
        <w:t>rivaroxaban</w:t>
      </w:r>
      <w:proofErr w:type="spellEnd"/>
      <w:r w:rsidRPr="00F45B22">
        <w:rPr>
          <w:szCs w:val="24"/>
        </w:rPr>
        <w:t xml:space="preserve"> and </w:t>
      </w:r>
      <w:proofErr w:type="spellStart"/>
      <w:r w:rsidRPr="00F45B22">
        <w:rPr>
          <w:szCs w:val="24"/>
        </w:rPr>
        <w:t>dabigatran</w:t>
      </w:r>
      <w:proofErr w:type="spellEnd"/>
      <w:r w:rsidRPr="00F45B22">
        <w:rPr>
          <w:szCs w:val="24"/>
        </w:rPr>
        <w:t xml:space="preserve"> for the</w:t>
      </w:r>
      <w:r w:rsidRPr="00F45B22">
        <w:t xml:space="preserve"> </w:t>
      </w:r>
      <w:r>
        <w:t>p</w:t>
      </w:r>
      <w:r w:rsidRPr="00F45B22">
        <w:rPr>
          <w:szCs w:val="24"/>
        </w:rPr>
        <w:t xml:space="preserve">revention of stroke or systemic embolism in patient with non-valvular atrial fibrillation with risk factors. </w:t>
      </w:r>
    </w:p>
    <w:p w:rsidR="00F45B22" w:rsidRDefault="00F45B22" w:rsidP="00CA78D9">
      <w:pPr>
        <w:pStyle w:val="ListParagraph"/>
        <w:numPr>
          <w:ilvl w:val="0"/>
          <w:numId w:val="39"/>
        </w:numPr>
        <w:autoSpaceDE w:val="0"/>
        <w:autoSpaceDN w:val="0"/>
        <w:adjustRightInd w:val="0"/>
        <w:contextualSpacing/>
        <w:rPr>
          <w:szCs w:val="24"/>
        </w:rPr>
      </w:pPr>
      <w:r>
        <w:rPr>
          <w:szCs w:val="24"/>
        </w:rPr>
        <w:t>Medicines for the treatment of prostate cancer, including abiraterone, cabazitaxel and enzalutamide.</w:t>
      </w:r>
    </w:p>
    <w:p w:rsidR="004F083B" w:rsidRDefault="004F083B" w:rsidP="004F083B">
      <w:pPr>
        <w:pStyle w:val="ListParagraph"/>
        <w:autoSpaceDE w:val="0"/>
        <w:autoSpaceDN w:val="0"/>
        <w:adjustRightInd w:val="0"/>
        <w:contextualSpacing/>
        <w:rPr>
          <w:szCs w:val="24"/>
        </w:rPr>
      </w:pPr>
    </w:p>
    <w:p w:rsidR="007D29DA" w:rsidRPr="00235EF9" w:rsidRDefault="007D29DA" w:rsidP="008226BA">
      <w:pPr>
        <w:pStyle w:val="ListParagraph"/>
        <w:autoSpaceDE w:val="0"/>
        <w:autoSpaceDN w:val="0"/>
        <w:adjustRightInd w:val="0"/>
        <w:ind w:left="0"/>
        <w:contextualSpacing/>
        <w:rPr>
          <w:b/>
          <w:szCs w:val="24"/>
        </w:rPr>
      </w:pPr>
      <w:r w:rsidRPr="00235EF9">
        <w:rPr>
          <w:b/>
          <w:szCs w:val="24"/>
        </w:rPr>
        <w:t>Analysis of multiple medicines in a treatment area</w:t>
      </w:r>
    </w:p>
    <w:p w:rsidR="00DA5928" w:rsidRDefault="00B471D0" w:rsidP="00CA78D9">
      <w:pPr>
        <w:pStyle w:val="ListParagraph"/>
        <w:numPr>
          <w:ilvl w:val="0"/>
          <w:numId w:val="39"/>
        </w:numPr>
        <w:autoSpaceDE w:val="0"/>
        <w:autoSpaceDN w:val="0"/>
        <w:adjustRightInd w:val="0"/>
        <w:contextualSpacing/>
        <w:rPr>
          <w:szCs w:val="24"/>
        </w:rPr>
      </w:pPr>
      <w:r>
        <w:rPr>
          <w:szCs w:val="24"/>
        </w:rPr>
        <w:t>M</w:t>
      </w:r>
      <w:r w:rsidR="007D29DA">
        <w:rPr>
          <w:szCs w:val="24"/>
        </w:rPr>
        <w:t>edicines</w:t>
      </w:r>
      <w:r w:rsidR="007D29DA" w:rsidRPr="007D29DA">
        <w:t xml:space="preserve"> </w:t>
      </w:r>
      <w:r w:rsidR="00F45B22">
        <w:t>for the treatment of glaucoma</w:t>
      </w:r>
    </w:p>
    <w:p w:rsidR="00A50FB6" w:rsidRDefault="00A50FB6" w:rsidP="008B6946">
      <w:pPr>
        <w:rPr>
          <w:sz w:val="24"/>
          <w:szCs w:val="24"/>
        </w:rPr>
      </w:pPr>
    </w:p>
    <w:p w:rsidR="00002AE8" w:rsidRDefault="008032DE" w:rsidP="008B6946">
      <w:pPr>
        <w:rPr>
          <w:sz w:val="24"/>
          <w:szCs w:val="24"/>
        </w:rPr>
      </w:pPr>
      <w:r>
        <w:rPr>
          <w:sz w:val="24"/>
          <w:szCs w:val="24"/>
        </w:rPr>
        <w:t xml:space="preserve">An outcome statement will be </w:t>
      </w:r>
      <w:r w:rsidR="00002AE8">
        <w:rPr>
          <w:sz w:val="24"/>
          <w:szCs w:val="24"/>
        </w:rPr>
        <w:t>available</w:t>
      </w:r>
      <w:r>
        <w:rPr>
          <w:sz w:val="24"/>
          <w:szCs w:val="24"/>
        </w:rPr>
        <w:t xml:space="preserve"> following each </w:t>
      </w:r>
      <w:r w:rsidR="00002AE8">
        <w:rPr>
          <w:sz w:val="24"/>
          <w:szCs w:val="24"/>
        </w:rPr>
        <w:t xml:space="preserve">meeting of DUSC. </w:t>
      </w:r>
      <w:r w:rsidR="0049403E">
        <w:rPr>
          <w:sz w:val="24"/>
          <w:szCs w:val="24"/>
        </w:rPr>
        <w:t>For further information, please contact</w:t>
      </w:r>
      <w:r w:rsidR="00047105">
        <w:rPr>
          <w:sz w:val="24"/>
          <w:szCs w:val="24"/>
        </w:rPr>
        <w:t xml:space="preserve"> the DUSC Secretariat </w:t>
      </w:r>
      <w:r w:rsidR="004374C3">
        <w:rPr>
          <w:sz w:val="24"/>
          <w:szCs w:val="24"/>
        </w:rPr>
        <w:t xml:space="preserve">at </w:t>
      </w:r>
      <w:r w:rsidR="0052725D">
        <w:rPr>
          <w:sz w:val="24"/>
          <w:szCs w:val="24"/>
        </w:rPr>
        <w:t>DUSC@health.gov.au.</w:t>
      </w:r>
    </w:p>
    <w:p w:rsidR="00CD1FF1" w:rsidRDefault="00CD1FF1" w:rsidP="008B6946">
      <w:pPr>
        <w:rPr>
          <w:sz w:val="24"/>
          <w:szCs w:val="24"/>
        </w:rPr>
      </w:pPr>
    </w:p>
    <w:p w:rsidR="00002AE8" w:rsidRDefault="00002AE8" w:rsidP="008B6946">
      <w:pPr>
        <w:rPr>
          <w:sz w:val="24"/>
          <w:szCs w:val="24"/>
        </w:rPr>
      </w:pPr>
    </w:p>
    <w:p w:rsidR="002722F2" w:rsidRDefault="002722F2" w:rsidP="008B6946">
      <w:pPr>
        <w:rPr>
          <w:sz w:val="24"/>
          <w:szCs w:val="24"/>
        </w:rPr>
      </w:pPr>
    </w:p>
    <w:p w:rsidR="00543CD8" w:rsidRDefault="00543CD8" w:rsidP="008B6946">
      <w:pPr>
        <w:rPr>
          <w:sz w:val="24"/>
          <w:szCs w:val="24"/>
        </w:rPr>
      </w:pPr>
    </w:p>
    <w:p w:rsidR="00002AE8" w:rsidRDefault="00002AE8" w:rsidP="008B6946">
      <w:pPr>
        <w:rPr>
          <w:sz w:val="24"/>
          <w:szCs w:val="24"/>
        </w:rPr>
      </w:pPr>
      <w:r>
        <w:rPr>
          <w:sz w:val="24"/>
          <w:szCs w:val="24"/>
        </w:rPr>
        <w:t xml:space="preserve">Professor </w:t>
      </w:r>
      <w:r w:rsidR="00473DA7">
        <w:rPr>
          <w:sz w:val="24"/>
          <w:szCs w:val="24"/>
        </w:rPr>
        <w:t>Geoff McColl</w:t>
      </w:r>
      <w:r>
        <w:rPr>
          <w:sz w:val="24"/>
          <w:szCs w:val="24"/>
        </w:rPr>
        <w:tab/>
      </w:r>
      <w:r>
        <w:rPr>
          <w:sz w:val="24"/>
          <w:szCs w:val="24"/>
        </w:rPr>
        <w:tab/>
      </w:r>
      <w:r>
        <w:rPr>
          <w:sz w:val="24"/>
          <w:szCs w:val="24"/>
        </w:rPr>
        <w:tab/>
      </w:r>
    </w:p>
    <w:p w:rsidR="00002AE8" w:rsidRDefault="00002AE8" w:rsidP="008B6946">
      <w:pPr>
        <w:rPr>
          <w:sz w:val="24"/>
          <w:szCs w:val="24"/>
        </w:rPr>
      </w:pPr>
      <w:r>
        <w:rPr>
          <w:sz w:val="24"/>
          <w:szCs w:val="24"/>
        </w:rPr>
        <w:t>Chair</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02AE8" w:rsidRPr="003F06C8" w:rsidRDefault="00002AE8" w:rsidP="008B6946">
      <w:pPr>
        <w:rPr>
          <w:sz w:val="24"/>
          <w:szCs w:val="24"/>
        </w:rPr>
      </w:pPr>
      <w:r>
        <w:rPr>
          <w:sz w:val="24"/>
          <w:szCs w:val="24"/>
        </w:rPr>
        <w:t>Drug Utilisation Sub-Committee</w:t>
      </w:r>
      <w:r>
        <w:rPr>
          <w:sz w:val="24"/>
          <w:szCs w:val="24"/>
        </w:rPr>
        <w:tab/>
      </w:r>
      <w:r>
        <w:rPr>
          <w:sz w:val="24"/>
          <w:szCs w:val="24"/>
        </w:rPr>
        <w:tab/>
      </w:r>
    </w:p>
    <w:sectPr w:rsidR="00002AE8" w:rsidRPr="003F06C8" w:rsidSect="007166A9">
      <w:footerReference w:type="default" r:id="rId11"/>
      <w:headerReference w:type="first" r:id="rId12"/>
      <w:footerReference w:type="first" r:id="rId13"/>
      <w:pgSz w:w="11908" w:h="16833" w:code="9"/>
      <w:pgMar w:top="1134" w:right="1134" w:bottom="1134" w:left="1440" w:header="284" w:footer="0" w:gutter="0"/>
      <w:paperSrc w:first="7" w:other="7"/>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4B6" w:rsidRDefault="00BE14B6">
      <w:r>
        <w:separator/>
      </w:r>
    </w:p>
  </w:endnote>
  <w:endnote w:type="continuationSeparator" w:id="0">
    <w:p w:rsidR="00BE14B6" w:rsidRDefault="00BE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9" w:rsidRDefault="00CA1AA9">
    <w:pPr>
      <w:pStyle w:val="Footer"/>
      <w:jc w:val="center"/>
    </w:pPr>
    <w:r>
      <w:fldChar w:fldCharType="begin"/>
    </w:r>
    <w:r>
      <w:instrText xml:space="preserve"> PAGE   \* MERGEFORMAT </w:instrText>
    </w:r>
    <w:r>
      <w:fldChar w:fldCharType="separate"/>
    </w:r>
    <w:r w:rsidR="002522B2">
      <w:rPr>
        <w:noProof/>
      </w:rPr>
      <w:t>3</w:t>
    </w:r>
    <w:r>
      <w:rPr>
        <w:noProof/>
      </w:rPr>
      <w:fldChar w:fldCharType="end"/>
    </w:r>
  </w:p>
  <w:p w:rsidR="00CA1AA9" w:rsidRDefault="00CA1AA9" w:rsidP="00F1203C">
    <w:pPr>
      <w:pStyle w:val="Footer"/>
      <w:tabs>
        <w:tab w:val="clear" w:pos="4153"/>
        <w:tab w:val="clear" w:pos="8306"/>
        <w:tab w:val="center" w:pos="4666"/>
        <w:tab w:val="right" w:pos="933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9" w:rsidRDefault="00CA1AA9">
    <w:pPr>
      <w:pStyle w:val="Footer"/>
      <w:jc w:val="center"/>
    </w:pPr>
    <w:r>
      <w:fldChar w:fldCharType="begin"/>
    </w:r>
    <w:r>
      <w:instrText xml:space="preserve"> PAGE   \* MERGEFORMAT </w:instrText>
    </w:r>
    <w:r>
      <w:fldChar w:fldCharType="separate"/>
    </w:r>
    <w:r w:rsidR="002522B2">
      <w:rPr>
        <w:noProof/>
      </w:rPr>
      <w:t>1</w:t>
    </w:r>
    <w:r>
      <w:rPr>
        <w:noProof/>
      </w:rPr>
      <w:fldChar w:fldCharType="end"/>
    </w:r>
  </w:p>
  <w:p w:rsidR="00CA1AA9" w:rsidRDefault="00CA1AA9"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4B6" w:rsidRDefault="00BE14B6">
      <w:r>
        <w:separator/>
      </w:r>
    </w:p>
  </w:footnote>
  <w:footnote w:type="continuationSeparator" w:id="0">
    <w:p w:rsidR="00BE14B6" w:rsidRDefault="00BE14B6">
      <w:r>
        <w:continuationSeparator/>
      </w:r>
    </w:p>
  </w:footnote>
  <w:footnote w:id="1">
    <w:p w:rsidR="004C3CFD" w:rsidRDefault="004C3CFD">
      <w:pPr>
        <w:pStyle w:val="FootnoteText"/>
      </w:pPr>
      <w:r w:rsidRPr="004C3CFD">
        <w:rPr>
          <w:rStyle w:val="FootnoteReference"/>
          <w:vertAlign w:val="superscript"/>
        </w:rPr>
        <w:footnoteRef/>
      </w:r>
      <w:r>
        <w:t xml:space="preserve"> </w:t>
      </w:r>
      <w:proofErr w:type="gramStart"/>
      <w:r w:rsidRPr="009E4B17">
        <w:rPr>
          <w:rFonts w:cs="MyriadPro-Light"/>
          <w:szCs w:val="18"/>
        </w:rPr>
        <w:t>Australian Institute of Health and Welfare 2014.</w:t>
      </w:r>
      <w:proofErr w:type="gramEnd"/>
      <w:r w:rsidRPr="009E4B17">
        <w:rPr>
          <w:rFonts w:cs="MyriadPro-Light"/>
          <w:szCs w:val="18"/>
        </w:rPr>
        <w:t xml:space="preserve"> National Drug Strategy Household Survey detailed report 2013.</w:t>
      </w:r>
      <w:r>
        <w:rPr>
          <w:rFonts w:cs="MyriadPro-Light"/>
          <w:szCs w:val="18"/>
        </w:rPr>
        <w:t xml:space="preserve"> </w:t>
      </w:r>
      <w:r w:rsidRPr="009E4B17">
        <w:rPr>
          <w:rFonts w:cs="MyriadPro-Light"/>
          <w:szCs w:val="18"/>
        </w:rPr>
        <w:t xml:space="preserve">Drug statistics series no. 28. Cat. </w:t>
      </w:r>
      <w:proofErr w:type="gramStart"/>
      <w:r w:rsidRPr="009E4B17">
        <w:rPr>
          <w:rFonts w:cs="MyriadPro-Light"/>
          <w:szCs w:val="18"/>
        </w:rPr>
        <w:t>no</w:t>
      </w:r>
      <w:proofErr w:type="gramEnd"/>
      <w:r w:rsidRPr="009E4B17">
        <w:rPr>
          <w:rFonts w:cs="MyriadPro-Light"/>
          <w:szCs w:val="18"/>
        </w:rPr>
        <w:t xml:space="preserve">. </w:t>
      </w:r>
      <w:proofErr w:type="gramStart"/>
      <w:r w:rsidRPr="009E4B17">
        <w:rPr>
          <w:rFonts w:cs="MyriadPro-Light"/>
          <w:szCs w:val="18"/>
        </w:rPr>
        <w:t>PHE 183.</w:t>
      </w:r>
      <w:proofErr w:type="gramEnd"/>
      <w:r w:rsidRPr="009E4B17">
        <w:rPr>
          <w:rFonts w:cs="MyriadPro-Light"/>
          <w:szCs w:val="18"/>
        </w:rPr>
        <w:t xml:space="preserve"> Canberra: AIHW. Available from </w:t>
      </w:r>
      <w:hyperlink r:id="rId1" w:history="1">
        <w:r w:rsidRPr="009E4B17">
          <w:rPr>
            <w:rStyle w:val="Hyperlink"/>
            <w:rFonts w:cs="MyriadPro-Light"/>
            <w:szCs w:val="18"/>
          </w:rPr>
          <w:t>www.aihw.gov.au</w:t>
        </w:r>
      </w:hyperlink>
      <w:r w:rsidRPr="009E4B17">
        <w:rPr>
          <w:rFonts w:cs="MyriadPro-Light"/>
          <w:szCs w:val="18"/>
        </w:rPr>
        <w:t xml:space="preserve"> Accessed 26 Oct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9" w:rsidRDefault="00D562AF">
    <w:pPr>
      <w:pStyle w:val="Header"/>
    </w:pPr>
    <w:r>
      <w:rPr>
        <w:noProof/>
      </w:rPr>
      <w:drawing>
        <wp:inline distT="0" distB="0" distL="0" distR="0" wp14:anchorId="780F4629" wp14:editId="7D03980A">
          <wp:extent cx="800100" cy="542925"/>
          <wp:effectExtent l="0" t="0" r="0" b="9525"/>
          <wp:docPr id="1" name="Picture 1"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800100" cy="542925"/>
                  </a:xfrm>
                  <a:prstGeom prst="rect">
                    <a:avLst/>
                  </a:prstGeom>
                  <a:noFill/>
                  <a:ln>
                    <a:noFill/>
                  </a:ln>
                </pic:spPr>
              </pic:pic>
            </a:graphicData>
          </a:graphic>
        </wp:inline>
      </w:drawing>
    </w:r>
  </w:p>
  <w:p w:rsidR="00CA1AA9" w:rsidRPr="00CA347D" w:rsidRDefault="00CA1AA9" w:rsidP="00CA347D">
    <w:pPr>
      <w:pStyle w:val="Heading1"/>
      <w:rPr>
        <w:rStyle w:val="Heading1Char"/>
        <w:b/>
      </w:rPr>
    </w:pPr>
    <w:r w:rsidRPr="00CA347D">
      <w:rPr>
        <w:rStyle w:val="Heading1Char"/>
        <w:b/>
      </w:rPr>
      <w:t>Drug Utilisation Sub-Committee</w:t>
    </w:r>
  </w:p>
  <w:p w:rsidR="00CA1AA9" w:rsidRPr="00CA347D" w:rsidRDefault="00CA1AA9" w:rsidP="00CA347D">
    <w:pPr>
      <w:pStyle w:val="Heading1"/>
    </w:pPr>
    <w:r w:rsidRPr="00CA347D">
      <w:rPr>
        <w:rStyle w:val="Heading1Char"/>
        <w:b/>
      </w:rPr>
      <w:t xml:space="preserve">Outcome Statement </w:t>
    </w:r>
    <w:r w:rsidR="00CA78D9">
      <w:rPr>
        <w:rStyle w:val="Heading1Char"/>
        <w:b/>
      </w:rPr>
      <w:t xml:space="preserve">4-5 February </w:t>
    </w:r>
    <w:r w:rsidRPr="00CA347D">
      <w:rPr>
        <w:rStyle w:val="Heading1Char"/>
        <w:b/>
      </w:rPr>
      <w:t>201</w:t>
    </w:r>
    <w:r w:rsidR="00CA78D9">
      <w:rPr>
        <w:rStyle w:val="Heading1Char"/>
        <w:b/>
      </w:rPr>
      <w:t>6</w:t>
    </w:r>
  </w:p>
  <w:p w:rsidR="00CA1AA9" w:rsidRDefault="00CA1AA9"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20A"/>
    <w:multiLevelType w:val="hybridMultilevel"/>
    <w:tmpl w:val="CE38B468"/>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195DF7"/>
    <w:multiLevelType w:val="hybridMultilevel"/>
    <w:tmpl w:val="59429752"/>
    <w:lvl w:ilvl="0" w:tplc="0C090001">
      <w:start w:val="1"/>
      <w:numFmt w:val="bullet"/>
      <w:lvlText w:val=""/>
      <w:lvlJc w:val="left"/>
      <w:pPr>
        <w:ind w:left="360" w:hanging="360"/>
      </w:pPr>
      <w:rPr>
        <w:rFonts w:ascii="Symbol" w:hAnsi="Symbol" w:hint="default"/>
      </w:rPr>
    </w:lvl>
    <w:lvl w:ilvl="1" w:tplc="CC04598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F6F48F4"/>
    <w:multiLevelType w:val="hybridMultilevel"/>
    <w:tmpl w:val="329E4D24"/>
    <w:lvl w:ilvl="0" w:tplc="18BAF958">
      <w:numFmt w:val="bullet"/>
      <w:lvlText w:val="-"/>
      <w:lvlJc w:val="left"/>
      <w:pPr>
        <w:ind w:left="720" w:hanging="360"/>
      </w:pPr>
      <w:rPr>
        <w:rFonts w:ascii="Times New Roman" w:eastAsia="Calibr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4D62B8"/>
    <w:multiLevelType w:val="hybridMultilevel"/>
    <w:tmpl w:val="471EBBCA"/>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D345BC"/>
    <w:multiLevelType w:val="hybridMultilevel"/>
    <w:tmpl w:val="F93ADC52"/>
    <w:lvl w:ilvl="0" w:tplc="214497B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E32CD1"/>
    <w:multiLevelType w:val="hybridMultilevel"/>
    <w:tmpl w:val="FE62BCAA"/>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EC5511"/>
    <w:multiLevelType w:val="hybridMultilevel"/>
    <w:tmpl w:val="84F88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9156B52"/>
    <w:multiLevelType w:val="hybridMultilevel"/>
    <w:tmpl w:val="5DAC1872"/>
    <w:lvl w:ilvl="0" w:tplc="AE7439B0">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CF47035"/>
    <w:multiLevelType w:val="hybridMultilevel"/>
    <w:tmpl w:val="87E62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F55357E"/>
    <w:multiLevelType w:val="hybridMultilevel"/>
    <w:tmpl w:val="BF26C3D2"/>
    <w:lvl w:ilvl="0" w:tplc="7632FC2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A6D5B62"/>
    <w:multiLevelType w:val="hybridMultilevel"/>
    <w:tmpl w:val="35044B4C"/>
    <w:lvl w:ilvl="0" w:tplc="CC04598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AED6E30"/>
    <w:multiLevelType w:val="hybridMultilevel"/>
    <w:tmpl w:val="DE96B4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057C16"/>
    <w:multiLevelType w:val="hybridMultilevel"/>
    <w:tmpl w:val="7A7C423E"/>
    <w:lvl w:ilvl="0" w:tplc="AE7439B0">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667341"/>
    <w:multiLevelType w:val="hybridMultilevel"/>
    <w:tmpl w:val="F3545F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23C6B72"/>
    <w:multiLevelType w:val="hybridMultilevel"/>
    <w:tmpl w:val="2318BA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8596E9C"/>
    <w:multiLevelType w:val="hybridMultilevel"/>
    <w:tmpl w:val="661A7242"/>
    <w:lvl w:ilvl="0" w:tplc="7632FC2C">
      <w:numFmt w:val="bullet"/>
      <w:lvlText w:val="-"/>
      <w:lvlJc w:val="left"/>
      <w:pPr>
        <w:ind w:left="1140" w:hanging="360"/>
      </w:pPr>
      <w:rPr>
        <w:rFonts w:ascii="Times New Roman" w:eastAsia="Times New Roman" w:hAnsi="Times New Roman" w:cs="Times New Roman" w:hint="default"/>
      </w:rPr>
    </w:lvl>
    <w:lvl w:ilvl="1" w:tplc="0C090003">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6">
    <w:nsid w:val="38FA0775"/>
    <w:multiLevelType w:val="hybridMultilevel"/>
    <w:tmpl w:val="887A558E"/>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477C5C"/>
    <w:multiLevelType w:val="hybridMultilevel"/>
    <w:tmpl w:val="40A09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AE51D1A"/>
    <w:multiLevelType w:val="hybridMultilevel"/>
    <w:tmpl w:val="26DAC1C2"/>
    <w:lvl w:ilvl="0" w:tplc="AE7439B0">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C529AE"/>
    <w:multiLevelType w:val="hybridMultilevel"/>
    <w:tmpl w:val="04BAAB9A"/>
    <w:lvl w:ilvl="0" w:tplc="39280084">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BF61E7"/>
    <w:multiLevelType w:val="hybridMultilevel"/>
    <w:tmpl w:val="4B28D30E"/>
    <w:lvl w:ilvl="0" w:tplc="B60CA06C">
      <w:start w:val="7"/>
      <w:numFmt w:val="bullet"/>
      <w:lvlText w:val="-"/>
      <w:lvlJc w:val="left"/>
      <w:pPr>
        <w:tabs>
          <w:tab w:val="num" w:pos="720"/>
        </w:tabs>
        <w:ind w:left="720" w:hanging="360"/>
      </w:pPr>
      <w:rPr>
        <w:rFonts w:ascii="Times New Roman" w:eastAsia="Times New Roman" w:hAnsi="Times New Roman" w:cs="Times New Roman" w:hint="default"/>
      </w:rPr>
    </w:lvl>
    <w:lvl w:ilvl="1" w:tplc="B60CA06C">
      <w:start w:val="7"/>
      <w:numFmt w:val="bullet"/>
      <w:lvlText w:val="-"/>
      <w:lvlJc w:val="left"/>
      <w:pPr>
        <w:tabs>
          <w:tab w:val="num" w:pos="1740"/>
        </w:tabs>
        <w:ind w:left="1740" w:hanging="360"/>
      </w:pPr>
      <w:rPr>
        <w:rFonts w:ascii="Times New Roman" w:eastAsia="Times New Roman" w:hAnsi="Times New Roman" w:cs="Times New Roman"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1">
    <w:nsid w:val="46AD1236"/>
    <w:multiLevelType w:val="hybridMultilevel"/>
    <w:tmpl w:val="4860F0C8"/>
    <w:lvl w:ilvl="0" w:tplc="ACF4C0C2">
      <w:start w:val="2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85E7366"/>
    <w:multiLevelType w:val="hybridMultilevel"/>
    <w:tmpl w:val="0A6A023A"/>
    <w:lvl w:ilvl="0" w:tplc="625837F4">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8E4223C"/>
    <w:multiLevelType w:val="hybridMultilevel"/>
    <w:tmpl w:val="69928E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197594"/>
    <w:multiLevelType w:val="hybridMultilevel"/>
    <w:tmpl w:val="ED9634A0"/>
    <w:lvl w:ilvl="0" w:tplc="69160AEC">
      <w:start w:val="1"/>
      <w:numFmt w:val="bullet"/>
      <w:lvlText w:val="-"/>
      <w:lvlJc w:val="left"/>
      <w:pPr>
        <w:tabs>
          <w:tab w:val="num" w:pos="786"/>
        </w:tabs>
        <w:ind w:left="786"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97A0C56"/>
    <w:multiLevelType w:val="hybridMultilevel"/>
    <w:tmpl w:val="C312F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9B4471F"/>
    <w:multiLevelType w:val="hybridMultilevel"/>
    <w:tmpl w:val="EDC2DC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29E2DCE"/>
    <w:multiLevelType w:val="hybridMultilevel"/>
    <w:tmpl w:val="FE7458CE"/>
    <w:lvl w:ilvl="0" w:tplc="7632FC2C">
      <w:numFmt w:val="bullet"/>
      <w:lvlText w:val="-"/>
      <w:lvlJc w:val="left"/>
      <w:pPr>
        <w:tabs>
          <w:tab w:val="num" w:pos="786"/>
        </w:tabs>
        <w:ind w:left="786"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AB084B"/>
    <w:multiLevelType w:val="hybridMultilevel"/>
    <w:tmpl w:val="EBE09608"/>
    <w:lvl w:ilvl="0" w:tplc="0C090001">
      <w:start w:val="1"/>
      <w:numFmt w:val="bullet"/>
      <w:lvlText w:val=""/>
      <w:lvlJc w:val="left"/>
      <w:pPr>
        <w:tabs>
          <w:tab w:val="num" w:pos="786"/>
        </w:tabs>
        <w:ind w:left="786"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DF67289"/>
    <w:multiLevelType w:val="hybridMultilevel"/>
    <w:tmpl w:val="99804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EE94BC8"/>
    <w:multiLevelType w:val="hybridMultilevel"/>
    <w:tmpl w:val="D5DAB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F255722"/>
    <w:multiLevelType w:val="hybridMultilevel"/>
    <w:tmpl w:val="D878FF54"/>
    <w:lvl w:ilvl="0" w:tplc="0409000F">
      <w:start w:val="1"/>
      <w:numFmt w:val="decimal"/>
      <w:lvlText w:val="%1."/>
      <w:lvlJc w:val="left"/>
      <w:pPr>
        <w:tabs>
          <w:tab w:val="num" w:pos="720"/>
        </w:tabs>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6453585"/>
    <w:multiLevelType w:val="hybridMultilevel"/>
    <w:tmpl w:val="CE52A5EE"/>
    <w:lvl w:ilvl="0" w:tplc="3998DBA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71430CC"/>
    <w:multiLevelType w:val="hybridMultilevel"/>
    <w:tmpl w:val="5F3C1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7F8674D"/>
    <w:multiLevelType w:val="hybridMultilevel"/>
    <w:tmpl w:val="6C743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8D2183E"/>
    <w:multiLevelType w:val="hybridMultilevel"/>
    <w:tmpl w:val="BB288E1A"/>
    <w:lvl w:ilvl="0" w:tplc="7ABE59CE">
      <w:start w:val="7"/>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6">
    <w:nsid w:val="6F5E427B"/>
    <w:multiLevelType w:val="hybridMultilevel"/>
    <w:tmpl w:val="6BFAAF04"/>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18E2D8D"/>
    <w:multiLevelType w:val="hybridMultilevel"/>
    <w:tmpl w:val="545CB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B21A2C"/>
    <w:multiLevelType w:val="hybridMultilevel"/>
    <w:tmpl w:val="5D4CACD6"/>
    <w:lvl w:ilvl="0" w:tplc="0C090001">
      <w:start w:val="1"/>
      <w:numFmt w:val="bullet"/>
      <w:lvlText w:val=""/>
      <w:lvlJc w:val="left"/>
      <w:pPr>
        <w:tabs>
          <w:tab w:val="num" w:pos="360"/>
        </w:tabs>
        <w:ind w:left="360" w:hanging="360"/>
      </w:pPr>
      <w:rPr>
        <w:rFonts w:ascii="Symbol" w:hAnsi="Symbol" w:hint="default"/>
      </w:rPr>
    </w:lvl>
    <w:lvl w:ilvl="1" w:tplc="B60CA06C">
      <w:start w:val="7"/>
      <w:numFmt w:val="bullet"/>
      <w:lvlText w:val="-"/>
      <w:lvlJc w:val="left"/>
      <w:pPr>
        <w:tabs>
          <w:tab w:val="num" w:pos="1380"/>
        </w:tabs>
        <w:ind w:left="1380" w:hanging="360"/>
      </w:pPr>
      <w:rPr>
        <w:rFonts w:ascii="Times New Roman" w:eastAsia="Times New Roman" w:hAnsi="Times New Roman" w:cs="Times New Roman"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9">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77763F80"/>
    <w:multiLevelType w:val="hybridMultilevel"/>
    <w:tmpl w:val="962E014E"/>
    <w:lvl w:ilvl="0" w:tplc="02AA903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1">
    <w:nsid w:val="7A265D63"/>
    <w:multiLevelType w:val="hybridMultilevel"/>
    <w:tmpl w:val="BB2642BC"/>
    <w:lvl w:ilvl="0" w:tplc="69160AEC">
      <w:start w:val="1"/>
      <w:numFmt w:val="bullet"/>
      <w:lvlText w:val="-"/>
      <w:lvlJc w:val="left"/>
      <w:pPr>
        <w:tabs>
          <w:tab w:val="num" w:pos="2160"/>
        </w:tabs>
        <w:ind w:left="216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7F3E4904"/>
    <w:multiLevelType w:val="hybridMultilevel"/>
    <w:tmpl w:val="BEAC65AA"/>
    <w:lvl w:ilvl="0" w:tplc="7632FC2C">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23"/>
  </w:num>
  <w:num w:numId="4">
    <w:abstractNumId w:val="41"/>
  </w:num>
  <w:num w:numId="5">
    <w:abstractNumId w:val="28"/>
  </w:num>
  <w:num w:numId="6">
    <w:abstractNumId w:val="31"/>
  </w:num>
  <w:num w:numId="7">
    <w:abstractNumId w:val="37"/>
  </w:num>
  <w:num w:numId="8">
    <w:abstractNumId w:val="27"/>
  </w:num>
  <w:num w:numId="9">
    <w:abstractNumId w:val="24"/>
  </w:num>
  <w:num w:numId="10">
    <w:abstractNumId w:val="32"/>
  </w:num>
  <w:num w:numId="11">
    <w:abstractNumId w:val="22"/>
  </w:num>
  <w:num w:numId="12">
    <w:abstractNumId w:val="9"/>
  </w:num>
  <w:num w:numId="13">
    <w:abstractNumId w:val="38"/>
  </w:num>
  <w:num w:numId="14">
    <w:abstractNumId w:val="20"/>
  </w:num>
  <w:num w:numId="15">
    <w:abstractNumId w:val="42"/>
  </w:num>
  <w:num w:numId="16">
    <w:abstractNumId w:val="2"/>
  </w:num>
  <w:num w:numId="17">
    <w:abstractNumId w:val="15"/>
  </w:num>
  <w:num w:numId="18">
    <w:abstractNumId w:val="29"/>
  </w:num>
  <w:num w:numId="19">
    <w:abstractNumId w:val="35"/>
  </w:num>
  <w:num w:numId="20">
    <w:abstractNumId w:val="7"/>
  </w:num>
  <w:num w:numId="21">
    <w:abstractNumId w:val="18"/>
  </w:num>
  <w:num w:numId="22">
    <w:abstractNumId w:val="12"/>
  </w:num>
  <w:num w:numId="23">
    <w:abstractNumId w:val="33"/>
  </w:num>
  <w:num w:numId="24">
    <w:abstractNumId w:val="34"/>
  </w:num>
  <w:num w:numId="25">
    <w:abstractNumId w:val="17"/>
  </w:num>
  <w:num w:numId="26">
    <w:abstractNumId w:val="25"/>
  </w:num>
  <w:num w:numId="27">
    <w:abstractNumId w:val="10"/>
  </w:num>
  <w:num w:numId="28">
    <w:abstractNumId w:val="1"/>
  </w:num>
  <w:num w:numId="29">
    <w:abstractNumId w:val="8"/>
  </w:num>
  <w:num w:numId="30">
    <w:abstractNumId w:val="5"/>
  </w:num>
  <w:num w:numId="31">
    <w:abstractNumId w:val="36"/>
  </w:num>
  <w:num w:numId="32">
    <w:abstractNumId w:val="30"/>
  </w:num>
  <w:num w:numId="33">
    <w:abstractNumId w:val="14"/>
  </w:num>
  <w:num w:numId="34">
    <w:abstractNumId w:val="16"/>
  </w:num>
  <w:num w:numId="35">
    <w:abstractNumId w:val="0"/>
  </w:num>
  <w:num w:numId="36">
    <w:abstractNumId w:val="26"/>
  </w:num>
  <w:num w:numId="37">
    <w:abstractNumId w:val="40"/>
  </w:num>
  <w:num w:numId="38">
    <w:abstractNumId w:val="39"/>
  </w:num>
  <w:num w:numId="39">
    <w:abstractNumId w:val="21"/>
  </w:num>
  <w:num w:numId="40">
    <w:abstractNumId w:val="6"/>
  </w:num>
  <w:num w:numId="41">
    <w:abstractNumId w:val="19"/>
  </w:num>
  <w:num w:numId="42">
    <w:abstractNumId w:val="13"/>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1AF"/>
    <w:rsid w:val="00002AE8"/>
    <w:rsid w:val="00006EF5"/>
    <w:rsid w:val="00010EA8"/>
    <w:rsid w:val="0001578A"/>
    <w:rsid w:val="00021898"/>
    <w:rsid w:val="000253E4"/>
    <w:rsid w:val="0002613B"/>
    <w:rsid w:val="00026898"/>
    <w:rsid w:val="000308AD"/>
    <w:rsid w:val="00032252"/>
    <w:rsid w:val="00047105"/>
    <w:rsid w:val="00054C1A"/>
    <w:rsid w:val="00055BF6"/>
    <w:rsid w:val="00061505"/>
    <w:rsid w:val="000701B8"/>
    <w:rsid w:val="00071505"/>
    <w:rsid w:val="0007482C"/>
    <w:rsid w:val="00076E4C"/>
    <w:rsid w:val="00080B21"/>
    <w:rsid w:val="0009006A"/>
    <w:rsid w:val="00094597"/>
    <w:rsid w:val="00096B9B"/>
    <w:rsid w:val="0009747E"/>
    <w:rsid w:val="000A02F8"/>
    <w:rsid w:val="000A0713"/>
    <w:rsid w:val="000A13FE"/>
    <w:rsid w:val="000A31AD"/>
    <w:rsid w:val="000A53A6"/>
    <w:rsid w:val="000B14A0"/>
    <w:rsid w:val="000B5448"/>
    <w:rsid w:val="000C1D0B"/>
    <w:rsid w:val="000C58C8"/>
    <w:rsid w:val="000D6712"/>
    <w:rsid w:val="000E18F9"/>
    <w:rsid w:val="000F3387"/>
    <w:rsid w:val="000F7CE1"/>
    <w:rsid w:val="00101877"/>
    <w:rsid w:val="001062BB"/>
    <w:rsid w:val="00106A1B"/>
    <w:rsid w:val="001071DA"/>
    <w:rsid w:val="00121F43"/>
    <w:rsid w:val="00123237"/>
    <w:rsid w:val="00137CE5"/>
    <w:rsid w:val="00141172"/>
    <w:rsid w:val="00142512"/>
    <w:rsid w:val="00151940"/>
    <w:rsid w:val="00152272"/>
    <w:rsid w:val="001528A6"/>
    <w:rsid w:val="00153667"/>
    <w:rsid w:val="00154D0A"/>
    <w:rsid w:val="00160EF6"/>
    <w:rsid w:val="00166CEB"/>
    <w:rsid w:val="00170E5B"/>
    <w:rsid w:val="00186DD1"/>
    <w:rsid w:val="0018700E"/>
    <w:rsid w:val="001902AC"/>
    <w:rsid w:val="001933E2"/>
    <w:rsid w:val="0019724B"/>
    <w:rsid w:val="001A3F70"/>
    <w:rsid w:val="001A449F"/>
    <w:rsid w:val="001A7B67"/>
    <w:rsid w:val="001B19E3"/>
    <w:rsid w:val="001B2A10"/>
    <w:rsid w:val="001C0316"/>
    <w:rsid w:val="001C5A7B"/>
    <w:rsid w:val="001C61FD"/>
    <w:rsid w:val="001F33DA"/>
    <w:rsid w:val="001F4200"/>
    <w:rsid w:val="001F6850"/>
    <w:rsid w:val="001F7F87"/>
    <w:rsid w:val="00200BA3"/>
    <w:rsid w:val="00203342"/>
    <w:rsid w:val="00203986"/>
    <w:rsid w:val="00211F6D"/>
    <w:rsid w:val="002168C1"/>
    <w:rsid w:val="00216CE7"/>
    <w:rsid w:val="00224079"/>
    <w:rsid w:val="00224DF5"/>
    <w:rsid w:val="00230732"/>
    <w:rsid w:val="00235EF9"/>
    <w:rsid w:val="00237631"/>
    <w:rsid w:val="002421EE"/>
    <w:rsid w:val="00242420"/>
    <w:rsid w:val="002522B2"/>
    <w:rsid w:val="0025366B"/>
    <w:rsid w:val="00255919"/>
    <w:rsid w:val="00261915"/>
    <w:rsid w:val="00261ED7"/>
    <w:rsid w:val="0026571A"/>
    <w:rsid w:val="0026645D"/>
    <w:rsid w:val="002722F2"/>
    <w:rsid w:val="00275278"/>
    <w:rsid w:val="00280C05"/>
    <w:rsid w:val="00282C56"/>
    <w:rsid w:val="002862A8"/>
    <w:rsid w:val="002871FC"/>
    <w:rsid w:val="00291D51"/>
    <w:rsid w:val="00292E10"/>
    <w:rsid w:val="00294F3F"/>
    <w:rsid w:val="0029548B"/>
    <w:rsid w:val="002A2FEF"/>
    <w:rsid w:val="002A48D7"/>
    <w:rsid w:val="002A6291"/>
    <w:rsid w:val="002A6A51"/>
    <w:rsid w:val="002B0FD1"/>
    <w:rsid w:val="002B519D"/>
    <w:rsid w:val="002B7EE2"/>
    <w:rsid w:val="002C1B64"/>
    <w:rsid w:val="002D3C76"/>
    <w:rsid w:val="002D3FC7"/>
    <w:rsid w:val="002D516C"/>
    <w:rsid w:val="002D734E"/>
    <w:rsid w:val="002E6F6A"/>
    <w:rsid w:val="002F131D"/>
    <w:rsid w:val="002F281B"/>
    <w:rsid w:val="002F6C13"/>
    <w:rsid w:val="002F7138"/>
    <w:rsid w:val="003026E0"/>
    <w:rsid w:val="00307F20"/>
    <w:rsid w:val="00312E8E"/>
    <w:rsid w:val="00313FED"/>
    <w:rsid w:val="00325C25"/>
    <w:rsid w:val="0032620A"/>
    <w:rsid w:val="0033439A"/>
    <w:rsid w:val="003361C9"/>
    <w:rsid w:val="00337241"/>
    <w:rsid w:val="003409D6"/>
    <w:rsid w:val="003468B6"/>
    <w:rsid w:val="003512F6"/>
    <w:rsid w:val="0035266E"/>
    <w:rsid w:val="00352D12"/>
    <w:rsid w:val="003555E8"/>
    <w:rsid w:val="00357332"/>
    <w:rsid w:val="00362581"/>
    <w:rsid w:val="00371376"/>
    <w:rsid w:val="0037338E"/>
    <w:rsid w:val="00377CBD"/>
    <w:rsid w:val="00385962"/>
    <w:rsid w:val="003860EB"/>
    <w:rsid w:val="003917EE"/>
    <w:rsid w:val="003A4887"/>
    <w:rsid w:val="003A6327"/>
    <w:rsid w:val="003B1842"/>
    <w:rsid w:val="003B644D"/>
    <w:rsid w:val="003B7122"/>
    <w:rsid w:val="003C0453"/>
    <w:rsid w:val="003C3E03"/>
    <w:rsid w:val="003C5342"/>
    <w:rsid w:val="003D0574"/>
    <w:rsid w:val="003D62AA"/>
    <w:rsid w:val="003D6C07"/>
    <w:rsid w:val="003E1ED8"/>
    <w:rsid w:val="003E601F"/>
    <w:rsid w:val="003F06C8"/>
    <w:rsid w:val="003F1DCA"/>
    <w:rsid w:val="00405743"/>
    <w:rsid w:val="00406FC4"/>
    <w:rsid w:val="00415BE7"/>
    <w:rsid w:val="0042129E"/>
    <w:rsid w:val="00421874"/>
    <w:rsid w:val="00423C42"/>
    <w:rsid w:val="004374C3"/>
    <w:rsid w:val="0044076B"/>
    <w:rsid w:val="00445679"/>
    <w:rsid w:val="00451ABF"/>
    <w:rsid w:val="004521E9"/>
    <w:rsid w:val="004566A9"/>
    <w:rsid w:val="00461EAF"/>
    <w:rsid w:val="00463497"/>
    <w:rsid w:val="00463B7E"/>
    <w:rsid w:val="00465EED"/>
    <w:rsid w:val="00471240"/>
    <w:rsid w:val="00473DA7"/>
    <w:rsid w:val="0047415B"/>
    <w:rsid w:val="00477B65"/>
    <w:rsid w:val="004839FE"/>
    <w:rsid w:val="0049330F"/>
    <w:rsid w:val="0049403E"/>
    <w:rsid w:val="00496AC8"/>
    <w:rsid w:val="004A055D"/>
    <w:rsid w:val="004B07E1"/>
    <w:rsid w:val="004B37DD"/>
    <w:rsid w:val="004B41AC"/>
    <w:rsid w:val="004B4E02"/>
    <w:rsid w:val="004C3CFD"/>
    <w:rsid w:val="004C7FA9"/>
    <w:rsid w:val="004D0311"/>
    <w:rsid w:val="004D75BE"/>
    <w:rsid w:val="004F083B"/>
    <w:rsid w:val="004F17CC"/>
    <w:rsid w:val="004F201C"/>
    <w:rsid w:val="004F60E0"/>
    <w:rsid w:val="004F6927"/>
    <w:rsid w:val="00512CE1"/>
    <w:rsid w:val="0051701B"/>
    <w:rsid w:val="00525347"/>
    <w:rsid w:val="0052725D"/>
    <w:rsid w:val="005317C8"/>
    <w:rsid w:val="00536FAF"/>
    <w:rsid w:val="00540349"/>
    <w:rsid w:val="00543CD8"/>
    <w:rsid w:val="00546A61"/>
    <w:rsid w:val="00550B68"/>
    <w:rsid w:val="00554F00"/>
    <w:rsid w:val="00556042"/>
    <w:rsid w:val="0056289C"/>
    <w:rsid w:val="005646E2"/>
    <w:rsid w:val="005659FC"/>
    <w:rsid w:val="00570796"/>
    <w:rsid w:val="00576201"/>
    <w:rsid w:val="00584E81"/>
    <w:rsid w:val="00584E98"/>
    <w:rsid w:val="0058750D"/>
    <w:rsid w:val="00590036"/>
    <w:rsid w:val="00593298"/>
    <w:rsid w:val="00594A71"/>
    <w:rsid w:val="00595475"/>
    <w:rsid w:val="005A1F05"/>
    <w:rsid w:val="005A4F6D"/>
    <w:rsid w:val="005C053B"/>
    <w:rsid w:val="005C148E"/>
    <w:rsid w:val="005D1BB0"/>
    <w:rsid w:val="005D4EB2"/>
    <w:rsid w:val="005D696D"/>
    <w:rsid w:val="005E116A"/>
    <w:rsid w:val="005E1E28"/>
    <w:rsid w:val="005E4D8D"/>
    <w:rsid w:val="005E71D4"/>
    <w:rsid w:val="005F20C5"/>
    <w:rsid w:val="005F20FE"/>
    <w:rsid w:val="005F3EF0"/>
    <w:rsid w:val="0060015D"/>
    <w:rsid w:val="00602B28"/>
    <w:rsid w:val="00603A1E"/>
    <w:rsid w:val="00605905"/>
    <w:rsid w:val="00605D9C"/>
    <w:rsid w:val="006118CB"/>
    <w:rsid w:val="00622522"/>
    <w:rsid w:val="006231FB"/>
    <w:rsid w:val="0062459E"/>
    <w:rsid w:val="00635EA5"/>
    <w:rsid w:val="006431B8"/>
    <w:rsid w:val="00645035"/>
    <w:rsid w:val="00651A8E"/>
    <w:rsid w:val="00667381"/>
    <w:rsid w:val="00670BD6"/>
    <w:rsid w:val="006723D5"/>
    <w:rsid w:val="00676304"/>
    <w:rsid w:val="00677B98"/>
    <w:rsid w:val="00695073"/>
    <w:rsid w:val="00695BF3"/>
    <w:rsid w:val="006969FE"/>
    <w:rsid w:val="006B1CD8"/>
    <w:rsid w:val="006B33A6"/>
    <w:rsid w:val="006B3D40"/>
    <w:rsid w:val="006B5BFA"/>
    <w:rsid w:val="006C1E62"/>
    <w:rsid w:val="006C29FD"/>
    <w:rsid w:val="006C48FE"/>
    <w:rsid w:val="006C4C24"/>
    <w:rsid w:val="006C588F"/>
    <w:rsid w:val="006D0C9A"/>
    <w:rsid w:val="006D29CA"/>
    <w:rsid w:val="006D69D9"/>
    <w:rsid w:val="006D6B4B"/>
    <w:rsid w:val="006D7038"/>
    <w:rsid w:val="006E08E0"/>
    <w:rsid w:val="006E0DDE"/>
    <w:rsid w:val="006E191B"/>
    <w:rsid w:val="006E2143"/>
    <w:rsid w:val="006E29E5"/>
    <w:rsid w:val="006E4185"/>
    <w:rsid w:val="006E66AD"/>
    <w:rsid w:val="006E7FA3"/>
    <w:rsid w:val="006F09EF"/>
    <w:rsid w:val="006F60A7"/>
    <w:rsid w:val="006F7103"/>
    <w:rsid w:val="006F7466"/>
    <w:rsid w:val="00702F49"/>
    <w:rsid w:val="00703C4C"/>
    <w:rsid w:val="007048E7"/>
    <w:rsid w:val="00706AF7"/>
    <w:rsid w:val="0071514B"/>
    <w:rsid w:val="0071558A"/>
    <w:rsid w:val="00715E10"/>
    <w:rsid w:val="007166A9"/>
    <w:rsid w:val="00722564"/>
    <w:rsid w:val="0072634E"/>
    <w:rsid w:val="00735BBE"/>
    <w:rsid w:val="0073626D"/>
    <w:rsid w:val="0074244E"/>
    <w:rsid w:val="00747495"/>
    <w:rsid w:val="00753580"/>
    <w:rsid w:val="00753AE8"/>
    <w:rsid w:val="00753D42"/>
    <w:rsid w:val="00755BF3"/>
    <w:rsid w:val="00761116"/>
    <w:rsid w:val="00766D92"/>
    <w:rsid w:val="00792D24"/>
    <w:rsid w:val="007A025D"/>
    <w:rsid w:val="007A1C91"/>
    <w:rsid w:val="007A5016"/>
    <w:rsid w:val="007B10CC"/>
    <w:rsid w:val="007B45CE"/>
    <w:rsid w:val="007C0BB4"/>
    <w:rsid w:val="007C4B1F"/>
    <w:rsid w:val="007D29DA"/>
    <w:rsid w:val="007D3A05"/>
    <w:rsid w:val="007D4108"/>
    <w:rsid w:val="007D53F5"/>
    <w:rsid w:val="007E0FFA"/>
    <w:rsid w:val="007E45EB"/>
    <w:rsid w:val="007F03B3"/>
    <w:rsid w:val="007F224E"/>
    <w:rsid w:val="008032CF"/>
    <w:rsid w:val="008032DE"/>
    <w:rsid w:val="00806FF3"/>
    <w:rsid w:val="00812097"/>
    <w:rsid w:val="00812A58"/>
    <w:rsid w:val="00812E43"/>
    <w:rsid w:val="00813C07"/>
    <w:rsid w:val="008226BA"/>
    <w:rsid w:val="00824D2F"/>
    <w:rsid w:val="00825E26"/>
    <w:rsid w:val="00834AC0"/>
    <w:rsid w:val="0084274F"/>
    <w:rsid w:val="00844137"/>
    <w:rsid w:val="008443DF"/>
    <w:rsid w:val="00855B59"/>
    <w:rsid w:val="00861B30"/>
    <w:rsid w:val="00885679"/>
    <w:rsid w:val="00886FF7"/>
    <w:rsid w:val="00887242"/>
    <w:rsid w:val="008933AA"/>
    <w:rsid w:val="008952FA"/>
    <w:rsid w:val="008A17E6"/>
    <w:rsid w:val="008A271D"/>
    <w:rsid w:val="008A5C6B"/>
    <w:rsid w:val="008B25F5"/>
    <w:rsid w:val="008B44FC"/>
    <w:rsid w:val="008B6054"/>
    <w:rsid w:val="008B6946"/>
    <w:rsid w:val="008C28B4"/>
    <w:rsid w:val="008E66D2"/>
    <w:rsid w:val="008E7888"/>
    <w:rsid w:val="008E7C67"/>
    <w:rsid w:val="008F1340"/>
    <w:rsid w:val="008F4AB2"/>
    <w:rsid w:val="008F7F63"/>
    <w:rsid w:val="00910BE5"/>
    <w:rsid w:val="009112F4"/>
    <w:rsid w:val="00911959"/>
    <w:rsid w:val="00913F15"/>
    <w:rsid w:val="00915D6E"/>
    <w:rsid w:val="009168AA"/>
    <w:rsid w:val="009230A9"/>
    <w:rsid w:val="009237FF"/>
    <w:rsid w:val="009245B3"/>
    <w:rsid w:val="00926116"/>
    <w:rsid w:val="009307DE"/>
    <w:rsid w:val="00940287"/>
    <w:rsid w:val="009427BA"/>
    <w:rsid w:val="0094562D"/>
    <w:rsid w:val="00965552"/>
    <w:rsid w:val="0096600D"/>
    <w:rsid w:val="0096605A"/>
    <w:rsid w:val="00982C4C"/>
    <w:rsid w:val="00990492"/>
    <w:rsid w:val="009950E1"/>
    <w:rsid w:val="009A22C0"/>
    <w:rsid w:val="009C32BA"/>
    <w:rsid w:val="009C4D57"/>
    <w:rsid w:val="009C6EB1"/>
    <w:rsid w:val="009D1661"/>
    <w:rsid w:val="009D1C4B"/>
    <w:rsid w:val="009D3B7F"/>
    <w:rsid w:val="009D71B6"/>
    <w:rsid w:val="009E130A"/>
    <w:rsid w:val="009E13E7"/>
    <w:rsid w:val="009E18B1"/>
    <w:rsid w:val="009E23F2"/>
    <w:rsid w:val="009F37E6"/>
    <w:rsid w:val="009F5D71"/>
    <w:rsid w:val="00A02C13"/>
    <w:rsid w:val="00A1378E"/>
    <w:rsid w:val="00A140B4"/>
    <w:rsid w:val="00A20CBD"/>
    <w:rsid w:val="00A27FE5"/>
    <w:rsid w:val="00A33086"/>
    <w:rsid w:val="00A340B2"/>
    <w:rsid w:val="00A372EE"/>
    <w:rsid w:val="00A42B7A"/>
    <w:rsid w:val="00A432AE"/>
    <w:rsid w:val="00A453E3"/>
    <w:rsid w:val="00A479D4"/>
    <w:rsid w:val="00A50646"/>
    <w:rsid w:val="00A50FB6"/>
    <w:rsid w:val="00A50FF8"/>
    <w:rsid w:val="00A52067"/>
    <w:rsid w:val="00A52E9A"/>
    <w:rsid w:val="00A5505E"/>
    <w:rsid w:val="00A62C85"/>
    <w:rsid w:val="00A64459"/>
    <w:rsid w:val="00A64E13"/>
    <w:rsid w:val="00A72A5F"/>
    <w:rsid w:val="00A744EA"/>
    <w:rsid w:val="00A8138B"/>
    <w:rsid w:val="00A85479"/>
    <w:rsid w:val="00A96763"/>
    <w:rsid w:val="00AB2981"/>
    <w:rsid w:val="00AD405E"/>
    <w:rsid w:val="00AD61AC"/>
    <w:rsid w:val="00AE0098"/>
    <w:rsid w:val="00AE2C4F"/>
    <w:rsid w:val="00AE46E7"/>
    <w:rsid w:val="00AE5D15"/>
    <w:rsid w:val="00AE7D19"/>
    <w:rsid w:val="00AF1FCD"/>
    <w:rsid w:val="00AF54A2"/>
    <w:rsid w:val="00AF646A"/>
    <w:rsid w:val="00B0144A"/>
    <w:rsid w:val="00B171C5"/>
    <w:rsid w:val="00B17B4F"/>
    <w:rsid w:val="00B20269"/>
    <w:rsid w:val="00B2765B"/>
    <w:rsid w:val="00B471D0"/>
    <w:rsid w:val="00B47E46"/>
    <w:rsid w:val="00B51A8A"/>
    <w:rsid w:val="00B529E3"/>
    <w:rsid w:val="00B54AC5"/>
    <w:rsid w:val="00B54D25"/>
    <w:rsid w:val="00B73EC0"/>
    <w:rsid w:val="00B748A3"/>
    <w:rsid w:val="00B8425D"/>
    <w:rsid w:val="00B94D51"/>
    <w:rsid w:val="00B94E75"/>
    <w:rsid w:val="00BA0109"/>
    <w:rsid w:val="00BA1DAB"/>
    <w:rsid w:val="00BA3D51"/>
    <w:rsid w:val="00BB08CB"/>
    <w:rsid w:val="00BB0CB8"/>
    <w:rsid w:val="00BC71C3"/>
    <w:rsid w:val="00BD606B"/>
    <w:rsid w:val="00BE14B6"/>
    <w:rsid w:val="00BE7AE1"/>
    <w:rsid w:val="00BF1645"/>
    <w:rsid w:val="00BF5017"/>
    <w:rsid w:val="00BF7B3F"/>
    <w:rsid w:val="00BF7E3D"/>
    <w:rsid w:val="00C04EF5"/>
    <w:rsid w:val="00C05DF1"/>
    <w:rsid w:val="00C071EA"/>
    <w:rsid w:val="00C116AA"/>
    <w:rsid w:val="00C1278B"/>
    <w:rsid w:val="00C14149"/>
    <w:rsid w:val="00C17CD9"/>
    <w:rsid w:val="00C201AF"/>
    <w:rsid w:val="00C20C99"/>
    <w:rsid w:val="00C34468"/>
    <w:rsid w:val="00C372F8"/>
    <w:rsid w:val="00C43937"/>
    <w:rsid w:val="00C5080C"/>
    <w:rsid w:val="00C517B0"/>
    <w:rsid w:val="00C53506"/>
    <w:rsid w:val="00C5386C"/>
    <w:rsid w:val="00C6282E"/>
    <w:rsid w:val="00C65ECB"/>
    <w:rsid w:val="00C70D16"/>
    <w:rsid w:val="00C720BE"/>
    <w:rsid w:val="00C72A99"/>
    <w:rsid w:val="00C750B3"/>
    <w:rsid w:val="00C77308"/>
    <w:rsid w:val="00C814DC"/>
    <w:rsid w:val="00C83918"/>
    <w:rsid w:val="00C844E5"/>
    <w:rsid w:val="00C96777"/>
    <w:rsid w:val="00CA1100"/>
    <w:rsid w:val="00CA1A98"/>
    <w:rsid w:val="00CA1AA9"/>
    <w:rsid w:val="00CA347D"/>
    <w:rsid w:val="00CA78D9"/>
    <w:rsid w:val="00CC4F1F"/>
    <w:rsid w:val="00CD1FF1"/>
    <w:rsid w:val="00CD3D32"/>
    <w:rsid w:val="00CD4F83"/>
    <w:rsid w:val="00CD748A"/>
    <w:rsid w:val="00CE106A"/>
    <w:rsid w:val="00CE2E5D"/>
    <w:rsid w:val="00CE3022"/>
    <w:rsid w:val="00CE505F"/>
    <w:rsid w:val="00CF2E8F"/>
    <w:rsid w:val="00CF773D"/>
    <w:rsid w:val="00D03704"/>
    <w:rsid w:val="00D06634"/>
    <w:rsid w:val="00D06EDB"/>
    <w:rsid w:val="00D14024"/>
    <w:rsid w:val="00D144A5"/>
    <w:rsid w:val="00D16502"/>
    <w:rsid w:val="00D23DEB"/>
    <w:rsid w:val="00D26F01"/>
    <w:rsid w:val="00D36D8C"/>
    <w:rsid w:val="00D37EA6"/>
    <w:rsid w:val="00D412C9"/>
    <w:rsid w:val="00D51FE0"/>
    <w:rsid w:val="00D55ED4"/>
    <w:rsid w:val="00D562AF"/>
    <w:rsid w:val="00D5726A"/>
    <w:rsid w:val="00D573C4"/>
    <w:rsid w:val="00D61A07"/>
    <w:rsid w:val="00D716A5"/>
    <w:rsid w:val="00D71C86"/>
    <w:rsid w:val="00D75023"/>
    <w:rsid w:val="00D776E5"/>
    <w:rsid w:val="00D801D7"/>
    <w:rsid w:val="00D92B61"/>
    <w:rsid w:val="00D960D9"/>
    <w:rsid w:val="00DA019E"/>
    <w:rsid w:val="00DA0C9B"/>
    <w:rsid w:val="00DA3B72"/>
    <w:rsid w:val="00DA5030"/>
    <w:rsid w:val="00DA52B0"/>
    <w:rsid w:val="00DA5928"/>
    <w:rsid w:val="00DA7DAC"/>
    <w:rsid w:val="00DB34F7"/>
    <w:rsid w:val="00DB40BE"/>
    <w:rsid w:val="00DB4B02"/>
    <w:rsid w:val="00DB5E1F"/>
    <w:rsid w:val="00DB7938"/>
    <w:rsid w:val="00DC35B0"/>
    <w:rsid w:val="00DC5383"/>
    <w:rsid w:val="00DC669D"/>
    <w:rsid w:val="00DC76E4"/>
    <w:rsid w:val="00DD3F56"/>
    <w:rsid w:val="00DD472F"/>
    <w:rsid w:val="00DD6C98"/>
    <w:rsid w:val="00DE2F42"/>
    <w:rsid w:val="00DE3430"/>
    <w:rsid w:val="00DE3FA2"/>
    <w:rsid w:val="00DE465A"/>
    <w:rsid w:val="00DE6DED"/>
    <w:rsid w:val="00DF6D10"/>
    <w:rsid w:val="00E013AC"/>
    <w:rsid w:val="00E02342"/>
    <w:rsid w:val="00E069B9"/>
    <w:rsid w:val="00E06E1E"/>
    <w:rsid w:val="00E1073E"/>
    <w:rsid w:val="00E13E1F"/>
    <w:rsid w:val="00E15343"/>
    <w:rsid w:val="00E15D96"/>
    <w:rsid w:val="00E202D8"/>
    <w:rsid w:val="00E21AB6"/>
    <w:rsid w:val="00E25B12"/>
    <w:rsid w:val="00E358B8"/>
    <w:rsid w:val="00E35E50"/>
    <w:rsid w:val="00E440D2"/>
    <w:rsid w:val="00E44900"/>
    <w:rsid w:val="00E46594"/>
    <w:rsid w:val="00E47551"/>
    <w:rsid w:val="00E51946"/>
    <w:rsid w:val="00E5392E"/>
    <w:rsid w:val="00E60246"/>
    <w:rsid w:val="00E606DC"/>
    <w:rsid w:val="00E63C49"/>
    <w:rsid w:val="00E63C9A"/>
    <w:rsid w:val="00E855DB"/>
    <w:rsid w:val="00E929BF"/>
    <w:rsid w:val="00E9717F"/>
    <w:rsid w:val="00EA266C"/>
    <w:rsid w:val="00EA4A72"/>
    <w:rsid w:val="00EA4C8E"/>
    <w:rsid w:val="00EA6068"/>
    <w:rsid w:val="00EA6638"/>
    <w:rsid w:val="00EB6D4F"/>
    <w:rsid w:val="00EC188E"/>
    <w:rsid w:val="00EC27B1"/>
    <w:rsid w:val="00EC4D9B"/>
    <w:rsid w:val="00ED262E"/>
    <w:rsid w:val="00ED4688"/>
    <w:rsid w:val="00ED55CD"/>
    <w:rsid w:val="00EF17AE"/>
    <w:rsid w:val="00EF2F88"/>
    <w:rsid w:val="00EF43E9"/>
    <w:rsid w:val="00EF6034"/>
    <w:rsid w:val="00F00711"/>
    <w:rsid w:val="00F00BA6"/>
    <w:rsid w:val="00F0120B"/>
    <w:rsid w:val="00F02D45"/>
    <w:rsid w:val="00F05674"/>
    <w:rsid w:val="00F07DC7"/>
    <w:rsid w:val="00F1203C"/>
    <w:rsid w:val="00F22B3B"/>
    <w:rsid w:val="00F24AD2"/>
    <w:rsid w:val="00F254F2"/>
    <w:rsid w:val="00F256FA"/>
    <w:rsid w:val="00F328A6"/>
    <w:rsid w:val="00F33165"/>
    <w:rsid w:val="00F36509"/>
    <w:rsid w:val="00F429AA"/>
    <w:rsid w:val="00F45B22"/>
    <w:rsid w:val="00F50775"/>
    <w:rsid w:val="00F52BA8"/>
    <w:rsid w:val="00F57CF8"/>
    <w:rsid w:val="00F64BDE"/>
    <w:rsid w:val="00F66C36"/>
    <w:rsid w:val="00F70D3F"/>
    <w:rsid w:val="00F7236A"/>
    <w:rsid w:val="00F747BC"/>
    <w:rsid w:val="00F776DD"/>
    <w:rsid w:val="00F77C55"/>
    <w:rsid w:val="00F8217A"/>
    <w:rsid w:val="00F85AC0"/>
    <w:rsid w:val="00F85C3D"/>
    <w:rsid w:val="00F97C51"/>
    <w:rsid w:val="00FA1200"/>
    <w:rsid w:val="00FA149F"/>
    <w:rsid w:val="00FA2C8E"/>
    <w:rsid w:val="00FA5657"/>
    <w:rsid w:val="00FC1D32"/>
    <w:rsid w:val="00FC7075"/>
    <w:rsid w:val="00FD6364"/>
    <w:rsid w:val="00FD7182"/>
    <w:rsid w:val="00FD755C"/>
    <w:rsid w:val="00FE53A1"/>
    <w:rsid w:val="00FE6B0F"/>
    <w:rsid w:val="00FF1EDE"/>
    <w:rsid w:val="00FF2564"/>
    <w:rsid w:val="00FF307F"/>
    <w:rsid w:val="00FF40C4"/>
    <w:rsid w:val="00FF44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semiHidden/>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semiHidden/>
    <w:rsid w:val="008F7F63"/>
    <w:rPr>
      <w:sz w:val="16"/>
      <w:szCs w:val="16"/>
    </w:rPr>
  </w:style>
  <w:style w:type="paragraph" w:styleId="CommentText">
    <w:name w:val="annotation text"/>
    <w:basedOn w:val="Normal"/>
    <w:semiHidden/>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basedOn w:val="Normal"/>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rsid w:val="00BA0109"/>
  </w:style>
  <w:style w:type="character" w:customStyle="1" w:styleId="FootnoteTextChar">
    <w:name w:val="Footnote Text Char"/>
    <w:basedOn w:val="DefaultParagraphFont"/>
    <w:link w:val="FootnoteText"/>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semiHidden/>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semiHidden/>
    <w:rsid w:val="008F7F63"/>
    <w:rPr>
      <w:sz w:val="16"/>
      <w:szCs w:val="16"/>
    </w:rPr>
  </w:style>
  <w:style w:type="paragraph" w:styleId="CommentText">
    <w:name w:val="annotation text"/>
    <w:basedOn w:val="Normal"/>
    <w:semiHidden/>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basedOn w:val="Normal"/>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rsid w:val="00BA0109"/>
  </w:style>
  <w:style w:type="character" w:customStyle="1" w:styleId="FootnoteTextChar">
    <w:name w:val="Footnote Text Char"/>
    <w:basedOn w:val="DefaultParagraphFont"/>
    <w:link w:val="FootnoteText"/>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8162">
      <w:bodyDiv w:val="1"/>
      <w:marLeft w:val="0"/>
      <w:marRight w:val="0"/>
      <w:marTop w:val="0"/>
      <w:marBottom w:val="0"/>
      <w:divBdr>
        <w:top w:val="none" w:sz="0" w:space="0" w:color="auto"/>
        <w:left w:val="none" w:sz="0" w:space="0" w:color="auto"/>
        <w:bottom w:val="none" w:sz="0" w:space="0" w:color="auto"/>
        <w:right w:val="none" w:sz="0" w:space="0" w:color="auto"/>
      </w:divBdr>
      <w:divsChild>
        <w:div w:id="269748528">
          <w:marLeft w:val="0"/>
          <w:marRight w:val="0"/>
          <w:marTop w:val="240"/>
          <w:marBottom w:val="480"/>
          <w:divBdr>
            <w:top w:val="none" w:sz="0" w:space="0" w:color="auto"/>
            <w:left w:val="none" w:sz="0" w:space="0" w:color="auto"/>
            <w:bottom w:val="none" w:sz="0" w:space="0" w:color="auto"/>
            <w:right w:val="none" w:sz="0" w:space="0" w:color="auto"/>
          </w:divBdr>
          <w:divsChild>
            <w:div w:id="1482767014">
              <w:marLeft w:val="0"/>
              <w:marRight w:val="0"/>
              <w:marTop w:val="0"/>
              <w:marBottom w:val="0"/>
              <w:divBdr>
                <w:top w:val="none" w:sz="0" w:space="0" w:color="auto"/>
                <w:left w:val="none" w:sz="0" w:space="0" w:color="auto"/>
                <w:bottom w:val="none" w:sz="0" w:space="0" w:color="auto"/>
                <w:right w:val="none" w:sz="0" w:space="0" w:color="auto"/>
              </w:divBdr>
              <w:divsChild>
                <w:div w:id="959146677">
                  <w:marLeft w:val="0"/>
                  <w:marRight w:val="0"/>
                  <w:marTop w:val="0"/>
                  <w:marBottom w:val="0"/>
                  <w:divBdr>
                    <w:top w:val="none" w:sz="0" w:space="0" w:color="auto"/>
                    <w:left w:val="none" w:sz="0" w:space="0" w:color="auto"/>
                    <w:bottom w:val="none" w:sz="0" w:space="0" w:color="auto"/>
                    <w:right w:val="none" w:sz="0" w:space="0" w:color="auto"/>
                  </w:divBdr>
                  <w:divsChild>
                    <w:div w:id="15724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5588">
      <w:bodyDiv w:val="1"/>
      <w:marLeft w:val="0"/>
      <w:marRight w:val="0"/>
      <w:marTop w:val="0"/>
      <w:marBottom w:val="0"/>
      <w:divBdr>
        <w:top w:val="none" w:sz="0" w:space="0" w:color="auto"/>
        <w:left w:val="none" w:sz="0" w:space="0" w:color="auto"/>
        <w:bottom w:val="none" w:sz="0" w:space="0" w:color="auto"/>
        <w:right w:val="none" w:sz="0" w:space="0" w:color="auto"/>
      </w:divBdr>
    </w:div>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 w:id="1884825379">
      <w:bodyDiv w:val="1"/>
      <w:marLeft w:val="0"/>
      <w:marRight w:val="0"/>
      <w:marTop w:val="0"/>
      <w:marBottom w:val="0"/>
      <w:divBdr>
        <w:top w:val="none" w:sz="0" w:space="0" w:color="auto"/>
        <w:left w:val="none" w:sz="0" w:space="0" w:color="auto"/>
        <w:bottom w:val="none" w:sz="0" w:space="0" w:color="auto"/>
        <w:right w:val="none" w:sz="0" w:space="0" w:color="auto"/>
      </w:divBdr>
      <w:divsChild>
        <w:div w:id="359361430">
          <w:marLeft w:val="0"/>
          <w:marRight w:val="0"/>
          <w:marTop w:val="240"/>
          <w:marBottom w:val="480"/>
          <w:divBdr>
            <w:top w:val="none" w:sz="0" w:space="0" w:color="auto"/>
            <w:left w:val="none" w:sz="0" w:space="0" w:color="auto"/>
            <w:bottom w:val="none" w:sz="0" w:space="0" w:color="auto"/>
            <w:right w:val="none" w:sz="0" w:space="0" w:color="auto"/>
          </w:divBdr>
          <w:divsChild>
            <w:div w:id="674188270">
              <w:marLeft w:val="0"/>
              <w:marRight w:val="0"/>
              <w:marTop w:val="0"/>
              <w:marBottom w:val="0"/>
              <w:divBdr>
                <w:top w:val="none" w:sz="0" w:space="0" w:color="auto"/>
                <w:left w:val="none" w:sz="0" w:space="0" w:color="auto"/>
                <w:bottom w:val="none" w:sz="0" w:space="0" w:color="auto"/>
                <w:right w:val="none" w:sz="0" w:space="0" w:color="auto"/>
              </w:divBdr>
              <w:divsChild>
                <w:div w:id="2123918868">
                  <w:marLeft w:val="0"/>
                  <w:marRight w:val="0"/>
                  <w:marTop w:val="0"/>
                  <w:marBottom w:val="0"/>
                  <w:divBdr>
                    <w:top w:val="none" w:sz="0" w:space="0" w:color="auto"/>
                    <w:left w:val="none" w:sz="0" w:space="0" w:color="auto"/>
                    <w:bottom w:val="none" w:sz="0" w:space="0" w:color="auto"/>
                    <w:right w:val="none" w:sz="0" w:space="0" w:color="auto"/>
                  </w:divBdr>
                  <w:divsChild>
                    <w:div w:id="11974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bs.gov.au/" TargetMode="External"/><Relationship Id="rId4" Type="http://schemas.microsoft.com/office/2007/relationships/stylesWithEffects" Target="stylesWithEffects.xml"/><Relationship Id="rId9" Type="http://schemas.openxmlformats.org/officeDocument/2006/relationships/hyperlink" Target="http://pbs.gov.au/info/industry/listing/elements/pbac-meetings/agenda/march-2016-pbac-meeting-agend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ih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A3640-ACCA-4FF6-BE98-971183D0B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1094</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7462</CharactersWithSpaces>
  <SharedDoc>false</SharedDoc>
  <HLinks>
    <vt:vector size="12" baseType="variant">
      <vt:variant>
        <vt:i4>7798824</vt:i4>
      </vt:variant>
      <vt:variant>
        <vt:i4>3</vt:i4>
      </vt:variant>
      <vt:variant>
        <vt:i4>0</vt:i4>
      </vt:variant>
      <vt:variant>
        <vt:i4>5</vt:i4>
      </vt:variant>
      <vt:variant>
        <vt:lpwstr>http://www.pbs.gov.au/</vt:lpwstr>
      </vt:variant>
      <vt:variant>
        <vt:lpwstr/>
      </vt:variant>
      <vt:variant>
        <vt:i4>3735671</vt:i4>
      </vt:variant>
      <vt:variant>
        <vt:i4>0</vt:i4>
      </vt:variant>
      <vt:variant>
        <vt:i4>0</vt:i4>
      </vt:variant>
      <vt:variant>
        <vt:i4>5</vt:i4>
      </vt:variant>
      <vt:variant>
        <vt:lpwstr>http://pbs.gov.au/info/industry/listing/elements/pbac-meetings/agenda/november-2015-pbac-meeting-agenda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2016-03-03T03:45:00Z</dcterms:created>
  <dcterms:modified xsi:type="dcterms:W3CDTF">2016-03-17T02:52:00Z</dcterms:modified>
</cp:coreProperties>
</file>