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5E14B6">
        <w:rPr>
          <w:sz w:val="24"/>
          <w:szCs w:val="24"/>
        </w:rPr>
        <w:t>90</w:t>
      </w:r>
      <w:r w:rsidR="000A0713">
        <w:rPr>
          <w:sz w:val="24"/>
          <w:szCs w:val="24"/>
        </w:rPr>
        <w:t>th</w:t>
      </w:r>
      <w:r w:rsidR="000A0713" w:rsidRPr="005F3EF0">
        <w:rPr>
          <w:sz w:val="24"/>
          <w:szCs w:val="24"/>
        </w:rPr>
        <w:t xml:space="preserve"> </w:t>
      </w:r>
      <w:r w:rsidRPr="005F3EF0">
        <w:rPr>
          <w:sz w:val="24"/>
          <w:szCs w:val="24"/>
        </w:rPr>
        <w:t xml:space="preserve">meeting on </w:t>
      </w:r>
      <w:r w:rsidR="005E14B6">
        <w:rPr>
          <w:sz w:val="24"/>
          <w:szCs w:val="24"/>
        </w:rPr>
        <w:t>1 June </w:t>
      </w:r>
      <w:r w:rsidR="001F7E8B">
        <w:rPr>
          <w:sz w:val="24"/>
          <w:szCs w:val="24"/>
        </w:rPr>
        <w:t>2017</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8B6E94">
        <w:rPr>
          <w:sz w:val="24"/>
          <w:szCs w:val="24"/>
        </w:rPr>
        <w:t xml:space="preserve">noted that </w:t>
      </w:r>
      <w:r w:rsidR="001F7E8B" w:rsidRPr="007E3E41">
        <w:rPr>
          <w:sz w:val="24"/>
          <w:szCs w:val="24"/>
        </w:rPr>
        <w:t>2</w:t>
      </w:r>
      <w:r w:rsidR="007E3E41" w:rsidRPr="007E3E41">
        <w:rPr>
          <w:sz w:val="24"/>
          <w:szCs w:val="24"/>
        </w:rPr>
        <w:t>7</w:t>
      </w:r>
      <w:r w:rsidRPr="008B6E94">
        <w:rPr>
          <w:sz w:val="24"/>
          <w:szCs w:val="24"/>
        </w:rPr>
        <w:t xml:space="preserve"> major submissions</w:t>
      </w:r>
      <w:r>
        <w:rPr>
          <w:sz w:val="24"/>
          <w:szCs w:val="24"/>
        </w:rPr>
        <w:t xml:space="preserve"> had been received for the </w:t>
      </w:r>
      <w:r w:rsidR="005E14B6">
        <w:rPr>
          <w:sz w:val="24"/>
          <w:szCs w:val="24"/>
        </w:rPr>
        <w:t>July</w:t>
      </w:r>
      <w:r w:rsidR="00213EAC">
        <w:rPr>
          <w:sz w:val="24"/>
          <w:szCs w:val="24"/>
        </w:rPr>
        <w:t> </w:t>
      </w:r>
      <w:r w:rsidR="00CA78D9">
        <w:rPr>
          <w:sz w:val="24"/>
          <w:szCs w:val="24"/>
        </w:rPr>
        <w:t>201</w:t>
      </w:r>
      <w:r w:rsidR="001F7E8B">
        <w:rPr>
          <w:sz w:val="24"/>
          <w:szCs w:val="24"/>
        </w:rPr>
        <w:t>7</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3833F2">
        <w:rPr>
          <w:sz w:val="24"/>
          <w:szCs w:val="24"/>
        </w:rPr>
        <w:t xml:space="preserve">the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5E14B6">
        <w:rPr>
          <w:sz w:val="24"/>
          <w:szCs w:val="24"/>
        </w:rPr>
        <w:t>July</w:t>
      </w:r>
      <w:r w:rsidR="00213EAC">
        <w:rPr>
          <w:sz w:val="24"/>
          <w:szCs w:val="24"/>
        </w:rPr>
        <w:t> </w:t>
      </w:r>
      <w:r w:rsidR="001F7E8B">
        <w:rPr>
          <w:sz w:val="24"/>
          <w:szCs w:val="24"/>
        </w:rPr>
        <w:t>2017</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591C2B">
        <w:rPr>
          <w:sz w:val="24"/>
          <w:szCs w:val="24"/>
        </w:rPr>
        <w:t xml:space="preserve"> Reviews to be considered by the PBAC are also published </w:t>
      </w:r>
      <w:r w:rsidR="00021AF3">
        <w:rPr>
          <w:sz w:val="24"/>
          <w:szCs w:val="24"/>
        </w:rPr>
        <w:t>in</w:t>
      </w:r>
      <w:r w:rsidR="00591C2B">
        <w:rPr>
          <w:sz w:val="24"/>
          <w:szCs w:val="24"/>
        </w:rPr>
        <w:t xml:space="preserve"> the </w:t>
      </w:r>
      <w:hyperlink r:id="rId10" w:history="1">
        <w:r w:rsidR="00591C2B" w:rsidRPr="00021AF3">
          <w:rPr>
            <w:rStyle w:val="Hyperlink"/>
            <w:sz w:val="24"/>
            <w:szCs w:val="24"/>
          </w:rPr>
          <w:t xml:space="preserve">PBAC </w:t>
        </w:r>
        <w:r w:rsidR="00021AF3">
          <w:rPr>
            <w:rStyle w:val="Hyperlink"/>
            <w:sz w:val="24"/>
            <w:szCs w:val="24"/>
          </w:rPr>
          <w:t>meeting</w:t>
        </w:r>
        <w:r w:rsidR="00591C2B" w:rsidRPr="00021AF3">
          <w:rPr>
            <w:rStyle w:val="Hyperlink"/>
            <w:sz w:val="24"/>
            <w:szCs w:val="24"/>
          </w:rPr>
          <w:t xml:space="preserve"> agenda</w:t>
        </w:r>
      </w:hyperlink>
      <w:r w:rsidR="00591C2B">
        <w:rPr>
          <w:sz w:val="24"/>
          <w:szCs w:val="24"/>
        </w:rPr>
        <w:t>.</w:t>
      </w:r>
    </w:p>
    <w:p w:rsidR="00591C2B" w:rsidRDefault="00591C2B" w:rsidP="008B6946">
      <w:pPr>
        <w:rPr>
          <w:sz w:val="24"/>
          <w:szCs w:val="24"/>
        </w:rPr>
      </w:pPr>
    </w:p>
    <w:p w:rsidR="00591C2B" w:rsidRDefault="00B0144A" w:rsidP="00D97B8F">
      <w:pPr>
        <w:rPr>
          <w:sz w:val="24"/>
          <w:szCs w:val="24"/>
        </w:rPr>
      </w:pPr>
      <w:r>
        <w:rPr>
          <w:sz w:val="24"/>
          <w:szCs w:val="24"/>
        </w:rPr>
        <w:t>All repo</w:t>
      </w:r>
      <w:r w:rsidR="003833F2">
        <w:rPr>
          <w:sz w:val="24"/>
          <w:szCs w:val="24"/>
        </w:rPr>
        <w:t>rts, Sponsor comments and DUSC assessment</w:t>
      </w:r>
      <w:r>
        <w:rPr>
          <w:sz w:val="24"/>
          <w:szCs w:val="24"/>
        </w:rPr>
        <w:t xml:space="preserve"> of the reports are subsequently provided to the PBAC.</w:t>
      </w:r>
    </w:p>
    <w:p w:rsidR="00591C2B" w:rsidRDefault="00591C2B" w:rsidP="00D97B8F">
      <w:pPr>
        <w:rPr>
          <w:sz w:val="24"/>
          <w:szCs w:val="24"/>
        </w:rPr>
      </w:pPr>
    </w:p>
    <w:p w:rsidR="00D97B8F" w:rsidRDefault="00591C2B" w:rsidP="00D97B8F">
      <w:pPr>
        <w:rPr>
          <w:sz w:val="24"/>
          <w:szCs w:val="24"/>
        </w:rPr>
      </w:pPr>
      <w:r w:rsidRPr="00591C2B">
        <w:rPr>
          <w:sz w:val="24"/>
          <w:szCs w:val="24"/>
        </w:rPr>
        <w:t xml:space="preserve">The PBAC is committed to understanding consumer perspectives and integrating them into its consideration of medicines and vaccines. </w:t>
      </w:r>
      <w:r w:rsidR="00D97B8F">
        <w:rPr>
          <w:sz w:val="24"/>
          <w:szCs w:val="24"/>
        </w:rPr>
        <w:t xml:space="preserve">Consumers are able to </w:t>
      </w:r>
      <w:r>
        <w:rPr>
          <w:sz w:val="24"/>
          <w:szCs w:val="24"/>
        </w:rPr>
        <w:t>provide their views about medicine utilisation reviews</w:t>
      </w:r>
      <w:r w:rsidR="00D97B8F">
        <w:rPr>
          <w:sz w:val="24"/>
          <w:szCs w:val="24"/>
        </w:rPr>
        <w:t xml:space="preserve"> to the PBAC via</w:t>
      </w:r>
      <w:r>
        <w:rPr>
          <w:sz w:val="24"/>
          <w:szCs w:val="24"/>
        </w:rPr>
        <w:t xml:space="preserve"> a </w:t>
      </w:r>
      <w:hyperlink r:id="rId11" w:history="1">
        <w:r w:rsidRPr="00021AF3">
          <w:rPr>
            <w:rStyle w:val="Hyperlink"/>
            <w:sz w:val="24"/>
            <w:szCs w:val="24"/>
          </w:rPr>
          <w:t>web interface</w:t>
        </w:r>
      </w:hyperlink>
      <w:r>
        <w:rPr>
          <w:sz w:val="24"/>
          <w:szCs w:val="24"/>
        </w:rPr>
        <w:t>.</w:t>
      </w:r>
    </w:p>
    <w:p w:rsidR="00021AF3" w:rsidRPr="00D97B8F" w:rsidRDefault="00021AF3" w:rsidP="00D97B8F">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2"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1071DA" w:rsidRPr="00CA347D">
        <w:rPr>
          <w:sz w:val="24"/>
          <w:szCs w:val="24"/>
        </w:rPr>
        <w:t xml:space="preserve"> in </w:t>
      </w:r>
      <w:r w:rsidR="005E14B6">
        <w:rPr>
          <w:sz w:val="24"/>
          <w:szCs w:val="24"/>
        </w:rPr>
        <w:t>June</w:t>
      </w:r>
      <w:r w:rsidR="001F7E8B">
        <w:rPr>
          <w:sz w:val="24"/>
          <w:szCs w:val="24"/>
        </w:rPr>
        <w:t> 2017</w:t>
      </w:r>
      <w:r w:rsidRPr="00CA347D">
        <w:rPr>
          <w:sz w:val="24"/>
          <w:szCs w:val="24"/>
        </w:rPr>
        <w:t>:</w:t>
      </w:r>
    </w:p>
    <w:p w:rsidR="00101877" w:rsidRDefault="00101877" w:rsidP="008B6946">
      <w:pPr>
        <w:rPr>
          <w:sz w:val="24"/>
          <w:szCs w:val="24"/>
        </w:rPr>
      </w:pPr>
    </w:p>
    <w:p w:rsidR="00CA78D9" w:rsidRDefault="005E14B6" w:rsidP="008B6946">
      <w:pPr>
        <w:rPr>
          <w:b/>
          <w:sz w:val="24"/>
          <w:szCs w:val="24"/>
        </w:rPr>
      </w:pPr>
      <w:r>
        <w:rPr>
          <w:b/>
          <w:sz w:val="24"/>
          <w:szCs w:val="24"/>
        </w:rPr>
        <w:t>Ulcerative colitis</w:t>
      </w:r>
    </w:p>
    <w:p w:rsidR="00F22A1A" w:rsidRDefault="003F021A" w:rsidP="0099648E">
      <w:pPr>
        <w:contextualSpacing/>
        <w:rPr>
          <w:rFonts w:eastAsia="MS Mincho"/>
          <w:sz w:val="24"/>
          <w:szCs w:val="24"/>
        </w:rPr>
      </w:pPr>
      <w:r>
        <w:rPr>
          <w:rFonts w:eastAsia="MS Mincho"/>
          <w:sz w:val="24"/>
          <w:szCs w:val="24"/>
        </w:rPr>
        <w:t xml:space="preserve">A range of medicines </w:t>
      </w:r>
      <w:r w:rsidR="00AC42CE">
        <w:rPr>
          <w:rFonts w:eastAsia="MS Mincho"/>
          <w:sz w:val="24"/>
          <w:szCs w:val="24"/>
        </w:rPr>
        <w:t>is</w:t>
      </w:r>
      <w:r>
        <w:rPr>
          <w:rFonts w:eastAsia="MS Mincho"/>
          <w:sz w:val="24"/>
          <w:szCs w:val="24"/>
        </w:rPr>
        <w:t xml:space="preserve"> listed on the PBS for the management of ulcerative colitis, including corticosteroids, 5-aminosalicylates (in oral and rectal forms), </w:t>
      </w:r>
      <w:proofErr w:type="spellStart"/>
      <w:r>
        <w:rPr>
          <w:rFonts w:eastAsia="MS Mincho"/>
          <w:sz w:val="24"/>
          <w:szCs w:val="24"/>
        </w:rPr>
        <w:t>immunomodulators</w:t>
      </w:r>
      <w:proofErr w:type="spellEnd"/>
      <w:r>
        <w:rPr>
          <w:rFonts w:eastAsia="MS Mincho"/>
          <w:sz w:val="24"/>
          <w:szCs w:val="24"/>
        </w:rPr>
        <w:t xml:space="preserve"> and biologics. </w:t>
      </w:r>
      <w:proofErr w:type="spellStart"/>
      <w:r w:rsidR="00455C86">
        <w:rPr>
          <w:rFonts w:eastAsia="MS Mincho"/>
          <w:sz w:val="24"/>
          <w:szCs w:val="24"/>
        </w:rPr>
        <w:t>Mesalazine</w:t>
      </w:r>
      <w:proofErr w:type="spellEnd"/>
      <w:r w:rsidR="00455C86">
        <w:rPr>
          <w:rFonts w:eastAsia="MS Mincho"/>
          <w:sz w:val="24"/>
          <w:szCs w:val="24"/>
        </w:rPr>
        <w:t xml:space="preserve"> is the most commonly prescribed medicine</w:t>
      </w:r>
      <w:r w:rsidR="0044367B">
        <w:rPr>
          <w:rFonts w:eastAsia="MS Mincho"/>
          <w:sz w:val="24"/>
          <w:szCs w:val="24"/>
        </w:rPr>
        <w:t xml:space="preserve"> and </w:t>
      </w:r>
      <w:r w:rsidR="00670E22">
        <w:rPr>
          <w:rFonts w:eastAsia="MS Mincho"/>
          <w:sz w:val="24"/>
          <w:szCs w:val="24"/>
        </w:rPr>
        <w:t xml:space="preserve">use of all forms of </w:t>
      </w:r>
      <w:proofErr w:type="spellStart"/>
      <w:r w:rsidR="00670E22">
        <w:rPr>
          <w:rFonts w:eastAsia="MS Mincho"/>
          <w:sz w:val="24"/>
          <w:szCs w:val="24"/>
        </w:rPr>
        <w:t>mesalazine</w:t>
      </w:r>
      <w:proofErr w:type="spellEnd"/>
      <w:r w:rsidR="00670E22">
        <w:rPr>
          <w:rFonts w:eastAsia="MS Mincho"/>
          <w:sz w:val="24"/>
          <w:szCs w:val="24"/>
        </w:rPr>
        <w:t xml:space="preserve"> </w:t>
      </w:r>
      <w:r w:rsidR="00E97D3B">
        <w:rPr>
          <w:rFonts w:eastAsia="MS Mincho"/>
          <w:sz w:val="24"/>
          <w:szCs w:val="24"/>
        </w:rPr>
        <w:t>is increasing</w:t>
      </w:r>
      <w:r w:rsidR="0044367B">
        <w:rPr>
          <w:rFonts w:eastAsia="MS Mincho"/>
          <w:sz w:val="24"/>
          <w:szCs w:val="24"/>
        </w:rPr>
        <w:t xml:space="preserve">.  </w:t>
      </w:r>
      <w:r w:rsidR="00E97D3B">
        <w:rPr>
          <w:rFonts w:eastAsia="MS Mincho"/>
          <w:sz w:val="24"/>
          <w:szCs w:val="24"/>
        </w:rPr>
        <w:t xml:space="preserve">Biologics have only been listed relatively recently and their use </w:t>
      </w:r>
      <w:r w:rsidR="009261D7" w:rsidRPr="009261D7">
        <w:rPr>
          <w:rFonts w:eastAsia="MS Mincho"/>
          <w:sz w:val="24"/>
          <w:szCs w:val="24"/>
        </w:rPr>
        <w:t>is low in the context of the entire market</w:t>
      </w:r>
      <w:r w:rsidR="00E97D3B">
        <w:rPr>
          <w:rFonts w:eastAsia="MS Mincho"/>
          <w:sz w:val="24"/>
          <w:szCs w:val="24"/>
        </w:rPr>
        <w:t xml:space="preserve">, although </w:t>
      </w:r>
      <w:r w:rsidR="009261D7" w:rsidRPr="009261D7">
        <w:rPr>
          <w:rFonts w:eastAsia="MS Mincho"/>
          <w:sz w:val="24"/>
          <w:szCs w:val="24"/>
        </w:rPr>
        <w:t>use is increasing</w:t>
      </w:r>
      <w:r w:rsidR="009261D7">
        <w:rPr>
          <w:rFonts w:eastAsia="MS Mincho"/>
          <w:sz w:val="24"/>
          <w:szCs w:val="24"/>
        </w:rPr>
        <w:t>.</w:t>
      </w:r>
    </w:p>
    <w:p w:rsidR="00F22A1A" w:rsidRDefault="00F22A1A" w:rsidP="0099648E">
      <w:pPr>
        <w:contextualSpacing/>
        <w:rPr>
          <w:rFonts w:eastAsia="MS Mincho"/>
          <w:sz w:val="24"/>
          <w:szCs w:val="24"/>
        </w:rPr>
      </w:pPr>
    </w:p>
    <w:p w:rsidR="0099648E" w:rsidRPr="008E0748" w:rsidRDefault="0044367B" w:rsidP="0099648E">
      <w:pPr>
        <w:contextualSpacing/>
        <w:rPr>
          <w:rFonts w:eastAsia="MS Mincho"/>
          <w:sz w:val="24"/>
          <w:szCs w:val="24"/>
        </w:rPr>
      </w:pPr>
      <w:r>
        <w:rPr>
          <w:rFonts w:eastAsia="MS Mincho"/>
          <w:sz w:val="24"/>
          <w:szCs w:val="24"/>
        </w:rPr>
        <w:t xml:space="preserve">The PBS restriction for oral </w:t>
      </w:r>
      <w:proofErr w:type="spellStart"/>
      <w:r>
        <w:rPr>
          <w:rFonts w:eastAsia="MS Mincho"/>
          <w:sz w:val="24"/>
          <w:szCs w:val="24"/>
        </w:rPr>
        <w:t>mesalazine</w:t>
      </w:r>
      <w:proofErr w:type="spellEnd"/>
      <w:r>
        <w:rPr>
          <w:rFonts w:eastAsia="MS Mincho"/>
          <w:sz w:val="24"/>
          <w:szCs w:val="24"/>
        </w:rPr>
        <w:t>,</w:t>
      </w:r>
      <w:r w:rsidRPr="0044367B">
        <w:rPr>
          <w:rFonts w:eastAsia="MS Mincho"/>
          <w:sz w:val="24"/>
          <w:szCs w:val="24"/>
        </w:rPr>
        <w:t xml:space="preserve"> </w:t>
      </w:r>
      <w:proofErr w:type="spellStart"/>
      <w:r w:rsidRPr="0044367B">
        <w:rPr>
          <w:rFonts w:eastAsia="MS Mincho"/>
          <w:sz w:val="24"/>
          <w:szCs w:val="24"/>
        </w:rPr>
        <w:t>balsalazi</w:t>
      </w:r>
      <w:r w:rsidR="004F049D">
        <w:rPr>
          <w:rFonts w:eastAsia="MS Mincho"/>
          <w:sz w:val="24"/>
          <w:szCs w:val="24"/>
        </w:rPr>
        <w:t>d</w:t>
      </w:r>
      <w:r w:rsidRPr="0044367B">
        <w:rPr>
          <w:rFonts w:eastAsia="MS Mincho"/>
          <w:sz w:val="24"/>
          <w:szCs w:val="24"/>
        </w:rPr>
        <w:t>e</w:t>
      </w:r>
      <w:proofErr w:type="spellEnd"/>
      <w:r w:rsidRPr="0044367B">
        <w:rPr>
          <w:rFonts w:eastAsia="MS Mincho"/>
          <w:sz w:val="24"/>
          <w:szCs w:val="24"/>
        </w:rPr>
        <w:t xml:space="preserve"> and </w:t>
      </w:r>
      <w:proofErr w:type="spellStart"/>
      <w:r w:rsidRPr="0044367B">
        <w:rPr>
          <w:rFonts w:eastAsia="MS Mincho"/>
          <w:sz w:val="24"/>
          <w:szCs w:val="24"/>
        </w:rPr>
        <w:t>olsalazine</w:t>
      </w:r>
      <w:proofErr w:type="spellEnd"/>
      <w:r w:rsidRPr="0044367B">
        <w:rPr>
          <w:rFonts w:eastAsia="MS Mincho"/>
          <w:sz w:val="24"/>
          <w:szCs w:val="24"/>
        </w:rPr>
        <w:t xml:space="preserve"> </w:t>
      </w:r>
      <w:r>
        <w:rPr>
          <w:rFonts w:eastAsia="MS Mincho"/>
          <w:sz w:val="24"/>
          <w:szCs w:val="24"/>
        </w:rPr>
        <w:t xml:space="preserve">require the patient to </w:t>
      </w:r>
      <w:r w:rsidRPr="0044367B">
        <w:rPr>
          <w:rFonts w:eastAsia="MS Mincho"/>
          <w:sz w:val="24"/>
          <w:szCs w:val="24"/>
        </w:rPr>
        <w:t>have had a documented hypersensitivity reaction to a sulphonamide</w:t>
      </w:r>
      <w:r>
        <w:rPr>
          <w:rFonts w:eastAsia="MS Mincho"/>
          <w:sz w:val="24"/>
          <w:szCs w:val="24"/>
        </w:rPr>
        <w:t xml:space="preserve"> or be </w:t>
      </w:r>
      <w:r w:rsidRPr="0044367B">
        <w:rPr>
          <w:rFonts w:eastAsia="MS Mincho"/>
          <w:sz w:val="24"/>
          <w:szCs w:val="24"/>
        </w:rPr>
        <w:t>intolerant to sulfasalazine.</w:t>
      </w:r>
      <w:r w:rsidR="00F22A1A">
        <w:rPr>
          <w:rFonts w:eastAsia="MS Mincho"/>
          <w:sz w:val="24"/>
          <w:szCs w:val="24"/>
        </w:rPr>
        <w:t xml:space="preserve"> PBS data indicate that a</w:t>
      </w:r>
      <w:r w:rsidR="00F22A1A" w:rsidRPr="00F22A1A">
        <w:rPr>
          <w:rFonts w:eastAsia="MS Mincho"/>
          <w:sz w:val="24"/>
          <w:szCs w:val="24"/>
        </w:rPr>
        <w:t xml:space="preserve">t least half of </w:t>
      </w:r>
      <w:r w:rsidR="00AC42CE">
        <w:rPr>
          <w:rFonts w:eastAsia="MS Mincho"/>
          <w:sz w:val="24"/>
          <w:szCs w:val="24"/>
        </w:rPr>
        <w:t xml:space="preserve">all </w:t>
      </w:r>
      <w:r w:rsidR="00F22A1A" w:rsidRPr="00F22A1A">
        <w:rPr>
          <w:rFonts w:eastAsia="MS Mincho"/>
          <w:sz w:val="24"/>
          <w:szCs w:val="24"/>
        </w:rPr>
        <w:t xml:space="preserve">patients who initiated treatment for UC in 2015 initiated on </w:t>
      </w:r>
      <w:proofErr w:type="spellStart"/>
      <w:r w:rsidR="00F22A1A" w:rsidRPr="00F22A1A">
        <w:rPr>
          <w:rFonts w:eastAsia="MS Mincho"/>
          <w:sz w:val="24"/>
          <w:szCs w:val="24"/>
        </w:rPr>
        <w:t>mesalazine</w:t>
      </w:r>
      <w:proofErr w:type="spellEnd"/>
      <w:r w:rsidR="00F22A1A" w:rsidRPr="00F22A1A">
        <w:rPr>
          <w:rFonts w:eastAsia="MS Mincho"/>
          <w:sz w:val="24"/>
          <w:szCs w:val="24"/>
        </w:rPr>
        <w:t>.</w:t>
      </w:r>
      <w:r w:rsidR="00F22A1A">
        <w:rPr>
          <w:rFonts w:eastAsia="MS Mincho"/>
          <w:sz w:val="24"/>
          <w:szCs w:val="24"/>
        </w:rPr>
        <w:t xml:space="preserve"> DUSC noted advice from clinicians that </w:t>
      </w:r>
      <w:proofErr w:type="spellStart"/>
      <w:r w:rsidR="00670E22">
        <w:rPr>
          <w:rFonts w:eastAsia="MS Mincho"/>
          <w:sz w:val="24"/>
          <w:szCs w:val="24"/>
        </w:rPr>
        <w:t>mesalazine</w:t>
      </w:r>
      <w:proofErr w:type="spellEnd"/>
      <w:r w:rsidR="00670E22">
        <w:rPr>
          <w:rFonts w:eastAsia="MS Mincho"/>
          <w:sz w:val="24"/>
          <w:szCs w:val="24"/>
        </w:rPr>
        <w:t xml:space="preserve"> may be used in preference to sulfasalazine because it is better tolerated, requires less intensive </w:t>
      </w:r>
      <w:proofErr w:type="gramStart"/>
      <w:r w:rsidR="00670E22">
        <w:rPr>
          <w:rFonts w:eastAsia="MS Mincho"/>
          <w:sz w:val="24"/>
          <w:szCs w:val="24"/>
        </w:rPr>
        <w:lastRenderedPageBreak/>
        <w:t>monitoring</w:t>
      </w:r>
      <w:proofErr w:type="gramEnd"/>
      <w:r w:rsidR="00670E22">
        <w:rPr>
          <w:rFonts w:eastAsia="MS Mincho"/>
          <w:sz w:val="24"/>
          <w:szCs w:val="24"/>
        </w:rPr>
        <w:t xml:space="preserve">, has a lower pill burden, and when patients </w:t>
      </w:r>
      <w:r w:rsidR="00AC42CE">
        <w:rPr>
          <w:rFonts w:eastAsia="MS Mincho"/>
          <w:sz w:val="24"/>
          <w:szCs w:val="24"/>
        </w:rPr>
        <w:t>report</w:t>
      </w:r>
      <w:r w:rsidR="00670E22">
        <w:rPr>
          <w:rFonts w:eastAsia="MS Mincho"/>
          <w:sz w:val="24"/>
          <w:szCs w:val="24"/>
        </w:rPr>
        <w:t xml:space="preserve"> prior adverse reactions to antibiotics. In addition, sulfasalazine reduces sperm count and the peak age for onset of inflammatory bowel disease coincides with peak reproductive years. DUSC also considered</w:t>
      </w:r>
      <w:r w:rsidR="007605B0">
        <w:rPr>
          <w:rFonts w:eastAsia="MS Mincho"/>
          <w:sz w:val="24"/>
          <w:szCs w:val="24"/>
        </w:rPr>
        <w:t xml:space="preserve"> that the increasing number of prescriptions for </w:t>
      </w:r>
      <w:proofErr w:type="spellStart"/>
      <w:r w:rsidR="007605B0">
        <w:rPr>
          <w:rFonts w:eastAsia="MS Mincho"/>
          <w:sz w:val="24"/>
          <w:szCs w:val="24"/>
        </w:rPr>
        <w:t>mesalazine</w:t>
      </w:r>
      <w:proofErr w:type="spellEnd"/>
      <w:r w:rsidR="007605B0">
        <w:rPr>
          <w:rFonts w:eastAsia="MS Mincho"/>
          <w:sz w:val="24"/>
          <w:szCs w:val="24"/>
        </w:rPr>
        <w:t xml:space="preserve"> </w:t>
      </w:r>
      <w:r w:rsidR="00670E22">
        <w:rPr>
          <w:rFonts w:eastAsia="MS Mincho"/>
          <w:sz w:val="24"/>
          <w:szCs w:val="24"/>
        </w:rPr>
        <w:t>may be</w:t>
      </w:r>
      <w:r w:rsidR="007605B0">
        <w:rPr>
          <w:rFonts w:eastAsia="MS Mincho"/>
          <w:sz w:val="24"/>
          <w:szCs w:val="24"/>
        </w:rPr>
        <w:t xml:space="preserve"> due to</w:t>
      </w:r>
      <w:r w:rsidR="00670E22">
        <w:rPr>
          <w:rFonts w:eastAsia="MS Mincho"/>
          <w:sz w:val="24"/>
          <w:szCs w:val="24"/>
        </w:rPr>
        <w:t xml:space="preserve"> dose escalation </w:t>
      </w:r>
      <w:r w:rsidR="007605B0">
        <w:rPr>
          <w:rFonts w:eastAsia="MS Mincho"/>
          <w:sz w:val="24"/>
          <w:szCs w:val="24"/>
        </w:rPr>
        <w:t>and requested further analysis to examine this.</w:t>
      </w:r>
      <w:r w:rsidR="00670E22">
        <w:rPr>
          <w:rFonts w:eastAsia="MS Mincho"/>
          <w:sz w:val="24"/>
          <w:szCs w:val="24"/>
        </w:rPr>
        <w:t xml:space="preserve"> DUSC considered that the extensive use of </w:t>
      </w:r>
      <w:proofErr w:type="spellStart"/>
      <w:r w:rsidR="00670E22">
        <w:rPr>
          <w:rFonts w:eastAsia="MS Mincho"/>
          <w:sz w:val="24"/>
          <w:szCs w:val="24"/>
        </w:rPr>
        <w:t>mesalazine</w:t>
      </w:r>
      <w:proofErr w:type="spellEnd"/>
      <w:r w:rsidR="00670E22">
        <w:rPr>
          <w:rFonts w:eastAsia="MS Mincho"/>
          <w:sz w:val="24"/>
          <w:szCs w:val="24"/>
        </w:rPr>
        <w:t xml:space="preserve"> in place of sulfasalazine, and the</w:t>
      </w:r>
      <w:r w:rsidR="007605B0">
        <w:rPr>
          <w:rFonts w:eastAsia="MS Mincho"/>
          <w:sz w:val="24"/>
          <w:szCs w:val="24"/>
        </w:rPr>
        <w:t xml:space="preserve"> possible</w:t>
      </w:r>
      <w:r w:rsidR="00670E22">
        <w:rPr>
          <w:rFonts w:eastAsia="MS Mincho"/>
          <w:sz w:val="24"/>
          <w:szCs w:val="24"/>
        </w:rPr>
        <w:t xml:space="preserve"> use of higher doses, may not reflect cost-effective use.</w:t>
      </w:r>
    </w:p>
    <w:p w:rsidR="00670E22" w:rsidRDefault="00670E22" w:rsidP="0099648E">
      <w:pPr>
        <w:contextualSpacing/>
        <w:rPr>
          <w:rFonts w:eastAsia="MS Mincho"/>
          <w:sz w:val="24"/>
          <w:szCs w:val="24"/>
        </w:rPr>
      </w:pPr>
    </w:p>
    <w:p w:rsidR="008945B1" w:rsidRDefault="008945B1" w:rsidP="0099648E">
      <w:pPr>
        <w:contextualSpacing/>
        <w:rPr>
          <w:rFonts w:eastAsia="MS Mincho"/>
          <w:sz w:val="24"/>
          <w:szCs w:val="24"/>
        </w:rPr>
      </w:pPr>
      <w:r w:rsidRPr="008945B1">
        <w:rPr>
          <w:rFonts w:eastAsia="MS Mincho"/>
          <w:sz w:val="24"/>
          <w:szCs w:val="24"/>
        </w:rPr>
        <w:t>The DUSC requested that the report be provided to the PBAC.</w:t>
      </w:r>
    </w:p>
    <w:p w:rsidR="008945B1" w:rsidRDefault="008945B1" w:rsidP="0099648E">
      <w:pPr>
        <w:contextualSpacing/>
        <w:rPr>
          <w:rFonts w:eastAsia="MS Mincho"/>
          <w:sz w:val="24"/>
          <w:szCs w:val="24"/>
        </w:rPr>
      </w:pPr>
    </w:p>
    <w:p w:rsidR="00FA1200" w:rsidRDefault="005E14B6" w:rsidP="00FA1200">
      <w:pPr>
        <w:rPr>
          <w:sz w:val="24"/>
          <w:szCs w:val="24"/>
        </w:rPr>
      </w:pPr>
      <w:proofErr w:type="spellStart"/>
      <w:r>
        <w:rPr>
          <w:b/>
          <w:sz w:val="24"/>
          <w:szCs w:val="24"/>
        </w:rPr>
        <w:t>Crohn</w:t>
      </w:r>
      <w:proofErr w:type="spellEnd"/>
      <w:r>
        <w:rPr>
          <w:b/>
          <w:sz w:val="24"/>
          <w:szCs w:val="24"/>
        </w:rPr>
        <w:t xml:space="preserve"> disease</w:t>
      </w:r>
    </w:p>
    <w:p w:rsidR="0099648E" w:rsidRDefault="0099648E" w:rsidP="0099648E">
      <w:pPr>
        <w:contextualSpacing/>
        <w:rPr>
          <w:sz w:val="24"/>
          <w:szCs w:val="24"/>
        </w:rPr>
      </w:pPr>
      <w:r w:rsidRPr="00B54057">
        <w:rPr>
          <w:sz w:val="24"/>
          <w:szCs w:val="24"/>
        </w:rPr>
        <w:t xml:space="preserve">The number of patients treated with biologics for severe refractory adult </w:t>
      </w:r>
      <w:proofErr w:type="spellStart"/>
      <w:r w:rsidRPr="00B54057">
        <w:rPr>
          <w:sz w:val="24"/>
          <w:szCs w:val="24"/>
        </w:rPr>
        <w:t>Crohn</w:t>
      </w:r>
      <w:proofErr w:type="spellEnd"/>
      <w:r w:rsidRPr="00B54057">
        <w:rPr>
          <w:sz w:val="24"/>
          <w:szCs w:val="24"/>
        </w:rPr>
        <w:t xml:space="preserve"> disease, fistulising </w:t>
      </w:r>
      <w:proofErr w:type="spellStart"/>
      <w:r w:rsidRPr="00B54057">
        <w:rPr>
          <w:sz w:val="24"/>
          <w:szCs w:val="24"/>
        </w:rPr>
        <w:t>Crohn</w:t>
      </w:r>
      <w:proofErr w:type="spellEnd"/>
      <w:r w:rsidRPr="00B54057">
        <w:rPr>
          <w:sz w:val="24"/>
          <w:szCs w:val="24"/>
        </w:rPr>
        <w:t xml:space="preserve"> disease and moderate to severe refractory </w:t>
      </w:r>
      <w:proofErr w:type="spellStart"/>
      <w:r w:rsidRPr="00B54057">
        <w:rPr>
          <w:sz w:val="24"/>
          <w:szCs w:val="24"/>
        </w:rPr>
        <w:t>Crohn</w:t>
      </w:r>
      <w:proofErr w:type="spellEnd"/>
      <w:r w:rsidRPr="00B54057">
        <w:rPr>
          <w:sz w:val="24"/>
          <w:szCs w:val="24"/>
        </w:rPr>
        <w:t xml:space="preserve"> disease in children and adolescents had increased steadily from 2007 to 2016.</w:t>
      </w:r>
      <w:r>
        <w:rPr>
          <w:sz w:val="24"/>
          <w:szCs w:val="24"/>
        </w:rPr>
        <w:t xml:space="preserve"> </w:t>
      </w:r>
      <w:r w:rsidRPr="00B54057">
        <w:rPr>
          <w:sz w:val="24"/>
          <w:szCs w:val="24"/>
        </w:rPr>
        <w:t xml:space="preserve">In 2016, 7,505 patients received a biologic for severe adult refractory </w:t>
      </w:r>
      <w:proofErr w:type="spellStart"/>
      <w:r w:rsidRPr="00B54057">
        <w:rPr>
          <w:sz w:val="24"/>
          <w:szCs w:val="24"/>
        </w:rPr>
        <w:t>Crohn</w:t>
      </w:r>
      <w:proofErr w:type="spellEnd"/>
      <w:r w:rsidRPr="00B54057">
        <w:rPr>
          <w:sz w:val="24"/>
          <w:szCs w:val="24"/>
        </w:rPr>
        <w:t xml:space="preserve"> disease, 2,135 for fistulising </w:t>
      </w:r>
      <w:proofErr w:type="spellStart"/>
      <w:r w:rsidRPr="00B54057">
        <w:rPr>
          <w:sz w:val="24"/>
          <w:szCs w:val="24"/>
        </w:rPr>
        <w:t>Crohn</w:t>
      </w:r>
      <w:proofErr w:type="spellEnd"/>
      <w:r w:rsidRPr="00B54057">
        <w:rPr>
          <w:sz w:val="24"/>
          <w:szCs w:val="24"/>
        </w:rPr>
        <w:t xml:space="preserve"> disease and 824 patients received treatment for paediatric </w:t>
      </w:r>
      <w:proofErr w:type="spellStart"/>
      <w:r w:rsidRPr="00B54057">
        <w:rPr>
          <w:sz w:val="24"/>
          <w:szCs w:val="24"/>
        </w:rPr>
        <w:t>Crohn</w:t>
      </w:r>
      <w:proofErr w:type="spellEnd"/>
      <w:r w:rsidRPr="00B54057">
        <w:rPr>
          <w:sz w:val="24"/>
          <w:szCs w:val="24"/>
        </w:rPr>
        <w:t xml:space="preserve"> disease. The proportion of patients continuing on biologic therapy for each of its listed </w:t>
      </w:r>
      <w:proofErr w:type="spellStart"/>
      <w:r w:rsidRPr="00B54057">
        <w:rPr>
          <w:sz w:val="24"/>
          <w:szCs w:val="24"/>
        </w:rPr>
        <w:t>Crohn</w:t>
      </w:r>
      <w:proofErr w:type="spellEnd"/>
      <w:r w:rsidRPr="00B54057">
        <w:rPr>
          <w:sz w:val="24"/>
          <w:szCs w:val="24"/>
        </w:rPr>
        <w:t xml:space="preserve"> indications was substantially higher than anticipated.</w:t>
      </w:r>
    </w:p>
    <w:p w:rsidR="0099648E" w:rsidRDefault="0099648E" w:rsidP="0099648E">
      <w:pPr>
        <w:contextualSpacing/>
        <w:rPr>
          <w:sz w:val="24"/>
          <w:szCs w:val="24"/>
        </w:rPr>
      </w:pPr>
    </w:p>
    <w:p w:rsidR="0099648E" w:rsidRPr="00455C86" w:rsidRDefault="0099648E" w:rsidP="0099648E">
      <w:pPr>
        <w:contextualSpacing/>
        <w:rPr>
          <w:sz w:val="24"/>
          <w:szCs w:val="24"/>
        </w:rPr>
      </w:pPr>
      <w:r w:rsidRPr="00455C86">
        <w:rPr>
          <w:sz w:val="24"/>
          <w:szCs w:val="24"/>
        </w:rPr>
        <w:t xml:space="preserve">DUSC noted that of the adult patients with severe refractory </w:t>
      </w:r>
      <w:proofErr w:type="spellStart"/>
      <w:r w:rsidRPr="00455C86">
        <w:rPr>
          <w:sz w:val="24"/>
          <w:szCs w:val="24"/>
        </w:rPr>
        <w:t>Crohn</w:t>
      </w:r>
      <w:proofErr w:type="spellEnd"/>
      <w:r w:rsidRPr="00455C86">
        <w:rPr>
          <w:sz w:val="24"/>
          <w:szCs w:val="24"/>
        </w:rPr>
        <w:t xml:space="preserve"> disease initiating on biologic therapy in 2011, around 60% remained on treatment after five years. DUSC noted this is much higher than the continuation rates in the clinical trials, which may partly be due to some patients switching to a second (or third) biologic agent. DUSC commented that the continuation rates in fistulising </w:t>
      </w:r>
      <w:proofErr w:type="spellStart"/>
      <w:r w:rsidRPr="00455C86">
        <w:rPr>
          <w:sz w:val="24"/>
          <w:szCs w:val="24"/>
        </w:rPr>
        <w:t>Crohn</w:t>
      </w:r>
      <w:proofErr w:type="spellEnd"/>
      <w:r w:rsidRPr="00455C86">
        <w:rPr>
          <w:sz w:val="24"/>
          <w:szCs w:val="24"/>
        </w:rPr>
        <w:t xml:space="preserve"> disease seem high and considered patients may not be ceasing treatment after fistula closure. However, DUSC acknowledged that the restrictions do not include rules or advice of when patients should stop or restart treatment and therefore patients may be receiving continuous treatment.</w:t>
      </w:r>
    </w:p>
    <w:p w:rsidR="0099648E" w:rsidRPr="00B54057" w:rsidRDefault="0099648E" w:rsidP="0099648E">
      <w:pPr>
        <w:contextualSpacing/>
        <w:rPr>
          <w:sz w:val="24"/>
          <w:szCs w:val="24"/>
        </w:rPr>
      </w:pPr>
    </w:p>
    <w:p w:rsidR="0099648E" w:rsidRPr="00B54057" w:rsidRDefault="0099648E" w:rsidP="0099648E">
      <w:pPr>
        <w:contextualSpacing/>
        <w:rPr>
          <w:sz w:val="24"/>
          <w:szCs w:val="24"/>
        </w:rPr>
      </w:pPr>
      <w:r>
        <w:rPr>
          <w:sz w:val="24"/>
          <w:szCs w:val="24"/>
        </w:rPr>
        <w:t>DUSC noted b</w:t>
      </w:r>
      <w:r w:rsidRPr="00B54057">
        <w:rPr>
          <w:sz w:val="24"/>
          <w:szCs w:val="24"/>
        </w:rPr>
        <w:t>iologics are being initiated as per their restrictions for prior therapies in the majority of cases.</w:t>
      </w:r>
    </w:p>
    <w:p w:rsidR="00AC6543" w:rsidRDefault="00AC6543" w:rsidP="008B6946">
      <w:pPr>
        <w:rPr>
          <w:sz w:val="24"/>
          <w:szCs w:val="24"/>
        </w:rPr>
      </w:pPr>
    </w:p>
    <w:p w:rsidR="008945B1" w:rsidRDefault="008945B1" w:rsidP="008B6946">
      <w:pPr>
        <w:rPr>
          <w:sz w:val="24"/>
          <w:szCs w:val="24"/>
        </w:rPr>
      </w:pPr>
      <w:r w:rsidRPr="008945B1">
        <w:rPr>
          <w:sz w:val="24"/>
          <w:szCs w:val="24"/>
        </w:rPr>
        <w:t>The DUSC requested that the report be provided to the PBAC.</w:t>
      </w:r>
    </w:p>
    <w:p w:rsidR="008945B1" w:rsidRDefault="008945B1" w:rsidP="008B6946">
      <w:pPr>
        <w:rPr>
          <w:sz w:val="24"/>
          <w:szCs w:val="24"/>
        </w:rPr>
      </w:pPr>
    </w:p>
    <w:p w:rsidR="00213EAC" w:rsidRDefault="00DD508E" w:rsidP="00213EAC">
      <w:pPr>
        <w:rPr>
          <w:b/>
          <w:sz w:val="24"/>
          <w:szCs w:val="24"/>
        </w:rPr>
      </w:pPr>
      <w:proofErr w:type="spellStart"/>
      <w:r w:rsidRPr="00DD508E">
        <w:rPr>
          <w:b/>
          <w:sz w:val="24"/>
          <w:szCs w:val="24"/>
        </w:rPr>
        <w:t>Botulinum</w:t>
      </w:r>
      <w:proofErr w:type="spellEnd"/>
      <w:r w:rsidRPr="00DD508E">
        <w:rPr>
          <w:b/>
          <w:sz w:val="24"/>
          <w:szCs w:val="24"/>
        </w:rPr>
        <w:t xml:space="preserve"> toxin type A for chronic migraine</w:t>
      </w:r>
    </w:p>
    <w:p w:rsidR="00E37051" w:rsidRDefault="00DD508E" w:rsidP="00DD508E">
      <w:pPr>
        <w:spacing w:after="200"/>
        <w:contextualSpacing/>
        <w:rPr>
          <w:sz w:val="24"/>
        </w:rPr>
      </w:pPr>
      <w:bookmarkStart w:id="0" w:name="_GoBack"/>
      <w:bookmarkEnd w:id="0"/>
      <w:r w:rsidRPr="00DD508E">
        <w:rPr>
          <w:sz w:val="24"/>
        </w:rPr>
        <w:t xml:space="preserve">There were 3,517 and 5,444 patients treated with </w:t>
      </w:r>
      <w:proofErr w:type="spellStart"/>
      <w:r w:rsidRPr="00DD508E">
        <w:rPr>
          <w:sz w:val="24"/>
        </w:rPr>
        <w:t>botulinum</w:t>
      </w:r>
      <w:proofErr w:type="spellEnd"/>
      <w:r w:rsidRPr="00DD508E">
        <w:rPr>
          <w:sz w:val="24"/>
        </w:rPr>
        <w:t xml:space="preserve"> toxin for chronic migraine in the first and second year of PBS listing, respectively. The number of patients treated was substantially higher than predicted.</w:t>
      </w:r>
      <w:r>
        <w:rPr>
          <w:sz w:val="24"/>
        </w:rPr>
        <w:t xml:space="preserve"> </w:t>
      </w:r>
      <w:r w:rsidR="00E37051">
        <w:rPr>
          <w:sz w:val="24"/>
        </w:rPr>
        <w:t xml:space="preserve">This could be due to an underestimate of the eligible population, an underestimate of the uptake rate, or use earlier in the treatment </w:t>
      </w:r>
      <w:r w:rsidR="00E77E9D">
        <w:rPr>
          <w:sz w:val="24"/>
        </w:rPr>
        <w:t>pathway</w:t>
      </w:r>
      <w:r w:rsidR="00E37051">
        <w:rPr>
          <w:sz w:val="24"/>
        </w:rPr>
        <w:t>.</w:t>
      </w:r>
    </w:p>
    <w:p w:rsidR="00E37051" w:rsidRDefault="00E37051" w:rsidP="00DD508E">
      <w:pPr>
        <w:spacing w:after="200"/>
        <w:contextualSpacing/>
        <w:rPr>
          <w:sz w:val="24"/>
        </w:rPr>
      </w:pPr>
    </w:p>
    <w:p w:rsidR="00E37051" w:rsidRDefault="00E37051" w:rsidP="00DD508E">
      <w:pPr>
        <w:spacing w:after="200"/>
        <w:contextualSpacing/>
        <w:rPr>
          <w:sz w:val="24"/>
        </w:rPr>
      </w:pPr>
      <w:r w:rsidRPr="00E37051">
        <w:rPr>
          <w:sz w:val="24"/>
        </w:rPr>
        <w:t xml:space="preserve">The proportion of neurologists that administered </w:t>
      </w:r>
      <w:proofErr w:type="spellStart"/>
      <w:r w:rsidRPr="00E37051">
        <w:rPr>
          <w:sz w:val="24"/>
        </w:rPr>
        <w:t>botulinum</w:t>
      </w:r>
      <w:proofErr w:type="spellEnd"/>
      <w:r w:rsidRPr="00E37051">
        <w:rPr>
          <w:sz w:val="24"/>
        </w:rPr>
        <w:t xml:space="preserve"> toxin for chronic migraine was close to that predicted and </w:t>
      </w:r>
      <w:r>
        <w:rPr>
          <w:sz w:val="24"/>
        </w:rPr>
        <w:t xml:space="preserve">so </w:t>
      </w:r>
      <w:r w:rsidRPr="00E37051">
        <w:rPr>
          <w:sz w:val="24"/>
        </w:rPr>
        <w:t xml:space="preserve">was not a factor in the higher than </w:t>
      </w:r>
      <w:r w:rsidR="008945B1">
        <w:rPr>
          <w:sz w:val="24"/>
        </w:rPr>
        <w:t>expected</w:t>
      </w:r>
      <w:r w:rsidRPr="00E37051">
        <w:rPr>
          <w:sz w:val="24"/>
        </w:rPr>
        <w:t xml:space="preserve"> use. Treatment rates in most states were similar</w:t>
      </w:r>
      <w:r>
        <w:rPr>
          <w:sz w:val="24"/>
        </w:rPr>
        <w:t xml:space="preserve"> (</w:t>
      </w:r>
      <w:r w:rsidRPr="00E37051">
        <w:rPr>
          <w:sz w:val="24"/>
        </w:rPr>
        <w:t>23-32 patients per 100,000</w:t>
      </w:r>
      <w:r>
        <w:rPr>
          <w:sz w:val="24"/>
        </w:rPr>
        <w:t>)</w:t>
      </w:r>
      <w:r w:rsidRPr="00E37051">
        <w:rPr>
          <w:sz w:val="24"/>
        </w:rPr>
        <w:t xml:space="preserve"> however treatment rates were substantially higher in the ACT (105 per 100,000) and substantially lower in the NT (5 per 100,000). The mean number of vials per treatment suggests that the dose used is consistent with recommendations.</w:t>
      </w:r>
    </w:p>
    <w:p w:rsidR="00E37051" w:rsidRDefault="00E37051" w:rsidP="00DD508E">
      <w:pPr>
        <w:spacing w:after="200"/>
        <w:contextualSpacing/>
        <w:rPr>
          <w:sz w:val="24"/>
        </w:rPr>
      </w:pPr>
    </w:p>
    <w:p w:rsidR="00DD508E" w:rsidRDefault="001A4CD7" w:rsidP="00DD508E">
      <w:pPr>
        <w:spacing w:after="200"/>
        <w:contextualSpacing/>
        <w:rPr>
          <w:sz w:val="24"/>
        </w:rPr>
      </w:pPr>
      <w:r>
        <w:rPr>
          <w:sz w:val="24"/>
        </w:rPr>
        <w:t>The c</w:t>
      </w:r>
      <w:r w:rsidR="00DD508E" w:rsidRPr="00DD508E">
        <w:rPr>
          <w:sz w:val="24"/>
        </w:rPr>
        <w:t>ontinuation rate on treatment at 24 weeks was more than double that predicted from trial data</w:t>
      </w:r>
      <w:r w:rsidR="00E37051">
        <w:rPr>
          <w:sz w:val="24"/>
        </w:rPr>
        <w:t xml:space="preserve"> and is the main driver of high use. DUSC considered that there may be </w:t>
      </w:r>
      <w:r w:rsidR="007B072C">
        <w:rPr>
          <w:sz w:val="24"/>
        </w:rPr>
        <w:t xml:space="preserve">continued use in </w:t>
      </w:r>
      <w:r w:rsidR="007B072C" w:rsidRPr="007B072C">
        <w:rPr>
          <w:sz w:val="24"/>
        </w:rPr>
        <w:t>partial responder</w:t>
      </w:r>
      <w:r w:rsidR="008945B1">
        <w:rPr>
          <w:sz w:val="24"/>
        </w:rPr>
        <w:t>s</w:t>
      </w:r>
      <w:r w:rsidR="00C76321">
        <w:rPr>
          <w:sz w:val="24"/>
        </w:rPr>
        <w:t xml:space="preserve"> and that differences between trial and real world continuation rates may </w:t>
      </w:r>
      <w:r w:rsidR="00C76321">
        <w:rPr>
          <w:sz w:val="24"/>
        </w:rPr>
        <w:lastRenderedPageBreak/>
        <w:t>include the subjective nature of the assessment (headache days) and the lack of alternative treatments.</w:t>
      </w:r>
    </w:p>
    <w:p w:rsidR="009F44EE" w:rsidRPr="009F44EE" w:rsidRDefault="009F44EE" w:rsidP="00DD508E">
      <w:pPr>
        <w:rPr>
          <w:sz w:val="24"/>
          <w:szCs w:val="24"/>
        </w:rPr>
      </w:pPr>
    </w:p>
    <w:p w:rsidR="009F44EE" w:rsidRPr="001A10FD" w:rsidRDefault="009F44EE" w:rsidP="009F44EE">
      <w:pPr>
        <w:rPr>
          <w:sz w:val="24"/>
          <w:szCs w:val="24"/>
        </w:rPr>
      </w:pPr>
      <w:r w:rsidRPr="001A10FD">
        <w:rPr>
          <w:sz w:val="24"/>
          <w:szCs w:val="24"/>
        </w:rPr>
        <w:t>The DUSC requested that the report be provided to the PBAC.</w:t>
      </w:r>
    </w:p>
    <w:p w:rsidR="009F44EE" w:rsidRPr="00C10F2E" w:rsidRDefault="009F44EE" w:rsidP="009F44EE">
      <w:pPr>
        <w:rPr>
          <w:sz w:val="24"/>
          <w:szCs w:val="24"/>
        </w:rPr>
      </w:pPr>
    </w:p>
    <w:p w:rsidR="00213EAC" w:rsidRDefault="005E14B6" w:rsidP="00213EAC">
      <w:pPr>
        <w:rPr>
          <w:b/>
          <w:sz w:val="24"/>
          <w:szCs w:val="24"/>
        </w:rPr>
      </w:pPr>
      <w:r>
        <w:rPr>
          <w:b/>
          <w:sz w:val="24"/>
          <w:szCs w:val="24"/>
        </w:rPr>
        <w:t xml:space="preserve">Inhaled tobramycin for </w:t>
      </w:r>
      <w:r w:rsidRPr="005E14B6">
        <w:rPr>
          <w:b/>
          <w:i/>
          <w:sz w:val="24"/>
          <w:szCs w:val="24"/>
        </w:rPr>
        <w:t>P.</w:t>
      </w:r>
      <w:r w:rsidRPr="005E14B6">
        <w:rPr>
          <w:i/>
        </w:rPr>
        <w:t xml:space="preserve"> </w:t>
      </w:r>
      <w:proofErr w:type="spellStart"/>
      <w:r w:rsidRPr="005E14B6">
        <w:rPr>
          <w:b/>
          <w:i/>
          <w:sz w:val="24"/>
          <w:szCs w:val="24"/>
        </w:rPr>
        <w:t>aeruginosa</w:t>
      </w:r>
      <w:proofErr w:type="spellEnd"/>
      <w:r>
        <w:rPr>
          <w:b/>
          <w:sz w:val="24"/>
          <w:szCs w:val="24"/>
        </w:rPr>
        <w:t xml:space="preserve"> infection in cystic fibrosis</w:t>
      </w:r>
    </w:p>
    <w:p w:rsidR="005E14B6" w:rsidRDefault="00D61C73" w:rsidP="005E14B6">
      <w:pPr>
        <w:rPr>
          <w:sz w:val="24"/>
          <w:szCs w:val="24"/>
        </w:rPr>
      </w:pPr>
      <w:r w:rsidRPr="00D61C73">
        <w:rPr>
          <w:sz w:val="24"/>
          <w:szCs w:val="24"/>
        </w:rPr>
        <w:t>The total number of patients using any form of inhaled tobramycin was higher than expected, but the proportion of these that used tobramycin inhalation powder (TIP)</w:t>
      </w:r>
      <w:r w:rsidR="003F021A">
        <w:rPr>
          <w:sz w:val="24"/>
          <w:szCs w:val="24"/>
        </w:rPr>
        <w:t xml:space="preserve"> was lower than expected</w:t>
      </w:r>
      <w:r>
        <w:rPr>
          <w:sz w:val="24"/>
          <w:szCs w:val="24"/>
        </w:rPr>
        <w:t xml:space="preserve">. </w:t>
      </w:r>
    </w:p>
    <w:p w:rsidR="008945B1" w:rsidRPr="005E14B6" w:rsidRDefault="008945B1" w:rsidP="005E14B6">
      <w:pPr>
        <w:rPr>
          <w:sz w:val="24"/>
          <w:szCs w:val="24"/>
        </w:rPr>
      </w:pPr>
    </w:p>
    <w:p w:rsidR="005E14B6" w:rsidRPr="003F021A" w:rsidRDefault="005E14B6" w:rsidP="005E14B6">
      <w:pPr>
        <w:rPr>
          <w:sz w:val="24"/>
          <w:szCs w:val="24"/>
        </w:rPr>
      </w:pPr>
      <w:r w:rsidRPr="005E14B6">
        <w:rPr>
          <w:sz w:val="24"/>
          <w:szCs w:val="24"/>
        </w:rPr>
        <w:t xml:space="preserve">There was little difference in the pattern of use between TIP and tobramycin solution for inhalation (TSI). </w:t>
      </w:r>
      <w:r w:rsidRPr="003F021A">
        <w:rPr>
          <w:sz w:val="24"/>
          <w:szCs w:val="24"/>
        </w:rPr>
        <w:t>DUSC noted there are a number of factors that contribute to patient preference for TSI or TIP, including tolerance, nebuliser versus inhaler device, and climate</w:t>
      </w:r>
      <w:r w:rsidR="00E77E9D">
        <w:rPr>
          <w:sz w:val="24"/>
          <w:szCs w:val="24"/>
        </w:rPr>
        <w:t>, as the powder is less suitable in humid climates</w:t>
      </w:r>
      <w:r w:rsidRPr="003F021A">
        <w:rPr>
          <w:sz w:val="24"/>
          <w:szCs w:val="24"/>
        </w:rPr>
        <w:t>.</w:t>
      </w:r>
    </w:p>
    <w:p w:rsidR="005E14B6" w:rsidRPr="003F021A" w:rsidRDefault="005E14B6" w:rsidP="005E14B6">
      <w:pPr>
        <w:rPr>
          <w:sz w:val="24"/>
          <w:szCs w:val="24"/>
        </w:rPr>
      </w:pPr>
    </w:p>
    <w:p w:rsidR="005E14B6" w:rsidRPr="003F021A" w:rsidRDefault="003F021A" w:rsidP="005E14B6">
      <w:pPr>
        <w:rPr>
          <w:sz w:val="24"/>
          <w:szCs w:val="24"/>
        </w:rPr>
      </w:pPr>
      <w:r>
        <w:rPr>
          <w:sz w:val="24"/>
          <w:szCs w:val="24"/>
        </w:rPr>
        <w:t>A</w:t>
      </w:r>
      <w:r w:rsidR="005E14B6" w:rsidRPr="005E14B6">
        <w:rPr>
          <w:sz w:val="24"/>
          <w:szCs w:val="24"/>
        </w:rPr>
        <w:t>nalys</w:t>
      </w:r>
      <w:r>
        <w:rPr>
          <w:sz w:val="24"/>
          <w:szCs w:val="24"/>
        </w:rPr>
        <w:t>is of PBS data</w:t>
      </w:r>
      <w:r w:rsidR="005E14B6" w:rsidRPr="005E14B6">
        <w:rPr>
          <w:sz w:val="24"/>
          <w:szCs w:val="24"/>
        </w:rPr>
        <w:t xml:space="preserve"> consistently showed that patients received substantially fewer inhaled tobramycin prescriptions than would be expected for chronic </w:t>
      </w:r>
      <w:r w:rsidR="005E14B6" w:rsidRPr="005E14B6">
        <w:rPr>
          <w:i/>
          <w:iCs/>
          <w:sz w:val="24"/>
          <w:szCs w:val="24"/>
        </w:rPr>
        <w:t xml:space="preserve">P. </w:t>
      </w:r>
      <w:proofErr w:type="spellStart"/>
      <w:r w:rsidR="005E14B6" w:rsidRPr="005E14B6">
        <w:rPr>
          <w:i/>
          <w:iCs/>
          <w:sz w:val="24"/>
          <w:szCs w:val="24"/>
        </w:rPr>
        <w:t>aeruginosa</w:t>
      </w:r>
      <w:proofErr w:type="spellEnd"/>
      <w:r w:rsidR="005E14B6" w:rsidRPr="005E14B6">
        <w:rPr>
          <w:sz w:val="24"/>
          <w:szCs w:val="24"/>
        </w:rPr>
        <w:t xml:space="preserve"> infection</w:t>
      </w:r>
      <w:r w:rsidR="005E14B6" w:rsidRPr="003F021A">
        <w:rPr>
          <w:sz w:val="24"/>
          <w:szCs w:val="24"/>
        </w:rPr>
        <w:t>. DUSC noted it is unclear</w:t>
      </w:r>
      <w:r w:rsidR="008945B1">
        <w:rPr>
          <w:sz w:val="24"/>
          <w:szCs w:val="24"/>
        </w:rPr>
        <w:t xml:space="preserve"> from available data</w:t>
      </w:r>
      <w:r w:rsidR="005E14B6" w:rsidRPr="003F021A">
        <w:rPr>
          <w:sz w:val="24"/>
          <w:szCs w:val="24"/>
        </w:rPr>
        <w:t xml:space="preserve"> whether the patterns of use indicate poor adherence, use of other PBS or non-PBS antibiotics, </w:t>
      </w:r>
      <w:r w:rsidR="00E77E9D">
        <w:rPr>
          <w:sz w:val="24"/>
          <w:szCs w:val="24"/>
        </w:rPr>
        <w:t xml:space="preserve">treatment in non-PBS settings (e.g. hospitals) </w:t>
      </w:r>
      <w:r w:rsidR="005E14B6" w:rsidRPr="003F021A">
        <w:rPr>
          <w:sz w:val="24"/>
          <w:szCs w:val="24"/>
        </w:rPr>
        <w:t xml:space="preserve">or a greater than expected proportion of </w:t>
      </w:r>
      <w:r w:rsidR="00E77E9D">
        <w:rPr>
          <w:sz w:val="24"/>
          <w:szCs w:val="24"/>
        </w:rPr>
        <w:t xml:space="preserve">use in accord with </w:t>
      </w:r>
      <w:r w:rsidR="005E14B6" w:rsidRPr="003F021A">
        <w:rPr>
          <w:sz w:val="24"/>
          <w:szCs w:val="24"/>
        </w:rPr>
        <w:t xml:space="preserve">eradication or exacerbation protocols compared with chronic management. </w:t>
      </w:r>
    </w:p>
    <w:p w:rsidR="00313B7D" w:rsidRDefault="00313B7D" w:rsidP="008B6946">
      <w:pPr>
        <w:pStyle w:val="Heading2"/>
      </w:pPr>
    </w:p>
    <w:p w:rsidR="00EA1348" w:rsidRPr="00313B7D" w:rsidRDefault="00313B7D" w:rsidP="00313B7D">
      <w:pPr>
        <w:rPr>
          <w:sz w:val="24"/>
          <w:szCs w:val="24"/>
        </w:rPr>
      </w:pPr>
      <w:r w:rsidRPr="00313B7D">
        <w:rPr>
          <w:sz w:val="24"/>
          <w:szCs w:val="24"/>
        </w:rPr>
        <w:t>The DUSC requested that the report be provided to the PBAC.</w:t>
      </w:r>
    </w:p>
    <w:p w:rsidR="00313B7D" w:rsidRPr="00313B7D" w:rsidRDefault="00313B7D" w:rsidP="00313B7D"/>
    <w:p w:rsidR="00D73D6C" w:rsidRPr="00D73D6C" w:rsidRDefault="00D73D6C" w:rsidP="00D73D6C"/>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99648E" w:rsidRPr="00237631" w:rsidRDefault="0099648E" w:rsidP="0099648E">
      <w:pPr>
        <w:rPr>
          <w:b/>
          <w:sz w:val="24"/>
          <w:szCs w:val="24"/>
        </w:rPr>
      </w:pPr>
      <w:r w:rsidRPr="00237631">
        <w:rPr>
          <w:b/>
          <w:sz w:val="24"/>
          <w:szCs w:val="24"/>
        </w:rPr>
        <w:t>Predicted versus Actual Utilisation Analysis</w:t>
      </w:r>
      <w:r>
        <w:rPr>
          <w:b/>
          <w:sz w:val="24"/>
          <w:szCs w:val="24"/>
        </w:rPr>
        <w:t xml:space="preserve"> </w:t>
      </w:r>
    </w:p>
    <w:p w:rsidR="0099648E" w:rsidRDefault="0099648E" w:rsidP="0099648E">
      <w:pPr>
        <w:pStyle w:val="ListParagraph"/>
        <w:numPr>
          <w:ilvl w:val="0"/>
          <w:numId w:val="1"/>
        </w:numPr>
        <w:autoSpaceDE w:val="0"/>
        <w:autoSpaceDN w:val="0"/>
        <w:adjustRightInd w:val="0"/>
        <w:contextualSpacing/>
        <w:rPr>
          <w:szCs w:val="24"/>
        </w:rPr>
      </w:pPr>
      <w:proofErr w:type="spellStart"/>
      <w:r w:rsidRPr="0054258A">
        <w:rPr>
          <w:szCs w:val="24"/>
        </w:rPr>
        <w:t>Lenalidomide</w:t>
      </w:r>
      <w:proofErr w:type="spellEnd"/>
      <w:r w:rsidRPr="0054258A">
        <w:rPr>
          <w:szCs w:val="24"/>
        </w:rPr>
        <w:t xml:space="preserve"> for </w:t>
      </w:r>
      <w:proofErr w:type="spellStart"/>
      <w:r w:rsidRPr="0054258A">
        <w:rPr>
          <w:szCs w:val="24"/>
        </w:rPr>
        <w:t>myelodysplastic</w:t>
      </w:r>
      <w:proofErr w:type="spellEnd"/>
      <w:r w:rsidRPr="0054258A">
        <w:rPr>
          <w:szCs w:val="24"/>
        </w:rPr>
        <w:t xml:space="preserve"> syndrome</w:t>
      </w:r>
    </w:p>
    <w:p w:rsidR="0099648E" w:rsidRDefault="0099648E" w:rsidP="0099648E">
      <w:pPr>
        <w:pStyle w:val="ListParagraph"/>
        <w:numPr>
          <w:ilvl w:val="0"/>
          <w:numId w:val="1"/>
        </w:numPr>
        <w:autoSpaceDE w:val="0"/>
        <w:autoSpaceDN w:val="0"/>
        <w:adjustRightInd w:val="0"/>
        <w:contextualSpacing/>
        <w:rPr>
          <w:szCs w:val="24"/>
        </w:rPr>
      </w:pPr>
      <w:r w:rsidRPr="0054258A">
        <w:rPr>
          <w:szCs w:val="24"/>
        </w:rPr>
        <w:t>Paclitaxel</w:t>
      </w:r>
      <w:r w:rsidR="009D2858">
        <w:rPr>
          <w:szCs w:val="24"/>
        </w:rPr>
        <w:t>,</w:t>
      </w:r>
      <w:r w:rsidRPr="0054258A">
        <w:rPr>
          <w:szCs w:val="24"/>
        </w:rPr>
        <w:t xml:space="preserve"> nanoparticle albumin</w:t>
      </w:r>
      <w:r w:rsidR="009D2858">
        <w:rPr>
          <w:szCs w:val="24"/>
        </w:rPr>
        <w:t>-</w:t>
      </w:r>
      <w:r w:rsidRPr="0054258A">
        <w:rPr>
          <w:szCs w:val="24"/>
        </w:rPr>
        <w:t>bound</w:t>
      </w:r>
      <w:r w:rsidR="009D2858">
        <w:rPr>
          <w:szCs w:val="24"/>
        </w:rPr>
        <w:t>,</w:t>
      </w:r>
      <w:r>
        <w:rPr>
          <w:szCs w:val="24"/>
        </w:rPr>
        <w:t xml:space="preserve"> for</w:t>
      </w:r>
      <w:r w:rsidR="009D2858">
        <w:rPr>
          <w:szCs w:val="24"/>
        </w:rPr>
        <w:t xml:space="preserve"> metastatic adenocarcinoma of the pancreas</w:t>
      </w:r>
    </w:p>
    <w:p w:rsidR="0099648E" w:rsidRDefault="0099648E" w:rsidP="0099648E">
      <w:pPr>
        <w:pStyle w:val="ListParagraph"/>
        <w:numPr>
          <w:ilvl w:val="0"/>
          <w:numId w:val="1"/>
        </w:numPr>
        <w:autoSpaceDE w:val="0"/>
        <w:autoSpaceDN w:val="0"/>
        <w:adjustRightInd w:val="0"/>
        <w:contextualSpacing/>
        <w:rPr>
          <w:szCs w:val="24"/>
        </w:rPr>
      </w:pPr>
      <w:proofErr w:type="spellStart"/>
      <w:r w:rsidRPr="0054258A">
        <w:rPr>
          <w:szCs w:val="24"/>
        </w:rPr>
        <w:t>Eculizumab</w:t>
      </w:r>
      <w:proofErr w:type="spellEnd"/>
      <w:r>
        <w:rPr>
          <w:szCs w:val="24"/>
        </w:rPr>
        <w:t xml:space="preserve"> for </w:t>
      </w:r>
      <w:r w:rsidR="001A4CD7">
        <w:rPr>
          <w:szCs w:val="24"/>
        </w:rPr>
        <w:t>a</w:t>
      </w:r>
      <w:r w:rsidRPr="0054258A">
        <w:rPr>
          <w:szCs w:val="24"/>
        </w:rPr>
        <w:t>typical haemolytic uraemic syndrome (</w:t>
      </w:r>
      <w:proofErr w:type="spellStart"/>
      <w:r w:rsidRPr="0054258A">
        <w:rPr>
          <w:szCs w:val="24"/>
        </w:rPr>
        <w:t>aHUS</w:t>
      </w:r>
      <w:proofErr w:type="spellEnd"/>
      <w:r w:rsidRPr="0054258A">
        <w:rPr>
          <w:szCs w:val="24"/>
        </w:rPr>
        <w:t>)</w:t>
      </w:r>
    </w:p>
    <w:p w:rsidR="001A4CD7" w:rsidRPr="001A4CD7" w:rsidRDefault="001A4CD7" w:rsidP="001A4CD7">
      <w:pPr>
        <w:pStyle w:val="ListParagraph"/>
        <w:numPr>
          <w:ilvl w:val="0"/>
          <w:numId w:val="1"/>
        </w:numPr>
        <w:rPr>
          <w:szCs w:val="24"/>
        </w:rPr>
      </w:pPr>
      <w:proofErr w:type="spellStart"/>
      <w:r w:rsidRPr="001A4CD7">
        <w:rPr>
          <w:szCs w:val="24"/>
        </w:rPr>
        <w:t>Sunitinib</w:t>
      </w:r>
      <w:proofErr w:type="spellEnd"/>
      <w:r w:rsidRPr="001A4CD7">
        <w:rPr>
          <w:szCs w:val="24"/>
        </w:rPr>
        <w:t xml:space="preserve"> and everolimus for metastatic or </w:t>
      </w:r>
      <w:proofErr w:type="spellStart"/>
      <w:r w:rsidRPr="001A4CD7">
        <w:rPr>
          <w:szCs w:val="24"/>
        </w:rPr>
        <w:t>unresectable</w:t>
      </w:r>
      <w:proofErr w:type="spellEnd"/>
      <w:r w:rsidRPr="001A4CD7">
        <w:rPr>
          <w:szCs w:val="24"/>
        </w:rPr>
        <w:t>, well-differentiated malignant pancreatic neuroendocrine tumour (</w:t>
      </w:r>
      <w:proofErr w:type="spellStart"/>
      <w:r w:rsidRPr="001A4CD7">
        <w:rPr>
          <w:szCs w:val="24"/>
        </w:rPr>
        <w:t>pNET</w:t>
      </w:r>
      <w:proofErr w:type="spellEnd"/>
      <w:r w:rsidRPr="001A4CD7">
        <w:rPr>
          <w:szCs w:val="24"/>
        </w:rPr>
        <w:t>)</w:t>
      </w:r>
    </w:p>
    <w:p w:rsidR="00EE3BF8" w:rsidRPr="00EE3BF8" w:rsidRDefault="00EE3BF8" w:rsidP="00EE3BF8">
      <w:pPr>
        <w:pStyle w:val="ListParagraph"/>
        <w:numPr>
          <w:ilvl w:val="0"/>
          <w:numId w:val="1"/>
        </w:numPr>
        <w:rPr>
          <w:szCs w:val="24"/>
        </w:rPr>
      </w:pPr>
      <w:r w:rsidRPr="00EE3BF8">
        <w:rPr>
          <w:szCs w:val="24"/>
        </w:rPr>
        <w:t>Ivacaftor for cystic fibrosis</w:t>
      </w:r>
    </w:p>
    <w:p w:rsidR="0099648E" w:rsidRDefault="0099648E" w:rsidP="0099648E">
      <w:pPr>
        <w:pStyle w:val="ListParagraph"/>
        <w:autoSpaceDE w:val="0"/>
        <w:autoSpaceDN w:val="0"/>
        <w:adjustRightInd w:val="0"/>
        <w:contextualSpacing/>
        <w:rPr>
          <w:szCs w:val="24"/>
        </w:rPr>
      </w:pPr>
    </w:p>
    <w:p w:rsidR="0099648E" w:rsidRPr="00235EF9" w:rsidRDefault="0099648E" w:rsidP="0099648E">
      <w:pPr>
        <w:pStyle w:val="ListParagraph"/>
        <w:autoSpaceDE w:val="0"/>
        <w:autoSpaceDN w:val="0"/>
        <w:adjustRightInd w:val="0"/>
        <w:ind w:left="0"/>
        <w:contextualSpacing/>
        <w:rPr>
          <w:b/>
          <w:szCs w:val="24"/>
        </w:rPr>
      </w:pPr>
      <w:r w:rsidRPr="00235EF9">
        <w:rPr>
          <w:b/>
          <w:szCs w:val="24"/>
        </w:rPr>
        <w:t>Analysis of multiple medicines in a treatment area</w:t>
      </w:r>
    </w:p>
    <w:p w:rsidR="0099648E" w:rsidRDefault="009D2858" w:rsidP="0099648E">
      <w:pPr>
        <w:pStyle w:val="ListParagraph"/>
        <w:numPr>
          <w:ilvl w:val="0"/>
          <w:numId w:val="1"/>
        </w:numPr>
        <w:autoSpaceDE w:val="0"/>
        <w:autoSpaceDN w:val="0"/>
        <w:adjustRightInd w:val="0"/>
        <w:contextualSpacing/>
        <w:rPr>
          <w:szCs w:val="24"/>
        </w:rPr>
      </w:pPr>
      <w:r>
        <w:rPr>
          <w:szCs w:val="24"/>
        </w:rPr>
        <w:t xml:space="preserve">Thalidomide, </w:t>
      </w:r>
      <w:proofErr w:type="spellStart"/>
      <w:r>
        <w:rPr>
          <w:szCs w:val="24"/>
        </w:rPr>
        <w:t>bortezomib</w:t>
      </w:r>
      <w:proofErr w:type="spellEnd"/>
      <w:r>
        <w:rPr>
          <w:szCs w:val="24"/>
        </w:rPr>
        <w:t xml:space="preserve">, </w:t>
      </w:r>
      <w:proofErr w:type="spellStart"/>
      <w:r>
        <w:rPr>
          <w:szCs w:val="24"/>
        </w:rPr>
        <w:t>lenalidomide</w:t>
      </w:r>
      <w:proofErr w:type="spellEnd"/>
      <w:r>
        <w:rPr>
          <w:szCs w:val="24"/>
        </w:rPr>
        <w:t xml:space="preserve"> and </w:t>
      </w:r>
      <w:proofErr w:type="spellStart"/>
      <w:r>
        <w:rPr>
          <w:szCs w:val="24"/>
        </w:rPr>
        <w:t>pomalidomide</w:t>
      </w:r>
      <w:proofErr w:type="spellEnd"/>
      <w:r>
        <w:rPr>
          <w:szCs w:val="24"/>
        </w:rPr>
        <w:t xml:space="preserve"> for multiple myeloma</w:t>
      </w:r>
    </w:p>
    <w:p w:rsidR="0099648E" w:rsidRDefault="009D2858" w:rsidP="0099648E">
      <w:pPr>
        <w:pStyle w:val="ListParagraph"/>
        <w:numPr>
          <w:ilvl w:val="0"/>
          <w:numId w:val="1"/>
        </w:numPr>
        <w:autoSpaceDE w:val="0"/>
        <w:autoSpaceDN w:val="0"/>
        <w:adjustRightInd w:val="0"/>
        <w:contextualSpacing/>
        <w:rPr>
          <w:szCs w:val="24"/>
        </w:rPr>
      </w:pPr>
      <w:r>
        <w:rPr>
          <w:szCs w:val="24"/>
        </w:rPr>
        <w:t>Bevacizumab</w:t>
      </w:r>
      <w:r w:rsidR="0099648E" w:rsidRPr="0054258A">
        <w:rPr>
          <w:szCs w:val="24"/>
        </w:rPr>
        <w:t>,</w:t>
      </w:r>
      <w:r>
        <w:rPr>
          <w:szCs w:val="24"/>
        </w:rPr>
        <w:t xml:space="preserve"> cetuximab and</w:t>
      </w:r>
      <w:r w:rsidR="0099648E" w:rsidRPr="0054258A">
        <w:rPr>
          <w:szCs w:val="24"/>
        </w:rPr>
        <w:t xml:space="preserve"> </w:t>
      </w:r>
      <w:proofErr w:type="spellStart"/>
      <w:r w:rsidR="0099648E" w:rsidRPr="0054258A">
        <w:rPr>
          <w:szCs w:val="24"/>
        </w:rPr>
        <w:t>panitumumab</w:t>
      </w:r>
      <w:proofErr w:type="spellEnd"/>
      <w:r w:rsidR="0099648E" w:rsidRPr="0054258A">
        <w:rPr>
          <w:szCs w:val="24"/>
        </w:rPr>
        <w:t xml:space="preserve"> </w:t>
      </w:r>
      <w:r w:rsidR="0099648E">
        <w:rPr>
          <w:szCs w:val="24"/>
        </w:rPr>
        <w:t xml:space="preserve">for </w:t>
      </w:r>
      <w:r w:rsidR="0099648E" w:rsidRPr="0054258A">
        <w:rPr>
          <w:szCs w:val="24"/>
        </w:rPr>
        <w:t>metastatic colorectal cancer</w:t>
      </w:r>
      <w:r>
        <w:rPr>
          <w:szCs w:val="24"/>
        </w:rPr>
        <w:t>.</w:t>
      </w:r>
    </w:p>
    <w:p w:rsidR="00002AE8" w:rsidRDefault="00002AE8" w:rsidP="008B6946">
      <w:pPr>
        <w:rPr>
          <w:sz w:val="24"/>
          <w:szCs w:val="24"/>
        </w:rPr>
      </w:pPr>
    </w:p>
    <w:p w:rsidR="00D73D6C" w:rsidRPr="00D73D6C" w:rsidRDefault="00D73D6C" w:rsidP="00D73D6C">
      <w:pPr>
        <w:pStyle w:val="Heading2"/>
      </w:pPr>
      <w:r w:rsidRPr="00D73D6C">
        <w:t>Other matters</w:t>
      </w:r>
    </w:p>
    <w:p w:rsidR="00D73D6C" w:rsidRPr="00D73D6C" w:rsidRDefault="00D73D6C" w:rsidP="00D73D6C">
      <w:pPr>
        <w:rPr>
          <w:sz w:val="24"/>
          <w:szCs w:val="24"/>
        </w:rPr>
      </w:pPr>
    </w:p>
    <w:p w:rsidR="00D73D6C" w:rsidRPr="00D73D6C" w:rsidRDefault="00D73D6C" w:rsidP="00D73D6C">
      <w:pPr>
        <w:rPr>
          <w:sz w:val="24"/>
          <w:szCs w:val="24"/>
        </w:rPr>
      </w:pPr>
      <w:r w:rsidRPr="00D73D6C">
        <w:rPr>
          <w:sz w:val="24"/>
          <w:szCs w:val="24"/>
        </w:rPr>
        <w:t xml:space="preserve">At its </w:t>
      </w:r>
      <w:hyperlink r:id="rId13" w:history="1">
        <w:r w:rsidRPr="00EE3BF8">
          <w:rPr>
            <w:rStyle w:val="Hyperlink"/>
            <w:sz w:val="24"/>
            <w:szCs w:val="24"/>
          </w:rPr>
          <w:t>September 2016 meeting</w:t>
        </w:r>
      </w:hyperlink>
      <w:r w:rsidRPr="00D73D6C">
        <w:rPr>
          <w:sz w:val="24"/>
          <w:szCs w:val="24"/>
        </w:rPr>
        <w:t xml:space="preserve">, DUSC reviewed the utilisation of antifungal medicines for systemic use. DUSC noted that relative to other systemic antifungal medicines, the utilisation of fluconazole had risen sharply in the second quarter of 2016 after it became a Restricted Benefit. The PBAC (November 2016) agreed with the DUSC that the use of fluconazole should be monitored closely to see if the increase continues. </w:t>
      </w:r>
    </w:p>
    <w:p w:rsidR="00D73D6C" w:rsidRPr="00D73D6C" w:rsidRDefault="00D73D6C" w:rsidP="00D73D6C">
      <w:pPr>
        <w:rPr>
          <w:sz w:val="24"/>
          <w:szCs w:val="24"/>
        </w:rPr>
      </w:pPr>
    </w:p>
    <w:p w:rsidR="00EE3BF8" w:rsidRDefault="00D73D6C" w:rsidP="00D73D6C">
      <w:pPr>
        <w:rPr>
          <w:sz w:val="24"/>
          <w:szCs w:val="24"/>
        </w:rPr>
      </w:pPr>
      <w:r w:rsidRPr="00D73D6C">
        <w:rPr>
          <w:sz w:val="24"/>
          <w:szCs w:val="24"/>
        </w:rPr>
        <w:lastRenderedPageBreak/>
        <w:t>In a follow-up analysis, DUSC noted that the use of fluconazole and itraconazole has continued to rise</w:t>
      </w:r>
      <w:r>
        <w:rPr>
          <w:sz w:val="24"/>
          <w:szCs w:val="24"/>
        </w:rPr>
        <w:t xml:space="preserve">. DUSC </w:t>
      </w:r>
      <w:r w:rsidRPr="00D73D6C">
        <w:rPr>
          <w:sz w:val="24"/>
          <w:szCs w:val="24"/>
        </w:rPr>
        <w:t xml:space="preserve">considered that this increase </w:t>
      </w:r>
      <w:r>
        <w:rPr>
          <w:sz w:val="24"/>
          <w:szCs w:val="24"/>
        </w:rPr>
        <w:t>is mainly</w:t>
      </w:r>
      <w:r w:rsidRPr="00D73D6C">
        <w:rPr>
          <w:sz w:val="24"/>
          <w:szCs w:val="24"/>
        </w:rPr>
        <w:t xml:space="preserve"> due to use for vulvovaginal candidiasis and dermatophyte infections</w:t>
      </w:r>
      <w:r w:rsidR="00E77E9D">
        <w:rPr>
          <w:sz w:val="24"/>
          <w:szCs w:val="24"/>
        </w:rPr>
        <w:t>, with</w:t>
      </w:r>
      <w:r w:rsidR="009D2858">
        <w:rPr>
          <w:sz w:val="24"/>
          <w:szCs w:val="24"/>
        </w:rPr>
        <w:t xml:space="preserve"> </w:t>
      </w:r>
      <w:r w:rsidRPr="00D73D6C">
        <w:rPr>
          <w:sz w:val="24"/>
          <w:szCs w:val="24"/>
        </w:rPr>
        <w:t xml:space="preserve">increased prescribing by gynaecologists and dermatologists and a greater increase in the use of oral fluconazole in women compared to men. DUSC reiterated its previous view that </w:t>
      </w:r>
      <w:r w:rsidR="009D2858">
        <w:rPr>
          <w:sz w:val="24"/>
          <w:szCs w:val="24"/>
        </w:rPr>
        <w:t>this use</w:t>
      </w:r>
      <w:r w:rsidRPr="00D73D6C">
        <w:rPr>
          <w:sz w:val="24"/>
          <w:szCs w:val="24"/>
        </w:rPr>
        <w:t xml:space="preserve"> may be outside the intended PBS listing</w:t>
      </w:r>
      <w:r w:rsidR="00EE3BF8">
        <w:rPr>
          <w:sz w:val="24"/>
          <w:szCs w:val="24"/>
        </w:rPr>
        <w:t>, has not been assessed as cost-effective,</w:t>
      </w:r>
      <w:r w:rsidRPr="00D73D6C">
        <w:rPr>
          <w:sz w:val="24"/>
          <w:szCs w:val="24"/>
        </w:rPr>
        <w:t xml:space="preserve"> </w:t>
      </w:r>
      <w:r w:rsidR="00EE3BF8">
        <w:rPr>
          <w:sz w:val="24"/>
          <w:szCs w:val="24"/>
        </w:rPr>
        <w:t>and may be associated with substantial wastage</w:t>
      </w:r>
      <w:r w:rsidR="00E77E9D">
        <w:rPr>
          <w:sz w:val="24"/>
          <w:szCs w:val="24"/>
        </w:rPr>
        <w:t xml:space="preserve"> given the pack size</w:t>
      </w:r>
      <w:r w:rsidR="00EE3BF8">
        <w:rPr>
          <w:sz w:val="24"/>
          <w:szCs w:val="24"/>
        </w:rPr>
        <w:t xml:space="preserve">. </w:t>
      </w:r>
    </w:p>
    <w:p w:rsidR="00EE3BF8" w:rsidRDefault="00EE3BF8" w:rsidP="00D73D6C">
      <w:pPr>
        <w:rPr>
          <w:sz w:val="24"/>
          <w:szCs w:val="24"/>
        </w:rPr>
      </w:pPr>
    </w:p>
    <w:p w:rsidR="00D73D6C" w:rsidRPr="00D73D6C" w:rsidRDefault="00EE3BF8" w:rsidP="00D73D6C">
      <w:pPr>
        <w:rPr>
          <w:sz w:val="24"/>
          <w:szCs w:val="24"/>
        </w:rPr>
      </w:pPr>
      <w:r>
        <w:rPr>
          <w:sz w:val="24"/>
          <w:szCs w:val="24"/>
        </w:rPr>
        <w:t xml:space="preserve">DUSC </w:t>
      </w:r>
      <w:r w:rsidR="00D73D6C" w:rsidRPr="00D73D6C">
        <w:rPr>
          <w:sz w:val="24"/>
          <w:szCs w:val="24"/>
        </w:rPr>
        <w:t>noted that ‘serious or life threatening candida infections’ could be open to broad interpretation. Until April 2010, fluconazole was listed for use in serious and life threatening candida infections where patients are unable to tolerate amphotericin B. The requirement for a patient to be unable to tolerate amphotericin B was removed from the restriction when amphotericin was discontinued and subsequently deleted from the PBS.</w:t>
      </w:r>
    </w:p>
    <w:p w:rsidR="009D2858" w:rsidRDefault="009D2858" w:rsidP="00D73D6C">
      <w:pPr>
        <w:rPr>
          <w:sz w:val="24"/>
          <w:szCs w:val="24"/>
        </w:rPr>
      </w:pPr>
    </w:p>
    <w:p w:rsidR="009D2858" w:rsidRPr="009D2858" w:rsidRDefault="009D2858" w:rsidP="009D2858">
      <w:pPr>
        <w:rPr>
          <w:sz w:val="24"/>
          <w:szCs w:val="24"/>
        </w:rPr>
      </w:pPr>
      <w:r w:rsidRPr="00D73D6C">
        <w:rPr>
          <w:sz w:val="24"/>
          <w:szCs w:val="24"/>
        </w:rPr>
        <w:t>DUSC considered that measures may need to be taken to address any further increases in utilisation</w:t>
      </w:r>
      <w:r w:rsidR="00EE3BF8">
        <w:rPr>
          <w:sz w:val="24"/>
          <w:szCs w:val="24"/>
        </w:rPr>
        <w:t xml:space="preserve"> and requested that a range of options be prepared for stakeholder consultation and PBAC consideration.  These could include r</w:t>
      </w:r>
      <w:r w:rsidRPr="00D73D6C">
        <w:rPr>
          <w:sz w:val="24"/>
          <w:szCs w:val="24"/>
        </w:rPr>
        <w:t>eintroducing a</w:t>
      </w:r>
      <w:r w:rsidR="00EE3BF8">
        <w:rPr>
          <w:sz w:val="24"/>
          <w:szCs w:val="24"/>
        </w:rPr>
        <w:t xml:space="preserve">n authority </w:t>
      </w:r>
      <w:r w:rsidR="00313B7D">
        <w:rPr>
          <w:sz w:val="24"/>
          <w:szCs w:val="24"/>
        </w:rPr>
        <w:t xml:space="preserve">required </w:t>
      </w:r>
      <w:r w:rsidR="00EE3BF8">
        <w:rPr>
          <w:sz w:val="24"/>
          <w:szCs w:val="24"/>
        </w:rPr>
        <w:t xml:space="preserve">listing, strengthening the </w:t>
      </w:r>
      <w:r w:rsidRPr="00EE3BF8">
        <w:rPr>
          <w:sz w:val="24"/>
          <w:szCs w:val="24"/>
        </w:rPr>
        <w:t>clinical criteria of ‘serious or life threatening</w:t>
      </w:r>
      <w:r w:rsidR="00313B7D">
        <w:rPr>
          <w:sz w:val="24"/>
          <w:szCs w:val="24"/>
        </w:rPr>
        <w:t xml:space="preserve"> candida infections’,</w:t>
      </w:r>
      <w:r w:rsidR="00EE3BF8" w:rsidRPr="00EE3BF8">
        <w:rPr>
          <w:sz w:val="24"/>
          <w:szCs w:val="24"/>
        </w:rPr>
        <w:t xml:space="preserve"> assessing the cost-effectiveness of use </w:t>
      </w:r>
      <w:r w:rsidR="00DB37E8">
        <w:rPr>
          <w:sz w:val="24"/>
          <w:szCs w:val="24"/>
        </w:rPr>
        <w:t xml:space="preserve">in </w:t>
      </w:r>
      <w:r w:rsidR="00313B7D">
        <w:rPr>
          <w:sz w:val="24"/>
          <w:szCs w:val="24"/>
        </w:rPr>
        <w:t>additional indications</w:t>
      </w:r>
      <w:r w:rsidR="00EE3BF8" w:rsidRPr="00EE3BF8">
        <w:rPr>
          <w:sz w:val="24"/>
          <w:szCs w:val="24"/>
        </w:rPr>
        <w:t>, or education initiatives.</w:t>
      </w:r>
    </w:p>
    <w:p w:rsidR="009D2858" w:rsidRDefault="009D2858" w:rsidP="009D2858">
      <w:pPr>
        <w:rPr>
          <w:sz w:val="24"/>
          <w:szCs w:val="24"/>
        </w:rPr>
      </w:pPr>
    </w:p>
    <w:p w:rsidR="00313B7D" w:rsidRPr="009D2858" w:rsidRDefault="00313B7D" w:rsidP="009D2858">
      <w:pPr>
        <w:rPr>
          <w:sz w:val="24"/>
          <w:szCs w:val="24"/>
        </w:rPr>
      </w:pPr>
    </w:p>
    <w:p w:rsidR="00EE3BF8" w:rsidRDefault="00EE3BF8" w:rsidP="009D2858">
      <w:pPr>
        <w:rPr>
          <w:sz w:val="24"/>
          <w:szCs w:val="24"/>
        </w:rPr>
      </w:pPr>
    </w:p>
    <w:p w:rsidR="009D2858" w:rsidRDefault="009D2858" w:rsidP="009D2858">
      <w:pPr>
        <w:rPr>
          <w:sz w:val="24"/>
          <w:szCs w:val="24"/>
        </w:rPr>
      </w:pPr>
      <w:r w:rsidRPr="009D2858">
        <w:rPr>
          <w:sz w:val="24"/>
          <w:szCs w:val="24"/>
        </w:rPr>
        <w:t>An outcome statement will be available following each meeting of DUSC. For further information, please contact the DUSC Secretariat at DUSC@health.gov.au.</w:t>
      </w:r>
    </w:p>
    <w:p w:rsidR="00543CD8" w:rsidRDefault="00543CD8" w:rsidP="008B6946">
      <w:pPr>
        <w:rPr>
          <w:sz w:val="24"/>
          <w:szCs w:val="24"/>
        </w:rPr>
      </w:pPr>
    </w:p>
    <w:p w:rsidR="00313B7D" w:rsidRDefault="00313B7D" w:rsidP="008B6946">
      <w:pPr>
        <w:rPr>
          <w:sz w:val="24"/>
          <w:szCs w:val="24"/>
        </w:rPr>
      </w:pPr>
    </w:p>
    <w:p w:rsidR="00313B7D" w:rsidRDefault="00313B7D" w:rsidP="008B6946">
      <w:pPr>
        <w:rPr>
          <w:sz w:val="24"/>
          <w:szCs w:val="24"/>
        </w:rPr>
      </w:pPr>
    </w:p>
    <w:p w:rsidR="00002AE8" w:rsidRDefault="00303E60" w:rsidP="008B6946">
      <w:pPr>
        <w:rPr>
          <w:sz w:val="24"/>
          <w:szCs w:val="24"/>
        </w:rPr>
      </w:pPr>
      <w:r>
        <w:rPr>
          <w:sz w:val="24"/>
          <w:szCs w:val="24"/>
        </w:rPr>
        <w:t>A/</w:t>
      </w:r>
      <w:r w:rsidR="00002AE8">
        <w:rPr>
          <w:sz w:val="24"/>
          <w:szCs w:val="24"/>
        </w:rPr>
        <w:t xml:space="preserve">Professor </w:t>
      </w:r>
      <w:r w:rsidR="009341E3">
        <w:rPr>
          <w:sz w:val="24"/>
          <w:szCs w:val="24"/>
        </w:rPr>
        <w:t>Chris</w:t>
      </w:r>
      <w:r>
        <w:rPr>
          <w:sz w:val="24"/>
          <w:szCs w:val="24"/>
        </w:rPr>
        <w:t>topher</w:t>
      </w:r>
      <w:r w:rsidR="009341E3">
        <w:rPr>
          <w:sz w:val="24"/>
          <w:szCs w:val="24"/>
        </w:rPr>
        <w:t xml:space="preserve"> Etherton-Beer</w:t>
      </w:r>
    </w:p>
    <w:p w:rsidR="00002AE8" w:rsidRDefault="00002AE8" w:rsidP="008B6946">
      <w:pPr>
        <w:rPr>
          <w:sz w:val="24"/>
          <w:szCs w:val="24"/>
        </w:rPr>
      </w:pPr>
      <w:r>
        <w:rPr>
          <w:sz w:val="24"/>
          <w:szCs w:val="24"/>
        </w:rPr>
        <w:t>Chair</w:t>
      </w:r>
    </w:p>
    <w:p w:rsidR="00002AE8" w:rsidRPr="003F06C8" w:rsidRDefault="00C9017B" w:rsidP="008B6946">
      <w:pPr>
        <w:rPr>
          <w:sz w:val="24"/>
          <w:szCs w:val="24"/>
        </w:rPr>
      </w:pPr>
      <w:r>
        <w:rPr>
          <w:sz w:val="24"/>
          <w:szCs w:val="24"/>
        </w:rPr>
        <w:t>Drug Utilisation Sub-Committee</w:t>
      </w:r>
    </w:p>
    <w:sectPr w:rsidR="00002AE8" w:rsidRPr="003F06C8" w:rsidSect="007166A9">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7A" w:rsidRDefault="00473E7A">
      <w:r>
        <w:separator/>
      </w:r>
    </w:p>
  </w:endnote>
  <w:endnote w:type="continuationSeparator" w:id="0">
    <w:p w:rsidR="00473E7A" w:rsidRDefault="004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4F049D">
      <w:rPr>
        <w:noProof/>
      </w:rPr>
      <w:t>4</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4F049D">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7A" w:rsidRDefault="00473E7A">
      <w:r>
        <w:separator/>
      </w:r>
    </w:p>
  </w:footnote>
  <w:footnote w:type="continuationSeparator" w:id="0">
    <w:p w:rsidR="00473E7A" w:rsidRDefault="0047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5D758219" wp14:editId="000CDDA4">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5E14B6">
      <w:rPr>
        <w:rStyle w:val="Heading1Char"/>
        <w:b/>
      </w:rPr>
      <w:t>1 June</w:t>
    </w:r>
    <w:r w:rsidR="001F7E8B">
      <w:rPr>
        <w:rStyle w:val="Heading1Char"/>
        <w:b/>
      </w:rPr>
      <w:t xml:space="preserve"> 2017</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1AF3"/>
    <w:rsid w:val="000253E4"/>
    <w:rsid w:val="0002613B"/>
    <w:rsid w:val="00026898"/>
    <w:rsid w:val="000304CA"/>
    <w:rsid w:val="000308AD"/>
    <w:rsid w:val="00032252"/>
    <w:rsid w:val="0003541E"/>
    <w:rsid w:val="00047105"/>
    <w:rsid w:val="00054C1A"/>
    <w:rsid w:val="00055BF6"/>
    <w:rsid w:val="00061505"/>
    <w:rsid w:val="00061BD3"/>
    <w:rsid w:val="000701B8"/>
    <w:rsid w:val="00071505"/>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5C42"/>
    <w:rsid w:val="000F70AE"/>
    <w:rsid w:val="000F7CE1"/>
    <w:rsid w:val="00101877"/>
    <w:rsid w:val="00102579"/>
    <w:rsid w:val="001062BB"/>
    <w:rsid w:val="00106A1B"/>
    <w:rsid w:val="001071DA"/>
    <w:rsid w:val="001215D4"/>
    <w:rsid w:val="00121F43"/>
    <w:rsid w:val="001223D1"/>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10FD"/>
    <w:rsid w:val="001A3F70"/>
    <w:rsid w:val="001A449F"/>
    <w:rsid w:val="001A4CD7"/>
    <w:rsid w:val="001A7B67"/>
    <w:rsid w:val="001B1949"/>
    <w:rsid w:val="001B19E3"/>
    <w:rsid w:val="001B2A10"/>
    <w:rsid w:val="001C0316"/>
    <w:rsid w:val="001C5A7B"/>
    <w:rsid w:val="001C61FD"/>
    <w:rsid w:val="001F33DA"/>
    <w:rsid w:val="001F4200"/>
    <w:rsid w:val="001F6850"/>
    <w:rsid w:val="001F7E8B"/>
    <w:rsid w:val="001F7F87"/>
    <w:rsid w:val="00200BA3"/>
    <w:rsid w:val="00203342"/>
    <w:rsid w:val="00203986"/>
    <w:rsid w:val="00211F6D"/>
    <w:rsid w:val="00213EAC"/>
    <w:rsid w:val="002168C1"/>
    <w:rsid w:val="00216CE7"/>
    <w:rsid w:val="00224079"/>
    <w:rsid w:val="00224DF5"/>
    <w:rsid w:val="00230732"/>
    <w:rsid w:val="00235EF9"/>
    <w:rsid w:val="002362A1"/>
    <w:rsid w:val="00237631"/>
    <w:rsid w:val="002421EE"/>
    <w:rsid w:val="00242420"/>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E7CA2"/>
    <w:rsid w:val="002F131D"/>
    <w:rsid w:val="002F281B"/>
    <w:rsid w:val="002F6C13"/>
    <w:rsid w:val="002F7138"/>
    <w:rsid w:val="003026E0"/>
    <w:rsid w:val="00303E60"/>
    <w:rsid w:val="00307F20"/>
    <w:rsid w:val="00312E8E"/>
    <w:rsid w:val="00313B7D"/>
    <w:rsid w:val="00313FED"/>
    <w:rsid w:val="00325C25"/>
    <w:rsid w:val="0032620A"/>
    <w:rsid w:val="0033439A"/>
    <w:rsid w:val="00335BE5"/>
    <w:rsid w:val="003361C9"/>
    <w:rsid w:val="00336E3A"/>
    <w:rsid w:val="00337241"/>
    <w:rsid w:val="003409D6"/>
    <w:rsid w:val="003468B6"/>
    <w:rsid w:val="003512F6"/>
    <w:rsid w:val="0035266E"/>
    <w:rsid w:val="00352D12"/>
    <w:rsid w:val="003555E8"/>
    <w:rsid w:val="00357332"/>
    <w:rsid w:val="0035787B"/>
    <w:rsid w:val="00362581"/>
    <w:rsid w:val="00371376"/>
    <w:rsid w:val="0037338E"/>
    <w:rsid w:val="0037748E"/>
    <w:rsid w:val="00377CBD"/>
    <w:rsid w:val="003833F2"/>
    <w:rsid w:val="00385962"/>
    <w:rsid w:val="003860EB"/>
    <w:rsid w:val="003917EE"/>
    <w:rsid w:val="00395B29"/>
    <w:rsid w:val="003A4887"/>
    <w:rsid w:val="003A6327"/>
    <w:rsid w:val="003B1842"/>
    <w:rsid w:val="003B30B8"/>
    <w:rsid w:val="003B644D"/>
    <w:rsid w:val="003B7122"/>
    <w:rsid w:val="003C0453"/>
    <w:rsid w:val="003C3E03"/>
    <w:rsid w:val="003C5342"/>
    <w:rsid w:val="003C7822"/>
    <w:rsid w:val="003D0574"/>
    <w:rsid w:val="003D62AA"/>
    <w:rsid w:val="003D6C07"/>
    <w:rsid w:val="003E1ED8"/>
    <w:rsid w:val="003E601F"/>
    <w:rsid w:val="003F021A"/>
    <w:rsid w:val="003F06C8"/>
    <w:rsid w:val="003F1DCA"/>
    <w:rsid w:val="00405743"/>
    <w:rsid w:val="00406FC4"/>
    <w:rsid w:val="00415BE7"/>
    <w:rsid w:val="0042032E"/>
    <w:rsid w:val="00420E99"/>
    <w:rsid w:val="0042129E"/>
    <w:rsid w:val="00421874"/>
    <w:rsid w:val="00423C42"/>
    <w:rsid w:val="004374C3"/>
    <w:rsid w:val="0044076B"/>
    <w:rsid w:val="0044367B"/>
    <w:rsid w:val="00445679"/>
    <w:rsid w:val="00451ABF"/>
    <w:rsid w:val="004521E9"/>
    <w:rsid w:val="00455C86"/>
    <w:rsid w:val="004566A9"/>
    <w:rsid w:val="00461EAF"/>
    <w:rsid w:val="00463497"/>
    <w:rsid w:val="00463B7E"/>
    <w:rsid w:val="00465EED"/>
    <w:rsid w:val="00466242"/>
    <w:rsid w:val="00471240"/>
    <w:rsid w:val="00473DA7"/>
    <w:rsid w:val="00473E7A"/>
    <w:rsid w:val="0047415B"/>
    <w:rsid w:val="00477500"/>
    <w:rsid w:val="00477A9F"/>
    <w:rsid w:val="00477B65"/>
    <w:rsid w:val="004839FE"/>
    <w:rsid w:val="00487B49"/>
    <w:rsid w:val="0049330F"/>
    <w:rsid w:val="0049403E"/>
    <w:rsid w:val="00496AC8"/>
    <w:rsid w:val="004A055D"/>
    <w:rsid w:val="004B07E1"/>
    <w:rsid w:val="004B37DD"/>
    <w:rsid w:val="004B41AC"/>
    <w:rsid w:val="004B4E02"/>
    <w:rsid w:val="004C01CD"/>
    <w:rsid w:val="004C3CFD"/>
    <w:rsid w:val="004C7FA9"/>
    <w:rsid w:val="004D0311"/>
    <w:rsid w:val="004D75BE"/>
    <w:rsid w:val="004E5A1F"/>
    <w:rsid w:val="004F049D"/>
    <w:rsid w:val="004F083B"/>
    <w:rsid w:val="004F17CC"/>
    <w:rsid w:val="004F201C"/>
    <w:rsid w:val="004F60E0"/>
    <w:rsid w:val="004F6113"/>
    <w:rsid w:val="004F6927"/>
    <w:rsid w:val="005105BE"/>
    <w:rsid w:val="00512CE1"/>
    <w:rsid w:val="0051701B"/>
    <w:rsid w:val="00525347"/>
    <w:rsid w:val="0052725D"/>
    <w:rsid w:val="005317C8"/>
    <w:rsid w:val="005363CA"/>
    <w:rsid w:val="00536FAF"/>
    <w:rsid w:val="00540349"/>
    <w:rsid w:val="005414F3"/>
    <w:rsid w:val="00543CD8"/>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4B6"/>
    <w:rsid w:val="005E1E28"/>
    <w:rsid w:val="005E4D8D"/>
    <w:rsid w:val="005E71D4"/>
    <w:rsid w:val="005E77F8"/>
    <w:rsid w:val="005E7DF8"/>
    <w:rsid w:val="005F20C5"/>
    <w:rsid w:val="005F20FE"/>
    <w:rsid w:val="005F3EF0"/>
    <w:rsid w:val="0060015D"/>
    <w:rsid w:val="00602B28"/>
    <w:rsid w:val="00602DC3"/>
    <w:rsid w:val="00603A1E"/>
    <w:rsid w:val="00605905"/>
    <w:rsid w:val="00605D9C"/>
    <w:rsid w:val="006118CB"/>
    <w:rsid w:val="006146D0"/>
    <w:rsid w:val="00622522"/>
    <w:rsid w:val="006231FB"/>
    <w:rsid w:val="0062459E"/>
    <w:rsid w:val="00635EA5"/>
    <w:rsid w:val="006431B8"/>
    <w:rsid w:val="00645035"/>
    <w:rsid w:val="00647F2B"/>
    <w:rsid w:val="00651A8E"/>
    <w:rsid w:val="00667381"/>
    <w:rsid w:val="00670BD6"/>
    <w:rsid w:val="00670E22"/>
    <w:rsid w:val="006723D5"/>
    <w:rsid w:val="00676304"/>
    <w:rsid w:val="00677B98"/>
    <w:rsid w:val="006826C3"/>
    <w:rsid w:val="006878A3"/>
    <w:rsid w:val="00692B74"/>
    <w:rsid w:val="006946E1"/>
    <w:rsid w:val="00695073"/>
    <w:rsid w:val="00695BF3"/>
    <w:rsid w:val="006969FE"/>
    <w:rsid w:val="006A71A2"/>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05B0"/>
    <w:rsid w:val="00761116"/>
    <w:rsid w:val="00766D92"/>
    <w:rsid w:val="0079098A"/>
    <w:rsid w:val="00792D24"/>
    <w:rsid w:val="007A025D"/>
    <w:rsid w:val="007A1C91"/>
    <w:rsid w:val="007A5016"/>
    <w:rsid w:val="007B072C"/>
    <w:rsid w:val="007B0C39"/>
    <w:rsid w:val="007B10CC"/>
    <w:rsid w:val="007B264F"/>
    <w:rsid w:val="007B45CE"/>
    <w:rsid w:val="007C0BB4"/>
    <w:rsid w:val="007C4B1F"/>
    <w:rsid w:val="007D29DA"/>
    <w:rsid w:val="007D3A05"/>
    <w:rsid w:val="007D4108"/>
    <w:rsid w:val="007D53F5"/>
    <w:rsid w:val="007E0FFA"/>
    <w:rsid w:val="007E3E41"/>
    <w:rsid w:val="007E45EB"/>
    <w:rsid w:val="007F03B3"/>
    <w:rsid w:val="007F224E"/>
    <w:rsid w:val="007F6799"/>
    <w:rsid w:val="008032CF"/>
    <w:rsid w:val="008032DE"/>
    <w:rsid w:val="00806FF3"/>
    <w:rsid w:val="00812097"/>
    <w:rsid w:val="00812A58"/>
    <w:rsid w:val="00812E43"/>
    <w:rsid w:val="00813C07"/>
    <w:rsid w:val="008226BA"/>
    <w:rsid w:val="008232E9"/>
    <w:rsid w:val="00824D2F"/>
    <w:rsid w:val="00825E26"/>
    <w:rsid w:val="00834AC0"/>
    <w:rsid w:val="0084274F"/>
    <w:rsid w:val="00844137"/>
    <w:rsid w:val="008443DF"/>
    <w:rsid w:val="00851077"/>
    <w:rsid w:val="00855B59"/>
    <w:rsid w:val="00861B30"/>
    <w:rsid w:val="008730E5"/>
    <w:rsid w:val="00885679"/>
    <w:rsid w:val="00886FF7"/>
    <w:rsid w:val="00887242"/>
    <w:rsid w:val="008909B5"/>
    <w:rsid w:val="008933AA"/>
    <w:rsid w:val="00893956"/>
    <w:rsid w:val="008945B1"/>
    <w:rsid w:val="008952FA"/>
    <w:rsid w:val="008A17E6"/>
    <w:rsid w:val="008A271D"/>
    <w:rsid w:val="008A27C1"/>
    <w:rsid w:val="008A5C6B"/>
    <w:rsid w:val="008B25F5"/>
    <w:rsid w:val="008B44FC"/>
    <w:rsid w:val="008B6054"/>
    <w:rsid w:val="008B6946"/>
    <w:rsid w:val="008B6E94"/>
    <w:rsid w:val="008C1C17"/>
    <w:rsid w:val="008C2829"/>
    <w:rsid w:val="008C28B4"/>
    <w:rsid w:val="008E66D2"/>
    <w:rsid w:val="008E7888"/>
    <w:rsid w:val="008E7C67"/>
    <w:rsid w:val="008F1340"/>
    <w:rsid w:val="008F4AB2"/>
    <w:rsid w:val="008F7F63"/>
    <w:rsid w:val="00910BE5"/>
    <w:rsid w:val="009112F4"/>
    <w:rsid w:val="00911959"/>
    <w:rsid w:val="009132FD"/>
    <w:rsid w:val="00913F15"/>
    <w:rsid w:val="00915D6E"/>
    <w:rsid w:val="009168AA"/>
    <w:rsid w:val="009230A9"/>
    <w:rsid w:val="009237FF"/>
    <w:rsid w:val="00923CBA"/>
    <w:rsid w:val="009245B3"/>
    <w:rsid w:val="00926116"/>
    <w:rsid w:val="009261D7"/>
    <w:rsid w:val="009307DE"/>
    <w:rsid w:val="00933D66"/>
    <w:rsid w:val="009341E3"/>
    <w:rsid w:val="00940287"/>
    <w:rsid w:val="009427BA"/>
    <w:rsid w:val="0094562D"/>
    <w:rsid w:val="00965552"/>
    <w:rsid w:val="0096600D"/>
    <w:rsid w:val="0096605A"/>
    <w:rsid w:val="00982C4C"/>
    <w:rsid w:val="00990492"/>
    <w:rsid w:val="009950E1"/>
    <w:rsid w:val="0099648E"/>
    <w:rsid w:val="00997DB5"/>
    <w:rsid w:val="009A22C0"/>
    <w:rsid w:val="009C32BA"/>
    <w:rsid w:val="009C4D57"/>
    <w:rsid w:val="009C5FCE"/>
    <w:rsid w:val="009C6EB1"/>
    <w:rsid w:val="009D1661"/>
    <w:rsid w:val="009D1C4B"/>
    <w:rsid w:val="009D2858"/>
    <w:rsid w:val="009D3B7F"/>
    <w:rsid w:val="009D71B6"/>
    <w:rsid w:val="009E130A"/>
    <w:rsid w:val="009E13E7"/>
    <w:rsid w:val="009E18B1"/>
    <w:rsid w:val="009E23F2"/>
    <w:rsid w:val="009E2CA6"/>
    <w:rsid w:val="009E5D90"/>
    <w:rsid w:val="009F1A70"/>
    <w:rsid w:val="009F37E6"/>
    <w:rsid w:val="009F44EE"/>
    <w:rsid w:val="009F5D71"/>
    <w:rsid w:val="00A02C13"/>
    <w:rsid w:val="00A06FDB"/>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B2981"/>
    <w:rsid w:val="00AB4A37"/>
    <w:rsid w:val="00AC42CE"/>
    <w:rsid w:val="00AC6543"/>
    <w:rsid w:val="00AD405E"/>
    <w:rsid w:val="00AD61AC"/>
    <w:rsid w:val="00AE0098"/>
    <w:rsid w:val="00AE2C4F"/>
    <w:rsid w:val="00AE46E7"/>
    <w:rsid w:val="00AE5D15"/>
    <w:rsid w:val="00AE7D19"/>
    <w:rsid w:val="00AF1FCD"/>
    <w:rsid w:val="00AF54A2"/>
    <w:rsid w:val="00AF646A"/>
    <w:rsid w:val="00B0144A"/>
    <w:rsid w:val="00B12B2F"/>
    <w:rsid w:val="00B171C5"/>
    <w:rsid w:val="00B17B4F"/>
    <w:rsid w:val="00B20269"/>
    <w:rsid w:val="00B25209"/>
    <w:rsid w:val="00B2765B"/>
    <w:rsid w:val="00B41D14"/>
    <w:rsid w:val="00B434A2"/>
    <w:rsid w:val="00B471D0"/>
    <w:rsid w:val="00B47E46"/>
    <w:rsid w:val="00B51A8A"/>
    <w:rsid w:val="00B529E3"/>
    <w:rsid w:val="00B54AC5"/>
    <w:rsid w:val="00B54D25"/>
    <w:rsid w:val="00B73EC0"/>
    <w:rsid w:val="00B748A3"/>
    <w:rsid w:val="00B83E80"/>
    <w:rsid w:val="00B8425D"/>
    <w:rsid w:val="00B94D51"/>
    <w:rsid w:val="00B94E75"/>
    <w:rsid w:val="00BA0109"/>
    <w:rsid w:val="00BA1DAB"/>
    <w:rsid w:val="00BA3D51"/>
    <w:rsid w:val="00BB08CB"/>
    <w:rsid w:val="00BB0CB8"/>
    <w:rsid w:val="00BB2314"/>
    <w:rsid w:val="00BC71C3"/>
    <w:rsid w:val="00BD43B4"/>
    <w:rsid w:val="00BD606B"/>
    <w:rsid w:val="00BE14B6"/>
    <w:rsid w:val="00BE7AE1"/>
    <w:rsid w:val="00BF1645"/>
    <w:rsid w:val="00BF1F11"/>
    <w:rsid w:val="00BF5017"/>
    <w:rsid w:val="00BF5B1D"/>
    <w:rsid w:val="00BF7B3F"/>
    <w:rsid w:val="00BF7E3D"/>
    <w:rsid w:val="00C04EF5"/>
    <w:rsid w:val="00C05DF1"/>
    <w:rsid w:val="00C071EA"/>
    <w:rsid w:val="00C10F2E"/>
    <w:rsid w:val="00C116AA"/>
    <w:rsid w:val="00C1278B"/>
    <w:rsid w:val="00C14149"/>
    <w:rsid w:val="00C17CD9"/>
    <w:rsid w:val="00C201AF"/>
    <w:rsid w:val="00C20C99"/>
    <w:rsid w:val="00C34468"/>
    <w:rsid w:val="00C372F8"/>
    <w:rsid w:val="00C37A17"/>
    <w:rsid w:val="00C43937"/>
    <w:rsid w:val="00C44022"/>
    <w:rsid w:val="00C4627A"/>
    <w:rsid w:val="00C5080C"/>
    <w:rsid w:val="00C517B0"/>
    <w:rsid w:val="00C53506"/>
    <w:rsid w:val="00C5386C"/>
    <w:rsid w:val="00C606AF"/>
    <w:rsid w:val="00C6282E"/>
    <w:rsid w:val="00C65ECB"/>
    <w:rsid w:val="00C70D16"/>
    <w:rsid w:val="00C720BE"/>
    <w:rsid w:val="00C72A99"/>
    <w:rsid w:val="00C750B3"/>
    <w:rsid w:val="00C76321"/>
    <w:rsid w:val="00C77308"/>
    <w:rsid w:val="00C814DC"/>
    <w:rsid w:val="00C83918"/>
    <w:rsid w:val="00C844E5"/>
    <w:rsid w:val="00C9017B"/>
    <w:rsid w:val="00C96777"/>
    <w:rsid w:val="00CA1100"/>
    <w:rsid w:val="00CA1A98"/>
    <w:rsid w:val="00CA1AA9"/>
    <w:rsid w:val="00CA347D"/>
    <w:rsid w:val="00CA6D48"/>
    <w:rsid w:val="00CA78D9"/>
    <w:rsid w:val="00CB1889"/>
    <w:rsid w:val="00CC4F1F"/>
    <w:rsid w:val="00CD1FF1"/>
    <w:rsid w:val="00CD3D32"/>
    <w:rsid w:val="00CD4F83"/>
    <w:rsid w:val="00CD748A"/>
    <w:rsid w:val="00CE106A"/>
    <w:rsid w:val="00CE2340"/>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61C73"/>
    <w:rsid w:val="00D67AB7"/>
    <w:rsid w:val="00D716A5"/>
    <w:rsid w:val="00D71C86"/>
    <w:rsid w:val="00D73D6C"/>
    <w:rsid w:val="00D75023"/>
    <w:rsid w:val="00D75B8D"/>
    <w:rsid w:val="00D776E5"/>
    <w:rsid w:val="00D801D7"/>
    <w:rsid w:val="00D92B61"/>
    <w:rsid w:val="00D960D9"/>
    <w:rsid w:val="00D97B8F"/>
    <w:rsid w:val="00DA019E"/>
    <w:rsid w:val="00DA0C9B"/>
    <w:rsid w:val="00DA3B72"/>
    <w:rsid w:val="00DA5030"/>
    <w:rsid w:val="00DA52B0"/>
    <w:rsid w:val="00DA5928"/>
    <w:rsid w:val="00DA7DAC"/>
    <w:rsid w:val="00DB34F7"/>
    <w:rsid w:val="00DB37E8"/>
    <w:rsid w:val="00DB40BE"/>
    <w:rsid w:val="00DB4645"/>
    <w:rsid w:val="00DB4B02"/>
    <w:rsid w:val="00DB5E1F"/>
    <w:rsid w:val="00DB7938"/>
    <w:rsid w:val="00DC35B0"/>
    <w:rsid w:val="00DC5383"/>
    <w:rsid w:val="00DC669D"/>
    <w:rsid w:val="00DC76E4"/>
    <w:rsid w:val="00DD3F56"/>
    <w:rsid w:val="00DD472F"/>
    <w:rsid w:val="00DD508E"/>
    <w:rsid w:val="00DD6C98"/>
    <w:rsid w:val="00DE2F42"/>
    <w:rsid w:val="00DE3430"/>
    <w:rsid w:val="00DE3FA2"/>
    <w:rsid w:val="00DE465A"/>
    <w:rsid w:val="00DE49A5"/>
    <w:rsid w:val="00DE6DED"/>
    <w:rsid w:val="00DF6D10"/>
    <w:rsid w:val="00E013AC"/>
    <w:rsid w:val="00E02342"/>
    <w:rsid w:val="00E05CA9"/>
    <w:rsid w:val="00E069B9"/>
    <w:rsid w:val="00E06E1E"/>
    <w:rsid w:val="00E1073E"/>
    <w:rsid w:val="00E13E1F"/>
    <w:rsid w:val="00E15343"/>
    <w:rsid w:val="00E15D96"/>
    <w:rsid w:val="00E202D8"/>
    <w:rsid w:val="00E21AB6"/>
    <w:rsid w:val="00E25B12"/>
    <w:rsid w:val="00E358B8"/>
    <w:rsid w:val="00E35E50"/>
    <w:rsid w:val="00E37051"/>
    <w:rsid w:val="00E42DD2"/>
    <w:rsid w:val="00E440D2"/>
    <w:rsid w:val="00E44900"/>
    <w:rsid w:val="00E46594"/>
    <w:rsid w:val="00E47551"/>
    <w:rsid w:val="00E51946"/>
    <w:rsid w:val="00E5392E"/>
    <w:rsid w:val="00E57443"/>
    <w:rsid w:val="00E60246"/>
    <w:rsid w:val="00E606DC"/>
    <w:rsid w:val="00E63B16"/>
    <w:rsid w:val="00E63C49"/>
    <w:rsid w:val="00E63C9A"/>
    <w:rsid w:val="00E77E9D"/>
    <w:rsid w:val="00E855DB"/>
    <w:rsid w:val="00E929BF"/>
    <w:rsid w:val="00E9717F"/>
    <w:rsid w:val="00E97D3B"/>
    <w:rsid w:val="00EA1348"/>
    <w:rsid w:val="00EA266C"/>
    <w:rsid w:val="00EA4A72"/>
    <w:rsid w:val="00EA4C8E"/>
    <w:rsid w:val="00EA6068"/>
    <w:rsid w:val="00EA6638"/>
    <w:rsid w:val="00EB0314"/>
    <w:rsid w:val="00EB6D4F"/>
    <w:rsid w:val="00EC188E"/>
    <w:rsid w:val="00EC27B1"/>
    <w:rsid w:val="00EC4D9B"/>
    <w:rsid w:val="00EC7AD6"/>
    <w:rsid w:val="00ED1541"/>
    <w:rsid w:val="00ED262E"/>
    <w:rsid w:val="00ED4688"/>
    <w:rsid w:val="00ED55CD"/>
    <w:rsid w:val="00EE3BF8"/>
    <w:rsid w:val="00EF17AE"/>
    <w:rsid w:val="00EF2F88"/>
    <w:rsid w:val="00EF43E9"/>
    <w:rsid w:val="00EF6034"/>
    <w:rsid w:val="00F00711"/>
    <w:rsid w:val="00F00BA6"/>
    <w:rsid w:val="00F0120B"/>
    <w:rsid w:val="00F02D45"/>
    <w:rsid w:val="00F05674"/>
    <w:rsid w:val="00F07DC7"/>
    <w:rsid w:val="00F11D52"/>
    <w:rsid w:val="00F1203C"/>
    <w:rsid w:val="00F22A1A"/>
    <w:rsid w:val="00F22B3B"/>
    <w:rsid w:val="00F24AD2"/>
    <w:rsid w:val="00F254F2"/>
    <w:rsid w:val="00F256FA"/>
    <w:rsid w:val="00F2717C"/>
    <w:rsid w:val="00F31CBF"/>
    <w:rsid w:val="00F328A6"/>
    <w:rsid w:val="00F33165"/>
    <w:rsid w:val="00F36509"/>
    <w:rsid w:val="00F429AA"/>
    <w:rsid w:val="00F45B22"/>
    <w:rsid w:val="00F50775"/>
    <w:rsid w:val="00F52BA8"/>
    <w:rsid w:val="00F5721A"/>
    <w:rsid w:val="00F57CF8"/>
    <w:rsid w:val="00F64BDE"/>
    <w:rsid w:val="00F66C36"/>
    <w:rsid w:val="00F70D3F"/>
    <w:rsid w:val="00F7236A"/>
    <w:rsid w:val="00F747BC"/>
    <w:rsid w:val="00F7563D"/>
    <w:rsid w:val="00F776DD"/>
    <w:rsid w:val="00F77C55"/>
    <w:rsid w:val="00F8217A"/>
    <w:rsid w:val="00F85AC0"/>
    <w:rsid w:val="00F85C3D"/>
    <w:rsid w:val="00F97C51"/>
    <w:rsid w:val="00FA1200"/>
    <w:rsid w:val="00FA149F"/>
    <w:rsid w:val="00FA2C8E"/>
    <w:rsid w:val="00FA5657"/>
    <w:rsid w:val="00FB02FC"/>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dustry/listing/elements/dusc-meetings/dos/dusc-dos-sep-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bs.gov.au/info/industry/listing/elements/pbac-meetings/agenda/july-2017-pbac-meeting"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agenda/july-2017-pbac-meet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F09A-7526-4A14-BC7F-1CB0C3ED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10589</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2017-07-03T06:27:00Z</dcterms:created>
  <dcterms:modified xsi:type="dcterms:W3CDTF">2017-07-03T06:27:00Z</dcterms:modified>
  <cp:contentStatus/>
</cp:coreProperties>
</file>