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0A0713">
        <w:rPr>
          <w:sz w:val="24"/>
          <w:szCs w:val="24"/>
        </w:rPr>
        <w:t>8</w:t>
      </w:r>
      <w:r w:rsidR="00463497">
        <w:rPr>
          <w:sz w:val="24"/>
          <w:szCs w:val="24"/>
        </w:rPr>
        <w:t>5</w:t>
      </w:r>
      <w:r w:rsidR="000A0713">
        <w:rPr>
          <w:sz w:val="24"/>
          <w:szCs w:val="24"/>
        </w:rPr>
        <w:t>th</w:t>
      </w:r>
      <w:r w:rsidR="000A0713" w:rsidRPr="005F3EF0">
        <w:rPr>
          <w:sz w:val="24"/>
          <w:szCs w:val="24"/>
        </w:rPr>
        <w:t xml:space="preserve"> </w:t>
      </w:r>
      <w:r w:rsidRPr="005F3EF0">
        <w:rPr>
          <w:sz w:val="24"/>
          <w:szCs w:val="24"/>
        </w:rPr>
        <w:t xml:space="preserve">meeting on </w:t>
      </w:r>
      <w:r w:rsidR="00463497">
        <w:rPr>
          <w:sz w:val="24"/>
          <w:szCs w:val="24"/>
        </w:rPr>
        <w:t>1 October</w:t>
      </w:r>
      <w:r w:rsidR="000F7CE1">
        <w:rPr>
          <w:sz w:val="24"/>
          <w:szCs w:val="24"/>
        </w:rPr>
        <w:t xml:space="preserve"> 201</w:t>
      </w:r>
      <w:r w:rsidR="00812097">
        <w:rPr>
          <w:sz w:val="24"/>
          <w:szCs w:val="24"/>
        </w:rPr>
        <w:t>5</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1071DA" w:rsidP="008B6946">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463497">
        <w:rPr>
          <w:sz w:val="24"/>
          <w:szCs w:val="24"/>
        </w:rPr>
        <w:t xml:space="preserve">noted that </w:t>
      </w:r>
      <w:r w:rsidR="00463497" w:rsidRPr="00463497">
        <w:rPr>
          <w:sz w:val="24"/>
          <w:szCs w:val="24"/>
        </w:rPr>
        <w:t>33</w:t>
      </w:r>
      <w:r w:rsidRPr="00463497">
        <w:rPr>
          <w:sz w:val="24"/>
          <w:szCs w:val="24"/>
        </w:rPr>
        <w:t xml:space="preserve"> major submissions</w:t>
      </w:r>
      <w:r>
        <w:rPr>
          <w:sz w:val="24"/>
          <w:szCs w:val="24"/>
        </w:rPr>
        <w:t xml:space="preserve"> had been received for the </w:t>
      </w:r>
      <w:r w:rsidR="00463497">
        <w:rPr>
          <w:sz w:val="24"/>
          <w:szCs w:val="24"/>
        </w:rPr>
        <w:t>November</w:t>
      </w:r>
      <w:r w:rsidR="009237FF">
        <w:rPr>
          <w:sz w:val="24"/>
          <w:szCs w:val="24"/>
        </w:rPr>
        <w:t xml:space="preserve"> 2015</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463497">
        <w:rPr>
          <w:sz w:val="24"/>
          <w:szCs w:val="24"/>
        </w:rPr>
        <w:t>November</w:t>
      </w:r>
      <w:r w:rsidR="009237FF">
        <w:rPr>
          <w:sz w:val="24"/>
          <w:szCs w:val="24"/>
        </w:rPr>
        <w:t xml:space="preserve"> 2015</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w:t>
        </w:r>
        <w:r w:rsidR="00E013AC" w:rsidRPr="00E013AC">
          <w:rPr>
            <w:rStyle w:val="Hyperlink"/>
            <w:sz w:val="24"/>
            <w:szCs w:val="24"/>
          </w:rPr>
          <w:t>B</w:t>
        </w:r>
        <w:r w:rsidR="00E013AC" w:rsidRPr="00E013AC">
          <w:rPr>
            <w:rStyle w:val="Hyperlink"/>
            <w:sz w:val="24"/>
            <w:szCs w:val="24"/>
          </w:rPr>
          <w:t>S w</w:t>
        </w:r>
        <w:r w:rsidR="00E013AC" w:rsidRPr="00E013AC">
          <w:rPr>
            <w:rStyle w:val="Hyperlink"/>
            <w:sz w:val="24"/>
            <w:szCs w:val="24"/>
          </w:rPr>
          <w:t>e</w:t>
        </w:r>
        <w:r w:rsidR="00E013AC" w:rsidRPr="00E013AC">
          <w:rPr>
            <w:rStyle w:val="Hyperlink"/>
            <w:sz w:val="24"/>
            <w:szCs w:val="24"/>
          </w:rPr>
          <w:t>bsite</w:t>
        </w:r>
      </w:hyperlink>
      <w:r w:rsidR="00E013AC">
        <w:rPr>
          <w:sz w:val="24"/>
          <w:szCs w:val="24"/>
        </w:rPr>
        <w:t>.</w:t>
      </w:r>
      <w:r w:rsidR="009C32BA">
        <w:rPr>
          <w:sz w:val="24"/>
          <w:szCs w:val="24"/>
        </w:rPr>
        <w:t xml:space="preserve"> </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p>
    <w:p w:rsidR="00F77C55" w:rsidRDefault="00B0144A" w:rsidP="008B6946">
      <w:pPr>
        <w:rPr>
          <w:sz w:val="24"/>
          <w:szCs w:val="24"/>
        </w:rPr>
      </w:pPr>
      <w:r>
        <w:rPr>
          <w:sz w:val="24"/>
          <w:szCs w:val="24"/>
        </w:rPr>
        <w:t>All reports, Sponsor comments and DUSC consideration of the reports are subsequently provided to the PBAC.</w:t>
      </w:r>
      <w:r w:rsidR="00FA149F">
        <w:rPr>
          <w:sz w:val="24"/>
          <w:szCs w:val="24"/>
        </w:rPr>
        <w:t xml:space="preserve"> </w:t>
      </w:r>
    </w:p>
    <w:p w:rsidR="00FD755C" w:rsidRDefault="00FD755C" w:rsidP="008B6946">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0"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463497">
        <w:rPr>
          <w:sz w:val="24"/>
          <w:szCs w:val="24"/>
        </w:rPr>
        <w:t>October</w:t>
      </w:r>
      <w:r w:rsidR="000A0713">
        <w:rPr>
          <w:sz w:val="24"/>
          <w:szCs w:val="24"/>
        </w:rPr>
        <w:t> </w:t>
      </w:r>
      <w:r w:rsidR="009237FF">
        <w:rPr>
          <w:sz w:val="24"/>
          <w:szCs w:val="24"/>
        </w:rPr>
        <w:t>2015</w:t>
      </w:r>
      <w:r w:rsidRPr="00CA347D">
        <w:rPr>
          <w:sz w:val="24"/>
          <w:szCs w:val="24"/>
        </w:rPr>
        <w:t>:</w:t>
      </w:r>
    </w:p>
    <w:p w:rsidR="00101877" w:rsidRDefault="00101877" w:rsidP="008B6946">
      <w:pPr>
        <w:rPr>
          <w:sz w:val="24"/>
          <w:szCs w:val="24"/>
        </w:rPr>
      </w:pPr>
    </w:p>
    <w:p w:rsidR="009112F4" w:rsidRDefault="004F083B" w:rsidP="008B6946">
      <w:pPr>
        <w:rPr>
          <w:b/>
          <w:sz w:val="24"/>
          <w:szCs w:val="24"/>
        </w:rPr>
      </w:pPr>
      <w:r>
        <w:rPr>
          <w:b/>
          <w:sz w:val="24"/>
          <w:szCs w:val="24"/>
        </w:rPr>
        <w:t>Pregabalin</w:t>
      </w:r>
      <w:r w:rsidR="00887242">
        <w:rPr>
          <w:b/>
          <w:sz w:val="24"/>
          <w:szCs w:val="24"/>
        </w:rPr>
        <w:t xml:space="preserve"> for</w:t>
      </w:r>
      <w:r>
        <w:rPr>
          <w:b/>
          <w:sz w:val="24"/>
          <w:szCs w:val="24"/>
        </w:rPr>
        <w:t xml:space="preserve"> neuropathic pain</w:t>
      </w:r>
    </w:p>
    <w:p w:rsidR="009E23F2" w:rsidRDefault="009E23F2" w:rsidP="001528A6">
      <w:pPr>
        <w:rPr>
          <w:sz w:val="24"/>
          <w:szCs w:val="24"/>
        </w:rPr>
      </w:pPr>
      <w:r>
        <w:rPr>
          <w:sz w:val="24"/>
          <w:szCs w:val="24"/>
        </w:rPr>
        <w:t>Over</w:t>
      </w:r>
      <w:r w:rsidRPr="009E23F2">
        <w:rPr>
          <w:sz w:val="24"/>
          <w:szCs w:val="24"/>
        </w:rPr>
        <w:t xml:space="preserve"> 43</w:t>
      </w:r>
      <w:r>
        <w:rPr>
          <w:sz w:val="24"/>
          <w:szCs w:val="24"/>
        </w:rPr>
        <w:t>0</w:t>
      </w:r>
      <w:r w:rsidRPr="009E23F2">
        <w:rPr>
          <w:sz w:val="24"/>
          <w:szCs w:val="24"/>
        </w:rPr>
        <w:t>,</w:t>
      </w:r>
      <w:r>
        <w:rPr>
          <w:sz w:val="24"/>
          <w:szCs w:val="24"/>
        </w:rPr>
        <w:t>000</w:t>
      </w:r>
      <w:r w:rsidRPr="009E23F2">
        <w:rPr>
          <w:sz w:val="24"/>
          <w:szCs w:val="24"/>
        </w:rPr>
        <w:t xml:space="preserve"> </w:t>
      </w:r>
      <w:r>
        <w:rPr>
          <w:sz w:val="24"/>
          <w:szCs w:val="24"/>
        </w:rPr>
        <w:t xml:space="preserve">people were dispensed pregabalin in the second year of availability through the PBS. The number of people treated and the number of prescriptions dispensed has been higher than expected and is </w:t>
      </w:r>
      <w:r w:rsidR="001528A6" w:rsidRPr="001528A6">
        <w:rPr>
          <w:sz w:val="24"/>
          <w:szCs w:val="24"/>
        </w:rPr>
        <w:t>continuing to trend upwards</w:t>
      </w:r>
      <w:r w:rsidR="001528A6">
        <w:rPr>
          <w:sz w:val="24"/>
          <w:szCs w:val="24"/>
        </w:rPr>
        <w:t>.</w:t>
      </w:r>
      <w:r>
        <w:rPr>
          <w:sz w:val="24"/>
          <w:szCs w:val="24"/>
        </w:rPr>
        <w:t xml:space="preserve"> </w:t>
      </w:r>
      <w:r w:rsidR="0032620A">
        <w:rPr>
          <w:sz w:val="24"/>
          <w:szCs w:val="24"/>
        </w:rPr>
        <w:t xml:space="preserve">Over 40% of people </w:t>
      </w:r>
      <w:r w:rsidR="005317C8">
        <w:rPr>
          <w:sz w:val="24"/>
          <w:szCs w:val="24"/>
        </w:rPr>
        <w:t xml:space="preserve">do not continue pregabalin after the first prescription. </w:t>
      </w:r>
      <w:r w:rsidR="0032620A">
        <w:rPr>
          <w:sz w:val="24"/>
          <w:szCs w:val="24"/>
        </w:rPr>
        <w:t xml:space="preserve">The </w:t>
      </w:r>
      <w:r>
        <w:rPr>
          <w:sz w:val="24"/>
          <w:szCs w:val="24"/>
        </w:rPr>
        <w:t xml:space="preserve">average dose of pregabalin in </w:t>
      </w:r>
      <w:r w:rsidR="0032620A">
        <w:rPr>
          <w:sz w:val="24"/>
          <w:szCs w:val="24"/>
        </w:rPr>
        <w:t>clinical</w:t>
      </w:r>
      <w:r>
        <w:rPr>
          <w:sz w:val="24"/>
          <w:szCs w:val="24"/>
        </w:rPr>
        <w:t xml:space="preserve"> practice </w:t>
      </w:r>
      <w:r w:rsidR="0032620A">
        <w:rPr>
          <w:sz w:val="24"/>
          <w:szCs w:val="24"/>
        </w:rPr>
        <w:t xml:space="preserve">is lower than expected. </w:t>
      </w:r>
      <w:r w:rsidR="005317C8">
        <w:rPr>
          <w:sz w:val="24"/>
          <w:szCs w:val="24"/>
        </w:rPr>
        <w:t xml:space="preserve">DUSC considered that these findings </w:t>
      </w:r>
      <w:r w:rsidR="0032620A" w:rsidRPr="0032620A">
        <w:rPr>
          <w:sz w:val="24"/>
          <w:szCs w:val="24"/>
        </w:rPr>
        <w:t>raise a number of questions around how pregabalin is being used in practice</w:t>
      </w:r>
      <w:r w:rsidR="005317C8">
        <w:rPr>
          <w:sz w:val="24"/>
          <w:szCs w:val="24"/>
        </w:rPr>
        <w:t xml:space="preserve"> including whether up-titration of the dose</w:t>
      </w:r>
      <w:r w:rsidR="0071558A">
        <w:rPr>
          <w:sz w:val="24"/>
          <w:szCs w:val="24"/>
        </w:rPr>
        <w:t xml:space="preserve"> is optimal</w:t>
      </w:r>
      <w:r w:rsidR="005317C8">
        <w:rPr>
          <w:sz w:val="24"/>
          <w:szCs w:val="24"/>
        </w:rPr>
        <w:t xml:space="preserve"> and whether there is </w:t>
      </w:r>
      <w:r w:rsidR="0032620A" w:rsidRPr="0032620A">
        <w:rPr>
          <w:sz w:val="24"/>
          <w:szCs w:val="24"/>
        </w:rPr>
        <w:t>use outside of the subsidy criteria for acute pain or fibromyalgia.</w:t>
      </w:r>
    </w:p>
    <w:p w:rsidR="001528A6" w:rsidRPr="001528A6" w:rsidRDefault="001528A6" w:rsidP="001528A6">
      <w:pPr>
        <w:rPr>
          <w:sz w:val="24"/>
          <w:szCs w:val="24"/>
        </w:rPr>
      </w:pPr>
    </w:p>
    <w:p w:rsidR="0025366B" w:rsidRPr="00645035" w:rsidRDefault="0025366B" w:rsidP="0025366B">
      <w:pPr>
        <w:rPr>
          <w:sz w:val="24"/>
          <w:szCs w:val="24"/>
        </w:rPr>
      </w:pPr>
      <w:r w:rsidRPr="0025366B">
        <w:rPr>
          <w:sz w:val="24"/>
          <w:szCs w:val="24"/>
        </w:rPr>
        <w:t>The DUSC requested that the report be provided to the PBAC and to NPS MedicineWise.</w:t>
      </w:r>
    </w:p>
    <w:p w:rsidR="009237FF" w:rsidRDefault="009237FF" w:rsidP="008B6946">
      <w:pPr>
        <w:rPr>
          <w:b/>
          <w:sz w:val="24"/>
          <w:szCs w:val="24"/>
        </w:rPr>
      </w:pPr>
    </w:p>
    <w:p w:rsidR="009C32BA" w:rsidRDefault="00BB0CB8" w:rsidP="008B6946">
      <w:pPr>
        <w:rPr>
          <w:b/>
          <w:sz w:val="24"/>
          <w:szCs w:val="24"/>
        </w:rPr>
      </w:pPr>
      <w:r>
        <w:rPr>
          <w:b/>
          <w:sz w:val="24"/>
          <w:szCs w:val="24"/>
        </w:rPr>
        <w:t>Ipilimumab and dabrafe</w:t>
      </w:r>
      <w:r w:rsidR="00A50FF8">
        <w:rPr>
          <w:b/>
          <w:sz w:val="24"/>
          <w:szCs w:val="24"/>
        </w:rPr>
        <w:t>nib for metastatic melanoma</w:t>
      </w:r>
    </w:p>
    <w:p w:rsidR="00DA3B72" w:rsidRDefault="006E191B" w:rsidP="00766D92">
      <w:pPr>
        <w:rPr>
          <w:sz w:val="24"/>
          <w:szCs w:val="24"/>
        </w:rPr>
      </w:pPr>
      <w:r w:rsidRPr="006E191B">
        <w:rPr>
          <w:sz w:val="24"/>
          <w:szCs w:val="24"/>
        </w:rPr>
        <w:t xml:space="preserve">The utilisation of ipilimumab has been lower than expected. This is mainly due to the number of doses per patient and the proportion of patients receiving re-induction therapy being lower than </w:t>
      </w:r>
      <w:r w:rsidR="001933E2">
        <w:rPr>
          <w:sz w:val="24"/>
          <w:szCs w:val="24"/>
        </w:rPr>
        <w:t>predicted</w:t>
      </w:r>
      <w:r w:rsidRPr="006E191B">
        <w:rPr>
          <w:sz w:val="24"/>
          <w:szCs w:val="24"/>
        </w:rPr>
        <w:t xml:space="preserve">. </w:t>
      </w:r>
      <w:r>
        <w:rPr>
          <w:sz w:val="24"/>
          <w:szCs w:val="24"/>
        </w:rPr>
        <w:t>T</w:t>
      </w:r>
      <w:r w:rsidRPr="006E191B">
        <w:rPr>
          <w:sz w:val="24"/>
          <w:szCs w:val="24"/>
        </w:rPr>
        <w:t xml:space="preserve">he number of patients treated with dabrafenib </w:t>
      </w:r>
      <w:r w:rsidR="001933E2">
        <w:rPr>
          <w:sz w:val="24"/>
          <w:szCs w:val="24"/>
        </w:rPr>
        <w:t xml:space="preserve">is consistent </w:t>
      </w:r>
      <w:r w:rsidRPr="006E191B">
        <w:rPr>
          <w:sz w:val="24"/>
          <w:szCs w:val="24"/>
        </w:rPr>
        <w:t xml:space="preserve">with </w:t>
      </w:r>
      <w:r w:rsidR="001933E2">
        <w:rPr>
          <w:sz w:val="24"/>
          <w:szCs w:val="24"/>
        </w:rPr>
        <w:t>that estimated</w:t>
      </w:r>
      <w:r w:rsidR="006E2143">
        <w:rPr>
          <w:sz w:val="24"/>
          <w:szCs w:val="24"/>
        </w:rPr>
        <w:t xml:space="preserve"> </w:t>
      </w:r>
      <w:r w:rsidR="00DA3B72">
        <w:rPr>
          <w:sz w:val="24"/>
          <w:szCs w:val="24"/>
        </w:rPr>
        <w:t>at the time of listing. Ba</w:t>
      </w:r>
      <w:r w:rsidR="006E2143">
        <w:rPr>
          <w:sz w:val="24"/>
          <w:szCs w:val="24"/>
        </w:rPr>
        <w:t>sed on data available to date the d</w:t>
      </w:r>
      <w:r w:rsidR="001933E2">
        <w:rPr>
          <w:sz w:val="24"/>
          <w:szCs w:val="24"/>
        </w:rPr>
        <w:t>uration on</w:t>
      </w:r>
      <w:r w:rsidR="00540349">
        <w:rPr>
          <w:sz w:val="24"/>
          <w:szCs w:val="24"/>
        </w:rPr>
        <w:t xml:space="preserve"> dabrafenib</w:t>
      </w:r>
      <w:r w:rsidR="001933E2">
        <w:rPr>
          <w:sz w:val="24"/>
          <w:szCs w:val="24"/>
        </w:rPr>
        <w:t xml:space="preserve"> </w:t>
      </w:r>
      <w:r w:rsidR="006E2143">
        <w:rPr>
          <w:sz w:val="24"/>
          <w:szCs w:val="24"/>
        </w:rPr>
        <w:t xml:space="preserve">has been </w:t>
      </w:r>
      <w:r w:rsidR="001933E2">
        <w:rPr>
          <w:sz w:val="24"/>
          <w:szCs w:val="24"/>
        </w:rPr>
        <w:t>shorter than predicted</w:t>
      </w:r>
      <w:r w:rsidR="006E2143">
        <w:rPr>
          <w:sz w:val="24"/>
          <w:szCs w:val="24"/>
        </w:rPr>
        <w:t xml:space="preserve">. </w:t>
      </w:r>
    </w:p>
    <w:p w:rsidR="00DA3B72" w:rsidRDefault="00DA3B72" w:rsidP="00766D92">
      <w:pPr>
        <w:rPr>
          <w:sz w:val="24"/>
          <w:szCs w:val="24"/>
        </w:rPr>
      </w:pPr>
    </w:p>
    <w:p w:rsidR="00C372F8" w:rsidRDefault="00C83918" w:rsidP="00766D92">
      <w:pPr>
        <w:rPr>
          <w:sz w:val="24"/>
          <w:szCs w:val="24"/>
        </w:rPr>
      </w:pPr>
      <w:r w:rsidRPr="00C83918">
        <w:rPr>
          <w:sz w:val="24"/>
          <w:szCs w:val="24"/>
        </w:rPr>
        <w:t>DUSC noted that the treatment algorithm and evidence base for melanoma is evolving rapidly and it is important to consider utilisation in this context.</w:t>
      </w:r>
      <w:r w:rsidR="00BB0CB8" w:rsidRPr="00BB0CB8">
        <w:rPr>
          <w:sz w:val="24"/>
          <w:szCs w:val="24"/>
        </w:rPr>
        <w:t xml:space="preserve"> </w:t>
      </w:r>
      <w:r w:rsidR="00C372F8" w:rsidRPr="00C372F8">
        <w:rPr>
          <w:sz w:val="24"/>
          <w:szCs w:val="24"/>
        </w:rPr>
        <w:t>DUSC considered that utilisation seems to be moving in accord with best practice guidelines and PBS restrictions.</w:t>
      </w:r>
    </w:p>
    <w:p w:rsidR="00C372F8" w:rsidRDefault="00C372F8" w:rsidP="00766D92">
      <w:pPr>
        <w:rPr>
          <w:sz w:val="24"/>
          <w:szCs w:val="24"/>
        </w:rPr>
      </w:pPr>
    </w:p>
    <w:p w:rsidR="00C372F8" w:rsidRPr="00BB0CB8" w:rsidRDefault="00C372F8" w:rsidP="00766D92">
      <w:pPr>
        <w:rPr>
          <w:sz w:val="24"/>
          <w:szCs w:val="24"/>
        </w:rPr>
      </w:pPr>
      <w:r w:rsidRPr="00C372F8">
        <w:rPr>
          <w:sz w:val="24"/>
          <w:szCs w:val="24"/>
        </w:rPr>
        <w:t>The DUSC requested that the report be provided to the PBAC.</w:t>
      </w:r>
    </w:p>
    <w:p w:rsidR="008B6946" w:rsidRPr="00512CE1" w:rsidRDefault="008B6946" w:rsidP="008B6946">
      <w:pPr>
        <w:keepNext/>
        <w:outlineLvl w:val="3"/>
        <w:rPr>
          <w:sz w:val="24"/>
          <w:szCs w:val="24"/>
        </w:rPr>
      </w:pPr>
    </w:p>
    <w:p w:rsidR="00B94D51" w:rsidRDefault="00A50FF8" w:rsidP="00BE7AE1">
      <w:pPr>
        <w:rPr>
          <w:sz w:val="24"/>
          <w:szCs w:val="24"/>
        </w:rPr>
      </w:pPr>
      <w:r>
        <w:rPr>
          <w:b/>
          <w:sz w:val="24"/>
          <w:szCs w:val="24"/>
        </w:rPr>
        <w:t>Multiple sclerosis</w:t>
      </w:r>
      <w:r w:rsidR="00BE7AE1">
        <w:rPr>
          <w:b/>
          <w:sz w:val="24"/>
          <w:szCs w:val="24"/>
        </w:rPr>
        <w:br/>
      </w:r>
      <w:r w:rsidR="00B94D51" w:rsidRPr="00BE7AE1">
        <w:rPr>
          <w:sz w:val="24"/>
          <w:szCs w:val="24"/>
        </w:rPr>
        <w:t>DUSC noted that the usage of medicines for relapsing-remitting multiple sclerosis (RRMS) had increased with the availability of oral therapy. DUSC considered that this indicated a greater willingness of patients to receive treatment with oral medicines. Patients appear to persist longer on oral compared to injectable therapy based on a length of treatment analysis of fingolimod.</w:t>
      </w:r>
    </w:p>
    <w:p w:rsidR="00BE7AE1" w:rsidRPr="00BE7AE1" w:rsidRDefault="00BE7AE1" w:rsidP="00BE7AE1">
      <w:pPr>
        <w:rPr>
          <w:sz w:val="24"/>
          <w:szCs w:val="24"/>
        </w:rPr>
      </w:pPr>
    </w:p>
    <w:p w:rsidR="0009747E" w:rsidRPr="00BE7AE1" w:rsidRDefault="00B94D51" w:rsidP="00BE7AE1">
      <w:pPr>
        <w:rPr>
          <w:sz w:val="24"/>
          <w:szCs w:val="24"/>
        </w:rPr>
      </w:pPr>
      <w:r w:rsidRPr="00BE7AE1">
        <w:rPr>
          <w:sz w:val="24"/>
          <w:szCs w:val="24"/>
        </w:rPr>
        <w:t>In its first year of listing the utilisation of dimethyl fumarate has been higher than predicted.  DUSC considered that this could relate to the broad</w:t>
      </w:r>
      <w:r w:rsidR="00910BE5" w:rsidRPr="00BE7AE1">
        <w:rPr>
          <w:sz w:val="24"/>
          <w:szCs w:val="24"/>
        </w:rPr>
        <w:t>en</w:t>
      </w:r>
      <w:r w:rsidRPr="00BE7AE1">
        <w:rPr>
          <w:sz w:val="24"/>
          <w:szCs w:val="24"/>
        </w:rPr>
        <w:t xml:space="preserve">ing of the McDonald criteria for the diagnosis of multiple sclerosis, concerns over the cardiac side effects for </w:t>
      </w:r>
      <w:r w:rsidR="00A372EE" w:rsidRPr="00BE7AE1">
        <w:rPr>
          <w:sz w:val="24"/>
          <w:szCs w:val="24"/>
        </w:rPr>
        <w:t>fingolimod</w:t>
      </w:r>
      <w:r w:rsidR="008C28B4" w:rsidRPr="00BE7AE1">
        <w:rPr>
          <w:sz w:val="24"/>
          <w:szCs w:val="24"/>
        </w:rPr>
        <w:t xml:space="preserve"> </w:t>
      </w:r>
      <w:r w:rsidR="00A372EE" w:rsidRPr="00BE7AE1">
        <w:rPr>
          <w:sz w:val="24"/>
          <w:szCs w:val="24"/>
        </w:rPr>
        <w:t xml:space="preserve">and </w:t>
      </w:r>
      <w:r w:rsidR="008C28B4" w:rsidRPr="00BE7AE1">
        <w:rPr>
          <w:sz w:val="24"/>
          <w:szCs w:val="24"/>
        </w:rPr>
        <w:t>an underestimation of the growth in the RRMS market.  The</w:t>
      </w:r>
      <w:r w:rsidRPr="00BE7AE1">
        <w:rPr>
          <w:sz w:val="24"/>
          <w:szCs w:val="24"/>
        </w:rPr>
        <w:t xml:space="preserve"> usage of teriflunomide </w:t>
      </w:r>
      <w:r w:rsidR="008C28B4" w:rsidRPr="00BE7AE1">
        <w:rPr>
          <w:sz w:val="24"/>
          <w:szCs w:val="24"/>
        </w:rPr>
        <w:t xml:space="preserve">in its first listing year </w:t>
      </w:r>
      <w:r w:rsidRPr="00BE7AE1">
        <w:rPr>
          <w:sz w:val="24"/>
          <w:szCs w:val="24"/>
        </w:rPr>
        <w:t>was substantially lower than expected</w:t>
      </w:r>
      <w:r w:rsidR="008C28B4" w:rsidRPr="00BE7AE1">
        <w:rPr>
          <w:sz w:val="24"/>
          <w:szCs w:val="24"/>
        </w:rPr>
        <w:t xml:space="preserve">. </w:t>
      </w:r>
    </w:p>
    <w:p w:rsidR="008C28B4" w:rsidRDefault="008C28B4" w:rsidP="008C28B4">
      <w:pPr>
        <w:pStyle w:val="NoSpacing"/>
        <w:rPr>
          <w:rFonts w:ascii="Calibri" w:hAnsi="Calibri"/>
          <w:sz w:val="22"/>
          <w:szCs w:val="22"/>
        </w:rPr>
      </w:pPr>
    </w:p>
    <w:p w:rsidR="008C28B4" w:rsidRPr="00BB0CB8" w:rsidRDefault="008C28B4" w:rsidP="008C28B4">
      <w:pPr>
        <w:rPr>
          <w:sz w:val="24"/>
          <w:szCs w:val="24"/>
        </w:rPr>
      </w:pPr>
      <w:r w:rsidRPr="00C372F8">
        <w:rPr>
          <w:sz w:val="24"/>
          <w:szCs w:val="24"/>
        </w:rPr>
        <w:t>The DUSC requested that the report be provided to the PBAC.</w:t>
      </w:r>
    </w:p>
    <w:p w:rsidR="008952FA" w:rsidRPr="006C48FE" w:rsidRDefault="008952FA" w:rsidP="008B6946">
      <w:pPr>
        <w:rPr>
          <w:sz w:val="24"/>
          <w:szCs w:val="24"/>
        </w:rPr>
      </w:pPr>
    </w:p>
    <w:p w:rsidR="00715E10" w:rsidRDefault="00A50FF8" w:rsidP="008B6946">
      <w:pPr>
        <w:rPr>
          <w:b/>
          <w:sz w:val="24"/>
          <w:szCs w:val="24"/>
        </w:rPr>
      </w:pPr>
      <w:r>
        <w:rPr>
          <w:b/>
          <w:sz w:val="24"/>
          <w:szCs w:val="24"/>
        </w:rPr>
        <w:t>Nutritional products</w:t>
      </w:r>
      <w:r w:rsidR="00CE3022">
        <w:rPr>
          <w:b/>
          <w:sz w:val="24"/>
          <w:szCs w:val="24"/>
        </w:rPr>
        <w:t xml:space="preserve"> </w:t>
      </w:r>
    </w:p>
    <w:p w:rsidR="004B41AC" w:rsidRDefault="004B41AC" w:rsidP="004B41AC">
      <w:pPr>
        <w:rPr>
          <w:sz w:val="24"/>
          <w:szCs w:val="24"/>
        </w:rPr>
      </w:pPr>
      <w:r w:rsidRPr="004B41AC">
        <w:rPr>
          <w:sz w:val="24"/>
          <w:szCs w:val="24"/>
        </w:rPr>
        <w:t>There has been a substantial d</w:t>
      </w:r>
      <w:r w:rsidR="004A055D">
        <w:rPr>
          <w:sz w:val="24"/>
          <w:szCs w:val="24"/>
        </w:rPr>
        <w:t>ecrease in the utilisation of amino acid (AA)</w:t>
      </w:r>
      <w:r w:rsidRPr="004B41AC">
        <w:rPr>
          <w:sz w:val="24"/>
          <w:szCs w:val="24"/>
        </w:rPr>
        <w:t xml:space="preserve"> formulae for cows’ milk protein intolerance and allergy following the July 2012 restriction changes.  Between 2011 and 2014, the number of patients supplied AA formulae decreased by 31% and has since stabilised.  At the same time the number of patients supplied </w:t>
      </w:r>
      <w:r w:rsidR="001F33DA">
        <w:rPr>
          <w:sz w:val="24"/>
          <w:szCs w:val="24"/>
        </w:rPr>
        <w:t>protein hydrolysate (</w:t>
      </w:r>
      <w:r w:rsidRPr="004B41AC">
        <w:rPr>
          <w:sz w:val="24"/>
          <w:szCs w:val="24"/>
        </w:rPr>
        <w:t>PH</w:t>
      </w:r>
      <w:r w:rsidR="001F33DA">
        <w:rPr>
          <w:sz w:val="24"/>
          <w:szCs w:val="24"/>
        </w:rPr>
        <w:t>)</w:t>
      </w:r>
      <w:r w:rsidRPr="004B41AC">
        <w:rPr>
          <w:sz w:val="24"/>
          <w:szCs w:val="24"/>
        </w:rPr>
        <w:t xml:space="preserve"> formulae increased 24%.  The DUSC considered that the changes to the PBS restriction</w:t>
      </w:r>
      <w:r w:rsidR="00A42B7A">
        <w:rPr>
          <w:sz w:val="24"/>
          <w:szCs w:val="24"/>
        </w:rPr>
        <w:t>s</w:t>
      </w:r>
      <w:r w:rsidRPr="004B41AC">
        <w:rPr>
          <w:sz w:val="24"/>
          <w:szCs w:val="24"/>
        </w:rPr>
        <w:t xml:space="preserve"> effective July 2012 have been successful in their intent and that current PBS use of AA and PH formulae appears to be more in line with clinical guidelines than PBS use prior to the restriction changes.  The DUSC considered that the increased use of PH formulae and concurrent decrease in use of AA formulae since the July 2012 restriction changes indicate that more prescribers are following the clinical guidelines which recommend the use of PH formula in infants with cows’ milk protein allergy prior to an AA formula, except in infants who have had an anaphylactic reaction to cows’ milk protein, where AA formula is the first choice of formula.</w:t>
      </w:r>
    </w:p>
    <w:p w:rsidR="003E601F" w:rsidRPr="004B41AC" w:rsidRDefault="003E601F" w:rsidP="004B41AC">
      <w:pPr>
        <w:rPr>
          <w:sz w:val="24"/>
          <w:szCs w:val="24"/>
        </w:rPr>
      </w:pPr>
    </w:p>
    <w:p w:rsidR="00CA1A98" w:rsidRDefault="004B41AC" w:rsidP="004B41AC">
      <w:pPr>
        <w:rPr>
          <w:sz w:val="24"/>
          <w:szCs w:val="24"/>
        </w:rPr>
      </w:pPr>
      <w:r w:rsidRPr="004B41AC">
        <w:rPr>
          <w:sz w:val="24"/>
          <w:szCs w:val="24"/>
        </w:rPr>
        <w:t>There is a large group of children supplied AA formulae who are aged 2 years and older.  Almost 900 patients aged 2 years and older are supplied AA formulae each quarter.  In 2014, this represented over 25% of patients supplied AA formulae.  This is in contrast to PH formulae which have fewer than 300 patients aged 2 years and older supplied each quarter, representing less than 13% of PH patients in 2014.  In 2014, this represented 30% and 19% of total expenditure for AA and PH formulae respectively.</w:t>
      </w:r>
    </w:p>
    <w:p w:rsidR="004F6927" w:rsidRDefault="004F6927" w:rsidP="004B41AC">
      <w:pPr>
        <w:rPr>
          <w:sz w:val="24"/>
          <w:szCs w:val="24"/>
        </w:rPr>
      </w:pPr>
    </w:p>
    <w:p w:rsidR="004F6927" w:rsidRDefault="004F6927" w:rsidP="004B41AC">
      <w:pPr>
        <w:rPr>
          <w:sz w:val="24"/>
          <w:szCs w:val="24"/>
        </w:rPr>
      </w:pPr>
      <w:r w:rsidRPr="004F6927">
        <w:rPr>
          <w:sz w:val="24"/>
          <w:szCs w:val="24"/>
        </w:rPr>
        <w:t>The DUSC requested that the report be provided to the PBAC.</w:t>
      </w:r>
      <w:r w:rsidRPr="004F6927">
        <w:t xml:space="preserve"> </w:t>
      </w:r>
    </w:p>
    <w:p w:rsidR="006C4C24" w:rsidRDefault="006C4C24" w:rsidP="008B6946">
      <w:pPr>
        <w:rPr>
          <w:sz w:val="24"/>
          <w:szCs w:val="24"/>
        </w:rPr>
      </w:pPr>
    </w:p>
    <w:p w:rsidR="008952FA" w:rsidRPr="00106A1B" w:rsidRDefault="00F776DD" w:rsidP="008B6946">
      <w:pPr>
        <w:rPr>
          <w:b/>
          <w:sz w:val="24"/>
          <w:szCs w:val="24"/>
        </w:rPr>
      </w:pPr>
      <w:r>
        <w:rPr>
          <w:b/>
          <w:sz w:val="24"/>
          <w:szCs w:val="24"/>
        </w:rPr>
        <w:br w:type="page"/>
      </w:r>
      <w:r w:rsidR="00A50FF8">
        <w:rPr>
          <w:b/>
          <w:sz w:val="24"/>
          <w:szCs w:val="24"/>
        </w:rPr>
        <w:lastRenderedPageBreak/>
        <w:t>Biological disease-modifying anti-rheumatic drugs</w:t>
      </w:r>
      <w:r w:rsidR="002A48D7">
        <w:rPr>
          <w:b/>
          <w:sz w:val="24"/>
          <w:szCs w:val="24"/>
        </w:rPr>
        <w:t xml:space="preserve"> (bDMARD</w:t>
      </w:r>
      <w:r w:rsidR="00BE7AE1">
        <w:rPr>
          <w:b/>
          <w:sz w:val="24"/>
          <w:szCs w:val="24"/>
        </w:rPr>
        <w:t>s</w:t>
      </w:r>
      <w:r w:rsidR="002A48D7">
        <w:rPr>
          <w:b/>
          <w:sz w:val="24"/>
          <w:szCs w:val="24"/>
        </w:rPr>
        <w:t>)</w:t>
      </w:r>
      <w:r w:rsidR="00A50FF8">
        <w:rPr>
          <w:b/>
          <w:sz w:val="24"/>
          <w:szCs w:val="24"/>
        </w:rPr>
        <w:t xml:space="preserve"> for psoriatic arthritis</w:t>
      </w:r>
    </w:p>
    <w:p w:rsidR="00DA3B72" w:rsidRDefault="00B54D25" w:rsidP="00DA3B72">
      <w:pPr>
        <w:rPr>
          <w:sz w:val="24"/>
          <w:szCs w:val="24"/>
        </w:rPr>
      </w:pPr>
      <w:r w:rsidRPr="00B54D25">
        <w:rPr>
          <w:sz w:val="24"/>
          <w:szCs w:val="24"/>
        </w:rPr>
        <w:t xml:space="preserve">The number of patients on bDMARD treatment for psoriatic arthritis has grown substantially since first listing, from about 900 patients in 2007 to nearly 5,000 in 2014. The number of new patients has also increased, from about 570 in 2007 to about 1,000 in 2014 with no indication of stabilising. </w:t>
      </w:r>
    </w:p>
    <w:p w:rsidR="00DA3B72" w:rsidRDefault="00DA3B72" w:rsidP="00DA3B72">
      <w:pPr>
        <w:rPr>
          <w:sz w:val="24"/>
          <w:szCs w:val="24"/>
        </w:rPr>
      </w:pPr>
    </w:p>
    <w:p w:rsidR="00DA3B72" w:rsidRDefault="00DA3B72" w:rsidP="00DA3B72">
      <w:pPr>
        <w:rPr>
          <w:sz w:val="24"/>
          <w:szCs w:val="24"/>
        </w:rPr>
      </w:pPr>
      <w:r w:rsidRPr="00DA3B72">
        <w:rPr>
          <w:sz w:val="24"/>
          <w:szCs w:val="24"/>
        </w:rPr>
        <w:t>Treatment continuation is high with 76-84% of new patients receiving a second authority approval</w:t>
      </w:r>
      <w:r>
        <w:rPr>
          <w:sz w:val="24"/>
          <w:szCs w:val="24"/>
        </w:rPr>
        <w:t xml:space="preserve"> for a bDMARD. DUSC noted that</w:t>
      </w:r>
      <w:r w:rsidRPr="00DA3B72">
        <w:rPr>
          <w:sz w:val="24"/>
          <w:szCs w:val="24"/>
        </w:rPr>
        <w:t xml:space="preserve"> continuation rates in practice are</w:t>
      </w:r>
      <w:r>
        <w:rPr>
          <w:sz w:val="24"/>
          <w:szCs w:val="24"/>
        </w:rPr>
        <w:t xml:space="preserve"> generally</w:t>
      </w:r>
      <w:r w:rsidRPr="00DA3B72">
        <w:rPr>
          <w:sz w:val="24"/>
          <w:szCs w:val="24"/>
        </w:rPr>
        <w:t xml:space="preserve"> higher than expected based on response rates from the key clinical trials</w:t>
      </w:r>
      <w:r>
        <w:rPr>
          <w:sz w:val="24"/>
          <w:szCs w:val="24"/>
        </w:rPr>
        <w:t xml:space="preserve">. </w:t>
      </w:r>
      <w:r w:rsidRPr="00DA3B72">
        <w:rPr>
          <w:sz w:val="24"/>
          <w:szCs w:val="24"/>
        </w:rPr>
        <w:t>Most patients remain on treatment for long durations</w:t>
      </w:r>
      <w:r>
        <w:rPr>
          <w:sz w:val="24"/>
          <w:szCs w:val="24"/>
        </w:rPr>
        <w:t>. For</w:t>
      </w:r>
      <w:r w:rsidRPr="00DA3B72">
        <w:t xml:space="preserve"> </w:t>
      </w:r>
      <w:r w:rsidRPr="00DA3B72">
        <w:rPr>
          <w:sz w:val="24"/>
          <w:szCs w:val="24"/>
        </w:rPr>
        <w:t>psoriatic arthritis that follows a relapsing/remitting disease course</w:t>
      </w:r>
      <w:r w:rsidR="00677B98">
        <w:rPr>
          <w:sz w:val="24"/>
          <w:szCs w:val="24"/>
        </w:rPr>
        <w:t xml:space="preserve">, </w:t>
      </w:r>
      <w:r w:rsidR="00761116">
        <w:rPr>
          <w:sz w:val="24"/>
          <w:szCs w:val="24"/>
        </w:rPr>
        <w:t xml:space="preserve">the </w:t>
      </w:r>
      <w:r w:rsidR="00677B98">
        <w:rPr>
          <w:sz w:val="24"/>
          <w:szCs w:val="24"/>
        </w:rPr>
        <w:t>DUSC noted that</w:t>
      </w:r>
      <w:r>
        <w:rPr>
          <w:sz w:val="24"/>
          <w:szCs w:val="24"/>
        </w:rPr>
        <w:t xml:space="preserve"> the current PBS restrictions do not allow patients </w:t>
      </w:r>
      <w:r w:rsidRPr="00DA3B72">
        <w:rPr>
          <w:sz w:val="24"/>
          <w:szCs w:val="24"/>
        </w:rPr>
        <w:t>who have demonstrated a response to have a treatment break and recommence at a later date as part of the same treatment cycle.</w:t>
      </w:r>
      <w:r w:rsidR="00677B98">
        <w:rPr>
          <w:sz w:val="24"/>
          <w:szCs w:val="24"/>
        </w:rPr>
        <w:t xml:space="preserve"> DUSC considered that this may be contributing to long durations on therapy.</w:t>
      </w:r>
    </w:p>
    <w:p w:rsidR="00DA3B72" w:rsidRDefault="00DA3B72" w:rsidP="00DA3B72">
      <w:pPr>
        <w:rPr>
          <w:sz w:val="24"/>
          <w:szCs w:val="24"/>
        </w:rPr>
      </w:pPr>
    </w:p>
    <w:p w:rsidR="00677B98" w:rsidRDefault="00DA3B72" w:rsidP="00DA3B72">
      <w:pPr>
        <w:rPr>
          <w:sz w:val="24"/>
          <w:szCs w:val="24"/>
        </w:rPr>
      </w:pPr>
      <w:r w:rsidRPr="00DA3B72">
        <w:rPr>
          <w:sz w:val="24"/>
          <w:szCs w:val="24"/>
        </w:rPr>
        <w:t xml:space="preserve">DUSC considered that the understanding of clinical manifestations of psoriatic arthritis has evolved since bDMARDs were first made available through the PBS in 2006. </w:t>
      </w:r>
      <w:r>
        <w:rPr>
          <w:sz w:val="24"/>
          <w:szCs w:val="24"/>
        </w:rPr>
        <w:t xml:space="preserve">DUSC noted differences between clinical guidelines and </w:t>
      </w:r>
      <w:r w:rsidRPr="00DA3B72">
        <w:rPr>
          <w:sz w:val="24"/>
          <w:szCs w:val="24"/>
        </w:rPr>
        <w:t xml:space="preserve">PBS restrictions </w:t>
      </w:r>
      <w:r w:rsidR="00677B98">
        <w:rPr>
          <w:sz w:val="24"/>
          <w:szCs w:val="24"/>
        </w:rPr>
        <w:t xml:space="preserve">that </w:t>
      </w:r>
      <w:r w:rsidRPr="00DA3B72">
        <w:rPr>
          <w:sz w:val="24"/>
          <w:szCs w:val="24"/>
        </w:rPr>
        <w:t>may impact on use of these medicines in practice.</w:t>
      </w:r>
      <w:r>
        <w:rPr>
          <w:sz w:val="24"/>
          <w:szCs w:val="24"/>
        </w:rPr>
        <w:t xml:space="preserve"> </w:t>
      </w:r>
      <w:r w:rsidRPr="00DA3B72">
        <w:rPr>
          <w:sz w:val="24"/>
          <w:szCs w:val="24"/>
        </w:rPr>
        <w:t>DUSC considered that a review of the restrictions for bDMARDs for psoriatic arthritis may be required.</w:t>
      </w:r>
    </w:p>
    <w:p w:rsidR="00677B98" w:rsidRDefault="00677B98" w:rsidP="00DA3B72">
      <w:pPr>
        <w:rPr>
          <w:sz w:val="24"/>
          <w:szCs w:val="24"/>
        </w:rPr>
      </w:pPr>
    </w:p>
    <w:p w:rsidR="00677B98" w:rsidRDefault="00677B98" w:rsidP="00DA3B72">
      <w:pPr>
        <w:rPr>
          <w:sz w:val="24"/>
          <w:szCs w:val="24"/>
        </w:rPr>
      </w:pPr>
      <w:r w:rsidRPr="00677B98">
        <w:rPr>
          <w:sz w:val="24"/>
          <w:szCs w:val="24"/>
        </w:rPr>
        <w:t>The DUSC requested that the report be provided to the PBAC.</w:t>
      </w:r>
    </w:p>
    <w:p w:rsidR="00A50FF8" w:rsidRDefault="00A50FF8" w:rsidP="004F083B">
      <w:pPr>
        <w:keepNext/>
        <w:spacing w:after="60"/>
        <w:outlineLvl w:val="3"/>
        <w:rPr>
          <w:sz w:val="24"/>
          <w:szCs w:val="24"/>
        </w:rPr>
      </w:pPr>
    </w:p>
    <w:p w:rsidR="00A50FF8" w:rsidRPr="00106A1B" w:rsidRDefault="00A50FF8" w:rsidP="00A50FF8">
      <w:pPr>
        <w:rPr>
          <w:b/>
          <w:sz w:val="24"/>
          <w:szCs w:val="24"/>
        </w:rPr>
      </w:pPr>
      <w:r>
        <w:rPr>
          <w:b/>
          <w:sz w:val="24"/>
          <w:szCs w:val="24"/>
        </w:rPr>
        <w:t>Alprazolam for panic disorder</w:t>
      </w:r>
    </w:p>
    <w:p w:rsidR="00D71C86" w:rsidRDefault="00186DD1" w:rsidP="00186DD1">
      <w:pPr>
        <w:rPr>
          <w:rStyle w:val="Emphasis"/>
          <w:i w:val="0"/>
          <w:sz w:val="24"/>
          <w:szCs w:val="24"/>
        </w:rPr>
      </w:pPr>
      <w:r w:rsidRPr="00186DD1">
        <w:rPr>
          <w:sz w:val="24"/>
          <w:szCs w:val="24"/>
        </w:rPr>
        <w:t xml:space="preserve">The DUSC considered that rescheduling has helped to curb use of alprazolam and that this is evident in both the PBS and non-PBS prescription market. </w:t>
      </w:r>
      <w:r w:rsidRPr="00186DD1">
        <w:rPr>
          <w:rStyle w:val="Emphasis"/>
          <w:i w:val="0"/>
          <w:sz w:val="24"/>
          <w:szCs w:val="24"/>
        </w:rPr>
        <w:t xml:space="preserve">The PBS use of alprazolam declined by about one third immediately after rescheduling from </w:t>
      </w:r>
      <w:r w:rsidR="00D71C86">
        <w:rPr>
          <w:rStyle w:val="Emphasis"/>
          <w:i w:val="0"/>
          <w:sz w:val="24"/>
          <w:szCs w:val="24"/>
        </w:rPr>
        <w:t xml:space="preserve">schedule 4 to schedule 8 </w:t>
      </w:r>
      <w:r w:rsidRPr="00186DD1">
        <w:rPr>
          <w:rStyle w:val="Emphasis"/>
          <w:i w:val="0"/>
          <w:sz w:val="24"/>
          <w:szCs w:val="24"/>
        </w:rPr>
        <w:t xml:space="preserve">on 1 February 2014 and has continued to decline since. The DUSC noted this </w:t>
      </w:r>
      <w:r w:rsidR="00D71C86">
        <w:rPr>
          <w:rStyle w:val="Emphasis"/>
          <w:i w:val="0"/>
          <w:sz w:val="24"/>
          <w:szCs w:val="24"/>
        </w:rPr>
        <w:t xml:space="preserve">decline </w:t>
      </w:r>
      <w:r w:rsidRPr="00186DD1">
        <w:rPr>
          <w:rStyle w:val="Emphasis"/>
          <w:i w:val="0"/>
          <w:sz w:val="24"/>
          <w:szCs w:val="24"/>
        </w:rPr>
        <w:t>was unique to alprazolam and not observed in other benzodiazepines.</w:t>
      </w:r>
    </w:p>
    <w:p w:rsidR="00186DD1" w:rsidRPr="00186DD1" w:rsidRDefault="00186DD1" w:rsidP="00186DD1">
      <w:pPr>
        <w:rPr>
          <w:rStyle w:val="Emphasis"/>
          <w:i w:val="0"/>
          <w:sz w:val="24"/>
          <w:szCs w:val="24"/>
        </w:rPr>
      </w:pPr>
      <w:r w:rsidRPr="00186DD1">
        <w:rPr>
          <w:rStyle w:val="Emphasis"/>
          <w:i w:val="0"/>
          <w:sz w:val="24"/>
          <w:szCs w:val="24"/>
        </w:rPr>
        <w:t xml:space="preserve"> </w:t>
      </w:r>
    </w:p>
    <w:p w:rsidR="00186DD1" w:rsidRPr="00186DD1" w:rsidRDefault="00186DD1" w:rsidP="00186DD1">
      <w:pPr>
        <w:rPr>
          <w:rStyle w:val="Emphasis"/>
          <w:i w:val="0"/>
          <w:sz w:val="24"/>
          <w:szCs w:val="24"/>
        </w:rPr>
      </w:pPr>
      <w:r w:rsidRPr="00186DD1">
        <w:rPr>
          <w:rStyle w:val="Emphasis"/>
          <w:i w:val="0"/>
          <w:sz w:val="24"/>
          <w:szCs w:val="24"/>
        </w:rPr>
        <w:t xml:space="preserve">Around the time of the rescheduling, approximately double the number of patients switched from alprazolam to diazepam or oxazepam compared to usual levels. The DUSC considered a shift to be expected, but noted there may not be a decline in overall use of benzodiazepines unless further steps are taken to reduce and cease benzodiazepine use.  The DUSC was also concerned that there could be a shift to other potentially inappropriate medicines such as antipsychotics. </w:t>
      </w:r>
    </w:p>
    <w:p w:rsidR="00186DD1" w:rsidRPr="00186DD1" w:rsidRDefault="00186DD1" w:rsidP="00186DD1">
      <w:pPr>
        <w:rPr>
          <w:rStyle w:val="Emphasis"/>
          <w:i w:val="0"/>
          <w:sz w:val="24"/>
          <w:szCs w:val="24"/>
        </w:rPr>
      </w:pPr>
    </w:p>
    <w:p w:rsidR="006E2143" w:rsidRPr="00186DD1" w:rsidRDefault="006E2143" w:rsidP="00186DD1">
      <w:pPr>
        <w:rPr>
          <w:rStyle w:val="Emphasis"/>
          <w:i w:val="0"/>
          <w:sz w:val="24"/>
          <w:szCs w:val="24"/>
        </w:rPr>
      </w:pPr>
      <w:r w:rsidRPr="006E2143">
        <w:rPr>
          <w:rStyle w:val="Emphasis"/>
          <w:i w:val="0"/>
          <w:sz w:val="24"/>
          <w:szCs w:val="24"/>
        </w:rPr>
        <w:t>The DUSC requested that the report be provided to the PBAC.</w:t>
      </w:r>
      <w:r w:rsidR="004F6927" w:rsidRPr="004F6927">
        <w:t xml:space="preserve"> </w:t>
      </w:r>
      <w:r w:rsidR="004F6927" w:rsidRPr="004F6927">
        <w:rPr>
          <w:rStyle w:val="Emphasis"/>
          <w:i w:val="0"/>
          <w:sz w:val="24"/>
          <w:szCs w:val="24"/>
        </w:rPr>
        <w:t>The DUSC requested that the PBAC consider whether any further restriction on the prescribing of alprazolam is required. Such changes could include reducing the maximum quantity and repeats available through the PBS or limiting prescribing to psychiatrists or specially-trained GPs.</w:t>
      </w:r>
    </w:p>
    <w:p w:rsidR="00A50FF8" w:rsidRDefault="00A50FF8" w:rsidP="00A50FF8">
      <w:pPr>
        <w:keepNext/>
        <w:spacing w:after="60"/>
        <w:outlineLvl w:val="3"/>
        <w:rPr>
          <w:sz w:val="24"/>
          <w:szCs w:val="24"/>
        </w:rPr>
      </w:pPr>
    </w:p>
    <w:p w:rsidR="008952FA" w:rsidRPr="00A02C13" w:rsidRDefault="008952FA" w:rsidP="008B6946">
      <w:pPr>
        <w:rPr>
          <w:sz w:val="24"/>
          <w:szCs w:val="24"/>
        </w:rPr>
      </w:pPr>
    </w:p>
    <w:p w:rsidR="00813C07" w:rsidRPr="00584E81" w:rsidRDefault="00F776DD" w:rsidP="008B6946">
      <w:pPr>
        <w:pStyle w:val="Heading2"/>
      </w:pPr>
      <w:r>
        <w:br w:type="page"/>
      </w:r>
      <w:r w:rsidR="00EC27B1" w:rsidRPr="00584E81">
        <w:lastRenderedPageBreak/>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 xml:space="preserve">and therapeutic areas have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237631" w:rsidRPr="00237631" w:rsidRDefault="00237631" w:rsidP="008B6946">
      <w:pPr>
        <w:rPr>
          <w:b/>
          <w:sz w:val="24"/>
          <w:szCs w:val="24"/>
        </w:rPr>
      </w:pPr>
      <w:r w:rsidRPr="00237631">
        <w:rPr>
          <w:b/>
          <w:sz w:val="24"/>
          <w:szCs w:val="24"/>
        </w:rPr>
        <w:t>Predicted versus Actual Utilisation Analysis</w:t>
      </w:r>
      <w:r w:rsidR="002722F2">
        <w:rPr>
          <w:b/>
          <w:sz w:val="24"/>
          <w:szCs w:val="24"/>
        </w:rPr>
        <w:t xml:space="preserve"> </w:t>
      </w:r>
    </w:p>
    <w:p w:rsidR="007D29DA" w:rsidRDefault="00B471D0" w:rsidP="004F083B">
      <w:pPr>
        <w:pStyle w:val="ListParagraph"/>
        <w:numPr>
          <w:ilvl w:val="0"/>
          <w:numId w:val="39"/>
        </w:numPr>
        <w:autoSpaceDE w:val="0"/>
        <w:autoSpaceDN w:val="0"/>
        <w:adjustRightInd w:val="0"/>
        <w:contextualSpacing/>
        <w:rPr>
          <w:szCs w:val="24"/>
        </w:rPr>
      </w:pPr>
      <w:r>
        <w:rPr>
          <w:szCs w:val="24"/>
        </w:rPr>
        <w:t>Rotigotine for Parkinson’s disease</w:t>
      </w:r>
    </w:p>
    <w:p w:rsidR="00593298" w:rsidRPr="00593298" w:rsidRDefault="00593298" w:rsidP="00593298">
      <w:pPr>
        <w:numPr>
          <w:ilvl w:val="0"/>
          <w:numId w:val="39"/>
        </w:numPr>
        <w:rPr>
          <w:sz w:val="24"/>
          <w:szCs w:val="24"/>
        </w:rPr>
      </w:pPr>
      <w:r w:rsidRPr="00593298">
        <w:rPr>
          <w:sz w:val="24"/>
          <w:szCs w:val="24"/>
        </w:rPr>
        <w:t xml:space="preserve">Ticagrelor  for </w:t>
      </w:r>
      <w:r>
        <w:rPr>
          <w:sz w:val="24"/>
          <w:szCs w:val="24"/>
        </w:rPr>
        <w:t>t</w:t>
      </w:r>
      <w:r w:rsidRPr="00593298">
        <w:rPr>
          <w:sz w:val="24"/>
          <w:szCs w:val="24"/>
        </w:rPr>
        <w:t>reatment of acute coronary syndrome</w:t>
      </w:r>
    </w:p>
    <w:p w:rsidR="00593298" w:rsidRDefault="00593298" w:rsidP="00593298">
      <w:pPr>
        <w:pStyle w:val="ListParagraph"/>
        <w:autoSpaceDE w:val="0"/>
        <w:autoSpaceDN w:val="0"/>
        <w:adjustRightInd w:val="0"/>
        <w:contextualSpacing/>
        <w:rPr>
          <w:szCs w:val="24"/>
        </w:rPr>
      </w:pPr>
    </w:p>
    <w:p w:rsidR="004F083B" w:rsidRDefault="004F083B" w:rsidP="004F083B">
      <w:pPr>
        <w:pStyle w:val="ListParagraph"/>
        <w:autoSpaceDE w:val="0"/>
        <w:autoSpaceDN w:val="0"/>
        <w:adjustRightInd w:val="0"/>
        <w:contextualSpacing/>
        <w:rPr>
          <w:szCs w:val="24"/>
        </w:rPr>
      </w:pPr>
    </w:p>
    <w:p w:rsidR="007D29DA" w:rsidRPr="00235EF9" w:rsidRDefault="007D29DA" w:rsidP="008226BA">
      <w:pPr>
        <w:pStyle w:val="ListParagraph"/>
        <w:autoSpaceDE w:val="0"/>
        <w:autoSpaceDN w:val="0"/>
        <w:adjustRightInd w:val="0"/>
        <w:ind w:left="0"/>
        <w:contextualSpacing/>
        <w:rPr>
          <w:b/>
          <w:szCs w:val="24"/>
        </w:rPr>
      </w:pPr>
      <w:r w:rsidRPr="00235EF9">
        <w:rPr>
          <w:b/>
          <w:szCs w:val="24"/>
        </w:rPr>
        <w:t>Analysis of multiple medicines in a treatment area</w:t>
      </w:r>
    </w:p>
    <w:p w:rsidR="007D29DA" w:rsidRDefault="00B471D0" w:rsidP="00235EF9">
      <w:pPr>
        <w:pStyle w:val="ListParagraph"/>
        <w:numPr>
          <w:ilvl w:val="0"/>
          <w:numId w:val="39"/>
        </w:numPr>
        <w:autoSpaceDE w:val="0"/>
        <w:autoSpaceDN w:val="0"/>
        <w:adjustRightInd w:val="0"/>
        <w:contextualSpacing/>
        <w:rPr>
          <w:szCs w:val="24"/>
        </w:rPr>
      </w:pPr>
      <w:r>
        <w:rPr>
          <w:szCs w:val="24"/>
        </w:rPr>
        <w:t>M</w:t>
      </w:r>
      <w:r w:rsidR="007D29DA">
        <w:rPr>
          <w:szCs w:val="24"/>
        </w:rPr>
        <w:t>edicines</w:t>
      </w:r>
      <w:r w:rsidR="007D29DA" w:rsidRPr="007D29DA">
        <w:t xml:space="preserve"> </w:t>
      </w:r>
      <w:r w:rsidR="007D29DA" w:rsidRPr="007D29DA">
        <w:rPr>
          <w:szCs w:val="24"/>
        </w:rPr>
        <w:t>for</w:t>
      </w:r>
      <w:r>
        <w:rPr>
          <w:szCs w:val="24"/>
        </w:rPr>
        <w:t xml:space="preserve"> smoking cessation</w:t>
      </w:r>
    </w:p>
    <w:p w:rsidR="00593298" w:rsidRDefault="00593298" w:rsidP="00B471D0">
      <w:pPr>
        <w:pStyle w:val="ListParagraph"/>
        <w:numPr>
          <w:ilvl w:val="0"/>
          <w:numId w:val="39"/>
        </w:numPr>
        <w:autoSpaceDE w:val="0"/>
        <w:autoSpaceDN w:val="0"/>
        <w:adjustRightInd w:val="0"/>
        <w:contextualSpacing/>
        <w:rPr>
          <w:szCs w:val="24"/>
        </w:rPr>
      </w:pPr>
      <w:r>
        <w:rPr>
          <w:szCs w:val="24"/>
        </w:rPr>
        <w:t>Biological disease modifying anti-rheumatic drugs (bDMARDs) for the treatment of ankylosing spondylitis</w:t>
      </w:r>
    </w:p>
    <w:p w:rsidR="00593298" w:rsidRPr="00593298" w:rsidRDefault="00593298" w:rsidP="00593298">
      <w:pPr>
        <w:numPr>
          <w:ilvl w:val="0"/>
          <w:numId w:val="39"/>
        </w:numPr>
        <w:rPr>
          <w:sz w:val="24"/>
          <w:szCs w:val="24"/>
        </w:rPr>
      </w:pPr>
      <w:r w:rsidRPr="00593298">
        <w:rPr>
          <w:sz w:val="24"/>
          <w:szCs w:val="24"/>
        </w:rPr>
        <w:t>Medicines for dementia: review of utilisation 24 months after changes to the PBS restrictions arising from the Post-Market Review of PBS anti-dementia drugs. (http://www.pbs.gov.au/info/reviews/anti-dementia-drugs)</w:t>
      </w:r>
      <w:bookmarkStart w:id="0" w:name="_GoBack"/>
      <w:r w:rsidRPr="00593298">
        <w:rPr>
          <w:sz w:val="24"/>
          <w:szCs w:val="24"/>
        </w:rPr>
        <w:t xml:space="preserve"> </w:t>
      </w:r>
    </w:p>
    <w:p w:rsidR="00DA5928" w:rsidRDefault="00DA5928" w:rsidP="008B6946">
      <w:pPr>
        <w:pStyle w:val="ListParagraph"/>
        <w:autoSpaceDE w:val="0"/>
        <w:autoSpaceDN w:val="0"/>
        <w:adjustRightInd w:val="0"/>
        <w:ind w:left="0"/>
        <w:contextualSpacing/>
        <w:rPr>
          <w:szCs w:val="24"/>
        </w:rPr>
      </w:pPr>
    </w:p>
    <w:p w:rsidR="00A50FB6" w:rsidRDefault="00A50FB6" w:rsidP="008B6946">
      <w:pPr>
        <w:rPr>
          <w:sz w:val="24"/>
          <w:szCs w:val="24"/>
        </w:rPr>
      </w:pPr>
    </w:p>
    <w:bookmarkEnd w:id="0"/>
    <w:p w:rsidR="00002AE8" w:rsidRDefault="008032DE" w:rsidP="008B6946">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CD1FF1" w:rsidRDefault="00CD1FF1" w:rsidP="008B6946">
      <w:pPr>
        <w:rPr>
          <w:sz w:val="24"/>
          <w:szCs w:val="24"/>
        </w:rPr>
      </w:pPr>
    </w:p>
    <w:p w:rsidR="00002AE8" w:rsidRDefault="00002AE8" w:rsidP="008B6946">
      <w:pPr>
        <w:rPr>
          <w:sz w:val="24"/>
          <w:szCs w:val="24"/>
        </w:rPr>
      </w:pPr>
    </w:p>
    <w:p w:rsidR="002722F2" w:rsidRDefault="002722F2" w:rsidP="008B6946">
      <w:pPr>
        <w:rPr>
          <w:sz w:val="24"/>
          <w:szCs w:val="24"/>
        </w:rPr>
      </w:pPr>
    </w:p>
    <w:p w:rsidR="00543CD8" w:rsidRDefault="00543CD8" w:rsidP="008B6946">
      <w:pPr>
        <w:rPr>
          <w:sz w:val="24"/>
          <w:szCs w:val="24"/>
        </w:rPr>
      </w:pPr>
    </w:p>
    <w:p w:rsidR="00002AE8" w:rsidRDefault="00002AE8" w:rsidP="008B6946">
      <w:pPr>
        <w:rPr>
          <w:sz w:val="24"/>
          <w:szCs w:val="24"/>
        </w:rPr>
      </w:pPr>
      <w:r>
        <w:rPr>
          <w:sz w:val="24"/>
          <w:szCs w:val="24"/>
        </w:rPr>
        <w:t xml:space="preserve">Professor </w:t>
      </w:r>
      <w:r w:rsidR="00473DA7">
        <w:rPr>
          <w:sz w:val="24"/>
          <w:szCs w:val="24"/>
        </w:rPr>
        <w:t>Geoff McColl</w:t>
      </w:r>
      <w:r>
        <w:rPr>
          <w:sz w:val="24"/>
          <w:szCs w:val="24"/>
        </w:rPr>
        <w:tab/>
      </w:r>
      <w:r>
        <w:rPr>
          <w:sz w:val="24"/>
          <w:szCs w:val="24"/>
        </w:rPr>
        <w:tab/>
      </w:r>
      <w:r>
        <w:rPr>
          <w:sz w:val="24"/>
          <w:szCs w:val="24"/>
        </w:rPr>
        <w:tab/>
      </w:r>
    </w:p>
    <w:p w:rsidR="00002AE8" w:rsidRDefault="00002AE8" w:rsidP="008B6946">
      <w:pPr>
        <w:rPr>
          <w:sz w:val="24"/>
          <w:szCs w:val="24"/>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2AE8" w:rsidRPr="003F06C8" w:rsidRDefault="00002AE8" w:rsidP="008B6946">
      <w:pPr>
        <w:rPr>
          <w:sz w:val="24"/>
          <w:szCs w:val="24"/>
        </w:rPr>
      </w:pPr>
      <w:r>
        <w:rPr>
          <w:sz w:val="24"/>
          <w:szCs w:val="24"/>
        </w:rPr>
        <w:t>Drug Utilisation Sub-Committee</w:t>
      </w:r>
      <w:r>
        <w:rPr>
          <w:sz w:val="24"/>
          <w:szCs w:val="24"/>
        </w:rPr>
        <w:tab/>
      </w:r>
      <w:r>
        <w:rPr>
          <w:sz w:val="24"/>
          <w:szCs w:val="24"/>
        </w:rPr>
        <w:tab/>
      </w:r>
    </w:p>
    <w:sectPr w:rsidR="00002AE8" w:rsidRPr="003F06C8" w:rsidSect="007166A9">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4E" w:rsidRDefault="0074244E">
      <w:r>
        <w:separator/>
      </w:r>
    </w:p>
  </w:endnote>
  <w:endnote w:type="continuationSeparator" w:id="0">
    <w:p w:rsidR="0074244E" w:rsidRDefault="007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F" w:rsidRDefault="00D56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6B5BFA">
      <w:rPr>
        <w:noProof/>
      </w:rPr>
      <w:t>2</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6B5BFA">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4E" w:rsidRDefault="0074244E">
      <w:r>
        <w:separator/>
      </w:r>
    </w:p>
  </w:footnote>
  <w:footnote w:type="continuationSeparator" w:id="0">
    <w:p w:rsidR="0074244E" w:rsidRDefault="0074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F" w:rsidRDefault="00D56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F" w:rsidRDefault="00D56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463497">
      <w:rPr>
        <w:rStyle w:val="Heading1Char"/>
        <w:b/>
      </w:rPr>
      <w:t>1 October</w:t>
    </w:r>
    <w:r w:rsidR="00DA5928">
      <w:rPr>
        <w:rStyle w:val="Heading1Char"/>
        <w:b/>
      </w:rPr>
      <w:t xml:space="preserve"> </w:t>
    </w:r>
    <w:r w:rsidRPr="00CA347D">
      <w:rPr>
        <w:rStyle w:val="Heading1Char"/>
        <w:b/>
      </w:rPr>
      <w:t>201</w:t>
    </w:r>
    <w:r w:rsidR="00812097">
      <w:rPr>
        <w:rStyle w:val="Heading1Char"/>
        <w:b/>
      </w:rPr>
      <w:t>5</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0A"/>
    <w:multiLevelType w:val="hybridMultilevel"/>
    <w:tmpl w:val="CE38B468"/>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345BC"/>
    <w:multiLevelType w:val="hybridMultilevel"/>
    <w:tmpl w:val="F93ADC52"/>
    <w:lvl w:ilvl="0" w:tplc="214497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EC5511"/>
    <w:multiLevelType w:val="hybridMultilevel"/>
    <w:tmpl w:val="84F8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667341"/>
    <w:multiLevelType w:val="hybridMultilevel"/>
    <w:tmpl w:val="F354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3C6B72"/>
    <w:multiLevelType w:val="hybridMultilevel"/>
    <w:tmpl w:val="2318B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nsid w:val="38FA0775"/>
    <w:multiLevelType w:val="hybridMultilevel"/>
    <w:tmpl w:val="887A558E"/>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C529AE"/>
    <w:multiLevelType w:val="hybridMultilevel"/>
    <w:tmpl w:val="04BAAB9A"/>
    <w:lvl w:ilvl="0" w:tplc="3928008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1">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B4471F"/>
    <w:multiLevelType w:val="hybridMultilevel"/>
    <w:tmpl w:val="EDC2D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9">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3"/>
  </w:num>
  <w:num w:numId="4">
    <w:abstractNumId w:val="41"/>
  </w:num>
  <w:num w:numId="5">
    <w:abstractNumId w:val="28"/>
  </w:num>
  <w:num w:numId="6">
    <w:abstractNumId w:val="31"/>
  </w:num>
  <w:num w:numId="7">
    <w:abstractNumId w:val="37"/>
  </w:num>
  <w:num w:numId="8">
    <w:abstractNumId w:val="27"/>
  </w:num>
  <w:num w:numId="9">
    <w:abstractNumId w:val="24"/>
  </w:num>
  <w:num w:numId="10">
    <w:abstractNumId w:val="32"/>
  </w:num>
  <w:num w:numId="11">
    <w:abstractNumId w:val="22"/>
  </w:num>
  <w:num w:numId="12">
    <w:abstractNumId w:val="9"/>
  </w:num>
  <w:num w:numId="13">
    <w:abstractNumId w:val="38"/>
  </w:num>
  <w:num w:numId="14">
    <w:abstractNumId w:val="20"/>
  </w:num>
  <w:num w:numId="15">
    <w:abstractNumId w:val="42"/>
  </w:num>
  <w:num w:numId="16">
    <w:abstractNumId w:val="2"/>
  </w:num>
  <w:num w:numId="17">
    <w:abstractNumId w:val="15"/>
  </w:num>
  <w:num w:numId="18">
    <w:abstractNumId w:val="29"/>
  </w:num>
  <w:num w:numId="19">
    <w:abstractNumId w:val="35"/>
  </w:num>
  <w:num w:numId="20">
    <w:abstractNumId w:val="7"/>
  </w:num>
  <w:num w:numId="21">
    <w:abstractNumId w:val="18"/>
  </w:num>
  <w:num w:numId="22">
    <w:abstractNumId w:val="12"/>
  </w:num>
  <w:num w:numId="23">
    <w:abstractNumId w:val="33"/>
  </w:num>
  <w:num w:numId="24">
    <w:abstractNumId w:val="34"/>
  </w:num>
  <w:num w:numId="25">
    <w:abstractNumId w:val="17"/>
  </w:num>
  <w:num w:numId="26">
    <w:abstractNumId w:val="25"/>
  </w:num>
  <w:num w:numId="27">
    <w:abstractNumId w:val="10"/>
  </w:num>
  <w:num w:numId="28">
    <w:abstractNumId w:val="1"/>
  </w:num>
  <w:num w:numId="29">
    <w:abstractNumId w:val="8"/>
  </w:num>
  <w:num w:numId="30">
    <w:abstractNumId w:val="5"/>
  </w:num>
  <w:num w:numId="31">
    <w:abstractNumId w:val="36"/>
  </w:num>
  <w:num w:numId="32">
    <w:abstractNumId w:val="30"/>
  </w:num>
  <w:num w:numId="33">
    <w:abstractNumId w:val="14"/>
  </w:num>
  <w:num w:numId="34">
    <w:abstractNumId w:val="16"/>
  </w:num>
  <w:num w:numId="35">
    <w:abstractNumId w:val="0"/>
  </w:num>
  <w:num w:numId="36">
    <w:abstractNumId w:val="26"/>
  </w:num>
  <w:num w:numId="37">
    <w:abstractNumId w:val="40"/>
  </w:num>
  <w:num w:numId="38">
    <w:abstractNumId w:val="39"/>
  </w:num>
  <w:num w:numId="39">
    <w:abstractNumId w:val="21"/>
  </w:num>
  <w:num w:numId="40">
    <w:abstractNumId w:val="6"/>
  </w:num>
  <w:num w:numId="41">
    <w:abstractNumId w:val="19"/>
  </w:num>
  <w:num w:numId="42">
    <w:abstractNumId w:val="1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53E4"/>
    <w:rsid w:val="0002613B"/>
    <w:rsid w:val="00026898"/>
    <w:rsid w:val="000308AD"/>
    <w:rsid w:val="00032252"/>
    <w:rsid w:val="00047105"/>
    <w:rsid w:val="00054C1A"/>
    <w:rsid w:val="00055BF6"/>
    <w:rsid w:val="00061505"/>
    <w:rsid w:val="000701B8"/>
    <w:rsid w:val="00071505"/>
    <w:rsid w:val="0007482C"/>
    <w:rsid w:val="00076E4C"/>
    <w:rsid w:val="00080B21"/>
    <w:rsid w:val="0009006A"/>
    <w:rsid w:val="00094597"/>
    <w:rsid w:val="00096B9B"/>
    <w:rsid w:val="0009747E"/>
    <w:rsid w:val="000A02F8"/>
    <w:rsid w:val="000A0713"/>
    <w:rsid w:val="000A13FE"/>
    <w:rsid w:val="000A31AD"/>
    <w:rsid w:val="000A53A6"/>
    <w:rsid w:val="000B14A0"/>
    <w:rsid w:val="000B5448"/>
    <w:rsid w:val="000C1D0B"/>
    <w:rsid w:val="000C58C8"/>
    <w:rsid w:val="000D6712"/>
    <w:rsid w:val="000E18F9"/>
    <w:rsid w:val="000F3387"/>
    <w:rsid w:val="000F7CE1"/>
    <w:rsid w:val="00101877"/>
    <w:rsid w:val="001062BB"/>
    <w:rsid w:val="00106A1B"/>
    <w:rsid w:val="001071DA"/>
    <w:rsid w:val="00121F43"/>
    <w:rsid w:val="00123237"/>
    <w:rsid w:val="00137CE5"/>
    <w:rsid w:val="00141172"/>
    <w:rsid w:val="00142512"/>
    <w:rsid w:val="00151940"/>
    <w:rsid w:val="00152272"/>
    <w:rsid w:val="001528A6"/>
    <w:rsid w:val="00153667"/>
    <w:rsid w:val="00154D0A"/>
    <w:rsid w:val="00160EF6"/>
    <w:rsid w:val="00166CEB"/>
    <w:rsid w:val="00170E5B"/>
    <w:rsid w:val="00186DD1"/>
    <w:rsid w:val="0018700E"/>
    <w:rsid w:val="001902AC"/>
    <w:rsid w:val="001933E2"/>
    <w:rsid w:val="0019724B"/>
    <w:rsid w:val="001A3F70"/>
    <w:rsid w:val="001A449F"/>
    <w:rsid w:val="001A7B67"/>
    <w:rsid w:val="001B19E3"/>
    <w:rsid w:val="001B2A10"/>
    <w:rsid w:val="001C0316"/>
    <w:rsid w:val="001C5A7B"/>
    <w:rsid w:val="001C61FD"/>
    <w:rsid w:val="001F33DA"/>
    <w:rsid w:val="001F4200"/>
    <w:rsid w:val="001F6850"/>
    <w:rsid w:val="00200BA3"/>
    <w:rsid w:val="00203342"/>
    <w:rsid w:val="00203986"/>
    <w:rsid w:val="00211F6D"/>
    <w:rsid w:val="002168C1"/>
    <w:rsid w:val="00216CE7"/>
    <w:rsid w:val="00224079"/>
    <w:rsid w:val="00224DF5"/>
    <w:rsid w:val="00230732"/>
    <w:rsid w:val="00235EF9"/>
    <w:rsid w:val="00237631"/>
    <w:rsid w:val="002421EE"/>
    <w:rsid w:val="00242420"/>
    <w:rsid w:val="0025366B"/>
    <w:rsid w:val="00255919"/>
    <w:rsid w:val="00261915"/>
    <w:rsid w:val="00261ED7"/>
    <w:rsid w:val="0026571A"/>
    <w:rsid w:val="0026645D"/>
    <w:rsid w:val="002722F2"/>
    <w:rsid w:val="00275278"/>
    <w:rsid w:val="00280C05"/>
    <w:rsid w:val="00282C56"/>
    <w:rsid w:val="002862A8"/>
    <w:rsid w:val="002871FC"/>
    <w:rsid w:val="00291D51"/>
    <w:rsid w:val="00292E10"/>
    <w:rsid w:val="00294F3F"/>
    <w:rsid w:val="0029548B"/>
    <w:rsid w:val="002A2FEF"/>
    <w:rsid w:val="002A48D7"/>
    <w:rsid w:val="002A6291"/>
    <w:rsid w:val="002A6A51"/>
    <w:rsid w:val="002B0FD1"/>
    <w:rsid w:val="002B519D"/>
    <w:rsid w:val="002B7EE2"/>
    <w:rsid w:val="002C1B64"/>
    <w:rsid w:val="002D3C76"/>
    <w:rsid w:val="002D3FC7"/>
    <w:rsid w:val="002D516C"/>
    <w:rsid w:val="002D734E"/>
    <w:rsid w:val="002E6F6A"/>
    <w:rsid w:val="002F131D"/>
    <w:rsid w:val="002F281B"/>
    <w:rsid w:val="002F6C13"/>
    <w:rsid w:val="002F7138"/>
    <w:rsid w:val="003026E0"/>
    <w:rsid w:val="00307F20"/>
    <w:rsid w:val="00312E8E"/>
    <w:rsid w:val="00313FED"/>
    <w:rsid w:val="00325C25"/>
    <w:rsid w:val="0032620A"/>
    <w:rsid w:val="0033439A"/>
    <w:rsid w:val="003361C9"/>
    <w:rsid w:val="00337241"/>
    <w:rsid w:val="003468B6"/>
    <w:rsid w:val="003512F6"/>
    <w:rsid w:val="0035266E"/>
    <w:rsid w:val="00352D12"/>
    <w:rsid w:val="003555E8"/>
    <w:rsid w:val="00362581"/>
    <w:rsid w:val="00371376"/>
    <w:rsid w:val="0037338E"/>
    <w:rsid w:val="00377CBD"/>
    <w:rsid w:val="00385962"/>
    <w:rsid w:val="003860EB"/>
    <w:rsid w:val="003917EE"/>
    <w:rsid w:val="003A4887"/>
    <w:rsid w:val="003A6327"/>
    <w:rsid w:val="003B1842"/>
    <w:rsid w:val="003B644D"/>
    <w:rsid w:val="003B7122"/>
    <w:rsid w:val="003C0453"/>
    <w:rsid w:val="003C3E03"/>
    <w:rsid w:val="003C5342"/>
    <w:rsid w:val="003D0574"/>
    <w:rsid w:val="003D62AA"/>
    <w:rsid w:val="003D6C07"/>
    <w:rsid w:val="003E1ED8"/>
    <w:rsid w:val="003E601F"/>
    <w:rsid w:val="003F06C8"/>
    <w:rsid w:val="003F1DCA"/>
    <w:rsid w:val="00405743"/>
    <w:rsid w:val="00406FC4"/>
    <w:rsid w:val="00415BE7"/>
    <w:rsid w:val="0042129E"/>
    <w:rsid w:val="00421874"/>
    <w:rsid w:val="00423C42"/>
    <w:rsid w:val="004374C3"/>
    <w:rsid w:val="0044076B"/>
    <w:rsid w:val="00445679"/>
    <w:rsid w:val="00451ABF"/>
    <w:rsid w:val="004521E9"/>
    <w:rsid w:val="004566A9"/>
    <w:rsid w:val="00461EAF"/>
    <w:rsid w:val="00463497"/>
    <w:rsid w:val="00463B7E"/>
    <w:rsid w:val="00465EED"/>
    <w:rsid w:val="00471240"/>
    <w:rsid w:val="00473DA7"/>
    <w:rsid w:val="0047415B"/>
    <w:rsid w:val="00477B65"/>
    <w:rsid w:val="004839FE"/>
    <w:rsid w:val="0049330F"/>
    <w:rsid w:val="0049403E"/>
    <w:rsid w:val="00496AC8"/>
    <w:rsid w:val="004A055D"/>
    <w:rsid w:val="004B07E1"/>
    <w:rsid w:val="004B37DD"/>
    <w:rsid w:val="004B41AC"/>
    <w:rsid w:val="004C7FA9"/>
    <w:rsid w:val="004D0311"/>
    <w:rsid w:val="004D75BE"/>
    <w:rsid w:val="004F083B"/>
    <w:rsid w:val="004F17CC"/>
    <w:rsid w:val="004F201C"/>
    <w:rsid w:val="004F60E0"/>
    <w:rsid w:val="004F6927"/>
    <w:rsid w:val="00512CE1"/>
    <w:rsid w:val="0051701B"/>
    <w:rsid w:val="00525347"/>
    <w:rsid w:val="0052725D"/>
    <w:rsid w:val="005317C8"/>
    <w:rsid w:val="00536FAF"/>
    <w:rsid w:val="00540349"/>
    <w:rsid w:val="00543CD8"/>
    <w:rsid w:val="00546A61"/>
    <w:rsid w:val="00550B68"/>
    <w:rsid w:val="00554F00"/>
    <w:rsid w:val="00556042"/>
    <w:rsid w:val="0056289C"/>
    <w:rsid w:val="005646E2"/>
    <w:rsid w:val="005659FC"/>
    <w:rsid w:val="00570796"/>
    <w:rsid w:val="00576201"/>
    <w:rsid w:val="00584E81"/>
    <w:rsid w:val="00584E98"/>
    <w:rsid w:val="0058750D"/>
    <w:rsid w:val="00590036"/>
    <w:rsid w:val="00593298"/>
    <w:rsid w:val="00594A71"/>
    <w:rsid w:val="00595475"/>
    <w:rsid w:val="005A1F05"/>
    <w:rsid w:val="005A4F6D"/>
    <w:rsid w:val="005C053B"/>
    <w:rsid w:val="005C148E"/>
    <w:rsid w:val="005D1BB0"/>
    <w:rsid w:val="005D4EB2"/>
    <w:rsid w:val="005E116A"/>
    <w:rsid w:val="005E1E28"/>
    <w:rsid w:val="005E4D8D"/>
    <w:rsid w:val="005F20C5"/>
    <w:rsid w:val="005F20FE"/>
    <w:rsid w:val="005F3EF0"/>
    <w:rsid w:val="0060015D"/>
    <w:rsid w:val="00602B28"/>
    <w:rsid w:val="00603A1E"/>
    <w:rsid w:val="00605905"/>
    <w:rsid w:val="00605D9C"/>
    <w:rsid w:val="006118CB"/>
    <w:rsid w:val="00622522"/>
    <w:rsid w:val="006231FB"/>
    <w:rsid w:val="0062459E"/>
    <w:rsid w:val="00635EA5"/>
    <w:rsid w:val="006431B8"/>
    <w:rsid w:val="00645035"/>
    <w:rsid w:val="00651A8E"/>
    <w:rsid w:val="00667381"/>
    <w:rsid w:val="00670BD6"/>
    <w:rsid w:val="006723D5"/>
    <w:rsid w:val="00676304"/>
    <w:rsid w:val="00677B98"/>
    <w:rsid w:val="00695073"/>
    <w:rsid w:val="00695BF3"/>
    <w:rsid w:val="006969FE"/>
    <w:rsid w:val="006B1CD8"/>
    <w:rsid w:val="006B33A6"/>
    <w:rsid w:val="006B3D40"/>
    <w:rsid w:val="006B5BFA"/>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F60A7"/>
    <w:rsid w:val="006F7103"/>
    <w:rsid w:val="006F7466"/>
    <w:rsid w:val="00702F49"/>
    <w:rsid w:val="00703C4C"/>
    <w:rsid w:val="007048E7"/>
    <w:rsid w:val="00706AF7"/>
    <w:rsid w:val="0071514B"/>
    <w:rsid w:val="0071558A"/>
    <w:rsid w:val="00715E10"/>
    <w:rsid w:val="007166A9"/>
    <w:rsid w:val="00722564"/>
    <w:rsid w:val="0072634E"/>
    <w:rsid w:val="00735BBE"/>
    <w:rsid w:val="0073626D"/>
    <w:rsid w:val="0074244E"/>
    <w:rsid w:val="00747495"/>
    <w:rsid w:val="00753580"/>
    <w:rsid w:val="00753AE8"/>
    <w:rsid w:val="00753D42"/>
    <w:rsid w:val="00755BF3"/>
    <w:rsid w:val="00761116"/>
    <w:rsid w:val="00766D92"/>
    <w:rsid w:val="00792D24"/>
    <w:rsid w:val="007A025D"/>
    <w:rsid w:val="007A1C91"/>
    <w:rsid w:val="007A5016"/>
    <w:rsid w:val="007B10CC"/>
    <w:rsid w:val="007B45CE"/>
    <w:rsid w:val="007C0BB4"/>
    <w:rsid w:val="007C4B1F"/>
    <w:rsid w:val="007D29DA"/>
    <w:rsid w:val="007D3A05"/>
    <w:rsid w:val="007D4108"/>
    <w:rsid w:val="007D53F5"/>
    <w:rsid w:val="007E0FFA"/>
    <w:rsid w:val="007E45EB"/>
    <w:rsid w:val="007F03B3"/>
    <w:rsid w:val="007F224E"/>
    <w:rsid w:val="008032CF"/>
    <w:rsid w:val="008032DE"/>
    <w:rsid w:val="00806FF3"/>
    <w:rsid w:val="00812097"/>
    <w:rsid w:val="00812A58"/>
    <w:rsid w:val="00812E43"/>
    <w:rsid w:val="00813C07"/>
    <w:rsid w:val="008226BA"/>
    <w:rsid w:val="00824D2F"/>
    <w:rsid w:val="00825E26"/>
    <w:rsid w:val="0084274F"/>
    <w:rsid w:val="00844137"/>
    <w:rsid w:val="008443DF"/>
    <w:rsid w:val="00855B59"/>
    <w:rsid w:val="00861B30"/>
    <w:rsid w:val="00885679"/>
    <w:rsid w:val="00886FF7"/>
    <w:rsid w:val="00887242"/>
    <w:rsid w:val="008933AA"/>
    <w:rsid w:val="008952FA"/>
    <w:rsid w:val="008A17E6"/>
    <w:rsid w:val="008A271D"/>
    <w:rsid w:val="008A5C6B"/>
    <w:rsid w:val="008B25F5"/>
    <w:rsid w:val="008B44FC"/>
    <w:rsid w:val="008B6054"/>
    <w:rsid w:val="008B6946"/>
    <w:rsid w:val="008C28B4"/>
    <w:rsid w:val="008E66D2"/>
    <w:rsid w:val="008E7888"/>
    <w:rsid w:val="008E7C67"/>
    <w:rsid w:val="008F4AB2"/>
    <w:rsid w:val="008F7F63"/>
    <w:rsid w:val="00910BE5"/>
    <w:rsid w:val="009112F4"/>
    <w:rsid w:val="00911959"/>
    <w:rsid w:val="00913F15"/>
    <w:rsid w:val="00915D6E"/>
    <w:rsid w:val="009168AA"/>
    <w:rsid w:val="009230A9"/>
    <w:rsid w:val="009237FF"/>
    <w:rsid w:val="009245B3"/>
    <w:rsid w:val="00926116"/>
    <w:rsid w:val="009307DE"/>
    <w:rsid w:val="00940287"/>
    <w:rsid w:val="009427BA"/>
    <w:rsid w:val="0094562D"/>
    <w:rsid w:val="00965552"/>
    <w:rsid w:val="0096600D"/>
    <w:rsid w:val="0096605A"/>
    <w:rsid w:val="00982C4C"/>
    <w:rsid w:val="00990492"/>
    <w:rsid w:val="009950E1"/>
    <w:rsid w:val="009A22C0"/>
    <w:rsid w:val="009C32BA"/>
    <w:rsid w:val="009C4D57"/>
    <w:rsid w:val="009C6EB1"/>
    <w:rsid w:val="009D1661"/>
    <w:rsid w:val="009D1C4B"/>
    <w:rsid w:val="009D3B7F"/>
    <w:rsid w:val="009D71B6"/>
    <w:rsid w:val="009E130A"/>
    <w:rsid w:val="009E13E7"/>
    <w:rsid w:val="009E18B1"/>
    <w:rsid w:val="009E23F2"/>
    <w:rsid w:val="009F37E6"/>
    <w:rsid w:val="009F5D71"/>
    <w:rsid w:val="00A02C13"/>
    <w:rsid w:val="00A1378E"/>
    <w:rsid w:val="00A140B4"/>
    <w:rsid w:val="00A20CBD"/>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8138B"/>
    <w:rsid w:val="00A85479"/>
    <w:rsid w:val="00A96763"/>
    <w:rsid w:val="00AB2981"/>
    <w:rsid w:val="00AD405E"/>
    <w:rsid w:val="00AD61AC"/>
    <w:rsid w:val="00AE0098"/>
    <w:rsid w:val="00AE2C4F"/>
    <w:rsid w:val="00AE46E7"/>
    <w:rsid w:val="00AE5D15"/>
    <w:rsid w:val="00AE7D19"/>
    <w:rsid w:val="00AF1FCD"/>
    <w:rsid w:val="00AF54A2"/>
    <w:rsid w:val="00AF646A"/>
    <w:rsid w:val="00B0144A"/>
    <w:rsid w:val="00B171C5"/>
    <w:rsid w:val="00B17B4F"/>
    <w:rsid w:val="00B20269"/>
    <w:rsid w:val="00B2765B"/>
    <w:rsid w:val="00B471D0"/>
    <w:rsid w:val="00B47E46"/>
    <w:rsid w:val="00B51A8A"/>
    <w:rsid w:val="00B54AC5"/>
    <w:rsid w:val="00B54D25"/>
    <w:rsid w:val="00B73EC0"/>
    <w:rsid w:val="00B748A3"/>
    <w:rsid w:val="00B8425D"/>
    <w:rsid w:val="00B94D51"/>
    <w:rsid w:val="00B94E75"/>
    <w:rsid w:val="00BA0109"/>
    <w:rsid w:val="00BA3D51"/>
    <w:rsid w:val="00BB08CB"/>
    <w:rsid w:val="00BB0CB8"/>
    <w:rsid w:val="00BC71C3"/>
    <w:rsid w:val="00BD606B"/>
    <w:rsid w:val="00BE7AE1"/>
    <w:rsid w:val="00BF1645"/>
    <w:rsid w:val="00BF5017"/>
    <w:rsid w:val="00BF7B3F"/>
    <w:rsid w:val="00BF7E3D"/>
    <w:rsid w:val="00C04EF5"/>
    <w:rsid w:val="00C05DF1"/>
    <w:rsid w:val="00C071EA"/>
    <w:rsid w:val="00C116AA"/>
    <w:rsid w:val="00C1278B"/>
    <w:rsid w:val="00C14149"/>
    <w:rsid w:val="00C17CD9"/>
    <w:rsid w:val="00C201AF"/>
    <w:rsid w:val="00C20C99"/>
    <w:rsid w:val="00C34468"/>
    <w:rsid w:val="00C372F8"/>
    <w:rsid w:val="00C43937"/>
    <w:rsid w:val="00C5080C"/>
    <w:rsid w:val="00C517B0"/>
    <w:rsid w:val="00C53506"/>
    <w:rsid w:val="00C5386C"/>
    <w:rsid w:val="00C6282E"/>
    <w:rsid w:val="00C65ECB"/>
    <w:rsid w:val="00C70D16"/>
    <w:rsid w:val="00C720BE"/>
    <w:rsid w:val="00C72A99"/>
    <w:rsid w:val="00C750B3"/>
    <w:rsid w:val="00C77308"/>
    <w:rsid w:val="00C814DC"/>
    <w:rsid w:val="00C83918"/>
    <w:rsid w:val="00C844E5"/>
    <w:rsid w:val="00C96777"/>
    <w:rsid w:val="00CA1100"/>
    <w:rsid w:val="00CA1A98"/>
    <w:rsid w:val="00CA1AA9"/>
    <w:rsid w:val="00CA347D"/>
    <w:rsid w:val="00CC4F1F"/>
    <w:rsid w:val="00CD1FF1"/>
    <w:rsid w:val="00CD3D32"/>
    <w:rsid w:val="00CD4F83"/>
    <w:rsid w:val="00CD748A"/>
    <w:rsid w:val="00CE106A"/>
    <w:rsid w:val="00CE2E5D"/>
    <w:rsid w:val="00CE3022"/>
    <w:rsid w:val="00CE505F"/>
    <w:rsid w:val="00CF2E8F"/>
    <w:rsid w:val="00CF773D"/>
    <w:rsid w:val="00D03704"/>
    <w:rsid w:val="00D06634"/>
    <w:rsid w:val="00D06EDB"/>
    <w:rsid w:val="00D14024"/>
    <w:rsid w:val="00D144A5"/>
    <w:rsid w:val="00D16502"/>
    <w:rsid w:val="00D23DEB"/>
    <w:rsid w:val="00D26F01"/>
    <w:rsid w:val="00D36D8C"/>
    <w:rsid w:val="00D37EA6"/>
    <w:rsid w:val="00D412C9"/>
    <w:rsid w:val="00D51FE0"/>
    <w:rsid w:val="00D55ED4"/>
    <w:rsid w:val="00D562AF"/>
    <w:rsid w:val="00D5726A"/>
    <w:rsid w:val="00D573C4"/>
    <w:rsid w:val="00D61A07"/>
    <w:rsid w:val="00D716A5"/>
    <w:rsid w:val="00D71C86"/>
    <w:rsid w:val="00D75023"/>
    <w:rsid w:val="00D776E5"/>
    <w:rsid w:val="00D801D7"/>
    <w:rsid w:val="00D92B61"/>
    <w:rsid w:val="00D960D9"/>
    <w:rsid w:val="00DA019E"/>
    <w:rsid w:val="00DA0C9B"/>
    <w:rsid w:val="00DA3B72"/>
    <w:rsid w:val="00DA5030"/>
    <w:rsid w:val="00DA52B0"/>
    <w:rsid w:val="00DA5928"/>
    <w:rsid w:val="00DA7DAC"/>
    <w:rsid w:val="00DB34F7"/>
    <w:rsid w:val="00DB40BE"/>
    <w:rsid w:val="00DB4B02"/>
    <w:rsid w:val="00DB5E1F"/>
    <w:rsid w:val="00DB7938"/>
    <w:rsid w:val="00DC35B0"/>
    <w:rsid w:val="00DC5383"/>
    <w:rsid w:val="00DC669D"/>
    <w:rsid w:val="00DC76E4"/>
    <w:rsid w:val="00DD3F56"/>
    <w:rsid w:val="00DD472F"/>
    <w:rsid w:val="00DD6C98"/>
    <w:rsid w:val="00DE2F42"/>
    <w:rsid w:val="00DE3430"/>
    <w:rsid w:val="00DE465A"/>
    <w:rsid w:val="00DE6DED"/>
    <w:rsid w:val="00DF6D10"/>
    <w:rsid w:val="00E013AC"/>
    <w:rsid w:val="00E02342"/>
    <w:rsid w:val="00E069B9"/>
    <w:rsid w:val="00E06E1E"/>
    <w:rsid w:val="00E1073E"/>
    <w:rsid w:val="00E13E1F"/>
    <w:rsid w:val="00E15343"/>
    <w:rsid w:val="00E15D96"/>
    <w:rsid w:val="00E202D8"/>
    <w:rsid w:val="00E21AB6"/>
    <w:rsid w:val="00E358B8"/>
    <w:rsid w:val="00E35E50"/>
    <w:rsid w:val="00E440D2"/>
    <w:rsid w:val="00E44900"/>
    <w:rsid w:val="00E47551"/>
    <w:rsid w:val="00E51946"/>
    <w:rsid w:val="00E5392E"/>
    <w:rsid w:val="00E60246"/>
    <w:rsid w:val="00E606DC"/>
    <w:rsid w:val="00E63C49"/>
    <w:rsid w:val="00E63C9A"/>
    <w:rsid w:val="00E855DB"/>
    <w:rsid w:val="00E929BF"/>
    <w:rsid w:val="00E9717F"/>
    <w:rsid w:val="00EA266C"/>
    <w:rsid w:val="00EA4A72"/>
    <w:rsid w:val="00EA4C8E"/>
    <w:rsid w:val="00EA6068"/>
    <w:rsid w:val="00EA6638"/>
    <w:rsid w:val="00EB6D4F"/>
    <w:rsid w:val="00EC27B1"/>
    <w:rsid w:val="00EC4D9B"/>
    <w:rsid w:val="00ED262E"/>
    <w:rsid w:val="00ED4688"/>
    <w:rsid w:val="00ED55CD"/>
    <w:rsid w:val="00EF17AE"/>
    <w:rsid w:val="00EF2F88"/>
    <w:rsid w:val="00EF43E9"/>
    <w:rsid w:val="00F00711"/>
    <w:rsid w:val="00F00BA6"/>
    <w:rsid w:val="00F0120B"/>
    <w:rsid w:val="00F02D45"/>
    <w:rsid w:val="00F05674"/>
    <w:rsid w:val="00F07DC7"/>
    <w:rsid w:val="00F1203C"/>
    <w:rsid w:val="00F22B3B"/>
    <w:rsid w:val="00F24AD2"/>
    <w:rsid w:val="00F254F2"/>
    <w:rsid w:val="00F256FA"/>
    <w:rsid w:val="00F328A6"/>
    <w:rsid w:val="00F33165"/>
    <w:rsid w:val="00F36509"/>
    <w:rsid w:val="00F429AA"/>
    <w:rsid w:val="00F50775"/>
    <w:rsid w:val="00F52BA8"/>
    <w:rsid w:val="00F57CF8"/>
    <w:rsid w:val="00F64BDE"/>
    <w:rsid w:val="00F66C36"/>
    <w:rsid w:val="00F7236A"/>
    <w:rsid w:val="00F747BC"/>
    <w:rsid w:val="00F776DD"/>
    <w:rsid w:val="00F77C55"/>
    <w:rsid w:val="00F8217A"/>
    <w:rsid w:val="00F85C3D"/>
    <w:rsid w:val="00F97C51"/>
    <w:rsid w:val="00FA149F"/>
    <w:rsid w:val="00FA2C8E"/>
    <w:rsid w:val="00FA5657"/>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bs.gov.au/" TargetMode="External"/><Relationship Id="rId4" Type="http://schemas.microsoft.com/office/2007/relationships/stylesWithEffects" Target="stylesWithEffects.xml"/><Relationship Id="rId9" Type="http://schemas.openxmlformats.org/officeDocument/2006/relationships/hyperlink" Target="http://pbs.gov.au/info/industry/listing/elements/pbac-meetings/agenda/november-2015-pbac-meeting-agend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217C-7236-40E8-9BD8-7C5E4C60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2015-10-28T01:38:00Z</dcterms:created>
  <dcterms:modified xsi:type="dcterms:W3CDTF">2015-10-28T01:38:00Z</dcterms:modified>
</cp:coreProperties>
</file>