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6FB" w:rsidRPr="00AE1050" w:rsidRDefault="009F162B" w:rsidP="0088732A">
      <w:pPr>
        <w:pStyle w:val="Title"/>
        <w:spacing w:before="120" w:after="160"/>
        <w:ind w:left="720" w:hanging="11"/>
        <w:rPr>
          <w:rFonts w:asciiTheme="minorHAnsi" w:hAnsiTheme="minorHAnsi" w:cstheme="minorHAnsi"/>
          <w:sz w:val="36"/>
          <w:szCs w:val="36"/>
        </w:rPr>
      </w:pPr>
      <w:r w:rsidRPr="00AE1050">
        <w:rPr>
          <w:rFonts w:asciiTheme="minorHAnsi" w:hAnsiTheme="minorHAnsi" w:cstheme="minorHAnsi"/>
          <w:sz w:val="36"/>
          <w:szCs w:val="36"/>
        </w:rPr>
        <w:t xml:space="preserve">Options for listing </w:t>
      </w:r>
      <w:r w:rsidR="006E26FB" w:rsidRPr="00AE1050">
        <w:rPr>
          <w:rFonts w:asciiTheme="minorHAnsi" w:hAnsiTheme="minorHAnsi" w:cstheme="minorHAnsi"/>
          <w:sz w:val="36"/>
          <w:szCs w:val="36"/>
        </w:rPr>
        <w:t>PD</w:t>
      </w:r>
      <w:r w:rsidR="006C361A">
        <w:rPr>
          <w:rFonts w:asciiTheme="minorHAnsi" w:hAnsiTheme="minorHAnsi" w:cstheme="minorHAnsi"/>
          <w:sz w:val="36"/>
          <w:szCs w:val="36"/>
        </w:rPr>
        <w:t>-</w:t>
      </w:r>
      <w:r w:rsidR="00695F7B">
        <w:rPr>
          <w:rFonts w:asciiTheme="minorHAnsi" w:hAnsiTheme="minorHAnsi" w:cstheme="minorHAnsi"/>
          <w:sz w:val="36"/>
          <w:szCs w:val="36"/>
        </w:rPr>
        <w:t>(L</w:t>
      </w:r>
      <w:proofErr w:type="gramStart"/>
      <w:r w:rsidR="00695F7B">
        <w:rPr>
          <w:rFonts w:asciiTheme="minorHAnsi" w:hAnsiTheme="minorHAnsi" w:cstheme="minorHAnsi"/>
          <w:sz w:val="36"/>
          <w:szCs w:val="36"/>
        </w:rPr>
        <w:t>)</w:t>
      </w:r>
      <w:r w:rsidR="006E26FB" w:rsidRPr="00AE1050">
        <w:rPr>
          <w:rFonts w:asciiTheme="minorHAnsi" w:hAnsiTheme="minorHAnsi" w:cstheme="minorHAnsi"/>
          <w:sz w:val="36"/>
          <w:szCs w:val="36"/>
        </w:rPr>
        <w:t>1</w:t>
      </w:r>
      <w:proofErr w:type="gramEnd"/>
      <w:r w:rsidR="006E26FB" w:rsidRPr="00AE1050">
        <w:rPr>
          <w:rFonts w:asciiTheme="minorHAnsi" w:hAnsiTheme="minorHAnsi" w:cstheme="minorHAnsi"/>
          <w:sz w:val="36"/>
          <w:szCs w:val="36"/>
        </w:rPr>
        <w:t xml:space="preserve"> checkpoint inhibitor</w:t>
      </w:r>
      <w:r w:rsidR="0022388A">
        <w:rPr>
          <w:rFonts w:asciiTheme="minorHAnsi" w:hAnsiTheme="minorHAnsi" w:cstheme="minorHAnsi"/>
          <w:sz w:val="36"/>
          <w:szCs w:val="36"/>
        </w:rPr>
        <w:t>s</w:t>
      </w:r>
      <w:r w:rsidR="006E26FB" w:rsidRPr="00AE1050">
        <w:rPr>
          <w:rFonts w:asciiTheme="minorHAnsi" w:hAnsiTheme="minorHAnsi" w:cstheme="minorHAnsi"/>
          <w:sz w:val="36"/>
          <w:szCs w:val="36"/>
        </w:rPr>
        <w:t xml:space="preserve"> for multiple cancer </w:t>
      </w:r>
      <w:r w:rsidRPr="00AE1050">
        <w:rPr>
          <w:rFonts w:asciiTheme="minorHAnsi" w:hAnsiTheme="minorHAnsi" w:cstheme="minorHAnsi"/>
          <w:sz w:val="36"/>
          <w:szCs w:val="36"/>
        </w:rPr>
        <w:t>indications on the PBS</w:t>
      </w:r>
    </w:p>
    <w:p w:rsidR="008A50F1" w:rsidRPr="00FD1B15" w:rsidRDefault="006E26FB" w:rsidP="00FD1B15">
      <w:pPr>
        <w:pStyle w:val="Heading2"/>
      </w:pPr>
      <w:r w:rsidRPr="00FD1B15">
        <w:t>Introduction</w:t>
      </w:r>
    </w:p>
    <w:p w:rsidR="006E26FB" w:rsidRPr="00AE1050" w:rsidRDefault="006E26FB" w:rsidP="006E26FB">
      <w:pPr>
        <w:pStyle w:val="ListParagraph"/>
        <w:numPr>
          <w:ilvl w:val="1"/>
          <w:numId w:val="14"/>
        </w:numPr>
        <w:spacing w:after="240"/>
        <w:contextualSpacing w:val="0"/>
        <w:rPr>
          <w:rFonts w:asciiTheme="minorHAnsi" w:hAnsiTheme="minorHAnsi" w:cstheme="minorHAnsi"/>
          <w:snapToGrid/>
          <w:sz w:val="24"/>
          <w:szCs w:val="24"/>
        </w:rPr>
      </w:pPr>
      <w:r w:rsidRPr="00AE1050">
        <w:rPr>
          <w:rFonts w:asciiTheme="minorHAnsi" w:hAnsiTheme="minorHAnsi" w:cstheme="minorHAnsi"/>
          <w:sz w:val="24"/>
          <w:szCs w:val="24"/>
        </w:rPr>
        <w:t>In late 2017 the Hon</w:t>
      </w:r>
      <w:r w:rsidR="000111A5">
        <w:rPr>
          <w:rFonts w:asciiTheme="minorHAnsi" w:hAnsiTheme="minorHAnsi" w:cstheme="minorHAnsi"/>
          <w:sz w:val="24"/>
          <w:szCs w:val="24"/>
        </w:rPr>
        <w:t xml:space="preserve"> Greg Hunt MP,</w:t>
      </w:r>
      <w:r w:rsidRPr="00AE1050">
        <w:rPr>
          <w:rFonts w:asciiTheme="minorHAnsi" w:hAnsiTheme="minorHAnsi" w:cstheme="minorHAnsi"/>
          <w:sz w:val="24"/>
          <w:szCs w:val="24"/>
        </w:rPr>
        <w:t xml:space="preserve"> Minister for Health requested that the Pharmaceutical Benefits Advisory Committee (PBAC) provide advice on options for listing </w:t>
      </w:r>
      <w:r w:rsidR="0022388A">
        <w:rPr>
          <w:rFonts w:asciiTheme="minorHAnsi" w:hAnsiTheme="minorHAnsi" w:cstheme="minorHAnsi"/>
          <w:sz w:val="24"/>
          <w:szCs w:val="24"/>
        </w:rPr>
        <w:t>programmed death (ligand)-1 (</w:t>
      </w:r>
      <w:r w:rsidRPr="00AE1050">
        <w:rPr>
          <w:rFonts w:asciiTheme="minorHAnsi" w:hAnsiTheme="minorHAnsi" w:cstheme="minorHAnsi"/>
          <w:sz w:val="24"/>
          <w:szCs w:val="24"/>
        </w:rPr>
        <w:t>PD</w:t>
      </w:r>
      <w:r w:rsidR="006C361A">
        <w:rPr>
          <w:rFonts w:asciiTheme="minorHAnsi" w:hAnsiTheme="minorHAnsi" w:cstheme="minorHAnsi"/>
          <w:sz w:val="24"/>
          <w:szCs w:val="24"/>
        </w:rPr>
        <w:t>-</w:t>
      </w:r>
      <w:r w:rsidR="00906F0C" w:rsidRPr="00AE1050">
        <w:rPr>
          <w:rFonts w:asciiTheme="minorHAnsi" w:hAnsiTheme="minorHAnsi" w:cstheme="minorHAnsi"/>
          <w:sz w:val="24"/>
          <w:szCs w:val="24"/>
        </w:rPr>
        <w:t>(L</w:t>
      </w:r>
      <w:proofErr w:type="gramStart"/>
      <w:r w:rsidR="00906F0C" w:rsidRPr="00AE1050">
        <w:rPr>
          <w:rFonts w:asciiTheme="minorHAnsi" w:hAnsiTheme="minorHAnsi" w:cstheme="minorHAnsi"/>
          <w:sz w:val="24"/>
          <w:szCs w:val="24"/>
        </w:rPr>
        <w:t>)</w:t>
      </w:r>
      <w:r w:rsidRPr="00AE1050">
        <w:rPr>
          <w:rFonts w:asciiTheme="minorHAnsi" w:hAnsiTheme="minorHAnsi" w:cstheme="minorHAnsi"/>
          <w:sz w:val="24"/>
          <w:szCs w:val="24"/>
        </w:rPr>
        <w:t>1</w:t>
      </w:r>
      <w:proofErr w:type="gramEnd"/>
      <w:r w:rsidR="0022388A">
        <w:rPr>
          <w:rFonts w:asciiTheme="minorHAnsi" w:hAnsiTheme="minorHAnsi" w:cstheme="minorHAnsi"/>
          <w:sz w:val="24"/>
          <w:szCs w:val="24"/>
        </w:rPr>
        <w:t>)</w:t>
      </w:r>
      <w:r w:rsidRPr="00AE1050">
        <w:rPr>
          <w:rFonts w:asciiTheme="minorHAnsi" w:hAnsiTheme="minorHAnsi" w:cstheme="minorHAnsi"/>
          <w:sz w:val="24"/>
          <w:szCs w:val="24"/>
        </w:rPr>
        <w:t xml:space="preserve"> checkpoint inhibitors for the treatment of multiple cancer indications on the Pharmaceutical Benefits </w:t>
      </w:r>
      <w:r w:rsidR="00775597">
        <w:rPr>
          <w:rFonts w:asciiTheme="minorHAnsi" w:hAnsiTheme="minorHAnsi" w:cstheme="minorHAnsi"/>
          <w:sz w:val="24"/>
          <w:szCs w:val="24"/>
        </w:rPr>
        <w:t>Scheme</w:t>
      </w:r>
      <w:r w:rsidR="00775597" w:rsidRPr="00AE1050">
        <w:rPr>
          <w:rFonts w:asciiTheme="minorHAnsi" w:hAnsiTheme="minorHAnsi" w:cstheme="minorHAnsi"/>
          <w:sz w:val="24"/>
          <w:szCs w:val="24"/>
        </w:rPr>
        <w:t xml:space="preserve"> </w:t>
      </w:r>
      <w:r w:rsidRPr="00AE1050">
        <w:rPr>
          <w:rFonts w:asciiTheme="minorHAnsi" w:hAnsiTheme="minorHAnsi" w:cstheme="minorHAnsi"/>
          <w:sz w:val="24"/>
          <w:szCs w:val="24"/>
        </w:rPr>
        <w:t>(PBS).</w:t>
      </w:r>
    </w:p>
    <w:p w:rsidR="006E26FB" w:rsidRPr="00AE1050" w:rsidRDefault="006E26FB" w:rsidP="006E26FB">
      <w:pPr>
        <w:pStyle w:val="ListParagraph"/>
        <w:numPr>
          <w:ilvl w:val="1"/>
          <w:numId w:val="14"/>
        </w:numPr>
        <w:spacing w:after="240"/>
        <w:contextualSpacing w:val="0"/>
        <w:rPr>
          <w:rFonts w:asciiTheme="minorHAnsi" w:hAnsiTheme="minorHAnsi" w:cstheme="minorHAnsi"/>
          <w:sz w:val="24"/>
          <w:szCs w:val="24"/>
        </w:rPr>
      </w:pPr>
      <w:r w:rsidRPr="00AE1050">
        <w:rPr>
          <w:rFonts w:asciiTheme="minorHAnsi" w:hAnsiTheme="minorHAnsi" w:cstheme="minorHAnsi"/>
          <w:sz w:val="24"/>
          <w:szCs w:val="24"/>
        </w:rPr>
        <w:t xml:space="preserve">Specifically, the PBAC was asked to advise the Minister on 1) the current status of </w:t>
      </w:r>
      <w:r w:rsidR="006C361A" w:rsidRPr="00AE1050">
        <w:rPr>
          <w:rFonts w:asciiTheme="minorHAnsi" w:hAnsiTheme="minorHAnsi" w:cstheme="minorHAnsi"/>
          <w:sz w:val="24"/>
          <w:szCs w:val="24"/>
        </w:rPr>
        <w:t>PD</w:t>
      </w:r>
      <w:r w:rsidR="006C361A">
        <w:rPr>
          <w:rFonts w:asciiTheme="minorHAnsi" w:hAnsiTheme="minorHAnsi" w:cstheme="minorHAnsi"/>
          <w:sz w:val="24"/>
          <w:szCs w:val="24"/>
        </w:rPr>
        <w:t>-</w:t>
      </w:r>
      <w:r w:rsidR="006C361A" w:rsidRPr="00AE1050">
        <w:rPr>
          <w:rFonts w:asciiTheme="minorHAnsi" w:hAnsiTheme="minorHAnsi" w:cstheme="minorHAnsi"/>
          <w:sz w:val="24"/>
          <w:szCs w:val="24"/>
        </w:rPr>
        <w:t>(L</w:t>
      </w:r>
      <w:proofErr w:type="gramStart"/>
      <w:r w:rsidR="006C361A" w:rsidRPr="00AE1050">
        <w:rPr>
          <w:rFonts w:asciiTheme="minorHAnsi" w:hAnsiTheme="minorHAnsi" w:cstheme="minorHAnsi"/>
          <w:sz w:val="24"/>
          <w:szCs w:val="24"/>
        </w:rPr>
        <w:t>)1</w:t>
      </w:r>
      <w:proofErr w:type="gramEnd"/>
      <w:r w:rsidR="006C361A">
        <w:rPr>
          <w:rFonts w:asciiTheme="minorHAnsi" w:hAnsiTheme="minorHAnsi" w:cstheme="minorHAnsi"/>
          <w:sz w:val="24"/>
          <w:szCs w:val="24"/>
        </w:rPr>
        <w:t xml:space="preserve"> </w:t>
      </w:r>
      <w:r w:rsidRPr="00AE1050">
        <w:rPr>
          <w:rFonts w:asciiTheme="minorHAnsi" w:hAnsiTheme="minorHAnsi" w:cstheme="minorHAnsi"/>
          <w:sz w:val="24"/>
          <w:szCs w:val="24"/>
        </w:rPr>
        <w:t>checkpoint inhibitors for the treatment of cancer; 2) any issues around access to medicines for people with rare cancers, particularly where there are no existing effective therapies</w:t>
      </w:r>
      <w:r w:rsidR="00775597">
        <w:rPr>
          <w:rFonts w:asciiTheme="minorHAnsi" w:hAnsiTheme="minorHAnsi" w:cstheme="minorHAnsi"/>
          <w:sz w:val="24"/>
          <w:szCs w:val="24"/>
        </w:rPr>
        <w:t>;</w:t>
      </w:r>
      <w:r w:rsidRPr="00AE1050">
        <w:rPr>
          <w:rFonts w:asciiTheme="minorHAnsi" w:hAnsiTheme="minorHAnsi" w:cstheme="minorHAnsi"/>
          <w:sz w:val="24"/>
          <w:szCs w:val="24"/>
        </w:rPr>
        <w:t xml:space="preserve"> and 3) options that could broaden or lead to faster PBS listing for cancer indications.</w:t>
      </w:r>
    </w:p>
    <w:p w:rsidR="006E26FB" w:rsidRPr="00AE1050" w:rsidRDefault="006E26FB" w:rsidP="006E26FB">
      <w:pPr>
        <w:pStyle w:val="ListParagraph"/>
        <w:numPr>
          <w:ilvl w:val="1"/>
          <w:numId w:val="14"/>
        </w:numPr>
        <w:spacing w:after="240"/>
        <w:contextualSpacing w:val="0"/>
        <w:rPr>
          <w:rFonts w:asciiTheme="minorHAnsi" w:hAnsiTheme="minorHAnsi" w:cstheme="minorHAnsi"/>
          <w:sz w:val="24"/>
          <w:szCs w:val="24"/>
        </w:rPr>
      </w:pPr>
      <w:r w:rsidRPr="00AE1050">
        <w:rPr>
          <w:rFonts w:asciiTheme="minorHAnsi" w:hAnsiTheme="minorHAnsi" w:cstheme="minorHAnsi"/>
          <w:sz w:val="24"/>
          <w:szCs w:val="24"/>
        </w:rPr>
        <w:t>The advice to the Minister</w:t>
      </w:r>
      <w:r w:rsidR="003E4A42">
        <w:rPr>
          <w:rFonts w:asciiTheme="minorHAnsi" w:hAnsiTheme="minorHAnsi" w:cstheme="minorHAnsi"/>
          <w:sz w:val="24"/>
          <w:szCs w:val="24"/>
        </w:rPr>
        <w:t xml:space="preserve"> from the PBAC</w:t>
      </w:r>
      <w:r w:rsidRPr="00AE1050">
        <w:rPr>
          <w:rFonts w:asciiTheme="minorHAnsi" w:hAnsiTheme="minorHAnsi" w:cstheme="minorHAnsi"/>
          <w:sz w:val="24"/>
          <w:szCs w:val="24"/>
        </w:rPr>
        <w:t xml:space="preserve"> was to take into consideration the existing legislative and policy framework for PBAC decision-making that requires PBS listed medicines to be safe, effective and cost-effective compared to alternative treatments.</w:t>
      </w:r>
      <w:r w:rsidR="00BE5D45">
        <w:rPr>
          <w:rFonts w:asciiTheme="minorHAnsi" w:hAnsiTheme="minorHAnsi" w:cstheme="minorHAnsi"/>
          <w:sz w:val="24"/>
          <w:szCs w:val="24"/>
        </w:rPr>
        <w:t xml:space="preserve"> </w:t>
      </w:r>
      <w:r w:rsidRPr="00AE1050">
        <w:rPr>
          <w:rFonts w:asciiTheme="minorHAnsi" w:hAnsiTheme="minorHAnsi" w:cstheme="minorHAnsi"/>
          <w:sz w:val="24"/>
          <w:szCs w:val="24"/>
        </w:rPr>
        <w:t>Additionally, any advice was to take into account the role of the Therapeutic Goods Administration (TGA) in approving medicines for marketing in Australia.</w:t>
      </w:r>
    </w:p>
    <w:p w:rsidR="00EF5E52" w:rsidRPr="00AE1050" w:rsidRDefault="00AA74EE" w:rsidP="00AA74EE">
      <w:pPr>
        <w:pStyle w:val="ListParagraph"/>
        <w:numPr>
          <w:ilvl w:val="1"/>
          <w:numId w:val="14"/>
        </w:numPr>
        <w:spacing w:after="240"/>
        <w:contextualSpacing w:val="0"/>
        <w:rPr>
          <w:rFonts w:asciiTheme="minorHAnsi" w:hAnsiTheme="minorHAnsi" w:cstheme="minorHAnsi"/>
          <w:sz w:val="24"/>
          <w:szCs w:val="24"/>
        </w:rPr>
      </w:pPr>
      <w:r w:rsidRPr="00AE1050">
        <w:rPr>
          <w:rFonts w:asciiTheme="minorHAnsi" w:hAnsiTheme="minorHAnsi" w:cstheme="minorHAnsi"/>
          <w:sz w:val="24"/>
          <w:szCs w:val="24"/>
        </w:rPr>
        <w:t>T</w:t>
      </w:r>
      <w:r w:rsidR="00EF5E52" w:rsidRPr="00AE1050">
        <w:rPr>
          <w:rFonts w:asciiTheme="minorHAnsi" w:hAnsiTheme="minorHAnsi" w:cstheme="minorHAnsi"/>
          <w:sz w:val="24"/>
          <w:szCs w:val="24"/>
        </w:rPr>
        <w:t xml:space="preserve">he </w:t>
      </w:r>
      <w:r w:rsidRPr="00AE1050">
        <w:rPr>
          <w:rFonts w:asciiTheme="minorHAnsi" w:hAnsiTheme="minorHAnsi" w:cstheme="minorHAnsi"/>
          <w:sz w:val="24"/>
          <w:szCs w:val="24"/>
        </w:rPr>
        <w:t>PBAC</w:t>
      </w:r>
      <w:r w:rsidR="00EF5E52" w:rsidRPr="00AE1050">
        <w:rPr>
          <w:rFonts w:asciiTheme="minorHAnsi" w:hAnsiTheme="minorHAnsi" w:cstheme="minorHAnsi"/>
          <w:sz w:val="24"/>
          <w:szCs w:val="24"/>
        </w:rPr>
        <w:t xml:space="preserve"> </w:t>
      </w:r>
      <w:r w:rsidRPr="00AE1050">
        <w:rPr>
          <w:rFonts w:asciiTheme="minorHAnsi" w:hAnsiTheme="minorHAnsi" w:cstheme="minorHAnsi"/>
          <w:sz w:val="24"/>
          <w:szCs w:val="24"/>
        </w:rPr>
        <w:t xml:space="preserve">elected </w:t>
      </w:r>
      <w:r w:rsidR="00EF5E52" w:rsidRPr="00AE1050">
        <w:rPr>
          <w:rFonts w:asciiTheme="minorHAnsi" w:hAnsiTheme="minorHAnsi" w:cstheme="minorHAnsi"/>
          <w:sz w:val="24"/>
          <w:szCs w:val="24"/>
        </w:rPr>
        <w:t>to</w:t>
      </w:r>
      <w:r w:rsidRPr="00AE1050">
        <w:rPr>
          <w:rFonts w:asciiTheme="minorHAnsi" w:hAnsiTheme="minorHAnsi" w:cstheme="minorHAnsi"/>
          <w:sz w:val="24"/>
          <w:szCs w:val="24"/>
        </w:rPr>
        <w:t xml:space="preserve"> publish its initial views on this topic through a discussion paper and to</w:t>
      </w:r>
      <w:r w:rsidR="00EF5E52" w:rsidRPr="00AE1050">
        <w:rPr>
          <w:rFonts w:asciiTheme="minorHAnsi" w:hAnsiTheme="minorHAnsi" w:cstheme="minorHAnsi"/>
          <w:sz w:val="24"/>
          <w:szCs w:val="24"/>
        </w:rPr>
        <w:t xml:space="preserve"> seek input from interested stakeholders</w:t>
      </w:r>
      <w:r w:rsidRPr="00AE1050">
        <w:rPr>
          <w:rFonts w:asciiTheme="minorHAnsi" w:hAnsiTheme="minorHAnsi" w:cstheme="minorHAnsi"/>
          <w:sz w:val="24"/>
          <w:szCs w:val="24"/>
        </w:rPr>
        <w:t xml:space="preserve"> ahead of </w:t>
      </w:r>
      <w:r w:rsidR="0088732A" w:rsidRPr="00AE1050">
        <w:rPr>
          <w:rFonts w:asciiTheme="minorHAnsi" w:hAnsiTheme="minorHAnsi" w:cstheme="minorHAnsi"/>
          <w:sz w:val="24"/>
          <w:szCs w:val="24"/>
        </w:rPr>
        <w:t xml:space="preserve">further consideration </w:t>
      </w:r>
      <w:r w:rsidR="003E4A42">
        <w:rPr>
          <w:rFonts w:asciiTheme="minorHAnsi" w:hAnsiTheme="minorHAnsi" w:cstheme="minorHAnsi"/>
          <w:sz w:val="24"/>
          <w:szCs w:val="24"/>
        </w:rPr>
        <w:t>at its</w:t>
      </w:r>
      <w:r w:rsidR="003E4A42" w:rsidRPr="00AE1050">
        <w:rPr>
          <w:rFonts w:asciiTheme="minorHAnsi" w:hAnsiTheme="minorHAnsi" w:cstheme="minorHAnsi"/>
          <w:sz w:val="24"/>
          <w:szCs w:val="24"/>
        </w:rPr>
        <w:t xml:space="preserve"> </w:t>
      </w:r>
      <w:r w:rsidR="0088732A" w:rsidRPr="00AE1050">
        <w:rPr>
          <w:rFonts w:asciiTheme="minorHAnsi" w:hAnsiTheme="minorHAnsi" w:cstheme="minorHAnsi"/>
          <w:sz w:val="24"/>
          <w:szCs w:val="24"/>
        </w:rPr>
        <w:t>August</w:t>
      </w:r>
      <w:r w:rsidR="003E4A42">
        <w:rPr>
          <w:rFonts w:asciiTheme="minorHAnsi" w:hAnsiTheme="minorHAnsi" w:cstheme="minorHAnsi"/>
          <w:sz w:val="24"/>
          <w:szCs w:val="24"/>
        </w:rPr>
        <w:t xml:space="preserve"> and November</w:t>
      </w:r>
      <w:r w:rsidR="0088732A" w:rsidRPr="00AE1050">
        <w:rPr>
          <w:rFonts w:asciiTheme="minorHAnsi" w:hAnsiTheme="minorHAnsi" w:cstheme="minorHAnsi"/>
          <w:sz w:val="24"/>
          <w:szCs w:val="24"/>
        </w:rPr>
        <w:t xml:space="preserve"> </w:t>
      </w:r>
      <w:r w:rsidR="00775597">
        <w:rPr>
          <w:rFonts w:asciiTheme="minorHAnsi" w:hAnsiTheme="minorHAnsi" w:cstheme="minorHAnsi"/>
          <w:sz w:val="24"/>
          <w:szCs w:val="24"/>
        </w:rPr>
        <w:t xml:space="preserve">2018 </w:t>
      </w:r>
      <w:r w:rsidR="003E4A42">
        <w:rPr>
          <w:rFonts w:asciiTheme="minorHAnsi" w:hAnsiTheme="minorHAnsi" w:cstheme="minorHAnsi"/>
          <w:sz w:val="24"/>
          <w:szCs w:val="24"/>
        </w:rPr>
        <w:t>meetings</w:t>
      </w:r>
      <w:r w:rsidR="0088732A" w:rsidRPr="00AE1050">
        <w:rPr>
          <w:rFonts w:asciiTheme="minorHAnsi" w:hAnsiTheme="minorHAnsi" w:cstheme="minorHAnsi"/>
          <w:sz w:val="24"/>
          <w:szCs w:val="24"/>
        </w:rPr>
        <w:t xml:space="preserve">. </w:t>
      </w:r>
    </w:p>
    <w:p w:rsidR="006A12A5" w:rsidRPr="00AE1050" w:rsidRDefault="00BA1786" w:rsidP="00FD1B15">
      <w:pPr>
        <w:pStyle w:val="Heading2"/>
      </w:pPr>
      <w:r w:rsidRPr="00AE1050">
        <w:t>Background</w:t>
      </w:r>
    </w:p>
    <w:p w:rsidR="006E26FB" w:rsidRPr="00FC78B0" w:rsidRDefault="00AA74EE" w:rsidP="00222DF0">
      <w:pPr>
        <w:pStyle w:val="ListParagraph"/>
        <w:numPr>
          <w:ilvl w:val="1"/>
          <w:numId w:val="14"/>
        </w:numPr>
        <w:spacing w:after="240"/>
        <w:contextualSpacing w:val="0"/>
        <w:rPr>
          <w:rFonts w:asciiTheme="minorHAnsi" w:hAnsiTheme="minorHAnsi" w:cstheme="minorHAnsi"/>
          <w:sz w:val="24"/>
          <w:szCs w:val="24"/>
        </w:rPr>
      </w:pPr>
      <w:r w:rsidRPr="00AE1050">
        <w:rPr>
          <w:rFonts w:asciiTheme="minorHAnsi" w:hAnsiTheme="minorHAnsi" w:cstheme="minorHAnsi"/>
          <w:sz w:val="24"/>
          <w:szCs w:val="24"/>
        </w:rPr>
        <w:t xml:space="preserve">The PBAC </w:t>
      </w:r>
      <w:r w:rsidR="006E26FB" w:rsidRPr="00AE1050">
        <w:rPr>
          <w:rFonts w:asciiTheme="minorHAnsi" w:hAnsiTheme="minorHAnsi" w:cstheme="minorHAnsi"/>
          <w:sz w:val="24"/>
          <w:szCs w:val="24"/>
        </w:rPr>
        <w:t xml:space="preserve">discussion paper was published on </w:t>
      </w:r>
      <w:r w:rsidRPr="00AE1050">
        <w:rPr>
          <w:rFonts w:asciiTheme="minorHAnsi" w:hAnsiTheme="minorHAnsi" w:cstheme="minorHAnsi"/>
          <w:sz w:val="24"/>
          <w:szCs w:val="24"/>
        </w:rPr>
        <w:t xml:space="preserve">the PBS website on </w:t>
      </w:r>
      <w:r w:rsidR="006E26FB" w:rsidRPr="00AE1050">
        <w:rPr>
          <w:rFonts w:asciiTheme="minorHAnsi" w:hAnsiTheme="minorHAnsi" w:cstheme="minorHAnsi"/>
          <w:sz w:val="24"/>
          <w:szCs w:val="24"/>
        </w:rPr>
        <w:t>25 May 2018</w:t>
      </w:r>
      <w:r w:rsidR="00222DF0">
        <w:rPr>
          <w:rFonts w:asciiTheme="minorHAnsi" w:hAnsiTheme="minorHAnsi" w:cstheme="minorHAnsi"/>
          <w:sz w:val="24"/>
          <w:szCs w:val="24"/>
        </w:rPr>
        <w:t xml:space="preserve"> (</w:t>
      </w:r>
      <w:r w:rsidR="00E31D4B" w:rsidRPr="00925068">
        <w:rPr>
          <w:rStyle w:val="Hyperlink"/>
          <w:rFonts w:asciiTheme="minorHAnsi" w:hAnsiTheme="minorHAnsi" w:cstheme="minorHAnsi"/>
          <w:sz w:val="24"/>
          <w:szCs w:val="24"/>
        </w:rPr>
        <w:t>http://www.pbs.gov.au/industry/listing/elements/pbac-meetings/agenda/pdf/august-2018-special-meeting/august-2018-pbac-special-meeting-background-paper.pdf</w:t>
      </w:r>
      <w:r w:rsidR="00E31D4B">
        <w:rPr>
          <w:rFonts w:asciiTheme="minorHAnsi" w:hAnsiTheme="minorHAnsi" w:cstheme="minorHAnsi"/>
          <w:sz w:val="24"/>
          <w:szCs w:val="24"/>
        </w:rPr>
        <w:t>)</w:t>
      </w:r>
      <w:r w:rsidR="006E26FB" w:rsidRPr="00AE1050">
        <w:rPr>
          <w:rFonts w:asciiTheme="minorHAnsi" w:hAnsiTheme="minorHAnsi" w:cstheme="minorHAnsi"/>
          <w:sz w:val="24"/>
          <w:szCs w:val="24"/>
        </w:rPr>
        <w:t xml:space="preserve"> </w:t>
      </w:r>
      <w:r w:rsidRPr="00AE1050">
        <w:rPr>
          <w:rFonts w:asciiTheme="minorHAnsi" w:hAnsiTheme="minorHAnsi" w:cstheme="minorHAnsi"/>
          <w:sz w:val="24"/>
          <w:szCs w:val="24"/>
        </w:rPr>
        <w:t xml:space="preserve">together </w:t>
      </w:r>
      <w:r w:rsidR="006E26FB" w:rsidRPr="00AE1050">
        <w:rPr>
          <w:rFonts w:asciiTheme="minorHAnsi" w:hAnsiTheme="minorHAnsi" w:cstheme="minorHAnsi"/>
          <w:sz w:val="24"/>
          <w:szCs w:val="24"/>
        </w:rPr>
        <w:t>with an invitation for submissions</w:t>
      </w:r>
      <w:r w:rsidR="006E26FB" w:rsidRPr="00FC78B0">
        <w:rPr>
          <w:rFonts w:asciiTheme="minorHAnsi" w:hAnsiTheme="minorHAnsi" w:cstheme="minorHAnsi"/>
          <w:sz w:val="24"/>
          <w:szCs w:val="24"/>
        </w:rPr>
        <w:t xml:space="preserve">. </w:t>
      </w:r>
      <w:r w:rsidR="0088732A" w:rsidRPr="00FC78B0">
        <w:rPr>
          <w:rFonts w:asciiTheme="minorHAnsi" w:hAnsiTheme="minorHAnsi" w:cstheme="minorHAnsi"/>
          <w:sz w:val="24"/>
          <w:szCs w:val="24"/>
        </w:rPr>
        <w:t>T</w:t>
      </w:r>
      <w:r w:rsidR="006E26FB" w:rsidRPr="00FC78B0">
        <w:rPr>
          <w:rFonts w:asciiTheme="minorHAnsi" w:hAnsiTheme="minorHAnsi" w:cstheme="minorHAnsi"/>
          <w:sz w:val="24"/>
          <w:szCs w:val="24"/>
        </w:rPr>
        <w:t xml:space="preserve">he Chair of the PBAC </w:t>
      </w:r>
      <w:r w:rsidR="0088732A" w:rsidRPr="00FC78B0">
        <w:rPr>
          <w:rFonts w:asciiTheme="minorHAnsi" w:hAnsiTheme="minorHAnsi" w:cstheme="minorHAnsi"/>
          <w:sz w:val="24"/>
          <w:szCs w:val="24"/>
        </w:rPr>
        <w:t xml:space="preserve">also </w:t>
      </w:r>
      <w:r w:rsidRPr="00FC78B0">
        <w:rPr>
          <w:rFonts w:asciiTheme="minorHAnsi" w:hAnsiTheme="minorHAnsi" w:cstheme="minorHAnsi"/>
          <w:sz w:val="24"/>
          <w:szCs w:val="24"/>
        </w:rPr>
        <w:t>held discussions</w:t>
      </w:r>
      <w:r w:rsidR="006E26FB" w:rsidRPr="00FC78B0">
        <w:rPr>
          <w:rFonts w:asciiTheme="minorHAnsi" w:hAnsiTheme="minorHAnsi" w:cstheme="minorHAnsi"/>
          <w:sz w:val="24"/>
          <w:szCs w:val="24"/>
        </w:rPr>
        <w:t xml:space="preserve"> with relevant industry working parties, Rare Cancers Australia and the Medical Oncology Group of Australia.</w:t>
      </w:r>
    </w:p>
    <w:p w:rsidR="001D15AB" w:rsidRPr="00AE1050" w:rsidRDefault="001D15AB" w:rsidP="001D15AB">
      <w:pPr>
        <w:pStyle w:val="ListParagraph"/>
        <w:numPr>
          <w:ilvl w:val="1"/>
          <w:numId w:val="14"/>
        </w:numPr>
        <w:spacing w:after="240"/>
        <w:rPr>
          <w:rFonts w:asciiTheme="minorHAnsi" w:hAnsiTheme="minorHAnsi" w:cstheme="minorHAnsi"/>
          <w:sz w:val="24"/>
          <w:szCs w:val="24"/>
        </w:rPr>
      </w:pPr>
      <w:r w:rsidRPr="00AE1050">
        <w:rPr>
          <w:rFonts w:asciiTheme="minorHAnsi" w:hAnsiTheme="minorHAnsi" w:cstheme="minorHAnsi"/>
          <w:sz w:val="24"/>
          <w:szCs w:val="24"/>
        </w:rPr>
        <w:t>An environmental scan to determine how other jurisdictions manage the same issue found that neither the United Kingdom’s National Institute for Health and Care Excellence (NICE), nor the Canadian Agency for Drugs and Technologies in Health (CADTH) had a</w:t>
      </w:r>
      <w:r w:rsidR="000111A5">
        <w:rPr>
          <w:rFonts w:asciiTheme="minorHAnsi" w:hAnsiTheme="minorHAnsi" w:cstheme="minorHAnsi"/>
          <w:sz w:val="24"/>
          <w:szCs w:val="24"/>
        </w:rPr>
        <w:t>n explicit, stand-alone</w:t>
      </w:r>
      <w:r w:rsidRPr="00AE1050">
        <w:rPr>
          <w:rFonts w:asciiTheme="minorHAnsi" w:hAnsiTheme="minorHAnsi" w:cstheme="minorHAnsi"/>
          <w:sz w:val="24"/>
          <w:szCs w:val="24"/>
        </w:rPr>
        <w:t xml:space="preserve"> process for assessing </w:t>
      </w:r>
      <w:r w:rsidR="006C361A" w:rsidRPr="00AE1050">
        <w:rPr>
          <w:rFonts w:asciiTheme="minorHAnsi" w:hAnsiTheme="minorHAnsi" w:cstheme="minorHAnsi"/>
          <w:sz w:val="24"/>
          <w:szCs w:val="24"/>
        </w:rPr>
        <w:t>PD</w:t>
      </w:r>
      <w:r w:rsidR="006C361A">
        <w:rPr>
          <w:rFonts w:asciiTheme="minorHAnsi" w:hAnsiTheme="minorHAnsi" w:cstheme="minorHAnsi"/>
          <w:sz w:val="24"/>
          <w:szCs w:val="24"/>
        </w:rPr>
        <w:t>-</w:t>
      </w:r>
      <w:r w:rsidR="006C361A" w:rsidRPr="00AE1050">
        <w:rPr>
          <w:rFonts w:asciiTheme="minorHAnsi" w:hAnsiTheme="minorHAnsi" w:cstheme="minorHAnsi"/>
          <w:sz w:val="24"/>
          <w:szCs w:val="24"/>
        </w:rPr>
        <w:t>(L</w:t>
      </w:r>
      <w:proofErr w:type="gramStart"/>
      <w:r w:rsidR="006C361A" w:rsidRPr="00AE1050">
        <w:rPr>
          <w:rFonts w:asciiTheme="minorHAnsi" w:hAnsiTheme="minorHAnsi" w:cstheme="minorHAnsi"/>
          <w:sz w:val="24"/>
          <w:szCs w:val="24"/>
        </w:rPr>
        <w:t>)1</w:t>
      </w:r>
      <w:proofErr w:type="gramEnd"/>
      <w:r w:rsidR="006C361A">
        <w:rPr>
          <w:rFonts w:asciiTheme="minorHAnsi" w:hAnsiTheme="minorHAnsi" w:cstheme="minorHAnsi"/>
          <w:sz w:val="24"/>
          <w:szCs w:val="24"/>
        </w:rPr>
        <w:t xml:space="preserve"> </w:t>
      </w:r>
      <w:r w:rsidRPr="00AE1050">
        <w:rPr>
          <w:rFonts w:asciiTheme="minorHAnsi" w:hAnsiTheme="minorHAnsi" w:cstheme="minorHAnsi"/>
          <w:sz w:val="24"/>
          <w:szCs w:val="24"/>
        </w:rPr>
        <w:t>checkpoint inhibitors across multiple cancer types</w:t>
      </w:r>
      <w:r w:rsidR="00906F0C" w:rsidRPr="00AE1050">
        <w:rPr>
          <w:rFonts w:asciiTheme="minorHAnsi" w:hAnsiTheme="minorHAnsi" w:cstheme="minorHAnsi"/>
          <w:sz w:val="24"/>
          <w:szCs w:val="24"/>
        </w:rPr>
        <w:t>.</w:t>
      </w:r>
      <w:r w:rsidRPr="00AE1050">
        <w:rPr>
          <w:rFonts w:asciiTheme="minorHAnsi" w:hAnsiTheme="minorHAnsi" w:cstheme="minorHAnsi"/>
          <w:sz w:val="24"/>
          <w:szCs w:val="24"/>
        </w:rPr>
        <w:t xml:space="preserve"> Belgium, Denmark, Germany, Italy and the Netherlands had introduced systems that were variations on their standard reimbursement processes and that operated in a similar manner to price volume agreements or managed </w:t>
      </w:r>
      <w:r w:rsidR="00906F0C" w:rsidRPr="00AE1050">
        <w:rPr>
          <w:rFonts w:asciiTheme="minorHAnsi" w:hAnsiTheme="minorHAnsi" w:cstheme="minorHAnsi"/>
          <w:sz w:val="24"/>
          <w:szCs w:val="24"/>
        </w:rPr>
        <w:t xml:space="preserve">access programs (MAP) </w:t>
      </w:r>
      <w:r w:rsidRPr="00AE1050">
        <w:rPr>
          <w:rFonts w:asciiTheme="minorHAnsi" w:hAnsiTheme="minorHAnsi" w:cstheme="minorHAnsi"/>
          <w:sz w:val="24"/>
          <w:szCs w:val="24"/>
        </w:rPr>
        <w:t xml:space="preserve">in Australia. </w:t>
      </w:r>
    </w:p>
    <w:p w:rsidR="00984D3E" w:rsidRPr="00AE1050" w:rsidRDefault="00984D3E" w:rsidP="0088732A">
      <w:pPr>
        <w:pStyle w:val="ListParagraph"/>
        <w:spacing w:after="240"/>
        <w:rPr>
          <w:rFonts w:asciiTheme="minorHAnsi" w:hAnsiTheme="minorHAnsi" w:cstheme="minorHAnsi"/>
          <w:sz w:val="24"/>
          <w:szCs w:val="24"/>
        </w:rPr>
      </w:pPr>
    </w:p>
    <w:p w:rsidR="00984D3E" w:rsidRDefault="001D15AB" w:rsidP="00433B7F">
      <w:pPr>
        <w:pStyle w:val="ListParagraph"/>
        <w:numPr>
          <w:ilvl w:val="1"/>
          <w:numId w:val="14"/>
        </w:numPr>
        <w:spacing w:after="240"/>
        <w:rPr>
          <w:rFonts w:asciiTheme="minorHAnsi" w:hAnsiTheme="minorHAnsi" w:cstheme="minorHAnsi"/>
          <w:sz w:val="24"/>
          <w:szCs w:val="24"/>
        </w:rPr>
      </w:pPr>
      <w:r w:rsidRPr="00C058DB">
        <w:rPr>
          <w:rFonts w:asciiTheme="minorHAnsi" w:hAnsiTheme="minorHAnsi" w:cstheme="minorHAnsi"/>
          <w:sz w:val="24"/>
          <w:szCs w:val="24"/>
        </w:rPr>
        <w:t xml:space="preserve">In 2014, the Food and Drug Administration (FDA) in the United States instituted its </w:t>
      </w:r>
      <w:r w:rsidR="000111A5">
        <w:rPr>
          <w:rFonts w:asciiTheme="minorHAnsi" w:hAnsiTheme="minorHAnsi" w:cstheme="minorHAnsi"/>
          <w:sz w:val="24"/>
          <w:szCs w:val="24"/>
        </w:rPr>
        <w:t>Breakthrough Therapy pathway</w:t>
      </w:r>
      <w:r w:rsidRPr="00C058DB">
        <w:rPr>
          <w:rFonts w:asciiTheme="minorHAnsi" w:hAnsiTheme="minorHAnsi" w:cstheme="minorHAnsi"/>
          <w:sz w:val="24"/>
          <w:szCs w:val="24"/>
        </w:rPr>
        <w:t xml:space="preserve"> to </w:t>
      </w:r>
      <w:r w:rsidR="00433B7F" w:rsidRPr="00433B7F">
        <w:rPr>
          <w:rFonts w:asciiTheme="minorHAnsi" w:hAnsiTheme="minorHAnsi" w:cstheme="minorHAnsi"/>
          <w:sz w:val="24"/>
          <w:szCs w:val="24"/>
        </w:rPr>
        <w:t xml:space="preserve">expedite the development and review of </w:t>
      </w:r>
      <w:r w:rsidR="00433B7F">
        <w:rPr>
          <w:rFonts w:asciiTheme="minorHAnsi" w:hAnsiTheme="minorHAnsi" w:cstheme="minorHAnsi"/>
          <w:sz w:val="24"/>
          <w:szCs w:val="24"/>
        </w:rPr>
        <w:t>medicines</w:t>
      </w:r>
      <w:r w:rsidR="00433B7F" w:rsidRPr="00433B7F">
        <w:rPr>
          <w:rFonts w:asciiTheme="minorHAnsi" w:hAnsiTheme="minorHAnsi" w:cstheme="minorHAnsi"/>
          <w:sz w:val="24"/>
          <w:szCs w:val="24"/>
        </w:rPr>
        <w:t xml:space="preserve"> that are intended to treat a serious condition and preliminary clinical evidence indicates that the </w:t>
      </w:r>
      <w:r w:rsidR="00433B7F">
        <w:rPr>
          <w:rFonts w:asciiTheme="minorHAnsi" w:hAnsiTheme="minorHAnsi" w:cstheme="minorHAnsi"/>
          <w:sz w:val="24"/>
          <w:szCs w:val="24"/>
        </w:rPr>
        <w:t>medicine</w:t>
      </w:r>
      <w:r w:rsidR="00433B7F" w:rsidRPr="00433B7F">
        <w:rPr>
          <w:rFonts w:asciiTheme="minorHAnsi" w:hAnsiTheme="minorHAnsi" w:cstheme="minorHAnsi"/>
          <w:sz w:val="24"/>
          <w:szCs w:val="24"/>
        </w:rPr>
        <w:t xml:space="preserve"> may demonstrate substantial improvement over available therapy on clinically significant endpoint(s)</w:t>
      </w:r>
      <w:r w:rsidR="00433B7F">
        <w:rPr>
          <w:rStyle w:val="FootnoteReference"/>
          <w:rFonts w:asciiTheme="minorHAnsi" w:hAnsiTheme="minorHAnsi" w:cstheme="minorHAnsi"/>
          <w:sz w:val="24"/>
          <w:szCs w:val="24"/>
        </w:rPr>
        <w:footnoteReference w:id="1"/>
      </w:r>
      <w:r w:rsidR="00433B7F" w:rsidRPr="00433B7F">
        <w:rPr>
          <w:rFonts w:asciiTheme="minorHAnsi" w:hAnsiTheme="minorHAnsi" w:cstheme="minorHAnsi"/>
          <w:sz w:val="24"/>
          <w:szCs w:val="24"/>
        </w:rPr>
        <w:t>.</w:t>
      </w:r>
      <w:r w:rsidRPr="00C058DB">
        <w:rPr>
          <w:rFonts w:asciiTheme="minorHAnsi" w:hAnsiTheme="minorHAnsi" w:cstheme="minorHAnsi"/>
          <w:sz w:val="24"/>
          <w:szCs w:val="24"/>
        </w:rPr>
        <w:t xml:space="preserve"> </w:t>
      </w:r>
      <w:r w:rsidR="00906F0C" w:rsidRPr="00C058DB">
        <w:rPr>
          <w:rFonts w:asciiTheme="minorHAnsi" w:hAnsiTheme="minorHAnsi" w:cstheme="minorHAnsi"/>
          <w:sz w:val="24"/>
          <w:szCs w:val="24"/>
        </w:rPr>
        <w:t>I</w:t>
      </w:r>
      <w:r w:rsidRPr="00C058DB">
        <w:rPr>
          <w:rFonts w:asciiTheme="minorHAnsi" w:hAnsiTheme="minorHAnsi" w:cstheme="minorHAnsi"/>
          <w:sz w:val="24"/>
          <w:szCs w:val="24"/>
        </w:rPr>
        <w:t>n May 2017</w:t>
      </w:r>
      <w:r w:rsidR="00775597">
        <w:rPr>
          <w:rFonts w:asciiTheme="minorHAnsi" w:hAnsiTheme="minorHAnsi" w:cstheme="minorHAnsi"/>
          <w:sz w:val="24"/>
          <w:szCs w:val="24"/>
        </w:rPr>
        <w:t>,</w:t>
      </w:r>
      <w:r w:rsidRPr="00C058DB">
        <w:rPr>
          <w:rFonts w:asciiTheme="minorHAnsi" w:hAnsiTheme="minorHAnsi" w:cstheme="minorHAnsi"/>
          <w:sz w:val="24"/>
          <w:szCs w:val="24"/>
        </w:rPr>
        <w:t xml:space="preserve"> the FDA granted accelerated approval to </w:t>
      </w:r>
      <w:proofErr w:type="spellStart"/>
      <w:r w:rsidRPr="00C058DB">
        <w:rPr>
          <w:rFonts w:asciiTheme="minorHAnsi" w:hAnsiTheme="minorHAnsi" w:cstheme="minorHAnsi"/>
          <w:sz w:val="24"/>
          <w:szCs w:val="24"/>
        </w:rPr>
        <w:t>pembrolizumab</w:t>
      </w:r>
      <w:proofErr w:type="spellEnd"/>
      <w:r w:rsidR="00C058DB" w:rsidRPr="00C058DB">
        <w:t xml:space="preserve"> </w:t>
      </w:r>
      <w:r w:rsidR="00C058DB" w:rsidRPr="00C058DB">
        <w:rPr>
          <w:rFonts w:asciiTheme="minorHAnsi" w:hAnsiTheme="minorHAnsi" w:cstheme="minorHAnsi"/>
          <w:sz w:val="24"/>
          <w:szCs w:val="24"/>
        </w:rPr>
        <w:t>for the treatment of adult and p</w:t>
      </w:r>
      <w:r w:rsidR="003E4A42">
        <w:rPr>
          <w:rFonts w:asciiTheme="minorHAnsi" w:hAnsiTheme="minorHAnsi" w:cstheme="minorHAnsi"/>
          <w:sz w:val="24"/>
          <w:szCs w:val="24"/>
        </w:rPr>
        <w:t>a</w:t>
      </w:r>
      <w:r w:rsidR="00C058DB" w:rsidRPr="00C058DB">
        <w:rPr>
          <w:rFonts w:asciiTheme="minorHAnsi" w:hAnsiTheme="minorHAnsi" w:cstheme="minorHAnsi"/>
          <w:sz w:val="24"/>
          <w:szCs w:val="24"/>
        </w:rPr>
        <w:t xml:space="preserve">ediatric patients with </w:t>
      </w:r>
      <w:proofErr w:type="spellStart"/>
      <w:r w:rsidR="00C058DB" w:rsidRPr="00C058DB">
        <w:rPr>
          <w:rFonts w:asciiTheme="minorHAnsi" w:hAnsiTheme="minorHAnsi" w:cstheme="minorHAnsi"/>
          <w:sz w:val="24"/>
          <w:szCs w:val="24"/>
        </w:rPr>
        <w:t>unresectable</w:t>
      </w:r>
      <w:proofErr w:type="spellEnd"/>
      <w:r w:rsidR="00C058DB" w:rsidRPr="00C058DB">
        <w:rPr>
          <w:rFonts w:asciiTheme="minorHAnsi" w:hAnsiTheme="minorHAnsi" w:cstheme="minorHAnsi"/>
          <w:sz w:val="24"/>
          <w:szCs w:val="24"/>
        </w:rPr>
        <w:t xml:space="preserve"> or metastatic, microsatellite instability-high (MSI-H) or mismatch repair deficient (</w:t>
      </w:r>
      <w:proofErr w:type="spellStart"/>
      <w:r w:rsidR="00C058DB" w:rsidRPr="00C058DB">
        <w:rPr>
          <w:rFonts w:asciiTheme="minorHAnsi" w:hAnsiTheme="minorHAnsi" w:cstheme="minorHAnsi"/>
          <w:sz w:val="24"/>
          <w:szCs w:val="24"/>
        </w:rPr>
        <w:t>dMMR</w:t>
      </w:r>
      <w:proofErr w:type="spellEnd"/>
      <w:r w:rsidR="00C058DB" w:rsidRPr="00C058DB">
        <w:rPr>
          <w:rFonts w:asciiTheme="minorHAnsi" w:hAnsiTheme="minorHAnsi" w:cstheme="minorHAnsi"/>
          <w:sz w:val="24"/>
          <w:szCs w:val="24"/>
        </w:rPr>
        <w:t>) (a) solid tumo</w:t>
      </w:r>
      <w:r w:rsidR="001157FE">
        <w:rPr>
          <w:rFonts w:asciiTheme="minorHAnsi" w:hAnsiTheme="minorHAnsi" w:cstheme="minorHAnsi"/>
          <w:sz w:val="24"/>
          <w:szCs w:val="24"/>
        </w:rPr>
        <w:t>u</w:t>
      </w:r>
      <w:r w:rsidR="00C058DB" w:rsidRPr="00C058DB">
        <w:rPr>
          <w:rFonts w:asciiTheme="minorHAnsi" w:hAnsiTheme="minorHAnsi" w:cstheme="minorHAnsi"/>
          <w:sz w:val="24"/>
          <w:szCs w:val="24"/>
        </w:rPr>
        <w:t xml:space="preserve">rs that have progressed following prior treatment and who have no satisfactory alternative treatment options, or (b) colorectal cancer that has progressed following treatment with a </w:t>
      </w:r>
      <w:proofErr w:type="spellStart"/>
      <w:r w:rsidR="00C058DB" w:rsidRPr="00C058DB">
        <w:rPr>
          <w:rFonts w:asciiTheme="minorHAnsi" w:hAnsiTheme="minorHAnsi" w:cstheme="minorHAnsi"/>
          <w:sz w:val="24"/>
          <w:szCs w:val="24"/>
        </w:rPr>
        <w:t>fluoropyrimidine</w:t>
      </w:r>
      <w:proofErr w:type="spellEnd"/>
      <w:r w:rsidR="00C058DB" w:rsidRPr="00C058DB">
        <w:rPr>
          <w:rFonts w:asciiTheme="minorHAnsi" w:hAnsiTheme="minorHAnsi" w:cstheme="minorHAnsi"/>
          <w:sz w:val="24"/>
          <w:szCs w:val="24"/>
        </w:rPr>
        <w:t xml:space="preserve">, </w:t>
      </w:r>
      <w:proofErr w:type="spellStart"/>
      <w:r w:rsidR="00C058DB" w:rsidRPr="00C058DB">
        <w:rPr>
          <w:rFonts w:asciiTheme="minorHAnsi" w:hAnsiTheme="minorHAnsi" w:cstheme="minorHAnsi"/>
          <w:sz w:val="24"/>
          <w:szCs w:val="24"/>
        </w:rPr>
        <w:t>oxaliplatin</w:t>
      </w:r>
      <w:proofErr w:type="spellEnd"/>
      <w:r w:rsidR="00C058DB" w:rsidRPr="00C058DB">
        <w:rPr>
          <w:rFonts w:asciiTheme="minorHAnsi" w:hAnsiTheme="minorHAnsi" w:cstheme="minorHAnsi"/>
          <w:sz w:val="24"/>
          <w:szCs w:val="24"/>
        </w:rPr>
        <w:t xml:space="preserve">, and </w:t>
      </w:r>
      <w:proofErr w:type="spellStart"/>
      <w:r w:rsidR="00C058DB" w:rsidRPr="00C058DB">
        <w:rPr>
          <w:rFonts w:asciiTheme="minorHAnsi" w:hAnsiTheme="minorHAnsi" w:cstheme="minorHAnsi"/>
          <w:sz w:val="24"/>
          <w:szCs w:val="24"/>
        </w:rPr>
        <w:t>irinotecan</w:t>
      </w:r>
      <w:proofErr w:type="spellEnd"/>
      <w:r w:rsidR="00C058DB" w:rsidRPr="00C058DB">
        <w:rPr>
          <w:rFonts w:asciiTheme="minorHAnsi" w:hAnsiTheme="minorHAnsi" w:cstheme="minorHAnsi"/>
          <w:sz w:val="24"/>
          <w:szCs w:val="24"/>
        </w:rPr>
        <w:t xml:space="preserve"> (Limitation of Use: The safety and effectiveness of </w:t>
      </w:r>
      <w:proofErr w:type="spellStart"/>
      <w:r w:rsidR="00C058DB" w:rsidRPr="00C058DB">
        <w:rPr>
          <w:rFonts w:asciiTheme="minorHAnsi" w:hAnsiTheme="minorHAnsi" w:cstheme="minorHAnsi"/>
          <w:sz w:val="24"/>
          <w:szCs w:val="24"/>
        </w:rPr>
        <w:t>pembrolizumab</w:t>
      </w:r>
      <w:proofErr w:type="spellEnd"/>
      <w:r w:rsidR="00C058DB" w:rsidRPr="00C058DB">
        <w:rPr>
          <w:rFonts w:asciiTheme="minorHAnsi" w:hAnsiTheme="minorHAnsi" w:cstheme="minorHAnsi"/>
          <w:sz w:val="24"/>
          <w:szCs w:val="24"/>
        </w:rPr>
        <w:t xml:space="preserve"> in paediatric patients with MSI-H central nervous system cancers have not been established</w:t>
      </w:r>
      <w:r w:rsidR="00C058DB">
        <w:rPr>
          <w:rFonts w:asciiTheme="minorHAnsi" w:hAnsiTheme="minorHAnsi" w:cstheme="minorHAnsi"/>
          <w:sz w:val="24"/>
          <w:szCs w:val="24"/>
        </w:rPr>
        <w:t>)</w:t>
      </w:r>
      <w:r w:rsidR="00C058DB" w:rsidRPr="00C058DB">
        <w:rPr>
          <w:rFonts w:asciiTheme="minorHAnsi" w:hAnsiTheme="minorHAnsi" w:cstheme="minorHAnsi"/>
          <w:sz w:val="24"/>
          <w:szCs w:val="24"/>
        </w:rPr>
        <w:t>.</w:t>
      </w:r>
      <w:r w:rsidRPr="00C058DB">
        <w:rPr>
          <w:rFonts w:asciiTheme="minorHAnsi" w:hAnsiTheme="minorHAnsi" w:cstheme="minorHAnsi"/>
          <w:sz w:val="24"/>
          <w:szCs w:val="24"/>
        </w:rPr>
        <w:t xml:space="preserve"> </w:t>
      </w:r>
    </w:p>
    <w:p w:rsidR="00C058DB" w:rsidRPr="00C058DB" w:rsidRDefault="00C058DB" w:rsidP="00C058DB">
      <w:pPr>
        <w:pStyle w:val="ListParagraph"/>
        <w:spacing w:after="240"/>
        <w:rPr>
          <w:rFonts w:asciiTheme="minorHAnsi" w:hAnsiTheme="minorHAnsi" w:cstheme="minorHAnsi"/>
          <w:sz w:val="24"/>
          <w:szCs w:val="24"/>
        </w:rPr>
      </w:pPr>
    </w:p>
    <w:p w:rsidR="001D15AB" w:rsidRDefault="001D15AB" w:rsidP="002375BF">
      <w:pPr>
        <w:pStyle w:val="ListParagraph"/>
        <w:numPr>
          <w:ilvl w:val="1"/>
          <w:numId w:val="14"/>
        </w:numPr>
        <w:spacing w:after="240"/>
        <w:rPr>
          <w:rFonts w:asciiTheme="minorHAnsi" w:hAnsiTheme="minorHAnsi" w:cstheme="minorHAnsi"/>
          <w:sz w:val="24"/>
          <w:szCs w:val="24"/>
        </w:rPr>
      </w:pPr>
      <w:r w:rsidRPr="00AE1050">
        <w:rPr>
          <w:rFonts w:asciiTheme="minorHAnsi" w:hAnsiTheme="minorHAnsi" w:cstheme="minorHAnsi"/>
          <w:sz w:val="24"/>
          <w:szCs w:val="24"/>
        </w:rPr>
        <w:t xml:space="preserve">In 2018 the TGA introduced the provisional approval pathway which allows sponsors to apply for time-limited provisional registration on the Australian Register of Therapeutic Goods (ARTG). It provides access to certain promising new medicines where </w:t>
      </w:r>
      <w:r w:rsidR="003E4A42">
        <w:rPr>
          <w:rFonts w:asciiTheme="minorHAnsi" w:hAnsiTheme="minorHAnsi" w:cstheme="minorHAnsi"/>
          <w:sz w:val="24"/>
          <w:szCs w:val="24"/>
        </w:rPr>
        <w:t xml:space="preserve">it is considered that </w:t>
      </w:r>
      <w:r w:rsidRPr="00AE1050">
        <w:rPr>
          <w:rFonts w:asciiTheme="minorHAnsi" w:hAnsiTheme="minorHAnsi" w:cstheme="minorHAnsi"/>
          <w:sz w:val="24"/>
          <w:szCs w:val="24"/>
        </w:rPr>
        <w:t>the benefit of early availability of the medicine</w:t>
      </w:r>
      <w:r w:rsidR="003E4A42">
        <w:rPr>
          <w:rFonts w:asciiTheme="minorHAnsi" w:hAnsiTheme="minorHAnsi" w:cstheme="minorHAnsi"/>
          <w:sz w:val="24"/>
          <w:szCs w:val="24"/>
        </w:rPr>
        <w:t xml:space="preserve"> potentially</w:t>
      </w:r>
      <w:r w:rsidRPr="00AE1050">
        <w:rPr>
          <w:rFonts w:asciiTheme="minorHAnsi" w:hAnsiTheme="minorHAnsi" w:cstheme="minorHAnsi"/>
          <w:sz w:val="24"/>
          <w:szCs w:val="24"/>
        </w:rPr>
        <w:t xml:space="preserve"> outweighs the risk inherent in the fact that additional data are still required.</w:t>
      </w:r>
      <w:r w:rsidR="00433B7F">
        <w:rPr>
          <w:rFonts w:asciiTheme="minorHAnsi" w:hAnsiTheme="minorHAnsi" w:cstheme="minorHAnsi"/>
          <w:sz w:val="24"/>
          <w:szCs w:val="24"/>
        </w:rPr>
        <w:t xml:space="preserve">  </w:t>
      </w:r>
    </w:p>
    <w:p w:rsidR="00433B7F" w:rsidRPr="00D253BA" w:rsidRDefault="00433B7F" w:rsidP="00D253BA">
      <w:pPr>
        <w:pStyle w:val="ListParagraph"/>
        <w:rPr>
          <w:rFonts w:asciiTheme="minorHAnsi" w:hAnsiTheme="minorHAnsi" w:cstheme="minorHAnsi"/>
          <w:sz w:val="24"/>
          <w:szCs w:val="24"/>
        </w:rPr>
      </w:pPr>
    </w:p>
    <w:p w:rsidR="00433B7F" w:rsidRPr="00AE1050" w:rsidRDefault="00433B7F" w:rsidP="00D253BA">
      <w:pPr>
        <w:pStyle w:val="ListParagraph"/>
        <w:numPr>
          <w:ilvl w:val="1"/>
          <w:numId w:val="14"/>
        </w:numPr>
        <w:spacing w:after="240"/>
        <w:rPr>
          <w:rFonts w:asciiTheme="minorHAnsi" w:hAnsiTheme="minorHAnsi" w:cstheme="minorHAnsi"/>
          <w:sz w:val="24"/>
          <w:szCs w:val="24"/>
        </w:rPr>
      </w:pPr>
      <w:r>
        <w:rPr>
          <w:rFonts w:asciiTheme="minorHAnsi" w:hAnsiTheme="minorHAnsi" w:cstheme="minorHAnsi"/>
          <w:sz w:val="24"/>
          <w:szCs w:val="24"/>
        </w:rPr>
        <w:t xml:space="preserve">At the same time, the TGA introduced a priority approval pathway. </w:t>
      </w:r>
      <w:r w:rsidR="00D253BA" w:rsidRPr="00D253BA">
        <w:rPr>
          <w:rFonts w:asciiTheme="minorHAnsi" w:hAnsiTheme="minorHAnsi" w:cstheme="minorHAnsi"/>
          <w:sz w:val="24"/>
          <w:szCs w:val="24"/>
        </w:rPr>
        <w:t xml:space="preserve">The </w:t>
      </w:r>
      <w:r w:rsidR="00D253BA">
        <w:rPr>
          <w:rFonts w:asciiTheme="minorHAnsi" w:hAnsiTheme="minorHAnsi" w:cstheme="minorHAnsi"/>
          <w:sz w:val="24"/>
          <w:szCs w:val="24"/>
        </w:rPr>
        <w:t xml:space="preserve">TGA </w:t>
      </w:r>
      <w:r w:rsidR="00D253BA" w:rsidRPr="00D253BA">
        <w:rPr>
          <w:rFonts w:asciiTheme="minorHAnsi" w:hAnsiTheme="minorHAnsi" w:cstheme="minorHAnsi"/>
          <w:sz w:val="24"/>
          <w:szCs w:val="24"/>
        </w:rPr>
        <w:t xml:space="preserve">priority </w:t>
      </w:r>
      <w:r w:rsidR="00107CA7">
        <w:rPr>
          <w:rFonts w:asciiTheme="minorHAnsi" w:hAnsiTheme="minorHAnsi" w:cstheme="minorHAnsi"/>
          <w:sz w:val="24"/>
          <w:szCs w:val="24"/>
        </w:rPr>
        <w:t xml:space="preserve">approval </w:t>
      </w:r>
      <w:r w:rsidR="00D253BA" w:rsidRPr="00D253BA">
        <w:rPr>
          <w:rFonts w:asciiTheme="minorHAnsi" w:hAnsiTheme="minorHAnsi" w:cstheme="minorHAnsi"/>
          <w:sz w:val="24"/>
          <w:szCs w:val="24"/>
        </w:rPr>
        <w:t>pathway provides a formal mechanism for faster assessment of vital and life-saving prescription medicines.</w:t>
      </w:r>
      <w:r>
        <w:rPr>
          <w:rFonts w:asciiTheme="minorHAnsi" w:hAnsiTheme="minorHAnsi" w:cstheme="minorHAnsi"/>
          <w:sz w:val="24"/>
          <w:szCs w:val="24"/>
        </w:rPr>
        <w:t xml:space="preserve"> </w:t>
      </w:r>
    </w:p>
    <w:p w:rsidR="00AA74EE" w:rsidRPr="00AE1050" w:rsidRDefault="00AA74EE" w:rsidP="0088732A">
      <w:pPr>
        <w:pStyle w:val="ListParagraph"/>
        <w:spacing w:after="240"/>
        <w:contextualSpacing w:val="0"/>
        <w:rPr>
          <w:rFonts w:asciiTheme="minorHAnsi" w:hAnsiTheme="minorHAnsi" w:cstheme="minorHAnsi"/>
          <w:sz w:val="24"/>
          <w:szCs w:val="24"/>
        </w:rPr>
      </w:pPr>
    </w:p>
    <w:p w:rsidR="00D160D2" w:rsidRPr="00AE1050" w:rsidRDefault="00023174" w:rsidP="00FD1B15">
      <w:pPr>
        <w:pStyle w:val="Heading2"/>
      </w:pPr>
      <w:r w:rsidRPr="00AE1050">
        <w:t xml:space="preserve">PBAC </w:t>
      </w:r>
      <w:r w:rsidR="00B1113F" w:rsidRPr="00AE1050">
        <w:t>Consideration</w:t>
      </w:r>
    </w:p>
    <w:p w:rsidR="00D65EC4" w:rsidRPr="00FD1B15" w:rsidRDefault="00D65EC4" w:rsidP="00FD1B15">
      <w:pPr>
        <w:pStyle w:val="Heading5"/>
      </w:pPr>
      <w:r w:rsidRPr="00FD1B15">
        <w:t>Stakeholder submissions</w:t>
      </w:r>
    </w:p>
    <w:p w:rsidR="006E26FB" w:rsidRPr="00C058DB" w:rsidRDefault="006E26FB" w:rsidP="00C17DFF">
      <w:pPr>
        <w:pStyle w:val="ListParagraph"/>
        <w:numPr>
          <w:ilvl w:val="1"/>
          <w:numId w:val="14"/>
        </w:numPr>
        <w:spacing w:after="240"/>
        <w:contextualSpacing w:val="0"/>
        <w:rPr>
          <w:rFonts w:asciiTheme="minorHAnsi" w:hAnsiTheme="minorHAnsi" w:cstheme="minorHAnsi"/>
          <w:sz w:val="24"/>
          <w:szCs w:val="24"/>
        </w:rPr>
      </w:pPr>
      <w:r w:rsidRPr="00C058DB">
        <w:rPr>
          <w:rFonts w:asciiTheme="minorHAnsi" w:hAnsiTheme="minorHAnsi" w:cstheme="minorHAnsi"/>
          <w:sz w:val="24"/>
          <w:szCs w:val="24"/>
        </w:rPr>
        <w:t xml:space="preserve">The PBAC </w:t>
      </w:r>
      <w:r w:rsidR="00D83FD2" w:rsidRPr="00C058DB">
        <w:rPr>
          <w:rFonts w:asciiTheme="minorHAnsi" w:hAnsiTheme="minorHAnsi" w:cstheme="minorHAnsi"/>
          <w:sz w:val="24"/>
          <w:szCs w:val="24"/>
        </w:rPr>
        <w:t>acknowledged</w:t>
      </w:r>
      <w:r w:rsidRPr="00C058DB">
        <w:rPr>
          <w:rFonts w:asciiTheme="minorHAnsi" w:hAnsiTheme="minorHAnsi" w:cstheme="minorHAnsi"/>
          <w:sz w:val="24"/>
          <w:szCs w:val="24"/>
        </w:rPr>
        <w:t xml:space="preserve"> </w:t>
      </w:r>
      <w:r w:rsidR="00B610CA" w:rsidRPr="00C058DB">
        <w:rPr>
          <w:rFonts w:asciiTheme="minorHAnsi" w:hAnsiTheme="minorHAnsi" w:cstheme="minorHAnsi"/>
          <w:sz w:val="24"/>
          <w:szCs w:val="24"/>
        </w:rPr>
        <w:t xml:space="preserve">the </w:t>
      </w:r>
      <w:r w:rsidR="00D83FD2" w:rsidRPr="00C058DB">
        <w:rPr>
          <w:rFonts w:asciiTheme="minorHAnsi" w:hAnsiTheme="minorHAnsi" w:cstheme="minorHAnsi"/>
          <w:sz w:val="24"/>
          <w:szCs w:val="24"/>
        </w:rPr>
        <w:t>considerable input received through</w:t>
      </w:r>
      <w:r w:rsidRPr="00C058DB">
        <w:rPr>
          <w:rFonts w:asciiTheme="minorHAnsi" w:hAnsiTheme="minorHAnsi" w:cstheme="minorHAnsi"/>
          <w:sz w:val="24"/>
          <w:szCs w:val="24"/>
        </w:rPr>
        <w:t xml:space="preserve"> the submissions to the meeting</w:t>
      </w:r>
      <w:r w:rsidR="004D60BE" w:rsidRPr="00C058DB">
        <w:rPr>
          <w:rFonts w:asciiTheme="minorHAnsi" w:hAnsiTheme="minorHAnsi" w:cstheme="minorHAnsi"/>
          <w:sz w:val="24"/>
          <w:szCs w:val="24"/>
        </w:rPr>
        <w:t xml:space="preserve"> </w:t>
      </w:r>
      <w:r w:rsidR="00C17DFF" w:rsidRPr="00C058DB">
        <w:rPr>
          <w:rFonts w:asciiTheme="minorHAnsi" w:hAnsiTheme="minorHAnsi" w:cstheme="minorHAnsi"/>
          <w:sz w:val="24"/>
          <w:szCs w:val="24"/>
        </w:rPr>
        <w:t>and the diverse views put forward by different stakeholders</w:t>
      </w:r>
      <w:r w:rsidRPr="00C058DB">
        <w:rPr>
          <w:rFonts w:asciiTheme="minorHAnsi" w:hAnsiTheme="minorHAnsi" w:cstheme="minorHAnsi"/>
          <w:sz w:val="24"/>
          <w:szCs w:val="24"/>
        </w:rPr>
        <w:t>.</w:t>
      </w:r>
    </w:p>
    <w:p w:rsidR="00E31D4B" w:rsidRDefault="00891591" w:rsidP="00222DF0">
      <w:pPr>
        <w:pStyle w:val="ListParagraph"/>
        <w:numPr>
          <w:ilvl w:val="1"/>
          <w:numId w:val="14"/>
        </w:numPr>
        <w:spacing w:after="240"/>
        <w:contextualSpacing w:val="0"/>
        <w:rPr>
          <w:rFonts w:asciiTheme="minorHAnsi" w:hAnsiTheme="minorHAnsi" w:cstheme="minorHAnsi"/>
          <w:sz w:val="24"/>
          <w:szCs w:val="24"/>
        </w:rPr>
      </w:pPr>
      <w:r w:rsidRPr="00C058DB">
        <w:rPr>
          <w:rFonts w:asciiTheme="minorHAnsi" w:hAnsiTheme="minorHAnsi" w:cstheme="minorHAnsi"/>
          <w:sz w:val="24"/>
          <w:szCs w:val="24"/>
        </w:rPr>
        <w:t xml:space="preserve">The PBAC noted that twenty eight (28) submissions had been received from a range of stakeholders including nine (9) from industry representatives or representative groups; five (5) from clinical representative groups; four (4) </w:t>
      </w:r>
      <w:r w:rsidR="00646199" w:rsidRPr="00C058DB">
        <w:rPr>
          <w:rFonts w:asciiTheme="minorHAnsi" w:hAnsiTheme="minorHAnsi" w:cstheme="minorHAnsi"/>
          <w:sz w:val="24"/>
          <w:szCs w:val="24"/>
        </w:rPr>
        <w:t xml:space="preserve">each </w:t>
      </w:r>
      <w:r w:rsidRPr="00C058DB">
        <w:rPr>
          <w:rFonts w:asciiTheme="minorHAnsi" w:hAnsiTheme="minorHAnsi" w:cstheme="minorHAnsi"/>
          <w:sz w:val="24"/>
          <w:szCs w:val="24"/>
        </w:rPr>
        <w:t>from consumer representative groups and individual consumers and</w:t>
      </w:r>
      <w:r w:rsidR="00646199" w:rsidRPr="00C058DB">
        <w:rPr>
          <w:rFonts w:asciiTheme="minorHAnsi" w:hAnsiTheme="minorHAnsi" w:cstheme="minorHAnsi"/>
          <w:sz w:val="24"/>
          <w:szCs w:val="24"/>
        </w:rPr>
        <w:t xml:space="preserve"> three (3)</w:t>
      </w:r>
      <w:r w:rsidR="007D40E6">
        <w:rPr>
          <w:rFonts w:asciiTheme="minorHAnsi" w:hAnsiTheme="minorHAnsi" w:cstheme="minorHAnsi"/>
          <w:sz w:val="24"/>
          <w:szCs w:val="24"/>
        </w:rPr>
        <w:t xml:space="preserve"> each</w:t>
      </w:r>
      <w:r w:rsidR="00646199" w:rsidRPr="00C058DB">
        <w:rPr>
          <w:rFonts w:asciiTheme="minorHAnsi" w:hAnsiTheme="minorHAnsi" w:cstheme="minorHAnsi"/>
          <w:sz w:val="24"/>
          <w:szCs w:val="24"/>
        </w:rPr>
        <w:t xml:space="preserve"> </w:t>
      </w:r>
      <w:r w:rsidR="001157FE">
        <w:rPr>
          <w:rFonts w:asciiTheme="minorHAnsi" w:hAnsiTheme="minorHAnsi" w:cstheme="minorHAnsi"/>
          <w:sz w:val="24"/>
          <w:szCs w:val="24"/>
        </w:rPr>
        <w:t xml:space="preserve">from </w:t>
      </w:r>
      <w:r w:rsidRPr="00C058DB">
        <w:rPr>
          <w:rFonts w:asciiTheme="minorHAnsi" w:hAnsiTheme="minorHAnsi" w:cstheme="minorHAnsi"/>
          <w:sz w:val="24"/>
          <w:szCs w:val="24"/>
        </w:rPr>
        <w:t>academic research groups</w:t>
      </w:r>
      <w:r w:rsidR="007D40E6">
        <w:rPr>
          <w:rFonts w:asciiTheme="minorHAnsi" w:hAnsiTheme="minorHAnsi" w:cstheme="minorHAnsi"/>
          <w:sz w:val="24"/>
          <w:szCs w:val="24"/>
        </w:rPr>
        <w:t xml:space="preserve"> and Health Technology Assessment groups</w:t>
      </w:r>
      <w:r w:rsidRPr="00C058DB">
        <w:rPr>
          <w:rFonts w:asciiTheme="minorHAnsi" w:hAnsiTheme="minorHAnsi" w:cstheme="minorHAnsi"/>
          <w:sz w:val="24"/>
          <w:szCs w:val="24"/>
        </w:rPr>
        <w:t>. Twenty-five (25) of the submissions have been published in full</w:t>
      </w:r>
      <w:r w:rsidRPr="00AE1050">
        <w:rPr>
          <w:rFonts w:asciiTheme="minorHAnsi" w:hAnsiTheme="minorHAnsi" w:cstheme="minorHAnsi"/>
          <w:sz w:val="24"/>
          <w:szCs w:val="24"/>
        </w:rPr>
        <w:t xml:space="preserve">, or in part on the PBS website.  </w:t>
      </w:r>
      <w:r w:rsidR="00C058DB">
        <w:rPr>
          <w:rFonts w:asciiTheme="minorHAnsi" w:hAnsiTheme="minorHAnsi" w:cstheme="minorHAnsi"/>
          <w:sz w:val="24"/>
          <w:szCs w:val="24"/>
        </w:rPr>
        <w:t>C</w:t>
      </w:r>
      <w:r w:rsidRPr="00AE1050">
        <w:rPr>
          <w:rFonts w:asciiTheme="minorHAnsi" w:hAnsiTheme="minorHAnsi" w:cstheme="minorHAnsi"/>
          <w:sz w:val="24"/>
          <w:szCs w:val="24"/>
        </w:rPr>
        <w:t>op</w:t>
      </w:r>
      <w:r w:rsidR="00C058DB">
        <w:rPr>
          <w:rFonts w:asciiTheme="minorHAnsi" w:hAnsiTheme="minorHAnsi" w:cstheme="minorHAnsi"/>
          <w:sz w:val="24"/>
          <w:szCs w:val="24"/>
        </w:rPr>
        <w:t>ies</w:t>
      </w:r>
      <w:r w:rsidRPr="00AE1050">
        <w:rPr>
          <w:rFonts w:asciiTheme="minorHAnsi" w:hAnsiTheme="minorHAnsi" w:cstheme="minorHAnsi"/>
          <w:sz w:val="24"/>
          <w:szCs w:val="24"/>
        </w:rPr>
        <w:t xml:space="preserve"> of all </w:t>
      </w:r>
      <w:r w:rsidR="007D40E6">
        <w:rPr>
          <w:rFonts w:asciiTheme="minorHAnsi" w:hAnsiTheme="minorHAnsi" w:cstheme="minorHAnsi"/>
          <w:sz w:val="24"/>
          <w:szCs w:val="24"/>
        </w:rPr>
        <w:t xml:space="preserve">public </w:t>
      </w:r>
      <w:r w:rsidRPr="00AE1050">
        <w:rPr>
          <w:rFonts w:asciiTheme="minorHAnsi" w:hAnsiTheme="minorHAnsi" w:cstheme="minorHAnsi"/>
          <w:sz w:val="24"/>
          <w:szCs w:val="24"/>
        </w:rPr>
        <w:t>submissions to the PBAC</w:t>
      </w:r>
      <w:r w:rsidR="00CA3E7B">
        <w:rPr>
          <w:rFonts w:asciiTheme="minorHAnsi" w:hAnsiTheme="minorHAnsi" w:cstheme="minorHAnsi"/>
          <w:sz w:val="24"/>
          <w:szCs w:val="24"/>
        </w:rPr>
        <w:t xml:space="preserve"> can be accessed from</w:t>
      </w:r>
      <w:r w:rsidR="00566E59">
        <w:rPr>
          <w:rFonts w:asciiTheme="minorHAnsi" w:hAnsiTheme="minorHAnsi" w:cstheme="minorHAnsi"/>
          <w:sz w:val="24"/>
          <w:szCs w:val="24"/>
        </w:rPr>
        <w:t xml:space="preserve"> the PBS website</w:t>
      </w:r>
      <w:r w:rsidR="00CA3E7B">
        <w:rPr>
          <w:rFonts w:asciiTheme="minorHAnsi" w:hAnsiTheme="minorHAnsi" w:cstheme="minorHAnsi"/>
          <w:sz w:val="24"/>
          <w:szCs w:val="24"/>
        </w:rPr>
        <w:t> </w:t>
      </w:r>
    </w:p>
    <w:p w:rsidR="00EB44C6" w:rsidRPr="00AE1050" w:rsidRDefault="00CA3E7B" w:rsidP="00222DF0">
      <w:pPr>
        <w:pStyle w:val="ListParagraph"/>
        <w:numPr>
          <w:ilvl w:val="1"/>
          <w:numId w:val="14"/>
        </w:numPr>
        <w:spacing w:after="240"/>
        <w:contextualSpacing w:val="0"/>
        <w:rPr>
          <w:rFonts w:asciiTheme="minorHAnsi" w:hAnsiTheme="minorHAnsi" w:cstheme="minorHAnsi"/>
          <w:sz w:val="24"/>
          <w:szCs w:val="24"/>
        </w:rPr>
      </w:pPr>
      <w:r>
        <w:rPr>
          <w:rFonts w:asciiTheme="minorHAnsi" w:hAnsiTheme="minorHAnsi" w:cstheme="minorHAnsi"/>
          <w:sz w:val="24"/>
          <w:szCs w:val="24"/>
        </w:rPr>
        <w:lastRenderedPageBreak/>
        <w:t>(</w:t>
      </w:r>
      <w:hyperlink r:id="rId7" w:history="1">
        <w:r w:rsidR="00300744" w:rsidRPr="00B85E89">
          <w:rPr>
            <w:rStyle w:val="Hyperlink"/>
            <w:rFonts w:asciiTheme="minorHAnsi" w:hAnsiTheme="minorHAnsi" w:cstheme="minorHAnsi"/>
            <w:sz w:val="24"/>
            <w:szCs w:val="24"/>
          </w:rPr>
          <w:t>http://www.pbs.gov.au/info/industry/listing/elements/pbac-meetings/agenda/august-2018-pbac-special-meeting</w:t>
        </w:r>
      </w:hyperlink>
      <w:r w:rsidR="00300744">
        <w:rPr>
          <w:rFonts w:asciiTheme="minorHAnsi" w:hAnsiTheme="minorHAnsi" w:cstheme="minorHAnsi"/>
          <w:sz w:val="24"/>
          <w:szCs w:val="24"/>
        </w:rPr>
        <w:t>)</w:t>
      </w:r>
      <w:r w:rsidR="00891591" w:rsidRPr="00AE1050">
        <w:rPr>
          <w:rFonts w:asciiTheme="minorHAnsi" w:hAnsiTheme="minorHAnsi" w:cstheme="minorHAnsi"/>
          <w:sz w:val="24"/>
          <w:szCs w:val="24"/>
        </w:rPr>
        <w:t>.</w:t>
      </w:r>
    </w:p>
    <w:p w:rsidR="00646199" w:rsidRDefault="00646199" w:rsidP="00D46B5B">
      <w:pPr>
        <w:pStyle w:val="ListParagraph"/>
        <w:numPr>
          <w:ilvl w:val="1"/>
          <w:numId w:val="14"/>
        </w:numPr>
        <w:spacing w:after="240"/>
        <w:rPr>
          <w:rFonts w:asciiTheme="minorHAnsi" w:hAnsiTheme="minorHAnsi" w:cstheme="minorHAnsi"/>
          <w:sz w:val="24"/>
          <w:szCs w:val="24"/>
        </w:rPr>
      </w:pPr>
      <w:r>
        <w:rPr>
          <w:rFonts w:asciiTheme="minorHAnsi" w:hAnsiTheme="minorHAnsi" w:cstheme="minorHAnsi"/>
          <w:sz w:val="24"/>
          <w:szCs w:val="24"/>
        </w:rPr>
        <w:t>The key themes emerging from the consumer representative and patient  submissions are:</w:t>
      </w:r>
    </w:p>
    <w:p w:rsidR="00646199" w:rsidRDefault="00646199" w:rsidP="00C17DFF">
      <w:pPr>
        <w:pStyle w:val="ListParagraph"/>
        <w:spacing w:after="240"/>
        <w:rPr>
          <w:rFonts w:asciiTheme="minorHAnsi" w:hAnsiTheme="minorHAnsi" w:cstheme="minorHAnsi"/>
          <w:sz w:val="24"/>
          <w:szCs w:val="24"/>
        </w:rPr>
      </w:pPr>
    </w:p>
    <w:p w:rsidR="00646199" w:rsidRPr="00C17DFF" w:rsidRDefault="0012400D" w:rsidP="00C17DFF">
      <w:pPr>
        <w:pStyle w:val="ListParagraph"/>
        <w:numPr>
          <w:ilvl w:val="2"/>
          <w:numId w:val="14"/>
        </w:numPr>
        <w:spacing w:after="240"/>
        <w:ind w:left="1418" w:hanging="709"/>
        <w:rPr>
          <w:rFonts w:asciiTheme="minorHAnsi" w:hAnsiTheme="minorHAnsi" w:cstheme="minorHAnsi"/>
          <w:sz w:val="24"/>
          <w:szCs w:val="24"/>
        </w:rPr>
      </w:pPr>
      <w:r>
        <w:rPr>
          <w:rFonts w:asciiTheme="minorHAnsi" w:hAnsiTheme="minorHAnsi" w:cstheme="minorHAnsi"/>
          <w:sz w:val="24"/>
          <w:szCs w:val="24"/>
        </w:rPr>
        <w:t xml:space="preserve">The PBS processes should not preference </w:t>
      </w:r>
      <w:r w:rsidR="005C55B7">
        <w:rPr>
          <w:rFonts w:asciiTheme="minorHAnsi" w:hAnsiTheme="minorHAnsi" w:cstheme="minorHAnsi"/>
          <w:sz w:val="24"/>
          <w:szCs w:val="24"/>
        </w:rPr>
        <w:t xml:space="preserve">specific disease </w:t>
      </w:r>
      <w:r w:rsidR="007827EA">
        <w:rPr>
          <w:rFonts w:asciiTheme="minorHAnsi" w:hAnsiTheme="minorHAnsi" w:cstheme="minorHAnsi"/>
          <w:sz w:val="24"/>
          <w:szCs w:val="24"/>
        </w:rPr>
        <w:t>groups in considering new medicines</w:t>
      </w:r>
      <w:r w:rsidR="00C17DFF" w:rsidRPr="00C17DFF">
        <w:rPr>
          <w:rFonts w:asciiTheme="minorHAnsi" w:hAnsiTheme="minorHAnsi" w:cstheme="minorHAnsi"/>
          <w:sz w:val="24"/>
          <w:szCs w:val="24"/>
        </w:rPr>
        <w:t>.</w:t>
      </w:r>
    </w:p>
    <w:p w:rsidR="00C17DFF" w:rsidRPr="00C17DFF" w:rsidRDefault="00C17DFF" w:rsidP="00C17DFF">
      <w:pPr>
        <w:pStyle w:val="ListParagraph"/>
        <w:spacing w:after="240"/>
        <w:ind w:left="1418"/>
        <w:rPr>
          <w:rFonts w:asciiTheme="minorHAnsi" w:hAnsiTheme="minorHAnsi" w:cstheme="minorHAnsi"/>
          <w:sz w:val="24"/>
          <w:szCs w:val="24"/>
        </w:rPr>
      </w:pPr>
    </w:p>
    <w:p w:rsidR="00C17DFF" w:rsidRPr="00C17DFF" w:rsidRDefault="00646199" w:rsidP="00C17DFF">
      <w:pPr>
        <w:pStyle w:val="ListParagraph"/>
        <w:numPr>
          <w:ilvl w:val="2"/>
          <w:numId w:val="14"/>
        </w:numPr>
        <w:spacing w:after="240"/>
        <w:ind w:left="1418" w:hanging="709"/>
        <w:rPr>
          <w:rFonts w:asciiTheme="minorHAnsi" w:hAnsiTheme="minorHAnsi" w:cstheme="minorHAnsi"/>
          <w:sz w:val="24"/>
          <w:szCs w:val="24"/>
        </w:rPr>
      </w:pPr>
      <w:r w:rsidRPr="00C17DFF">
        <w:rPr>
          <w:rFonts w:asciiTheme="minorHAnsi" w:hAnsiTheme="minorHAnsi" w:cstheme="minorHAnsi"/>
          <w:sz w:val="24"/>
          <w:szCs w:val="24"/>
        </w:rPr>
        <w:t xml:space="preserve">Resources for drug access and subsidy should be allocated in an </w:t>
      </w:r>
      <w:r w:rsidR="00CD4E4F" w:rsidRPr="00C17DFF">
        <w:rPr>
          <w:rFonts w:asciiTheme="minorHAnsi" w:hAnsiTheme="minorHAnsi" w:cstheme="minorHAnsi"/>
          <w:sz w:val="24"/>
          <w:szCs w:val="24"/>
        </w:rPr>
        <w:t>evidence-based</w:t>
      </w:r>
      <w:r w:rsidRPr="00C17DFF">
        <w:rPr>
          <w:rFonts w:asciiTheme="minorHAnsi" w:hAnsiTheme="minorHAnsi" w:cstheme="minorHAnsi"/>
          <w:sz w:val="24"/>
          <w:szCs w:val="24"/>
        </w:rPr>
        <w:t xml:space="preserve"> process</w:t>
      </w:r>
      <w:r w:rsidR="00C17DFF" w:rsidRPr="00C17DFF">
        <w:rPr>
          <w:rFonts w:asciiTheme="minorHAnsi" w:hAnsiTheme="minorHAnsi" w:cstheme="minorHAnsi"/>
          <w:sz w:val="24"/>
          <w:szCs w:val="24"/>
        </w:rPr>
        <w:t>.</w:t>
      </w:r>
    </w:p>
    <w:p w:rsidR="00646199" w:rsidRPr="00C17DFF" w:rsidRDefault="00646199" w:rsidP="00C17DFF">
      <w:pPr>
        <w:pStyle w:val="ListParagraph"/>
        <w:spacing w:after="240"/>
        <w:ind w:left="1418"/>
        <w:rPr>
          <w:rFonts w:asciiTheme="minorHAnsi" w:hAnsiTheme="minorHAnsi" w:cstheme="minorHAnsi"/>
          <w:sz w:val="24"/>
          <w:szCs w:val="24"/>
        </w:rPr>
      </w:pPr>
      <w:r w:rsidRPr="00C17DFF">
        <w:rPr>
          <w:rFonts w:asciiTheme="minorHAnsi" w:hAnsiTheme="minorHAnsi" w:cstheme="minorHAnsi"/>
          <w:sz w:val="24"/>
          <w:szCs w:val="24"/>
        </w:rPr>
        <w:t xml:space="preserve"> </w:t>
      </w:r>
    </w:p>
    <w:p w:rsidR="00646199" w:rsidRPr="00C17DFF" w:rsidRDefault="00646199" w:rsidP="00C17DFF">
      <w:pPr>
        <w:pStyle w:val="ListParagraph"/>
        <w:numPr>
          <w:ilvl w:val="2"/>
          <w:numId w:val="14"/>
        </w:numPr>
        <w:spacing w:after="240"/>
        <w:ind w:left="1418" w:hanging="709"/>
        <w:rPr>
          <w:rFonts w:asciiTheme="minorHAnsi" w:hAnsiTheme="minorHAnsi" w:cstheme="minorHAnsi"/>
          <w:sz w:val="24"/>
          <w:szCs w:val="24"/>
        </w:rPr>
      </w:pPr>
      <w:r w:rsidRPr="00C17DFF">
        <w:rPr>
          <w:rFonts w:asciiTheme="minorHAnsi" w:hAnsiTheme="minorHAnsi" w:cstheme="minorHAnsi"/>
          <w:sz w:val="24"/>
          <w:szCs w:val="24"/>
        </w:rPr>
        <w:t>The whole community needs to be able to trust in the transparency of decision making</w:t>
      </w:r>
      <w:r w:rsidR="00C17DFF" w:rsidRPr="00C17DFF">
        <w:rPr>
          <w:rFonts w:asciiTheme="minorHAnsi" w:hAnsiTheme="minorHAnsi" w:cstheme="minorHAnsi"/>
          <w:sz w:val="24"/>
          <w:szCs w:val="24"/>
        </w:rPr>
        <w:t xml:space="preserve"> as supported by the current framework.</w:t>
      </w:r>
    </w:p>
    <w:p w:rsidR="00C17DFF" w:rsidRPr="00C17DFF" w:rsidRDefault="00C17DFF" w:rsidP="00C17DFF">
      <w:pPr>
        <w:pStyle w:val="ListParagraph"/>
        <w:spacing w:after="240"/>
        <w:ind w:left="1418"/>
        <w:rPr>
          <w:rFonts w:asciiTheme="minorHAnsi" w:hAnsiTheme="minorHAnsi" w:cstheme="minorHAnsi"/>
          <w:sz w:val="24"/>
          <w:szCs w:val="24"/>
        </w:rPr>
      </w:pPr>
    </w:p>
    <w:p w:rsidR="00646199" w:rsidRPr="00C17DFF" w:rsidRDefault="00C17DFF" w:rsidP="00C17DFF">
      <w:pPr>
        <w:pStyle w:val="ListParagraph"/>
        <w:numPr>
          <w:ilvl w:val="2"/>
          <w:numId w:val="14"/>
        </w:numPr>
        <w:spacing w:after="240"/>
        <w:ind w:left="1418" w:hanging="709"/>
        <w:rPr>
          <w:rFonts w:asciiTheme="minorHAnsi" w:hAnsiTheme="minorHAnsi" w:cstheme="minorHAnsi"/>
          <w:sz w:val="24"/>
          <w:szCs w:val="24"/>
        </w:rPr>
      </w:pPr>
      <w:r w:rsidRPr="00C17DFF">
        <w:rPr>
          <w:rFonts w:asciiTheme="minorHAnsi" w:hAnsiTheme="minorHAnsi" w:cstheme="minorHAnsi"/>
          <w:sz w:val="24"/>
          <w:szCs w:val="24"/>
        </w:rPr>
        <w:t xml:space="preserve">There is a </w:t>
      </w:r>
      <w:r w:rsidR="00284675">
        <w:rPr>
          <w:rFonts w:asciiTheme="minorHAnsi" w:hAnsiTheme="minorHAnsi" w:cstheme="minorHAnsi"/>
          <w:sz w:val="24"/>
          <w:szCs w:val="24"/>
        </w:rPr>
        <w:t xml:space="preserve">concern that </w:t>
      </w:r>
      <w:r w:rsidR="00646199" w:rsidRPr="00C17DFF">
        <w:rPr>
          <w:rFonts w:asciiTheme="minorHAnsi" w:hAnsiTheme="minorHAnsi" w:cstheme="minorHAnsi"/>
          <w:sz w:val="24"/>
          <w:szCs w:val="24"/>
        </w:rPr>
        <w:t>funding of certain diseases / population groups is occurring outside of the objectives of the N</w:t>
      </w:r>
      <w:r w:rsidRPr="00C17DFF">
        <w:rPr>
          <w:rFonts w:asciiTheme="minorHAnsi" w:hAnsiTheme="minorHAnsi" w:cstheme="minorHAnsi"/>
          <w:sz w:val="24"/>
          <w:szCs w:val="24"/>
        </w:rPr>
        <w:t xml:space="preserve">ational </w:t>
      </w:r>
      <w:r w:rsidR="00646199" w:rsidRPr="00C17DFF">
        <w:rPr>
          <w:rFonts w:asciiTheme="minorHAnsi" w:hAnsiTheme="minorHAnsi" w:cstheme="minorHAnsi"/>
          <w:sz w:val="24"/>
          <w:szCs w:val="24"/>
        </w:rPr>
        <w:t>M</w:t>
      </w:r>
      <w:r w:rsidRPr="00C17DFF">
        <w:rPr>
          <w:rFonts w:asciiTheme="minorHAnsi" w:hAnsiTheme="minorHAnsi" w:cstheme="minorHAnsi"/>
          <w:sz w:val="24"/>
          <w:szCs w:val="24"/>
        </w:rPr>
        <w:t xml:space="preserve">edicines </w:t>
      </w:r>
      <w:r w:rsidR="00646199" w:rsidRPr="00C17DFF">
        <w:rPr>
          <w:rFonts w:asciiTheme="minorHAnsi" w:hAnsiTheme="minorHAnsi" w:cstheme="minorHAnsi"/>
          <w:sz w:val="24"/>
          <w:szCs w:val="24"/>
        </w:rPr>
        <w:t>P</w:t>
      </w:r>
      <w:r w:rsidRPr="00C17DFF">
        <w:rPr>
          <w:rFonts w:asciiTheme="minorHAnsi" w:hAnsiTheme="minorHAnsi" w:cstheme="minorHAnsi"/>
          <w:sz w:val="24"/>
          <w:szCs w:val="24"/>
        </w:rPr>
        <w:t>olicy.</w:t>
      </w:r>
    </w:p>
    <w:p w:rsidR="00C17DFF" w:rsidRPr="00C17DFF" w:rsidRDefault="00C17DFF" w:rsidP="00C17DFF">
      <w:pPr>
        <w:pStyle w:val="ListParagraph"/>
        <w:spacing w:after="240"/>
        <w:ind w:left="1418"/>
        <w:rPr>
          <w:rFonts w:asciiTheme="minorHAnsi" w:hAnsiTheme="minorHAnsi" w:cstheme="minorHAnsi"/>
          <w:sz w:val="24"/>
          <w:szCs w:val="24"/>
        </w:rPr>
      </w:pPr>
    </w:p>
    <w:p w:rsidR="00C17DFF" w:rsidRDefault="00C17DFF" w:rsidP="00C17DFF">
      <w:pPr>
        <w:pStyle w:val="ListParagraph"/>
        <w:numPr>
          <w:ilvl w:val="2"/>
          <w:numId w:val="14"/>
        </w:numPr>
        <w:spacing w:after="240"/>
        <w:ind w:left="1418" w:hanging="709"/>
        <w:rPr>
          <w:rFonts w:asciiTheme="minorHAnsi" w:hAnsiTheme="minorHAnsi" w:cstheme="minorHAnsi"/>
          <w:sz w:val="24"/>
          <w:szCs w:val="24"/>
        </w:rPr>
      </w:pPr>
      <w:r w:rsidRPr="00C17DFF">
        <w:rPr>
          <w:rFonts w:asciiTheme="minorHAnsi" w:hAnsiTheme="minorHAnsi" w:cstheme="minorHAnsi"/>
          <w:sz w:val="24"/>
          <w:szCs w:val="24"/>
        </w:rPr>
        <w:t>The s</w:t>
      </w:r>
      <w:r w:rsidR="00646199" w:rsidRPr="00C17DFF">
        <w:rPr>
          <w:rFonts w:asciiTheme="minorHAnsi" w:hAnsiTheme="minorHAnsi" w:cstheme="minorHAnsi"/>
          <w:sz w:val="24"/>
          <w:szCs w:val="24"/>
        </w:rPr>
        <w:t>afety and benefits of medicines should be proven before access is subsidised</w:t>
      </w:r>
      <w:r w:rsidRPr="00C17DFF">
        <w:rPr>
          <w:rFonts w:asciiTheme="minorHAnsi" w:hAnsiTheme="minorHAnsi" w:cstheme="minorHAnsi"/>
          <w:sz w:val="24"/>
          <w:szCs w:val="24"/>
        </w:rPr>
        <w:t>.</w:t>
      </w:r>
    </w:p>
    <w:p w:rsidR="00C17DFF" w:rsidRPr="00C17DFF" w:rsidRDefault="00C17DFF" w:rsidP="00C17DFF">
      <w:pPr>
        <w:pStyle w:val="ListParagraph"/>
        <w:spacing w:after="240"/>
        <w:ind w:left="1418"/>
        <w:rPr>
          <w:rFonts w:asciiTheme="minorHAnsi" w:hAnsiTheme="minorHAnsi" w:cstheme="minorHAnsi"/>
          <w:sz w:val="24"/>
          <w:szCs w:val="24"/>
        </w:rPr>
      </w:pPr>
    </w:p>
    <w:p w:rsidR="00646199" w:rsidRPr="00C17DFF" w:rsidRDefault="00646199" w:rsidP="00C17DFF">
      <w:pPr>
        <w:pStyle w:val="ListParagraph"/>
        <w:numPr>
          <w:ilvl w:val="2"/>
          <w:numId w:val="14"/>
        </w:numPr>
        <w:spacing w:after="240"/>
        <w:ind w:left="1418" w:hanging="709"/>
        <w:rPr>
          <w:rFonts w:asciiTheme="minorHAnsi" w:hAnsiTheme="minorHAnsi" w:cstheme="minorHAnsi"/>
          <w:sz w:val="24"/>
          <w:szCs w:val="24"/>
        </w:rPr>
      </w:pPr>
      <w:r w:rsidRPr="00C17DFF">
        <w:rPr>
          <w:rFonts w:asciiTheme="minorHAnsi" w:hAnsiTheme="minorHAnsi" w:cstheme="minorHAnsi"/>
          <w:sz w:val="24"/>
          <w:szCs w:val="24"/>
        </w:rPr>
        <w:t>Clinical trials</w:t>
      </w:r>
      <w:r w:rsidR="001157FE">
        <w:rPr>
          <w:rFonts w:asciiTheme="minorHAnsi" w:hAnsiTheme="minorHAnsi" w:cstheme="minorHAnsi"/>
          <w:sz w:val="24"/>
          <w:szCs w:val="24"/>
        </w:rPr>
        <w:t xml:space="preserve"> and</w:t>
      </w:r>
      <w:r w:rsidRPr="00C17DFF">
        <w:rPr>
          <w:rFonts w:asciiTheme="minorHAnsi" w:hAnsiTheme="minorHAnsi" w:cstheme="minorHAnsi"/>
          <w:sz w:val="24"/>
          <w:szCs w:val="24"/>
        </w:rPr>
        <w:t xml:space="preserve"> </w:t>
      </w:r>
      <w:r w:rsidR="00C17DFF" w:rsidRPr="00C17DFF">
        <w:rPr>
          <w:rFonts w:asciiTheme="minorHAnsi" w:hAnsiTheme="minorHAnsi" w:cstheme="minorHAnsi"/>
          <w:sz w:val="24"/>
          <w:szCs w:val="24"/>
        </w:rPr>
        <w:t>other access programs</w:t>
      </w:r>
      <w:r w:rsidRPr="00C17DFF">
        <w:rPr>
          <w:rFonts w:asciiTheme="minorHAnsi" w:hAnsiTheme="minorHAnsi" w:cstheme="minorHAnsi"/>
          <w:sz w:val="24"/>
          <w:szCs w:val="24"/>
        </w:rPr>
        <w:t xml:space="preserve"> should be separate options for patients, not linked to sponsor applications for PBS </w:t>
      </w:r>
      <w:r w:rsidR="00C17DFF" w:rsidRPr="00C17DFF">
        <w:rPr>
          <w:rFonts w:asciiTheme="minorHAnsi" w:hAnsiTheme="minorHAnsi" w:cstheme="minorHAnsi"/>
          <w:sz w:val="24"/>
          <w:szCs w:val="24"/>
        </w:rPr>
        <w:t>subsidy.</w:t>
      </w:r>
    </w:p>
    <w:p w:rsidR="00C17DFF" w:rsidRDefault="00C17DFF" w:rsidP="00C17DFF">
      <w:pPr>
        <w:pStyle w:val="ListParagraph"/>
        <w:spacing w:after="240"/>
        <w:rPr>
          <w:rFonts w:asciiTheme="minorHAnsi" w:hAnsiTheme="minorHAnsi" w:cstheme="minorHAnsi"/>
          <w:sz w:val="24"/>
          <w:szCs w:val="24"/>
        </w:rPr>
      </w:pPr>
    </w:p>
    <w:p w:rsidR="00D46B5B" w:rsidRDefault="00D46B5B" w:rsidP="006350C0">
      <w:pPr>
        <w:pStyle w:val="ListParagraph"/>
        <w:numPr>
          <w:ilvl w:val="1"/>
          <w:numId w:val="14"/>
        </w:numPr>
        <w:spacing w:after="240"/>
        <w:rPr>
          <w:rFonts w:asciiTheme="minorHAnsi" w:hAnsiTheme="minorHAnsi" w:cstheme="minorHAnsi"/>
          <w:sz w:val="24"/>
          <w:szCs w:val="24"/>
        </w:rPr>
      </w:pPr>
      <w:r w:rsidRPr="00AE1050">
        <w:rPr>
          <w:rFonts w:asciiTheme="minorHAnsi" w:hAnsiTheme="minorHAnsi" w:cstheme="minorHAnsi"/>
          <w:sz w:val="24"/>
          <w:szCs w:val="24"/>
        </w:rPr>
        <w:t>The PBAC noted th</w:t>
      </w:r>
      <w:r w:rsidR="00C17DFF">
        <w:rPr>
          <w:rFonts w:asciiTheme="minorHAnsi" w:hAnsiTheme="minorHAnsi" w:cstheme="minorHAnsi"/>
          <w:sz w:val="24"/>
          <w:szCs w:val="24"/>
        </w:rPr>
        <w:t>at</w:t>
      </w:r>
      <w:r w:rsidRPr="00AE1050">
        <w:rPr>
          <w:rFonts w:asciiTheme="minorHAnsi" w:hAnsiTheme="minorHAnsi" w:cstheme="minorHAnsi"/>
          <w:sz w:val="24"/>
          <w:szCs w:val="24"/>
        </w:rPr>
        <w:t xml:space="preserve"> </w:t>
      </w:r>
      <w:r w:rsidR="00646199">
        <w:rPr>
          <w:rFonts w:asciiTheme="minorHAnsi" w:hAnsiTheme="minorHAnsi" w:cstheme="minorHAnsi"/>
          <w:sz w:val="24"/>
          <w:szCs w:val="24"/>
        </w:rPr>
        <w:t>other</w:t>
      </w:r>
      <w:r w:rsidRPr="00AE1050">
        <w:rPr>
          <w:rFonts w:asciiTheme="minorHAnsi" w:hAnsiTheme="minorHAnsi" w:cstheme="minorHAnsi"/>
          <w:sz w:val="24"/>
          <w:szCs w:val="24"/>
        </w:rPr>
        <w:t xml:space="preserve"> views</w:t>
      </w:r>
      <w:r w:rsidR="00C17DFF">
        <w:rPr>
          <w:rFonts w:asciiTheme="minorHAnsi" w:hAnsiTheme="minorHAnsi" w:cstheme="minorHAnsi"/>
          <w:sz w:val="24"/>
          <w:szCs w:val="24"/>
        </w:rPr>
        <w:t xml:space="preserve"> presented in the broader set of submissions included:</w:t>
      </w:r>
      <w:r w:rsidR="006350C0">
        <w:rPr>
          <w:rFonts w:asciiTheme="minorHAnsi" w:hAnsiTheme="minorHAnsi" w:cstheme="minorHAnsi"/>
          <w:sz w:val="24"/>
          <w:szCs w:val="24"/>
        </w:rPr>
        <w:t xml:space="preserve"> </w:t>
      </w:r>
    </w:p>
    <w:p w:rsidR="006350C0" w:rsidRPr="006350C0" w:rsidRDefault="006350C0" w:rsidP="006350C0">
      <w:pPr>
        <w:pStyle w:val="ListParagraph"/>
        <w:spacing w:after="240"/>
        <w:rPr>
          <w:rFonts w:asciiTheme="minorHAnsi" w:hAnsiTheme="minorHAnsi" w:cstheme="minorHAnsi"/>
          <w:sz w:val="24"/>
          <w:szCs w:val="24"/>
        </w:rPr>
      </w:pPr>
    </w:p>
    <w:p w:rsidR="00D46B5B" w:rsidRPr="00AE1050" w:rsidRDefault="00D46B5B" w:rsidP="0088732A">
      <w:pPr>
        <w:pStyle w:val="ListParagraph"/>
        <w:numPr>
          <w:ilvl w:val="2"/>
          <w:numId w:val="14"/>
        </w:numPr>
        <w:spacing w:after="240"/>
        <w:ind w:left="1418" w:hanging="709"/>
        <w:rPr>
          <w:rFonts w:asciiTheme="minorHAnsi" w:hAnsiTheme="minorHAnsi" w:cstheme="minorHAnsi"/>
          <w:sz w:val="24"/>
          <w:szCs w:val="24"/>
        </w:rPr>
      </w:pPr>
      <w:r w:rsidRPr="00AE1050">
        <w:rPr>
          <w:rFonts w:asciiTheme="minorHAnsi" w:hAnsiTheme="minorHAnsi" w:cstheme="minorHAnsi"/>
          <w:sz w:val="24"/>
          <w:szCs w:val="24"/>
        </w:rPr>
        <w:t xml:space="preserve">Sixteen (16) of the submissions explicitly supported an alternative approach for listing </w:t>
      </w:r>
      <w:r w:rsidR="006C361A" w:rsidRPr="00AE1050">
        <w:rPr>
          <w:rFonts w:asciiTheme="minorHAnsi" w:hAnsiTheme="minorHAnsi" w:cstheme="minorHAnsi"/>
          <w:sz w:val="24"/>
          <w:szCs w:val="24"/>
        </w:rPr>
        <w:t>PD</w:t>
      </w:r>
      <w:r w:rsidR="006C361A">
        <w:rPr>
          <w:rFonts w:asciiTheme="minorHAnsi" w:hAnsiTheme="minorHAnsi" w:cstheme="minorHAnsi"/>
          <w:sz w:val="24"/>
          <w:szCs w:val="24"/>
        </w:rPr>
        <w:t>-</w:t>
      </w:r>
      <w:r w:rsidR="006C361A" w:rsidRPr="00AE1050">
        <w:rPr>
          <w:rFonts w:asciiTheme="minorHAnsi" w:hAnsiTheme="minorHAnsi" w:cstheme="minorHAnsi"/>
          <w:sz w:val="24"/>
          <w:szCs w:val="24"/>
        </w:rPr>
        <w:t>(L)1</w:t>
      </w:r>
      <w:r w:rsidR="006C361A">
        <w:rPr>
          <w:rFonts w:asciiTheme="minorHAnsi" w:hAnsiTheme="minorHAnsi" w:cstheme="minorHAnsi"/>
          <w:sz w:val="24"/>
          <w:szCs w:val="24"/>
        </w:rPr>
        <w:t xml:space="preserve"> </w:t>
      </w:r>
      <w:r w:rsidRPr="00AE1050">
        <w:rPr>
          <w:rFonts w:asciiTheme="minorHAnsi" w:hAnsiTheme="minorHAnsi" w:cstheme="minorHAnsi"/>
          <w:sz w:val="24"/>
          <w:szCs w:val="24"/>
        </w:rPr>
        <w:t xml:space="preserve">checkpoint inhibitor immunotherapies for the treatment of multiple cancer indications on the PBS. </w:t>
      </w:r>
    </w:p>
    <w:p w:rsidR="002375BF" w:rsidRPr="00AE1050" w:rsidRDefault="002375BF" w:rsidP="00AE1050">
      <w:pPr>
        <w:pStyle w:val="ListParagraph"/>
        <w:spacing w:after="240"/>
        <w:ind w:left="1418"/>
        <w:rPr>
          <w:rFonts w:asciiTheme="minorHAnsi" w:hAnsiTheme="minorHAnsi" w:cstheme="minorHAnsi"/>
          <w:sz w:val="24"/>
          <w:szCs w:val="24"/>
        </w:rPr>
      </w:pPr>
    </w:p>
    <w:p w:rsidR="00D46B5B" w:rsidRPr="00AE1050" w:rsidRDefault="00D46B5B" w:rsidP="0088732A">
      <w:pPr>
        <w:pStyle w:val="ListParagraph"/>
        <w:numPr>
          <w:ilvl w:val="2"/>
          <w:numId w:val="14"/>
        </w:numPr>
        <w:spacing w:after="240"/>
        <w:ind w:left="1418" w:hanging="709"/>
        <w:rPr>
          <w:rFonts w:asciiTheme="minorHAnsi" w:hAnsiTheme="minorHAnsi" w:cstheme="minorHAnsi"/>
          <w:sz w:val="24"/>
          <w:szCs w:val="24"/>
        </w:rPr>
      </w:pPr>
      <w:r w:rsidRPr="00AE1050">
        <w:rPr>
          <w:rFonts w:asciiTheme="minorHAnsi" w:hAnsiTheme="minorHAnsi" w:cstheme="minorHAnsi"/>
          <w:sz w:val="24"/>
          <w:szCs w:val="24"/>
        </w:rPr>
        <w:t>Nineteen (19) submissions were not in favour of the PBAC setting aside one meeting a year for the sole consideration of this class of medicines at the expense of other medicines.</w:t>
      </w:r>
    </w:p>
    <w:p w:rsidR="00891591" w:rsidRPr="00AE1050" w:rsidRDefault="00891591" w:rsidP="00AE1050">
      <w:pPr>
        <w:pStyle w:val="ListParagraph"/>
        <w:spacing w:after="240"/>
        <w:ind w:left="1418"/>
        <w:rPr>
          <w:rFonts w:asciiTheme="minorHAnsi" w:hAnsiTheme="minorHAnsi" w:cstheme="minorHAnsi"/>
          <w:sz w:val="24"/>
          <w:szCs w:val="24"/>
        </w:rPr>
      </w:pPr>
    </w:p>
    <w:p w:rsidR="00D46B5B" w:rsidRPr="00AE1050" w:rsidRDefault="00D46B5B" w:rsidP="0088732A">
      <w:pPr>
        <w:pStyle w:val="ListParagraph"/>
        <w:numPr>
          <w:ilvl w:val="2"/>
          <w:numId w:val="14"/>
        </w:numPr>
        <w:spacing w:after="240"/>
        <w:ind w:left="1418" w:hanging="709"/>
        <w:rPr>
          <w:rFonts w:asciiTheme="minorHAnsi" w:hAnsiTheme="minorHAnsi" w:cstheme="minorHAnsi"/>
          <w:sz w:val="24"/>
          <w:szCs w:val="24"/>
        </w:rPr>
      </w:pPr>
      <w:r w:rsidRPr="00AE1050">
        <w:rPr>
          <w:rFonts w:asciiTheme="minorHAnsi" w:hAnsiTheme="minorHAnsi" w:cstheme="minorHAnsi"/>
          <w:sz w:val="24"/>
          <w:szCs w:val="24"/>
        </w:rPr>
        <w:t>A common advantage of</w:t>
      </w:r>
      <w:r w:rsidRPr="00AE1050">
        <w:rPr>
          <w:rFonts w:asciiTheme="minorHAnsi" w:hAnsiTheme="minorHAnsi" w:cstheme="minorHAnsi"/>
        </w:rPr>
        <w:t xml:space="preserve"> </w:t>
      </w:r>
      <w:r w:rsidRPr="00AE1050">
        <w:rPr>
          <w:rFonts w:asciiTheme="minorHAnsi" w:hAnsiTheme="minorHAnsi" w:cstheme="minorHAnsi"/>
          <w:sz w:val="24"/>
          <w:szCs w:val="24"/>
        </w:rPr>
        <w:t xml:space="preserve">an alternative approach for multi-tumour listings </w:t>
      </w:r>
      <w:r w:rsidR="0088732A" w:rsidRPr="00AE1050">
        <w:rPr>
          <w:rFonts w:asciiTheme="minorHAnsi" w:hAnsiTheme="minorHAnsi" w:cstheme="minorHAnsi"/>
          <w:sz w:val="24"/>
          <w:szCs w:val="24"/>
        </w:rPr>
        <w:t xml:space="preserve">perceived </w:t>
      </w:r>
      <w:r w:rsidRPr="00AE1050">
        <w:rPr>
          <w:rFonts w:asciiTheme="minorHAnsi" w:hAnsiTheme="minorHAnsi" w:cstheme="minorHAnsi"/>
          <w:sz w:val="24"/>
          <w:szCs w:val="24"/>
        </w:rPr>
        <w:t>by respondents was the potential for accelerated/earlier acces</w:t>
      </w:r>
      <w:r w:rsidR="0088732A" w:rsidRPr="00AE1050">
        <w:rPr>
          <w:rFonts w:asciiTheme="minorHAnsi" w:hAnsiTheme="minorHAnsi" w:cstheme="minorHAnsi"/>
          <w:sz w:val="24"/>
          <w:szCs w:val="24"/>
        </w:rPr>
        <w:t xml:space="preserve">s for patients </w:t>
      </w:r>
      <w:r w:rsidRPr="00AE1050">
        <w:rPr>
          <w:rFonts w:asciiTheme="minorHAnsi" w:hAnsiTheme="minorHAnsi" w:cstheme="minorHAnsi"/>
          <w:sz w:val="24"/>
          <w:szCs w:val="24"/>
        </w:rPr>
        <w:t xml:space="preserve">(particularly </w:t>
      </w:r>
      <w:r w:rsidR="00A14CAA" w:rsidRPr="00AE1050">
        <w:rPr>
          <w:rFonts w:asciiTheme="minorHAnsi" w:hAnsiTheme="minorHAnsi" w:cstheme="minorHAnsi"/>
          <w:sz w:val="24"/>
          <w:szCs w:val="24"/>
        </w:rPr>
        <w:t>for patients</w:t>
      </w:r>
      <w:r w:rsidRPr="00AE1050">
        <w:rPr>
          <w:rFonts w:asciiTheme="minorHAnsi" w:hAnsiTheme="minorHAnsi" w:cstheme="minorHAnsi"/>
          <w:sz w:val="24"/>
          <w:szCs w:val="24"/>
        </w:rPr>
        <w:t xml:space="preserve"> with rare cancers). </w:t>
      </w:r>
    </w:p>
    <w:p w:rsidR="002375BF" w:rsidRPr="00AE1050" w:rsidRDefault="002375BF" w:rsidP="00AE1050">
      <w:pPr>
        <w:pStyle w:val="ListParagraph"/>
        <w:spacing w:after="240"/>
        <w:ind w:left="1418"/>
        <w:rPr>
          <w:rFonts w:asciiTheme="minorHAnsi" w:hAnsiTheme="minorHAnsi" w:cstheme="minorHAnsi"/>
          <w:sz w:val="24"/>
          <w:szCs w:val="24"/>
        </w:rPr>
      </w:pPr>
    </w:p>
    <w:p w:rsidR="00D46B5B" w:rsidRPr="00AE1050" w:rsidRDefault="00D46B5B" w:rsidP="00AE1050">
      <w:pPr>
        <w:pStyle w:val="ListParagraph"/>
        <w:numPr>
          <w:ilvl w:val="2"/>
          <w:numId w:val="14"/>
        </w:numPr>
        <w:ind w:left="1418" w:hanging="709"/>
        <w:rPr>
          <w:rFonts w:asciiTheme="minorHAnsi" w:hAnsiTheme="minorHAnsi" w:cstheme="minorHAnsi"/>
          <w:sz w:val="24"/>
          <w:szCs w:val="24"/>
        </w:rPr>
      </w:pPr>
      <w:r w:rsidRPr="00AE1050">
        <w:rPr>
          <w:rFonts w:asciiTheme="minorHAnsi" w:hAnsiTheme="minorHAnsi" w:cstheme="minorHAnsi"/>
          <w:sz w:val="24"/>
          <w:szCs w:val="24"/>
        </w:rPr>
        <w:t>A further common advantage cited by pharma</w:t>
      </w:r>
      <w:r w:rsidR="003E0542">
        <w:rPr>
          <w:rFonts w:asciiTheme="minorHAnsi" w:hAnsiTheme="minorHAnsi" w:cstheme="minorHAnsi"/>
          <w:sz w:val="24"/>
          <w:szCs w:val="24"/>
        </w:rPr>
        <w:t xml:space="preserve"> industry</w:t>
      </w:r>
      <w:r w:rsidRPr="00AE1050">
        <w:rPr>
          <w:rFonts w:asciiTheme="minorHAnsi" w:hAnsiTheme="minorHAnsi" w:cstheme="minorHAnsi"/>
          <w:sz w:val="24"/>
          <w:szCs w:val="24"/>
        </w:rPr>
        <w:t xml:space="preserve"> and research group</w:t>
      </w:r>
      <w:r w:rsidR="0088732A" w:rsidRPr="00AE1050">
        <w:rPr>
          <w:rFonts w:asciiTheme="minorHAnsi" w:hAnsiTheme="minorHAnsi" w:cstheme="minorHAnsi"/>
          <w:sz w:val="24"/>
          <w:szCs w:val="24"/>
        </w:rPr>
        <w:t xml:space="preserve"> respondents</w:t>
      </w:r>
      <w:r w:rsidRPr="00AE1050">
        <w:rPr>
          <w:rFonts w:asciiTheme="minorHAnsi" w:hAnsiTheme="minorHAnsi" w:cstheme="minorHAnsi"/>
          <w:sz w:val="24"/>
          <w:szCs w:val="24"/>
        </w:rPr>
        <w:t xml:space="preserve"> w</w:t>
      </w:r>
      <w:r w:rsidR="00AC2B90" w:rsidRPr="00AE1050">
        <w:rPr>
          <w:rFonts w:asciiTheme="minorHAnsi" w:hAnsiTheme="minorHAnsi" w:cstheme="minorHAnsi"/>
          <w:sz w:val="24"/>
          <w:szCs w:val="24"/>
        </w:rPr>
        <w:t>as</w:t>
      </w:r>
      <w:r w:rsidR="0088732A" w:rsidRPr="00AE1050">
        <w:rPr>
          <w:rFonts w:asciiTheme="minorHAnsi" w:hAnsiTheme="minorHAnsi" w:cstheme="minorHAnsi"/>
          <w:sz w:val="24"/>
          <w:szCs w:val="24"/>
        </w:rPr>
        <w:t xml:space="preserve"> the potential</w:t>
      </w:r>
      <w:r w:rsidRPr="00AE1050">
        <w:rPr>
          <w:rFonts w:asciiTheme="minorHAnsi" w:hAnsiTheme="minorHAnsi" w:cstheme="minorHAnsi"/>
          <w:sz w:val="24"/>
          <w:szCs w:val="24"/>
        </w:rPr>
        <w:t xml:space="preserve"> efficiencies in workload for</w:t>
      </w:r>
      <w:r w:rsidR="00A14CAA" w:rsidRPr="00AE1050">
        <w:rPr>
          <w:rFonts w:asciiTheme="minorHAnsi" w:hAnsiTheme="minorHAnsi" w:cstheme="minorHAnsi"/>
          <w:sz w:val="24"/>
          <w:szCs w:val="24"/>
        </w:rPr>
        <w:t xml:space="preserve"> some</w:t>
      </w:r>
      <w:r w:rsidRPr="00AE1050">
        <w:rPr>
          <w:rFonts w:asciiTheme="minorHAnsi" w:hAnsiTheme="minorHAnsi" w:cstheme="minorHAnsi"/>
          <w:sz w:val="24"/>
          <w:szCs w:val="24"/>
        </w:rPr>
        <w:t xml:space="preserve"> stakeholders, through reducing the need to </w:t>
      </w:r>
      <w:r w:rsidR="00A14CAA" w:rsidRPr="00AE1050">
        <w:rPr>
          <w:rFonts w:asciiTheme="minorHAnsi" w:hAnsiTheme="minorHAnsi" w:cstheme="minorHAnsi"/>
          <w:sz w:val="24"/>
          <w:szCs w:val="24"/>
        </w:rPr>
        <w:t>consider</w:t>
      </w:r>
      <w:r w:rsidRPr="00AE1050">
        <w:rPr>
          <w:rFonts w:asciiTheme="minorHAnsi" w:hAnsiTheme="minorHAnsi" w:cstheme="minorHAnsi"/>
          <w:sz w:val="24"/>
          <w:szCs w:val="24"/>
        </w:rPr>
        <w:t xml:space="preserve"> each indication individually.</w:t>
      </w:r>
    </w:p>
    <w:p w:rsidR="002375BF" w:rsidRPr="00AE1050" w:rsidRDefault="002375BF" w:rsidP="00AE1050">
      <w:pPr>
        <w:pStyle w:val="ListParagraph"/>
        <w:ind w:left="1418"/>
        <w:rPr>
          <w:rFonts w:asciiTheme="minorHAnsi" w:hAnsiTheme="minorHAnsi" w:cstheme="minorHAnsi"/>
          <w:sz w:val="24"/>
          <w:szCs w:val="24"/>
        </w:rPr>
      </w:pPr>
    </w:p>
    <w:p w:rsidR="00D46B5B" w:rsidRPr="00AE1050" w:rsidRDefault="00D46B5B" w:rsidP="00AE1050">
      <w:pPr>
        <w:pStyle w:val="ListParagraph"/>
        <w:numPr>
          <w:ilvl w:val="2"/>
          <w:numId w:val="14"/>
        </w:numPr>
        <w:ind w:left="1418" w:hanging="709"/>
        <w:rPr>
          <w:rFonts w:asciiTheme="minorHAnsi" w:hAnsiTheme="minorHAnsi" w:cstheme="minorHAnsi"/>
          <w:sz w:val="24"/>
          <w:szCs w:val="24"/>
        </w:rPr>
      </w:pPr>
      <w:r w:rsidRPr="00AE1050">
        <w:rPr>
          <w:rFonts w:asciiTheme="minorHAnsi" w:hAnsiTheme="minorHAnsi" w:cstheme="minorHAnsi"/>
          <w:sz w:val="24"/>
          <w:szCs w:val="24"/>
        </w:rPr>
        <w:lastRenderedPageBreak/>
        <w:t>Common disadvantages cited across respondents w</w:t>
      </w:r>
      <w:r w:rsidR="0088732A" w:rsidRPr="00AE1050">
        <w:rPr>
          <w:rFonts w:asciiTheme="minorHAnsi" w:hAnsiTheme="minorHAnsi" w:cstheme="minorHAnsi"/>
          <w:sz w:val="24"/>
          <w:szCs w:val="24"/>
        </w:rPr>
        <w:t>ere</w:t>
      </w:r>
      <w:r w:rsidRPr="00AE1050">
        <w:rPr>
          <w:rFonts w:asciiTheme="minorHAnsi" w:hAnsiTheme="minorHAnsi" w:cstheme="minorHAnsi"/>
          <w:sz w:val="24"/>
          <w:szCs w:val="24"/>
        </w:rPr>
        <w:t xml:space="preserve"> the</w:t>
      </w:r>
      <w:r w:rsidR="0088732A" w:rsidRPr="00AE1050">
        <w:rPr>
          <w:rFonts w:asciiTheme="minorHAnsi" w:hAnsiTheme="minorHAnsi" w:cstheme="minorHAnsi"/>
          <w:sz w:val="24"/>
          <w:szCs w:val="24"/>
        </w:rPr>
        <w:t xml:space="preserve"> likely</w:t>
      </w:r>
      <w:r w:rsidRPr="00AE1050">
        <w:rPr>
          <w:rFonts w:asciiTheme="minorHAnsi" w:hAnsiTheme="minorHAnsi" w:cstheme="minorHAnsi"/>
          <w:sz w:val="24"/>
          <w:szCs w:val="24"/>
        </w:rPr>
        <w:t xml:space="preserve"> inequit</w:t>
      </w:r>
      <w:r w:rsidR="0088732A" w:rsidRPr="00AE1050">
        <w:rPr>
          <w:rFonts w:asciiTheme="minorHAnsi" w:hAnsiTheme="minorHAnsi" w:cstheme="minorHAnsi"/>
          <w:sz w:val="24"/>
          <w:szCs w:val="24"/>
        </w:rPr>
        <w:t xml:space="preserve">ies in access resulting from </w:t>
      </w:r>
      <w:r w:rsidRPr="00AE1050">
        <w:rPr>
          <w:rFonts w:asciiTheme="minorHAnsi" w:hAnsiTheme="minorHAnsi" w:cstheme="minorHAnsi"/>
          <w:sz w:val="24"/>
          <w:szCs w:val="24"/>
        </w:rPr>
        <w:t xml:space="preserve">prioritising </w:t>
      </w:r>
      <w:r w:rsidR="00A14CAA" w:rsidRPr="00AE1050">
        <w:rPr>
          <w:rFonts w:asciiTheme="minorHAnsi" w:hAnsiTheme="minorHAnsi" w:cstheme="minorHAnsi"/>
          <w:sz w:val="24"/>
          <w:szCs w:val="24"/>
        </w:rPr>
        <w:t>a</w:t>
      </w:r>
      <w:r w:rsidRPr="00AE1050">
        <w:rPr>
          <w:rFonts w:asciiTheme="minorHAnsi" w:hAnsiTheme="minorHAnsi" w:cstheme="minorHAnsi"/>
          <w:sz w:val="24"/>
          <w:szCs w:val="24"/>
        </w:rPr>
        <w:t xml:space="preserve"> class of medicines at the expense of other medicines, limitations in the predictive ability of PD-L1</w:t>
      </w:r>
      <w:r w:rsidR="0088732A" w:rsidRPr="00AE1050">
        <w:rPr>
          <w:rFonts w:asciiTheme="minorHAnsi" w:hAnsiTheme="minorHAnsi" w:cstheme="minorHAnsi"/>
          <w:sz w:val="24"/>
          <w:szCs w:val="24"/>
        </w:rPr>
        <w:t xml:space="preserve"> or other biomarker</w:t>
      </w:r>
      <w:r w:rsidRPr="00AE1050">
        <w:rPr>
          <w:rFonts w:asciiTheme="minorHAnsi" w:hAnsiTheme="minorHAnsi" w:cstheme="minorHAnsi"/>
          <w:sz w:val="24"/>
          <w:szCs w:val="24"/>
        </w:rPr>
        <w:t xml:space="preserve"> expression and the potential for causing harm when allowing use in cancers where there is limited evidence of treatment effect.</w:t>
      </w:r>
    </w:p>
    <w:p w:rsidR="002375BF" w:rsidRPr="00AE1050" w:rsidRDefault="002375BF" w:rsidP="00AE1050">
      <w:pPr>
        <w:pStyle w:val="ListParagraph"/>
        <w:rPr>
          <w:rFonts w:asciiTheme="minorHAnsi" w:hAnsiTheme="minorHAnsi" w:cstheme="minorHAnsi"/>
          <w:sz w:val="24"/>
          <w:szCs w:val="24"/>
        </w:rPr>
      </w:pPr>
    </w:p>
    <w:p w:rsidR="00D46B5B" w:rsidRPr="00EA042D" w:rsidRDefault="00D46B5B" w:rsidP="00AE1050">
      <w:pPr>
        <w:pStyle w:val="ListParagraph"/>
        <w:numPr>
          <w:ilvl w:val="2"/>
          <w:numId w:val="14"/>
        </w:numPr>
        <w:ind w:left="1418" w:hanging="709"/>
        <w:rPr>
          <w:rFonts w:asciiTheme="minorHAnsi" w:hAnsiTheme="minorHAnsi" w:cstheme="minorHAnsi"/>
          <w:sz w:val="24"/>
          <w:szCs w:val="24"/>
        </w:rPr>
      </w:pPr>
      <w:r w:rsidRPr="00C058DB">
        <w:rPr>
          <w:rFonts w:asciiTheme="minorHAnsi" w:hAnsiTheme="minorHAnsi" w:cstheme="minorHAnsi"/>
          <w:sz w:val="24"/>
          <w:szCs w:val="24"/>
        </w:rPr>
        <w:t>Mixed responses were received in relation to whether it would be appropriate to extrapolate evidence from one tumour type to another, from late to early stage cancer, or from one drug in the class to another</w:t>
      </w:r>
      <w:r w:rsidR="00D160D2" w:rsidRPr="00EA042D">
        <w:rPr>
          <w:rFonts w:asciiTheme="minorHAnsi" w:hAnsiTheme="minorHAnsi" w:cstheme="minorHAnsi"/>
          <w:sz w:val="24"/>
          <w:szCs w:val="24"/>
        </w:rPr>
        <w:t>, with some respondents supporting this approach and some rejecting it.</w:t>
      </w:r>
    </w:p>
    <w:p w:rsidR="00646199" w:rsidRPr="00EA042D" w:rsidRDefault="00646199" w:rsidP="00C17DFF">
      <w:pPr>
        <w:pStyle w:val="ListParagraph"/>
        <w:rPr>
          <w:rFonts w:asciiTheme="minorHAnsi" w:hAnsiTheme="minorHAnsi" w:cstheme="minorHAnsi"/>
          <w:sz w:val="24"/>
          <w:szCs w:val="24"/>
        </w:rPr>
      </w:pPr>
    </w:p>
    <w:p w:rsidR="00D46B5B" w:rsidRPr="00FD1B15" w:rsidRDefault="00C17DFF" w:rsidP="00FD1B15">
      <w:pPr>
        <w:pStyle w:val="ListParagraph"/>
        <w:numPr>
          <w:ilvl w:val="1"/>
          <w:numId w:val="14"/>
        </w:numPr>
        <w:contextualSpacing w:val="0"/>
        <w:rPr>
          <w:rFonts w:asciiTheme="minorHAnsi" w:hAnsiTheme="minorHAnsi" w:cstheme="minorHAnsi"/>
          <w:sz w:val="24"/>
          <w:szCs w:val="24"/>
        </w:rPr>
      </w:pPr>
      <w:r w:rsidRPr="00EA042D">
        <w:rPr>
          <w:rFonts w:asciiTheme="minorHAnsi" w:hAnsiTheme="minorHAnsi" w:cstheme="minorHAnsi"/>
          <w:sz w:val="24"/>
          <w:szCs w:val="24"/>
        </w:rPr>
        <w:t xml:space="preserve">The PBAC noted that a number of submissions </w:t>
      </w:r>
      <w:r w:rsidR="001157FE">
        <w:rPr>
          <w:rFonts w:asciiTheme="minorHAnsi" w:hAnsiTheme="minorHAnsi" w:cstheme="minorHAnsi"/>
          <w:sz w:val="24"/>
          <w:szCs w:val="24"/>
        </w:rPr>
        <w:t xml:space="preserve">also </w:t>
      </w:r>
      <w:r w:rsidRPr="00EA042D">
        <w:rPr>
          <w:rFonts w:asciiTheme="minorHAnsi" w:hAnsiTheme="minorHAnsi" w:cstheme="minorHAnsi"/>
          <w:sz w:val="24"/>
          <w:szCs w:val="24"/>
        </w:rPr>
        <w:t>proposed access models for consideration.  Those models are discussed in more detail below</w:t>
      </w:r>
      <w:r w:rsidR="00FD1B15">
        <w:rPr>
          <w:rFonts w:asciiTheme="minorHAnsi" w:hAnsiTheme="minorHAnsi" w:cstheme="minorHAnsi"/>
          <w:sz w:val="24"/>
          <w:szCs w:val="24"/>
        </w:rPr>
        <w:t>.</w:t>
      </w:r>
    </w:p>
    <w:p w:rsidR="00A86308" w:rsidRPr="00EA042D" w:rsidRDefault="006E26FB" w:rsidP="00FD1B15">
      <w:pPr>
        <w:pStyle w:val="Heading5"/>
      </w:pPr>
      <w:r w:rsidRPr="00EA042D">
        <w:t>Current status of PD</w:t>
      </w:r>
      <w:r w:rsidR="006C361A">
        <w:t>-</w:t>
      </w:r>
      <w:r w:rsidR="00C058DB">
        <w:t>(L</w:t>
      </w:r>
      <w:proofErr w:type="gramStart"/>
      <w:r w:rsidR="00C058DB">
        <w:t>)</w:t>
      </w:r>
      <w:r w:rsidR="006C361A">
        <w:t>1</w:t>
      </w:r>
      <w:proofErr w:type="gramEnd"/>
      <w:r w:rsidR="006C361A">
        <w:t xml:space="preserve"> </w:t>
      </w:r>
      <w:r w:rsidRPr="00EA042D">
        <w:t>checkpoint inhibitors</w:t>
      </w:r>
      <w:r w:rsidR="00F5639C" w:rsidRPr="00EA042D">
        <w:t xml:space="preserve"> and timelines to listing</w:t>
      </w:r>
    </w:p>
    <w:p w:rsidR="00AC2B90" w:rsidRPr="00AE1050" w:rsidRDefault="003B0539" w:rsidP="00AE1050">
      <w:pPr>
        <w:pStyle w:val="ListParagraph"/>
        <w:numPr>
          <w:ilvl w:val="1"/>
          <w:numId w:val="14"/>
        </w:numPr>
        <w:contextualSpacing w:val="0"/>
        <w:rPr>
          <w:rFonts w:asciiTheme="minorHAnsi" w:hAnsiTheme="minorHAnsi" w:cstheme="minorHAnsi"/>
          <w:sz w:val="24"/>
          <w:szCs w:val="24"/>
        </w:rPr>
      </w:pPr>
      <w:r w:rsidRPr="00AE1050">
        <w:rPr>
          <w:rFonts w:asciiTheme="minorHAnsi" w:hAnsiTheme="minorHAnsi" w:cstheme="minorHAnsi"/>
          <w:sz w:val="24"/>
          <w:szCs w:val="24"/>
        </w:rPr>
        <w:t>The PBAC note</w:t>
      </w:r>
      <w:r w:rsidR="009446FA">
        <w:rPr>
          <w:rFonts w:asciiTheme="minorHAnsi" w:hAnsiTheme="minorHAnsi" w:cstheme="minorHAnsi"/>
          <w:sz w:val="24"/>
          <w:szCs w:val="24"/>
        </w:rPr>
        <w:t>s</w:t>
      </w:r>
      <w:r w:rsidRPr="00AE1050">
        <w:rPr>
          <w:rFonts w:asciiTheme="minorHAnsi" w:hAnsiTheme="minorHAnsi" w:cstheme="minorHAnsi"/>
          <w:sz w:val="24"/>
          <w:szCs w:val="24"/>
        </w:rPr>
        <w:t xml:space="preserve"> that</w:t>
      </w:r>
      <w:r w:rsidR="009446FA">
        <w:rPr>
          <w:rFonts w:asciiTheme="minorHAnsi" w:hAnsiTheme="minorHAnsi" w:cstheme="minorHAnsi"/>
          <w:sz w:val="24"/>
          <w:szCs w:val="24"/>
        </w:rPr>
        <w:t xml:space="preserve"> at 1 December 2018</w:t>
      </w:r>
      <w:r w:rsidR="00D253BA">
        <w:rPr>
          <w:rFonts w:asciiTheme="minorHAnsi" w:hAnsiTheme="minorHAnsi" w:cstheme="minorHAnsi"/>
          <w:sz w:val="24"/>
          <w:szCs w:val="24"/>
        </w:rPr>
        <w:t>,</w:t>
      </w:r>
      <w:r w:rsidRPr="00AE1050">
        <w:rPr>
          <w:rFonts w:asciiTheme="minorHAnsi" w:hAnsiTheme="minorHAnsi" w:cstheme="minorHAnsi"/>
          <w:sz w:val="24"/>
          <w:szCs w:val="24"/>
        </w:rPr>
        <w:t xml:space="preserve"> there are two PD-1 checkpoint inhibitors, </w:t>
      </w:r>
      <w:proofErr w:type="spellStart"/>
      <w:r w:rsidRPr="00AE1050">
        <w:rPr>
          <w:rFonts w:asciiTheme="minorHAnsi" w:hAnsiTheme="minorHAnsi" w:cstheme="minorHAnsi"/>
          <w:sz w:val="24"/>
          <w:szCs w:val="24"/>
        </w:rPr>
        <w:t>nivolumab</w:t>
      </w:r>
      <w:proofErr w:type="spellEnd"/>
      <w:r w:rsidRPr="00AE1050">
        <w:rPr>
          <w:rFonts w:asciiTheme="minorHAnsi" w:hAnsiTheme="minorHAnsi" w:cstheme="minorHAnsi"/>
          <w:sz w:val="24"/>
          <w:szCs w:val="24"/>
        </w:rPr>
        <w:t xml:space="preserve"> (</w:t>
      </w:r>
      <w:proofErr w:type="spellStart"/>
      <w:r w:rsidRPr="00AE1050">
        <w:rPr>
          <w:rFonts w:asciiTheme="minorHAnsi" w:hAnsiTheme="minorHAnsi" w:cstheme="minorHAnsi"/>
          <w:sz w:val="24"/>
          <w:szCs w:val="24"/>
        </w:rPr>
        <w:t>Opdivo</w:t>
      </w:r>
      <w:proofErr w:type="spellEnd"/>
      <w:r w:rsidRPr="00AE1050">
        <w:rPr>
          <w:rFonts w:asciiTheme="minorHAnsi" w:hAnsiTheme="minorHAnsi" w:cstheme="minorHAnsi"/>
          <w:sz w:val="24"/>
          <w:szCs w:val="24"/>
        </w:rPr>
        <w:t xml:space="preserve">®) and </w:t>
      </w:r>
      <w:proofErr w:type="spellStart"/>
      <w:r w:rsidRPr="00AE1050">
        <w:rPr>
          <w:rFonts w:asciiTheme="minorHAnsi" w:hAnsiTheme="minorHAnsi" w:cstheme="minorHAnsi"/>
          <w:sz w:val="24"/>
          <w:szCs w:val="24"/>
        </w:rPr>
        <w:t>pembrolizumab</w:t>
      </w:r>
      <w:proofErr w:type="spellEnd"/>
      <w:r w:rsidRPr="00AE1050">
        <w:rPr>
          <w:rFonts w:asciiTheme="minorHAnsi" w:hAnsiTheme="minorHAnsi" w:cstheme="minorHAnsi"/>
          <w:sz w:val="24"/>
          <w:szCs w:val="24"/>
        </w:rPr>
        <w:t xml:space="preserve"> (</w:t>
      </w:r>
      <w:proofErr w:type="spellStart"/>
      <w:r w:rsidRPr="00AE1050">
        <w:rPr>
          <w:rFonts w:asciiTheme="minorHAnsi" w:hAnsiTheme="minorHAnsi" w:cstheme="minorHAnsi"/>
          <w:sz w:val="24"/>
          <w:szCs w:val="24"/>
        </w:rPr>
        <w:t>Keytruda</w:t>
      </w:r>
      <w:proofErr w:type="spellEnd"/>
      <w:r w:rsidRPr="00AE1050">
        <w:rPr>
          <w:rFonts w:asciiTheme="minorHAnsi" w:hAnsiTheme="minorHAnsi" w:cstheme="minorHAnsi"/>
          <w:sz w:val="24"/>
          <w:szCs w:val="24"/>
        </w:rPr>
        <w:t xml:space="preserve">®) and one PD-L1 checkpoint inhibitor, </w:t>
      </w:r>
      <w:proofErr w:type="spellStart"/>
      <w:r w:rsidRPr="00AE1050">
        <w:rPr>
          <w:rFonts w:asciiTheme="minorHAnsi" w:hAnsiTheme="minorHAnsi" w:cstheme="minorHAnsi"/>
          <w:sz w:val="24"/>
          <w:szCs w:val="24"/>
        </w:rPr>
        <w:t>atezolizumab</w:t>
      </w:r>
      <w:proofErr w:type="spellEnd"/>
      <w:r w:rsidRPr="00AE1050">
        <w:rPr>
          <w:rFonts w:asciiTheme="minorHAnsi" w:hAnsiTheme="minorHAnsi" w:cstheme="minorHAnsi"/>
          <w:sz w:val="24"/>
          <w:szCs w:val="24"/>
        </w:rPr>
        <w:t xml:space="preserve"> (</w:t>
      </w:r>
      <w:proofErr w:type="spellStart"/>
      <w:r w:rsidRPr="00AE1050">
        <w:rPr>
          <w:rFonts w:asciiTheme="minorHAnsi" w:hAnsiTheme="minorHAnsi" w:cstheme="minorHAnsi"/>
          <w:sz w:val="24"/>
          <w:szCs w:val="24"/>
        </w:rPr>
        <w:t>Tecentriq</w:t>
      </w:r>
      <w:proofErr w:type="spellEnd"/>
      <w:r w:rsidRPr="00AE1050">
        <w:rPr>
          <w:rFonts w:asciiTheme="minorHAnsi" w:hAnsiTheme="minorHAnsi" w:cstheme="minorHAnsi"/>
          <w:sz w:val="24"/>
          <w:szCs w:val="24"/>
        </w:rPr>
        <w:t>®)</w:t>
      </w:r>
      <w:r w:rsidR="00A14CAA" w:rsidRPr="00AE1050">
        <w:rPr>
          <w:rFonts w:asciiTheme="minorHAnsi" w:hAnsiTheme="minorHAnsi" w:cstheme="minorHAnsi"/>
          <w:sz w:val="24"/>
          <w:szCs w:val="24"/>
        </w:rPr>
        <w:t>,</w:t>
      </w:r>
      <w:r w:rsidRPr="00AE1050">
        <w:rPr>
          <w:rFonts w:asciiTheme="minorHAnsi" w:hAnsiTheme="minorHAnsi" w:cstheme="minorHAnsi"/>
          <w:sz w:val="24"/>
          <w:szCs w:val="24"/>
        </w:rPr>
        <w:t xml:space="preserve"> available on the PBS for a range of indications</w:t>
      </w:r>
      <w:r w:rsidR="00AC2B90" w:rsidRPr="00AE1050">
        <w:rPr>
          <w:rFonts w:asciiTheme="minorHAnsi" w:hAnsiTheme="minorHAnsi" w:cstheme="minorHAnsi"/>
          <w:sz w:val="24"/>
          <w:szCs w:val="24"/>
        </w:rPr>
        <w:t xml:space="preserve">.  A further PD-L1 medicine, </w:t>
      </w:r>
      <w:proofErr w:type="spellStart"/>
      <w:r w:rsidR="00AC2B90" w:rsidRPr="00AE1050">
        <w:rPr>
          <w:rFonts w:asciiTheme="minorHAnsi" w:hAnsiTheme="minorHAnsi" w:cstheme="minorHAnsi"/>
          <w:sz w:val="24"/>
          <w:szCs w:val="24"/>
        </w:rPr>
        <w:t>avelumab</w:t>
      </w:r>
      <w:proofErr w:type="spellEnd"/>
      <w:r w:rsidR="00AC2B90" w:rsidRPr="00AE1050">
        <w:rPr>
          <w:rFonts w:asciiTheme="minorHAnsi" w:hAnsiTheme="minorHAnsi" w:cstheme="minorHAnsi"/>
          <w:sz w:val="24"/>
          <w:szCs w:val="24"/>
        </w:rPr>
        <w:t xml:space="preserve"> (</w:t>
      </w:r>
      <w:proofErr w:type="spellStart"/>
      <w:r w:rsidR="00AC2B90" w:rsidRPr="00AE1050">
        <w:rPr>
          <w:rFonts w:asciiTheme="minorHAnsi" w:hAnsiTheme="minorHAnsi" w:cstheme="minorHAnsi"/>
          <w:sz w:val="24"/>
          <w:szCs w:val="24"/>
        </w:rPr>
        <w:t>Bavencio</w:t>
      </w:r>
      <w:proofErr w:type="spellEnd"/>
      <w:r w:rsidR="00AC2B90" w:rsidRPr="00AE1050">
        <w:rPr>
          <w:rFonts w:asciiTheme="minorHAnsi" w:hAnsiTheme="minorHAnsi" w:cstheme="minorHAnsi"/>
          <w:sz w:val="24"/>
          <w:szCs w:val="24"/>
        </w:rPr>
        <w:t>®</w:t>
      </w:r>
      <w:r w:rsidR="00A14CAA" w:rsidRPr="00AE1050">
        <w:rPr>
          <w:rFonts w:asciiTheme="minorHAnsi" w:hAnsiTheme="minorHAnsi" w:cstheme="minorHAnsi"/>
          <w:sz w:val="24"/>
          <w:szCs w:val="24"/>
        </w:rPr>
        <w:t>),</w:t>
      </w:r>
      <w:r w:rsidR="00AC2B90" w:rsidRPr="00AE1050">
        <w:rPr>
          <w:rFonts w:asciiTheme="minorHAnsi" w:hAnsiTheme="minorHAnsi" w:cstheme="minorHAnsi"/>
          <w:sz w:val="24"/>
          <w:szCs w:val="24"/>
        </w:rPr>
        <w:t xml:space="preserve"> was recommended for subsidy at the July</w:t>
      </w:r>
      <w:r w:rsidR="00A14CAA" w:rsidRPr="00AE1050">
        <w:rPr>
          <w:rFonts w:asciiTheme="minorHAnsi" w:hAnsiTheme="minorHAnsi" w:cstheme="minorHAnsi"/>
          <w:sz w:val="24"/>
          <w:szCs w:val="24"/>
        </w:rPr>
        <w:t> </w:t>
      </w:r>
      <w:r w:rsidR="00AC2B90" w:rsidRPr="00AE1050">
        <w:rPr>
          <w:rFonts w:asciiTheme="minorHAnsi" w:hAnsiTheme="minorHAnsi" w:cstheme="minorHAnsi"/>
          <w:sz w:val="24"/>
          <w:szCs w:val="24"/>
        </w:rPr>
        <w:t>2018 meeting of the PBAC</w:t>
      </w:r>
      <w:r w:rsidR="001157FE">
        <w:rPr>
          <w:rFonts w:asciiTheme="minorHAnsi" w:hAnsiTheme="minorHAnsi" w:cstheme="minorHAnsi"/>
          <w:sz w:val="24"/>
          <w:szCs w:val="24"/>
        </w:rPr>
        <w:t xml:space="preserve"> (s</w:t>
      </w:r>
      <w:r w:rsidR="00AC2B90" w:rsidRPr="00AE1050">
        <w:rPr>
          <w:rFonts w:asciiTheme="minorHAnsi" w:hAnsiTheme="minorHAnsi" w:cstheme="minorHAnsi"/>
          <w:sz w:val="24"/>
          <w:szCs w:val="24"/>
        </w:rPr>
        <w:t>ee Table 1</w:t>
      </w:r>
      <w:r w:rsidR="001157FE">
        <w:rPr>
          <w:rFonts w:asciiTheme="minorHAnsi" w:hAnsiTheme="minorHAnsi" w:cstheme="minorHAnsi"/>
          <w:sz w:val="24"/>
          <w:szCs w:val="24"/>
        </w:rPr>
        <w:t>)</w:t>
      </w:r>
      <w:r w:rsidR="00D253BA">
        <w:rPr>
          <w:rFonts w:asciiTheme="minorHAnsi" w:hAnsiTheme="minorHAnsi" w:cstheme="minorHAnsi"/>
          <w:sz w:val="24"/>
          <w:szCs w:val="24"/>
        </w:rPr>
        <w:t>.</w:t>
      </w:r>
    </w:p>
    <w:p w:rsidR="003B0539" w:rsidRPr="00AE1050" w:rsidRDefault="003B0539" w:rsidP="00AE1050">
      <w:pPr>
        <w:pStyle w:val="ListParagraph"/>
        <w:contextualSpacing w:val="0"/>
        <w:rPr>
          <w:rFonts w:asciiTheme="minorHAnsi" w:hAnsiTheme="minorHAnsi" w:cstheme="minorHAnsi"/>
          <w:sz w:val="24"/>
          <w:szCs w:val="24"/>
        </w:rPr>
      </w:pPr>
    </w:p>
    <w:p w:rsidR="009415FC" w:rsidRPr="00E31D4B" w:rsidRDefault="00A14CAA" w:rsidP="009415FC">
      <w:pPr>
        <w:pStyle w:val="CommentText"/>
        <w:rPr>
          <w:rFonts w:ascii="Arial Narrow" w:hAnsi="Arial Narrow"/>
          <w:b/>
          <w:sz w:val="22"/>
          <w:szCs w:val="22"/>
        </w:rPr>
      </w:pPr>
      <w:r w:rsidRPr="00E31D4B">
        <w:rPr>
          <w:rFonts w:ascii="Arial Narrow" w:hAnsi="Arial Narrow" w:cstheme="minorHAnsi"/>
          <w:b/>
          <w:sz w:val="22"/>
          <w:szCs w:val="22"/>
        </w:rPr>
        <w:t>Table 1</w:t>
      </w:r>
      <w:r w:rsidR="009415FC">
        <w:rPr>
          <w:rFonts w:ascii="Arial Narrow" w:hAnsi="Arial Narrow" w:cstheme="minorHAnsi"/>
          <w:b/>
          <w:sz w:val="22"/>
          <w:szCs w:val="22"/>
        </w:rPr>
        <w:t xml:space="preserve">: </w:t>
      </w:r>
      <w:r w:rsidR="009415FC" w:rsidRPr="00E31D4B">
        <w:rPr>
          <w:rFonts w:ascii="Arial Narrow" w:hAnsi="Arial Narrow"/>
          <w:b/>
          <w:sz w:val="22"/>
          <w:szCs w:val="22"/>
        </w:rPr>
        <w:t>PBS listing/PBAC recommendation date of PD-(L</w:t>
      </w:r>
      <w:proofErr w:type="gramStart"/>
      <w:r w:rsidR="009415FC" w:rsidRPr="00E31D4B">
        <w:rPr>
          <w:rFonts w:ascii="Arial Narrow" w:hAnsi="Arial Narrow"/>
          <w:b/>
          <w:sz w:val="22"/>
          <w:szCs w:val="22"/>
        </w:rPr>
        <w:t>)1</w:t>
      </w:r>
      <w:proofErr w:type="gramEnd"/>
      <w:r w:rsidR="009415FC" w:rsidRPr="00E31D4B">
        <w:rPr>
          <w:rFonts w:ascii="Arial Narrow" w:hAnsi="Arial Narrow"/>
          <w:b/>
          <w:sz w:val="22"/>
          <w:szCs w:val="22"/>
        </w:rPr>
        <w:t xml:space="preserve"> inhibitors</w:t>
      </w:r>
    </w:p>
    <w:p w:rsidR="00A14CAA" w:rsidRPr="00AE1050" w:rsidRDefault="009415FC" w:rsidP="00AE1050">
      <w:pPr>
        <w:pStyle w:val="ListParagraph"/>
        <w:ind w:left="426" w:hanging="142"/>
        <w:contextualSpacing w:val="0"/>
        <w:rPr>
          <w:rFonts w:asciiTheme="minorHAnsi" w:hAnsiTheme="minorHAnsi" w:cstheme="minorHAnsi"/>
          <w:sz w:val="24"/>
          <w:szCs w:val="24"/>
        </w:rPr>
      </w:pPr>
      <w:r w:rsidDel="009415FC">
        <w:rPr>
          <w:rStyle w:val="CommentReference"/>
          <w:rFonts w:ascii="Times New Roman" w:hAnsi="Times New Roman" w:cs="Times New Roman"/>
          <w:snapToGrid/>
          <w:lang w:eastAsia="en-AU"/>
        </w:rPr>
        <w:t xml:space="preserve"> </w:t>
      </w:r>
    </w:p>
    <w:tbl>
      <w:tblPr>
        <w:tblStyle w:val="TableGrid"/>
        <w:tblW w:w="0" w:type="auto"/>
        <w:tblInd w:w="-5" w:type="dxa"/>
        <w:tblLook w:val="04A0" w:firstRow="1" w:lastRow="0" w:firstColumn="1" w:lastColumn="0" w:noHBand="0" w:noVBand="1"/>
        <w:tblCaption w:val="Table 1"/>
        <w:tblDescription w:val="PBS listing/PBAC recommendation date of PD-(L)1 inhibitors"/>
      </w:tblPr>
      <w:tblGrid>
        <w:gridCol w:w="1859"/>
        <w:gridCol w:w="3271"/>
        <w:gridCol w:w="3032"/>
      </w:tblGrid>
      <w:tr w:rsidR="00AC2B90" w:rsidRPr="00AE1050" w:rsidTr="00E31D4B">
        <w:trPr>
          <w:tblHeader/>
        </w:trPr>
        <w:tc>
          <w:tcPr>
            <w:tcW w:w="1859" w:type="dxa"/>
          </w:tcPr>
          <w:p w:rsidR="00AC2B90" w:rsidRPr="00AE1050" w:rsidRDefault="00AC2B90" w:rsidP="009415FC">
            <w:pPr>
              <w:jc w:val="both"/>
              <w:rPr>
                <w:rFonts w:asciiTheme="minorHAnsi" w:hAnsiTheme="minorHAnsi" w:cstheme="minorHAnsi"/>
                <w:b/>
                <w:color w:val="000000"/>
                <w:sz w:val="22"/>
                <w:szCs w:val="22"/>
              </w:rPr>
            </w:pPr>
            <w:r w:rsidRPr="00AE1050">
              <w:rPr>
                <w:rFonts w:asciiTheme="minorHAnsi" w:hAnsiTheme="minorHAnsi" w:cstheme="minorHAnsi"/>
                <w:b/>
                <w:color w:val="000000"/>
                <w:sz w:val="22"/>
                <w:szCs w:val="22"/>
              </w:rPr>
              <w:t>Tumour Type</w:t>
            </w:r>
          </w:p>
        </w:tc>
        <w:tc>
          <w:tcPr>
            <w:tcW w:w="3271" w:type="dxa"/>
          </w:tcPr>
          <w:p w:rsidR="00AC2B90" w:rsidRPr="00AE1050" w:rsidRDefault="00AC2B90" w:rsidP="009415FC">
            <w:pPr>
              <w:jc w:val="both"/>
              <w:rPr>
                <w:rFonts w:asciiTheme="minorHAnsi" w:hAnsiTheme="minorHAnsi" w:cstheme="minorHAnsi"/>
                <w:b/>
                <w:color w:val="000000"/>
                <w:sz w:val="22"/>
                <w:szCs w:val="22"/>
              </w:rPr>
            </w:pPr>
            <w:r w:rsidRPr="00AE1050">
              <w:rPr>
                <w:rFonts w:asciiTheme="minorHAnsi" w:hAnsiTheme="minorHAnsi" w:cstheme="minorHAnsi"/>
                <w:b/>
                <w:color w:val="000000"/>
                <w:sz w:val="22"/>
                <w:szCs w:val="22"/>
              </w:rPr>
              <w:t>Medicine</w:t>
            </w:r>
          </w:p>
        </w:tc>
        <w:tc>
          <w:tcPr>
            <w:tcW w:w="3032" w:type="dxa"/>
            <w:shd w:val="clear" w:color="auto" w:fill="auto"/>
          </w:tcPr>
          <w:p w:rsidR="00AC2B90" w:rsidRPr="00AE1050" w:rsidRDefault="00AC2B90" w:rsidP="009415FC">
            <w:pPr>
              <w:rPr>
                <w:rFonts w:asciiTheme="minorHAnsi" w:hAnsiTheme="minorHAnsi" w:cstheme="minorHAnsi"/>
                <w:b/>
                <w:color w:val="000000"/>
                <w:sz w:val="22"/>
                <w:szCs w:val="22"/>
              </w:rPr>
            </w:pPr>
            <w:r w:rsidRPr="00AE1050">
              <w:rPr>
                <w:rFonts w:asciiTheme="minorHAnsi" w:hAnsiTheme="minorHAnsi" w:cstheme="minorHAnsi"/>
                <w:b/>
                <w:color w:val="000000"/>
                <w:sz w:val="22"/>
                <w:szCs w:val="22"/>
              </w:rPr>
              <w:t>Date of first PBS listing/recommendation for subsidy (if not listed)</w:t>
            </w:r>
          </w:p>
        </w:tc>
      </w:tr>
      <w:tr w:rsidR="00AC2B90" w:rsidRPr="00AE1050" w:rsidTr="00E31D4B">
        <w:tc>
          <w:tcPr>
            <w:tcW w:w="1859" w:type="dxa"/>
          </w:tcPr>
          <w:p w:rsidR="00AC2B90" w:rsidRPr="00AE1050" w:rsidRDefault="00AC2B90" w:rsidP="00675151">
            <w:pPr>
              <w:rPr>
                <w:rFonts w:asciiTheme="minorHAnsi" w:hAnsiTheme="minorHAnsi" w:cstheme="minorHAnsi"/>
                <w:color w:val="000000"/>
                <w:sz w:val="22"/>
                <w:szCs w:val="22"/>
              </w:rPr>
            </w:pPr>
            <w:r w:rsidRPr="00AE1050">
              <w:rPr>
                <w:rFonts w:asciiTheme="minorHAnsi" w:hAnsiTheme="minorHAnsi" w:cstheme="minorHAnsi"/>
                <w:color w:val="000000"/>
                <w:sz w:val="22"/>
                <w:szCs w:val="22"/>
              </w:rPr>
              <w:t>Melanoma</w:t>
            </w:r>
          </w:p>
        </w:tc>
        <w:tc>
          <w:tcPr>
            <w:tcW w:w="3271" w:type="dxa"/>
          </w:tcPr>
          <w:p w:rsidR="00AC2B90" w:rsidRPr="00AE1050" w:rsidRDefault="00AC2B90" w:rsidP="00675151">
            <w:pPr>
              <w:rPr>
                <w:rFonts w:asciiTheme="minorHAnsi" w:hAnsiTheme="minorHAnsi" w:cstheme="minorHAnsi"/>
                <w:color w:val="000000"/>
                <w:sz w:val="22"/>
                <w:szCs w:val="22"/>
              </w:rPr>
            </w:pPr>
            <w:proofErr w:type="spellStart"/>
            <w:r w:rsidRPr="00AE1050">
              <w:rPr>
                <w:rFonts w:asciiTheme="minorHAnsi" w:hAnsiTheme="minorHAnsi" w:cstheme="minorHAnsi"/>
                <w:color w:val="000000"/>
                <w:sz w:val="22"/>
                <w:szCs w:val="22"/>
              </w:rPr>
              <w:t>Pembrolizumab</w:t>
            </w:r>
            <w:proofErr w:type="spellEnd"/>
            <w:r w:rsidRPr="00AE1050">
              <w:rPr>
                <w:rFonts w:asciiTheme="minorHAnsi" w:hAnsiTheme="minorHAnsi" w:cstheme="minorHAnsi"/>
                <w:color w:val="000000"/>
                <w:sz w:val="22"/>
                <w:szCs w:val="22"/>
              </w:rPr>
              <w:t xml:space="preserve"> (</w:t>
            </w:r>
            <w:proofErr w:type="spellStart"/>
            <w:r w:rsidRPr="00AE1050">
              <w:rPr>
                <w:rFonts w:asciiTheme="minorHAnsi" w:hAnsiTheme="minorHAnsi" w:cstheme="minorHAnsi"/>
                <w:color w:val="000000"/>
                <w:sz w:val="22"/>
                <w:szCs w:val="22"/>
              </w:rPr>
              <w:t>Keytruda</w:t>
            </w:r>
            <w:proofErr w:type="spellEnd"/>
            <w:r w:rsidRPr="00AE1050">
              <w:rPr>
                <w:rFonts w:asciiTheme="minorHAnsi" w:hAnsiTheme="minorHAnsi" w:cstheme="minorHAnsi"/>
                <w:color w:val="000000"/>
                <w:sz w:val="22"/>
                <w:szCs w:val="22"/>
              </w:rPr>
              <w:t>®)</w:t>
            </w:r>
          </w:p>
          <w:p w:rsidR="00AC2B90" w:rsidRPr="00AE1050" w:rsidRDefault="00AC2B90" w:rsidP="00675151">
            <w:pPr>
              <w:rPr>
                <w:rFonts w:asciiTheme="minorHAnsi" w:hAnsiTheme="minorHAnsi" w:cstheme="minorHAnsi"/>
                <w:color w:val="000000"/>
                <w:sz w:val="22"/>
                <w:szCs w:val="22"/>
              </w:rPr>
            </w:pPr>
            <w:proofErr w:type="spellStart"/>
            <w:r w:rsidRPr="00AE1050">
              <w:rPr>
                <w:rFonts w:asciiTheme="minorHAnsi" w:hAnsiTheme="minorHAnsi" w:cstheme="minorHAnsi"/>
                <w:color w:val="000000"/>
                <w:sz w:val="22"/>
                <w:szCs w:val="22"/>
              </w:rPr>
              <w:t>Nivolumab</w:t>
            </w:r>
            <w:proofErr w:type="spellEnd"/>
            <w:r w:rsidRPr="00AE1050">
              <w:rPr>
                <w:rFonts w:asciiTheme="minorHAnsi" w:hAnsiTheme="minorHAnsi" w:cstheme="minorHAnsi"/>
                <w:color w:val="000000"/>
                <w:sz w:val="22"/>
                <w:szCs w:val="22"/>
              </w:rPr>
              <w:t xml:space="preserve"> (</w:t>
            </w:r>
            <w:proofErr w:type="spellStart"/>
            <w:r w:rsidRPr="00AE1050">
              <w:rPr>
                <w:rFonts w:asciiTheme="minorHAnsi" w:hAnsiTheme="minorHAnsi" w:cstheme="minorHAnsi"/>
                <w:color w:val="000000"/>
                <w:sz w:val="22"/>
                <w:szCs w:val="22"/>
              </w:rPr>
              <w:t>Opdivo</w:t>
            </w:r>
            <w:proofErr w:type="spellEnd"/>
            <w:r w:rsidRPr="00AE1050">
              <w:rPr>
                <w:rFonts w:asciiTheme="minorHAnsi" w:hAnsiTheme="minorHAnsi" w:cstheme="minorHAnsi"/>
                <w:color w:val="000000"/>
                <w:sz w:val="22"/>
                <w:szCs w:val="22"/>
              </w:rPr>
              <w:t>®)</w:t>
            </w:r>
          </w:p>
        </w:tc>
        <w:tc>
          <w:tcPr>
            <w:tcW w:w="3032" w:type="dxa"/>
          </w:tcPr>
          <w:p w:rsidR="00AC2B90" w:rsidRPr="00AE1050" w:rsidRDefault="00AC2B90" w:rsidP="00675151">
            <w:pPr>
              <w:rPr>
                <w:rFonts w:asciiTheme="minorHAnsi" w:hAnsiTheme="minorHAnsi" w:cstheme="minorHAnsi"/>
                <w:color w:val="000000"/>
                <w:sz w:val="22"/>
                <w:szCs w:val="22"/>
              </w:rPr>
            </w:pPr>
            <w:r w:rsidRPr="00AE1050">
              <w:rPr>
                <w:rFonts w:asciiTheme="minorHAnsi" w:hAnsiTheme="minorHAnsi" w:cstheme="minorHAnsi"/>
                <w:color w:val="000000"/>
                <w:sz w:val="22"/>
                <w:szCs w:val="22"/>
              </w:rPr>
              <w:t>1 September 2015</w:t>
            </w:r>
          </w:p>
        </w:tc>
      </w:tr>
      <w:tr w:rsidR="00AC2B90" w:rsidRPr="00AE1050" w:rsidTr="00E31D4B">
        <w:tc>
          <w:tcPr>
            <w:tcW w:w="1859" w:type="dxa"/>
          </w:tcPr>
          <w:p w:rsidR="00AC2B90" w:rsidRPr="00AE1050" w:rsidRDefault="00AC2B90" w:rsidP="00675151">
            <w:pPr>
              <w:rPr>
                <w:rFonts w:asciiTheme="minorHAnsi" w:hAnsiTheme="minorHAnsi" w:cstheme="minorHAnsi"/>
                <w:color w:val="000000"/>
                <w:sz w:val="22"/>
                <w:szCs w:val="22"/>
              </w:rPr>
            </w:pPr>
            <w:r w:rsidRPr="00AE1050">
              <w:rPr>
                <w:rFonts w:asciiTheme="minorHAnsi" w:hAnsiTheme="minorHAnsi" w:cstheme="minorHAnsi"/>
                <w:color w:val="000000"/>
                <w:sz w:val="22"/>
                <w:szCs w:val="22"/>
              </w:rPr>
              <w:t>N</w:t>
            </w:r>
            <w:r w:rsidR="00A14CAA" w:rsidRPr="00AE1050">
              <w:rPr>
                <w:rFonts w:asciiTheme="minorHAnsi" w:hAnsiTheme="minorHAnsi" w:cstheme="minorHAnsi"/>
                <w:color w:val="000000"/>
                <w:sz w:val="22"/>
                <w:szCs w:val="22"/>
              </w:rPr>
              <w:t>on</w:t>
            </w:r>
            <w:r w:rsidR="00193892">
              <w:rPr>
                <w:rFonts w:asciiTheme="minorHAnsi" w:hAnsiTheme="minorHAnsi" w:cstheme="minorHAnsi"/>
                <w:color w:val="000000"/>
                <w:sz w:val="22"/>
                <w:szCs w:val="22"/>
              </w:rPr>
              <w:t>-</w:t>
            </w:r>
            <w:r w:rsidRPr="00AE1050">
              <w:rPr>
                <w:rFonts w:asciiTheme="minorHAnsi" w:hAnsiTheme="minorHAnsi" w:cstheme="minorHAnsi"/>
                <w:color w:val="000000"/>
                <w:sz w:val="22"/>
                <w:szCs w:val="22"/>
              </w:rPr>
              <w:t>S</w:t>
            </w:r>
            <w:r w:rsidR="00A14CAA" w:rsidRPr="00AE1050">
              <w:rPr>
                <w:rFonts w:asciiTheme="minorHAnsi" w:hAnsiTheme="minorHAnsi" w:cstheme="minorHAnsi"/>
                <w:color w:val="000000"/>
                <w:sz w:val="22"/>
                <w:szCs w:val="22"/>
              </w:rPr>
              <w:t xml:space="preserve">mall </w:t>
            </w:r>
            <w:r w:rsidRPr="00AE1050">
              <w:rPr>
                <w:rFonts w:asciiTheme="minorHAnsi" w:hAnsiTheme="minorHAnsi" w:cstheme="minorHAnsi"/>
                <w:color w:val="000000"/>
                <w:sz w:val="22"/>
                <w:szCs w:val="22"/>
              </w:rPr>
              <w:t>C</w:t>
            </w:r>
            <w:r w:rsidR="00A14CAA" w:rsidRPr="00AE1050">
              <w:rPr>
                <w:rFonts w:asciiTheme="minorHAnsi" w:hAnsiTheme="minorHAnsi" w:cstheme="minorHAnsi"/>
                <w:color w:val="000000"/>
                <w:sz w:val="22"/>
                <w:szCs w:val="22"/>
              </w:rPr>
              <w:t>ell Lung Cancer</w:t>
            </w:r>
          </w:p>
        </w:tc>
        <w:tc>
          <w:tcPr>
            <w:tcW w:w="3271" w:type="dxa"/>
          </w:tcPr>
          <w:p w:rsidR="00AC2B90" w:rsidRPr="00AE1050" w:rsidRDefault="00AC2B90" w:rsidP="00675151">
            <w:pPr>
              <w:rPr>
                <w:rFonts w:asciiTheme="minorHAnsi" w:hAnsiTheme="minorHAnsi" w:cstheme="minorHAnsi"/>
                <w:color w:val="000000"/>
                <w:sz w:val="22"/>
                <w:szCs w:val="22"/>
              </w:rPr>
            </w:pPr>
            <w:proofErr w:type="spellStart"/>
            <w:r w:rsidRPr="00AE1050">
              <w:rPr>
                <w:rFonts w:asciiTheme="minorHAnsi" w:hAnsiTheme="minorHAnsi" w:cstheme="minorHAnsi"/>
                <w:color w:val="000000"/>
                <w:sz w:val="22"/>
                <w:szCs w:val="22"/>
              </w:rPr>
              <w:t>Nivolumab</w:t>
            </w:r>
            <w:proofErr w:type="spellEnd"/>
          </w:p>
          <w:p w:rsidR="00AC2B90" w:rsidRDefault="00AC2B90" w:rsidP="00675151">
            <w:pPr>
              <w:rPr>
                <w:rFonts w:asciiTheme="minorHAnsi" w:hAnsiTheme="minorHAnsi" w:cstheme="minorHAnsi"/>
                <w:color w:val="000000"/>
                <w:sz w:val="22"/>
                <w:szCs w:val="22"/>
              </w:rPr>
            </w:pPr>
            <w:proofErr w:type="spellStart"/>
            <w:r w:rsidRPr="00AE1050">
              <w:rPr>
                <w:rFonts w:asciiTheme="minorHAnsi" w:hAnsiTheme="minorHAnsi" w:cstheme="minorHAnsi"/>
                <w:color w:val="000000"/>
                <w:sz w:val="22"/>
                <w:szCs w:val="22"/>
              </w:rPr>
              <w:t>Atezolizumab</w:t>
            </w:r>
            <w:proofErr w:type="spellEnd"/>
            <w:r w:rsidRPr="00AE1050">
              <w:rPr>
                <w:rFonts w:asciiTheme="minorHAnsi" w:hAnsiTheme="minorHAnsi" w:cstheme="minorHAnsi"/>
                <w:color w:val="000000"/>
                <w:sz w:val="22"/>
                <w:szCs w:val="22"/>
              </w:rPr>
              <w:t xml:space="preserve"> (</w:t>
            </w:r>
            <w:proofErr w:type="spellStart"/>
            <w:r w:rsidRPr="00AE1050">
              <w:rPr>
                <w:rFonts w:asciiTheme="minorHAnsi" w:hAnsiTheme="minorHAnsi" w:cstheme="minorHAnsi"/>
                <w:color w:val="000000"/>
                <w:sz w:val="22"/>
                <w:szCs w:val="22"/>
              </w:rPr>
              <w:t>Tecentriq</w:t>
            </w:r>
            <w:proofErr w:type="spellEnd"/>
            <w:r w:rsidRPr="00AE1050">
              <w:rPr>
                <w:rFonts w:asciiTheme="minorHAnsi" w:hAnsiTheme="minorHAnsi" w:cstheme="minorHAnsi"/>
                <w:color w:val="000000"/>
                <w:sz w:val="22"/>
                <w:szCs w:val="22"/>
              </w:rPr>
              <w:t>®)</w:t>
            </w:r>
          </w:p>
          <w:p w:rsidR="009446FA" w:rsidRPr="00AE1050" w:rsidRDefault="009446FA" w:rsidP="00675151">
            <w:pPr>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Pembrolizumab</w:t>
            </w:r>
            <w:proofErr w:type="spellEnd"/>
            <w:r>
              <w:rPr>
                <w:rFonts w:asciiTheme="minorHAnsi" w:hAnsiTheme="minorHAnsi" w:cstheme="minorHAnsi"/>
                <w:color w:val="000000"/>
                <w:sz w:val="22"/>
                <w:szCs w:val="22"/>
              </w:rPr>
              <w:t xml:space="preserve"> </w:t>
            </w:r>
          </w:p>
        </w:tc>
        <w:tc>
          <w:tcPr>
            <w:tcW w:w="3032" w:type="dxa"/>
          </w:tcPr>
          <w:p w:rsidR="00AC2B90" w:rsidRPr="00AE1050" w:rsidRDefault="00AC2B90" w:rsidP="00675151">
            <w:pPr>
              <w:rPr>
                <w:rFonts w:asciiTheme="minorHAnsi" w:hAnsiTheme="minorHAnsi" w:cstheme="minorHAnsi"/>
                <w:color w:val="000000"/>
                <w:sz w:val="22"/>
                <w:szCs w:val="22"/>
              </w:rPr>
            </w:pPr>
            <w:r w:rsidRPr="00AE1050">
              <w:rPr>
                <w:rFonts w:asciiTheme="minorHAnsi" w:hAnsiTheme="minorHAnsi" w:cstheme="minorHAnsi"/>
                <w:color w:val="000000"/>
                <w:sz w:val="22"/>
                <w:szCs w:val="22"/>
              </w:rPr>
              <w:t>1 August 2017</w:t>
            </w:r>
          </w:p>
        </w:tc>
      </w:tr>
      <w:tr w:rsidR="00AC2B90" w:rsidRPr="00AE1050" w:rsidTr="00E31D4B">
        <w:tc>
          <w:tcPr>
            <w:tcW w:w="1859" w:type="dxa"/>
          </w:tcPr>
          <w:p w:rsidR="00AC2B90" w:rsidRPr="00AE1050" w:rsidRDefault="00AC2B90" w:rsidP="00675151">
            <w:pPr>
              <w:rPr>
                <w:rFonts w:asciiTheme="minorHAnsi" w:hAnsiTheme="minorHAnsi" w:cstheme="minorHAnsi"/>
                <w:color w:val="000000"/>
                <w:sz w:val="22"/>
                <w:szCs w:val="22"/>
              </w:rPr>
            </w:pPr>
            <w:r w:rsidRPr="00AE1050">
              <w:rPr>
                <w:rFonts w:asciiTheme="minorHAnsi" w:hAnsiTheme="minorHAnsi" w:cstheme="minorHAnsi"/>
                <w:color w:val="000000"/>
                <w:sz w:val="22"/>
                <w:szCs w:val="22"/>
              </w:rPr>
              <w:t>Renal</w:t>
            </w:r>
            <w:r w:rsidR="00A14CAA" w:rsidRPr="00AE1050">
              <w:rPr>
                <w:rFonts w:asciiTheme="minorHAnsi" w:hAnsiTheme="minorHAnsi" w:cstheme="minorHAnsi"/>
                <w:color w:val="000000"/>
                <w:sz w:val="22"/>
                <w:szCs w:val="22"/>
              </w:rPr>
              <w:t xml:space="preserve"> Cell Cancer</w:t>
            </w:r>
          </w:p>
        </w:tc>
        <w:tc>
          <w:tcPr>
            <w:tcW w:w="3271" w:type="dxa"/>
          </w:tcPr>
          <w:p w:rsidR="00AC2B90" w:rsidRPr="00AE1050" w:rsidRDefault="00AC2B90" w:rsidP="00675151">
            <w:pPr>
              <w:rPr>
                <w:rFonts w:asciiTheme="minorHAnsi" w:hAnsiTheme="minorHAnsi" w:cstheme="minorHAnsi"/>
                <w:color w:val="000000"/>
                <w:sz w:val="22"/>
                <w:szCs w:val="22"/>
              </w:rPr>
            </w:pPr>
            <w:proofErr w:type="spellStart"/>
            <w:r w:rsidRPr="00AE1050">
              <w:rPr>
                <w:rFonts w:asciiTheme="minorHAnsi" w:hAnsiTheme="minorHAnsi" w:cstheme="minorHAnsi"/>
                <w:color w:val="000000"/>
                <w:sz w:val="22"/>
                <w:szCs w:val="22"/>
              </w:rPr>
              <w:t>Nivolumab</w:t>
            </w:r>
            <w:proofErr w:type="spellEnd"/>
          </w:p>
        </w:tc>
        <w:tc>
          <w:tcPr>
            <w:tcW w:w="3032" w:type="dxa"/>
          </w:tcPr>
          <w:p w:rsidR="00AC2B90" w:rsidRPr="00AE1050" w:rsidRDefault="00AC2B90" w:rsidP="00675151">
            <w:pPr>
              <w:rPr>
                <w:rFonts w:asciiTheme="minorHAnsi" w:hAnsiTheme="minorHAnsi" w:cstheme="minorHAnsi"/>
                <w:color w:val="000000"/>
                <w:sz w:val="22"/>
                <w:szCs w:val="22"/>
              </w:rPr>
            </w:pPr>
            <w:r w:rsidRPr="00AE1050">
              <w:rPr>
                <w:rFonts w:asciiTheme="minorHAnsi" w:hAnsiTheme="minorHAnsi" w:cstheme="minorHAnsi"/>
                <w:color w:val="000000"/>
                <w:sz w:val="22"/>
                <w:szCs w:val="22"/>
              </w:rPr>
              <w:t>1 August 2017</w:t>
            </w:r>
          </w:p>
        </w:tc>
      </w:tr>
      <w:tr w:rsidR="00AC2B90" w:rsidRPr="00AE1050" w:rsidTr="00E31D4B">
        <w:tc>
          <w:tcPr>
            <w:tcW w:w="1859" w:type="dxa"/>
          </w:tcPr>
          <w:p w:rsidR="00AC2B90" w:rsidRPr="00AE1050" w:rsidRDefault="00AC2B90" w:rsidP="00675151">
            <w:pPr>
              <w:rPr>
                <w:rFonts w:asciiTheme="minorHAnsi" w:hAnsiTheme="minorHAnsi" w:cstheme="minorHAnsi"/>
                <w:color w:val="000000"/>
                <w:sz w:val="22"/>
                <w:szCs w:val="22"/>
              </w:rPr>
            </w:pPr>
            <w:r w:rsidRPr="00AE1050">
              <w:rPr>
                <w:rFonts w:asciiTheme="minorHAnsi" w:hAnsiTheme="minorHAnsi" w:cstheme="minorHAnsi"/>
                <w:color w:val="000000"/>
                <w:sz w:val="22"/>
                <w:szCs w:val="22"/>
              </w:rPr>
              <w:t>Hodgkin’s Lymphoma</w:t>
            </w:r>
          </w:p>
        </w:tc>
        <w:tc>
          <w:tcPr>
            <w:tcW w:w="3271" w:type="dxa"/>
          </w:tcPr>
          <w:p w:rsidR="00AC2B90" w:rsidRPr="00AE1050" w:rsidRDefault="00AC2B90" w:rsidP="00675151">
            <w:pPr>
              <w:rPr>
                <w:rFonts w:asciiTheme="minorHAnsi" w:hAnsiTheme="minorHAnsi" w:cstheme="minorHAnsi"/>
                <w:color w:val="000000"/>
                <w:sz w:val="22"/>
                <w:szCs w:val="22"/>
              </w:rPr>
            </w:pPr>
            <w:proofErr w:type="spellStart"/>
            <w:r w:rsidRPr="00AE1050">
              <w:rPr>
                <w:rFonts w:asciiTheme="minorHAnsi" w:hAnsiTheme="minorHAnsi" w:cstheme="minorHAnsi"/>
                <w:color w:val="000000"/>
                <w:sz w:val="22"/>
                <w:szCs w:val="22"/>
              </w:rPr>
              <w:t>Pembrolizumab</w:t>
            </w:r>
            <w:proofErr w:type="spellEnd"/>
          </w:p>
        </w:tc>
        <w:tc>
          <w:tcPr>
            <w:tcW w:w="3032" w:type="dxa"/>
          </w:tcPr>
          <w:p w:rsidR="00AC2B90" w:rsidRPr="00AE1050" w:rsidRDefault="00AC2B90" w:rsidP="00675151">
            <w:pPr>
              <w:rPr>
                <w:rFonts w:asciiTheme="minorHAnsi" w:hAnsiTheme="minorHAnsi" w:cstheme="minorHAnsi"/>
                <w:color w:val="000000"/>
                <w:sz w:val="22"/>
                <w:szCs w:val="22"/>
              </w:rPr>
            </w:pPr>
            <w:r w:rsidRPr="00AE1050">
              <w:rPr>
                <w:rFonts w:asciiTheme="minorHAnsi" w:hAnsiTheme="minorHAnsi" w:cstheme="minorHAnsi"/>
                <w:color w:val="000000"/>
                <w:sz w:val="22"/>
                <w:szCs w:val="22"/>
              </w:rPr>
              <w:t>1 May 2018</w:t>
            </w:r>
          </w:p>
        </w:tc>
      </w:tr>
      <w:tr w:rsidR="00AC2B90" w:rsidRPr="00AE1050" w:rsidTr="00E31D4B">
        <w:tc>
          <w:tcPr>
            <w:tcW w:w="1859" w:type="dxa"/>
          </w:tcPr>
          <w:p w:rsidR="00AC2B90" w:rsidRPr="00AE1050" w:rsidRDefault="00AC2B90" w:rsidP="00675151">
            <w:pPr>
              <w:rPr>
                <w:rFonts w:asciiTheme="minorHAnsi" w:hAnsiTheme="minorHAnsi" w:cstheme="minorHAnsi"/>
                <w:color w:val="000000"/>
                <w:sz w:val="22"/>
                <w:szCs w:val="22"/>
              </w:rPr>
            </w:pPr>
            <w:r w:rsidRPr="00AE1050">
              <w:rPr>
                <w:rFonts w:asciiTheme="minorHAnsi" w:hAnsiTheme="minorHAnsi" w:cstheme="minorHAnsi"/>
                <w:color w:val="000000"/>
                <w:sz w:val="22"/>
                <w:szCs w:val="22"/>
              </w:rPr>
              <w:t>Head and Neck</w:t>
            </w:r>
          </w:p>
        </w:tc>
        <w:tc>
          <w:tcPr>
            <w:tcW w:w="3271" w:type="dxa"/>
          </w:tcPr>
          <w:p w:rsidR="00AC2B90" w:rsidRPr="00AE1050" w:rsidRDefault="00AC2B90" w:rsidP="00675151">
            <w:pPr>
              <w:rPr>
                <w:rFonts w:asciiTheme="minorHAnsi" w:hAnsiTheme="minorHAnsi" w:cstheme="minorHAnsi"/>
                <w:color w:val="000000"/>
                <w:sz w:val="22"/>
                <w:szCs w:val="22"/>
              </w:rPr>
            </w:pPr>
            <w:proofErr w:type="spellStart"/>
            <w:r w:rsidRPr="00AE1050">
              <w:rPr>
                <w:rFonts w:asciiTheme="minorHAnsi" w:hAnsiTheme="minorHAnsi" w:cstheme="minorHAnsi"/>
                <w:color w:val="000000"/>
                <w:sz w:val="22"/>
                <w:szCs w:val="22"/>
              </w:rPr>
              <w:t>Nivolumab</w:t>
            </w:r>
            <w:proofErr w:type="spellEnd"/>
          </w:p>
        </w:tc>
        <w:tc>
          <w:tcPr>
            <w:tcW w:w="3032" w:type="dxa"/>
          </w:tcPr>
          <w:p w:rsidR="00AC2B90" w:rsidRPr="00AE1050" w:rsidRDefault="00AC2B90" w:rsidP="00675151">
            <w:pPr>
              <w:rPr>
                <w:rFonts w:asciiTheme="minorHAnsi" w:hAnsiTheme="minorHAnsi" w:cstheme="minorHAnsi"/>
                <w:color w:val="000000"/>
                <w:sz w:val="22"/>
                <w:szCs w:val="22"/>
              </w:rPr>
            </w:pPr>
            <w:r w:rsidRPr="00AE1050">
              <w:rPr>
                <w:rFonts w:asciiTheme="minorHAnsi" w:hAnsiTheme="minorHAnsi" w:cstheme="minorHAnsi"/>
                <w:color w:val="000000"/>
                <w:sz w:val="22"/>
                <w:szCs w:val="22"/>
              </w:rPr>
              <w:t>1 August 2018</w:t>
            </w:r>
          </w:p>
        </w:tc>
      </w:tr>
      <w:tr w:rsidR="00AC2B90" w:rsidRPr="00AE1050" w:rsidTr="00E31D4B">
        <w:tc>
          <w:tcPr>
            <w:tcW w:w="1859" w:type="dxa"/>
          </w:tcPr>
          <w:p w:rsidR="00AC2B90" w:rsidRPr="00AE1050" w:rsidRDefault="00AC2B90" w:rsidP="00675151">
            <w:pPr>
              <w:rPr>
                <w:rFonts w:asciiTheme="minorHAnsi" w:hAnsiTheme="minorHAnsi" w:cstheme="minorHAnsi"/>
                <w:color w:val="000000"/>
                <w:sz w:val="22"/>
                <w:szCs w:val="22"/>
              </w:rPr>
            </w:pPr>
            <w:r w:rsidRPr="00AE1050">
              <w:rPr>
                <w:rFonts w:asciiTheme="minorHAnsi" w:hAnsiTheme="minorHAnsi" w:cstheme="minorHAnsi"/>
                <w:color w:val="000000"/>
                <w:sz w:val="22"/>
                <w:szCs w:val="22"/>
              </w:rPr>
              <w:t>Merkel cell carcinoma</w:t>
            </w:r>
          </w:p>
        </w:tc>
        <w:tc>
          <w:tcPr>
            <w:tcW w:w="3271" w:type="dxa"/>
          </w:tcPr>
          <w:p w:rsidR="00AC2B90" w:rsidRPr="00AE1050" w:rsidRDefault="00AC2B90" w:rsidP="00675151">
            <w:pPr>
              <w:rPr>
                <w:rFonts w:asciiTheme="minorHAnsi" w:hAnsiTheme="minorHAnsi" w:cstheme="minorHAnsi"/>
                <w:color w:val="000000"/>
                <w:sz w:val="22"/>
                <w:szCs w:val="22"/>
              </w:rPr>
            </w:pPr>
            <w:proofErr w:type="spellStart"/>
            <w:r w:rsidRPr="00AE1050">
              <w:rPr>
                <w:rFonts w:asciiTheme="minorHAnsi" w:hAnsiTheme="minorHAnsi" w:cstheme="minorHAnsi"/>
                <w:color w:val="000000"/>
                <w:sz w:val="22"/>
                <w:szCs w:val="22"/>
              </w:rPr>
              <w:t>Avelumab</w:t>
            </w:r>
            <w:proofErr w:type="spellEnd"/>
          </w:p>
          <w:p w:rsidR="00AC2B90" w:rsidRPr="00AE1050" w:rsidRDefault="00AC2B90" w:rsidP="00675151">
            <w:pPr>
              <w:rPr>
                <w:rFonts w:asciiTheme="minorHAnsi" w:hAnsiTheme="minorHAnsi" w:cstheme="minorHAnsi"/>
                <w:color w:val="000000"/>
                <w:sz w:val="22"/>
                <w:szCs w:val="22"/>
              </w:rPr>
            </w:pPr>
            <w:r w:rsidRPr="00AE1050">
              <w:rPr>
                <w:rFonts w:asciiTheme="minorHAnsi" w:hAnsiTheme="minorHAnsi" w:cstheme="minorHAnsi"/>
                <w:color w:val="000000"/>
                <w:sz w:val="22"/>
                <w:szCs w:val="22"/>
              </w:rPr>
              <w:t>(</w:t>
            </w:r>
            <w:proofErr w:type="spellStart"/>
            <w:r w:rsidRPr="00AE1050">
              <w:rPr>
                <w:rFonts w:asciiTheme="minorHAnsi" w:hAnsiTheme="minorHAnsi" w:cstheme="minorHAnsi"/>
                <w:color w:val="000000"/>
                <w:sz w:val="22"/>
                <w:szCs w:val="22"/>
              </w:rPr>
              <w:t>Bavencio</w:t>
            </w:r>
            <w:proofErr w:type="spellEnd"/>
            <w:r w:rsidRPr="00AE1050">
              <w:rPr>
                <w:rFonts w:asciiTheme="minorHAnsi" w:hAnsiTheme="minorHAnsi" w:cstheme="minorHAnsi"/>
                <w:color w:val="000000"/>
                <w:sz w:val="22"/>
                <w:szCs w:val="22"/>
              </w:rPr>
              <w:t>®)</w:t>
            </w:r>
          </w:p>
        </w:tc>
        <w:tc>
          <w:tcPr>
            <w:tcW w:w="3032" w:type="dxa"/>
          </w:tcPr>
          <w:p w:rsidR="00AC2B90" w:rsidRPr="00AE1050" w:rsidRDefault="00AC2B90" w:rsidP="00675151">
            <w:pPr>
              <w:rPr>
                <w:rFonts w:asciiTheme="minorHAnsi" w:hAnsiTheme="minorHAnsi" w:cstheme="minorHAnsi"/>
                <w:color w:val="000000"/>
                <w:sz w:val="22"/>
                <w:szCs w:val="22"/>
              </w:rPr>
            </w:pPr>
            <w:r w:rsidRPr="00AE1050">
              <w:rPr>
                <w:rFonts w:asciiTheme="minorHAnsi" w:hAnsiTheme="minorHAnsi" w:cstheme="minorHAnsi"/>
                <w:color w:val="000000"/>
                <w:sz w:val="22"/>
                <w:szCs w:val="22"/>
              </w:rPr>
              <w:t>Recommended July 2018</w:t>
            </w:r>
          </w:p>
        </w:tc>
      </w:tr>
      <w:tr w:rsidR="00AC2B90" w:rsidRPr="00AE1050" w:rsidTr="00E31D4B">
        <w:tc>
          <w:tcPr>
            <w:tcW w:w="1859" w:type="dxa"/>
          </w:tcPr>
          <w:p w:rsidR="00AC2B90" w:rsidRPr="00AE1050" w:rsidRDefault="00AC2B90" w:rsidP="00AE1050">
            <w:pPr>
              <w:rPr>
                <w:rFonts w:asciiTheme="minorHAnsi" w:hAnsiTheme="minorHAnsi" w:cstheme="minorHAnsi"/>
                <w:color w:val="000000"/>
                <w:sz w:val="22"/>
                <w:szCs w:val="22"/>
              </w:rPr>
            </w:pPr>
            <w:r w:rsidRPr="00AE1050">
              <w:rPr>
                <w:rFonts w:asciiTheme="minorHAnsi" w:hAnsiTheme="minorHAnsi" w:cstheme="minorHAnsi"/>
                <w:color w:val="000000"/>
                <w:sz w:val="22"/>
                <w:szCs w:val="22"/>
              </w:rPr>
              <w:t>Urothelial</w:t>
            </w:r>
          </w:p>
        </w:tc>
        <w:tc>
          <w:tcPr>
            <w:tcW w:w="3271" w:type="dxa"/>
          </w:tcPr>
          <w:p w:rsidR="00AC2B90" w:rsidRPr="00AE1050" w:rsidRDefault="00AC2B90" w:rsidP="00AE1050">
            <w:pPr>
              <w:rPr>
                <w:rFonts w:asciiTheme="minorHAnsi" w:hAnsiTheme="minorHAnsi" w:cstheme="minorHAnsi"/>
                <w:color w:val="000000"/>
                <w:sz w:val="22"/>
                <w:szCs w:val="22"/>
              </w:rPr>
            </w:pPr>
            <w:proofErr w:type="spellStart"/>
            <w:r w:rsidRPr="00AE1050">
              <w:rPr>
                <w:rFonts w:asciiTheme="minorHAnsi" w:hAnsiTheme="minorHAnsi" w:cstheme="minorHAnsi"/>
                <w:color w:val="000000"/>
                <w:sz w:val="22"/>
                <w:szCs w:val="22"/>
              </w:rPr>
              <w:t>Pembrolizumab</w:t>
            </w:r>
            <w:proofErr w:type="spellEnd"/>
          </w:p>
        </w:tc>
        <w:tc>
          <w:tcPr>
            <w:tcW w:w="3032" w:type="dxa"/>
          </w:tcPr>
          <w:p w:rsidR="00AC2B90" w:rsidRPr="00AE1050" w:rsidRDefault="00AC2B90" w:rsidP="00AE1050">
            <w:pPr>
              <w:rPr>
                <w:rFonts w:asciiTheme="minorHAnsi" w:hAnsiTheme="minorHAnsi" w:cstheme="minorHAnsi"/>
                <w:color w:val="000000"/>
                <w:sz w:val="22"/>
                <w:szCs w:val="22"/>
              </w:rPr>
            </w:pPr>
            <w:r w:rsidRPr="00AE1050">
              <w:rPr>
                <w:rFonts w:asciiTheme="minorHAnsi" w:hAnsiTheme="minorHAnsi" w:cstheme="minorHAnsi"/>
                <w:color w:val="000000"/>
                <w:sz w:val="22"/>
                <w:szCs w:val="22"/>
              </w:rPr>
              <w:t>Recommended July 2018</w:t>
            </w:r>
          </w:p>
        </w:tc>
      </w:tr>
    </w:tbl>
    <w:p w:rsidR="00AC2B90" w:rsidRPr="00AE1050" w:rsidRDefault="00AC2B90" w:rsidP="00AE1050">
      <w:pPr>
        <w:pStyle w:val="ListParagraph"/>
        <w:contextualSpacing w:val="0"/>
        <w:rPr>
          <w:rFonts w:asciiTheme="minorHAnsi" w:hAnsiTheme="minorHAnsi" w:cstheme="minorHAnsi"/>
          <w:sz w:val="24"/>
          <w:szCs w:val="24"/>
        </w:rPr>
      </w:pPr>
    </w:p>
    <w:p w:rsidR="00BE16C4" w:rsidRDefault="003B0539" w:rsidP="00AE1050">
      <w:pPr>
        <w:pStyle w:val="ListParagraph"/>
        <w:numPr>
          <w:ilvl w:val="1"/>
          <w:numId w:val="14"/>
        </w:numPr>
        <w:contextualSpacing w:val="0"/>
        <w:rPr>
          <w:rFonts w:asciiTheme="minorHAnsi" w:hAnsiTheme="minorHAnsi" w:cstheme="minorHAnsi"/>
          <w:sz w:val="24"/>
          <w:szCs w:val="24"/>
        </w:rPr>
      </w:pPr>
      <w:r w:rsidRPr="00FC78B0">
        <w:rPr>
          <w:rFonts w:asciiTheme="minorHAnsi" w:hAnsiTheme="minorHAnsi" w:cstheme="minorHAnsi"/>
          <w:sz w:val="24"/>
          <w:szCs w:val="24"/>
        </w:rPr>
        <w:t xml:space="preserve">A total of 43,541 </w:t>
      </w:r>
      <w:proofErr w:type="spellStart"/>
      <w:r w:rsidRPr="00FC78B0">
        <w:rPr>
          <w:rFonts w:asciiTheme="minorHAnsi" w:hAnsiTheme="minorHAnsi" w:cstheme="minorHAnsi"/>
          <w:sz w:val="24"/>
          <w:szCs w:val="24"/>
        </w:rPr>
        <w:t>pembrolizumab</w:t>
      </w:r>
      <w:proofErr w:type="spellEnd"/>
      <w:r w:rsidRPr="00FC78B0">
        <w:rPr>
          <w:rFonts w:asciiTheme="minorHAnsi" w:hAnsiTheme="minorHAnsi" w:cstheme="minorHAnsi"/>
          <w:sz w:val="24"/>
          <w:szCs w:val="24"/>
        </w:rPr>
        <w:t xml:space="preserve">, 45,183 </w:t>
      </w:r>
      <w:proofErr w:type="spellStart"/>
      <w:r w:rsidRPr="00FC78B0">
        <w:rPr>
          <w:rFonts w:asciiTheme="minorHAnsi" w:hAnsiTheme="minorHAnsi" w:cstheme="minorHAnsi"/>
          <w:sz w:val="24"/>
          <w:szCs w:val="24"/>
        </w:rPr>
        <w:t>nivolumab</w:t>
      </w:r>
      <w:proofErr w:type="spellEnd"/>
      <w:r w:rsidRPr="00FC78B0">
        <w:rPr>
          <w:rFonts w:asciiTheme="minorHAnsi" w:hAnsiTheme="minorHAnsi" w:cstheme="minorHAnsi"/>
          <w:sz w:val="24"/>
          <w:szCs w:val="24"/>
        </w:rPr>
        <w:t xml:space="preserve"> and 309 </w:t>
      </w:r>
      <w:proofErr w:type="spellStart"/>
      <w:r w:rsidRPr="00FC78B0">
        <w:rPr>
          <w:rFonts w:asciiTheme="minorHAnsi" w:hAnsiTheme="minorHAnsi" w:cstheme="minorHAnsi"/>
          <w:sz w:val="24"/>
          <w:szCs w:val="24"/>
        </w:rPr>
        <w:t>atezolizumab</w:t>
      </w:r>
      <w:proofErr w:type="spellEnd"/>
      <w:r w:rsidRPr="00FC78B0">
        <w:rPr>
          <w:rFonts w:asciiTheme="minorHAnsi" w:hAnsiTheme="minorHAnsi" w:cstheme="minorHAnsi"/>
          <w:sz w:val="24"/>
          <w:szCs w:val="24"/>
        </w:rPr>
        <w:t xml:space="preserve"> PBS scripts </w:t>
      </w:r>
      <w:r w:rsidR="003006B0" w:rsidRPr="00FC78B0">
        <w:rPr>
          <w:rFonts w:asciiTheme="minorHAnsi" w:hAnsiTheme="minorHAnsi" w:cstheme="minorHAnsi"/>
          <w:sz w:val="24"/>
          <w:szCs w:val="24"/>
        </w:rPr>
        <w:t>have b</w:t>
      </w:r>
      <w:r w:rsidRPr="00FC78B0">
        <w:rPr>
          <w:rFonts w:asciiTheme="minorHAnsi" w:hAnsiTheme="minorHAnsi" w:cstheme="minorHAnsi"/>
          <w:sz w:val="24"/>
          <w:szCs w:val="24"/>
        </w:rPr>
        <w:t>een supplied</w:t>
      </w:r>
      <w:r w:rsidR="00A14CAA" w:rsidRPr="00FC78B0">
        <w:rPr>
          <w:rFonts w:asciiTheme="minorHAnsi" w:hAnsiTheme="minorHAnsi" w:cstheme="minorHAnsi"/>
          <w:sz w:val="24"/>
          <w:szCs w:val="24"/>
        </w:rPr>
        <w:t xml:space="preserve"> through the PBS</w:t>
      </w:r>
      <w:r w:rsidRPr="00FC78B0">
        <w:rPr>
          <w:rFonts w:asciiTheme="minorHAnsi" w:hAnsiTheme="minorHAnsi" w:cstheme="minorHAnsi"/>
          <w:sz w:val="24"/>
          <w:szCs w:val="24"/>
        </w:rPr>
        <w:t xml:space="preserve"> between the first</w:t>
      </w:r>
      <w:r w:rsidR="00A14CAA" w:rsidRPr="00FC78B0">
        <w:rPr>
          <w:rFonts w:asciiTheme="minorHAnsi" w:hAnsiTheme="minorHAnsi" w:cstheme="minorHAnsi"/>
          <w:sz w:val="24"/>
          <w:szCs w:val="24"/>
        </w:rPr>
        <w:t xml:space="preserve"> PD</w:t>
      </w:r>
      <w:r w:rsidR="00193892" w:rsidRPr="00FC78B0">
        <w:rPr>
          <w:rFonts w:asciiTheme="minorHAnsi" w:hAnsiTheme="minorHAnsi" w:cstheme="minorHAnsi"/>
          <w:sz w:val="24"/>
          <w:szCs w:val="24"/>
        </w:rPr>
        <w:t>-</w:t>
      </w:r>
      <w:r w:rsidR="00A14CAA" w:rsidRPr="00FC78B0">
        <w:rPr>
          <w:rFonts w:asciiTheme="minorHAnsi" w:hAnsiTheme="minorHAnsi" w:cstheme="minorHAnsi"/>
          <w:sz w:val="24"/>
          <w:szCs w:val="24"/>
        </w:rPr>
        <w:t>(L</w:t>
      </w:r>
      <w:proofErr w:type="gramStart"/>
      <w:r w:rsidR="00A14CAA" w:rsidRPr="00FC78B0">
        <w:rPr>
          <w:rFonts w:asciiTheme="minorHAnsi" w:hAnsiTheme="minorHAnsi" w:cstheme="minorHAnsi"/>
          <w:sz w:val="24"/>
          <w:szCs w:val="24"/>
        </w:rPr>
        <w:t>)1</w:t>
      </w:r>
      <w:proofErr w:type="gramEnd"/>
      <w:r w:rsidR="00A14CAA" w:rsidRPr="00FC78B0">
        <w:rPr>
          <w:rFonts w:asciiTheme="minorHAnsi" w:hAnsiTheme="minorHAnsi" w:cstheme="minorHAnsi"/>
          <w:sz w:val="24"/>
          <w:szCs w:val="24"/>
        </w:rPr>
        <w:t xml:space="preserve"> checkpoint inhibitor</w:t>
      </w:r>
      <w:r w:rsidRPr="00FC78B0">
        <w:rPr>
          <w:rFonts w:asciiTheme="minorHAnsi" w:hAnsiTheme="minorHAnsi" w:cstheme="minorHAnsi"/>
          <w:sz w:val="24"/>
          <w:szCs w:val="24"/>
        </w:rPr>
        <w:t xml:space="preserve"> listing in September 2015 and June 2018</w:t>
      </w:r>
      <w:r w:rsidRPr="005D018F">
        <w:rPr>
          <w:rFonts w:asciiTheme="minorHAnsi" w:hAnsiTheme="minorHAnsi" w:cstheme="minorHAnsi"/>
          <w:sz w:val="24"/>
          <w:szCs w:val="24"/>
        </w:rPr>
        <w:t>.</w:t>
      </w:r>
      <w:r w:rsidRPr="00AE1050">
        <w:rPr>
          <w:rFonts w:asciiTheme="minorHAnsi" w:hAnsiTheme="minorHAnsi" w:cstheme="minorHAnsi"/>
          <w:sz w:val="24"/>
          <w:szCs w:val="24"/>
        </w:rPr>
        <w:t xml:space="preserve"> A rapid increase for </w:t>
      </w:r>
      <w:proofErr w:type="spellStart"/>
      <w:r w:rsidRPr="00AE1050">
        <w:rPr>
          <w:rFonts w:asciiTheme="minorHAnsi" w:hAnsiTheme="minorHAnsi" w:cstheme="minorHAnsi"/>
          <w:sz w:val="24"/>
          <w:szCs w:val="24"/>
        </w:rPr>
        <w:t>nivolumab</w:t>
      </w:r>
      <w:proofErr w:type="spellEnd"/>
      <w:r w:rsidRPr="00AE1050">
        <w:rPr>
          <w:rFonts w:asciiTheme="minorHAnsi" w:hAnsiTheme="minorHAnsi" w:cstheme="minorHAnsi"/>
          <w:sz w:val="24"/>
          <w:szCs w:val="24"/>
        </w:rPr>
        <w:t xml:space="preserve"> was observed in August 2017, reflecting the listing of </w:t>
      </w:r>
      <w:r w:rsidR="00193892">
        <w:rPr>
          <w:rFonts w:asciiTheme="minorHAnsi" w:hAnsiTheme="minorHAnsi" w:cstheme="minorHAnsi"/>
          <w:sz w:val="24"/>
          <w:szCs w:val="24"/>
        </w:rPr>
        <w:t>n</w:t>
      </w:r>
      <w:r w:rsidR="00A14CAA" w:rsidRPr="00AE1050">
        <w:rPr>
          <w:rFonts w:asciiTheme="minorHAnsi" w:hAnsiTheme="minorHAnsi" w:cstheme="minorHAnsi"/>
          <w:sz w:val="24"/>
          <w:szCs w:val="24"/>
        </w:rPr>
        <w:t>on</w:t>
      </w:r>
      <w:r w:rsidR="00D979A9">
        <w:rPr>
          <w:rFonts w:asciiTheme="minorHAnsi" w:hAnsiTheme="minorHAnsi" w:cstheme="minorHAnsi"/>
          <w:sz w:val="24"/>
          <w:szCs w:val="24"/>
        </w:rPr>
        <w:t>-</w:t>
      </w:r>
      <w:r w:rsidR="00193892">
        <w:rPr>
          <w:rFonts w:asciiTheme="minorHAnsi" w:hAnsiTheme="minorHAnsi" w:cstheme="minorHAnsi"/>
          <w:sz w:val="24"/>
          <w:szCs w:val="24"/>
        </w:rPr>
        <w:t>s</w:t>
      </w:r>
      <w:r w:rsidR="00A14CAA" w:rsidRPr="00AE1050">
        <w:rPr>
          <w:rFonts w:asciiTheme="minorHAnsi" w:hAnsiTheme="minorHAnsi" w:cstheme="minorHAnsi"/>
          <w:sz w:val="24"/>
          <w:szCs w:val="24"/>
        </w:rPr>
        <w:t xml:space="preserve">mall </w:t>
      </w:r>
      <w:r w:rsidR="00193892">
        <w:rPr>
          <w:rFonts w:asciiTheme="minorHAnsi" w:hAnsiTheme="minorHAnsi" w:cstheme="minorHAnsi"/>
          <w:sz w:val="24"/>
          <w:szCs w:val="24"/>
        </w:rPr>
        <w:t>c</w:t>
      </w:r>
      <w:r w:rsidR="00A14CAA" w:rsidRPr="00AE1050">
        <w:rPr>
          <w:rFonts w:asciiTheme="minorHAnsi" w:hAnsiTheme="minorHAnsi" w:cstheme="minorHAnsi"/>
          <w:sz w:val="24"/>
          <w:szCs w:val="24"/>
        </w:rPr>
        <w:t xml:space="preserve">ell </w:t>
      </w:r>
      <w:r w:rsidR="00193892">
        <w:rPr>
          <w:rFonts w:asciiTheme="minorHAnsi" w:hAnsiTheme="minorHAnsi" w:cstheme="minorHAnsi"/>
          <w:sz w:val="24"/>
          <w:szCs w:val="24"/>
        </w:rPr>
        <w:t>l</w:t>
      </w:r>
      <w:r w:rsidR="00A14CAA" w:rsidRPr="00AE1050">
        <w:rPr>
          <w:rFonts w:asciiTheme="minorHAnsi" w:hAnsiTheme="minorHAnsi" w:cstheme="minorHAnsi"/>
          <w:sz w:val="24"/>
          <w:szCs w:val="24"/>
        </w:rPr>
        <w:t xml:space="preserve">ung </w:t>
      </w:r>
      <w:r w:rsidR="00193892">
        <w:rPr>
          <w:rFonts w:asciiTheme="minorHAnsi" w:hAnsiTheme="minorHAnsi" w:cstheme="minorHAnsi"/>
          <w:sz w:val="24"/>
          <w:szCs w:val="24"/>
        </w:rPr>
        <w:t>c</w:t>
      </w:r>
      <w:r w:rsidR="00A14CAA" w:rsidRPr="00AE1050">
        <w:rPr>
          <w:rFonts w:asciiTheme="minorHAnsi" w:hAnsiTheme="minorHAnsi" w:cstheme="minorHAnsi"/>
          <w:sz w:val="24"/>
          <w:szCs w:val="24"/>
        </w:rPr>
        <w:t>ancer</w:t>
      </w:r>
      <w:r w:rsidR="00193892">
        <w:rPr>
          <w:rFonts w:asciiTheme="minorHAnsi" w:hAnsiTheme="minorHAnsi" w:cstheme="minorHAnsi"/>
          <w:sz w:val="24"/>
          <w:szCs w:val="24"/>
        </w:rPr>
        <w:t xml:space="preserve"> (NSCLC)</w:t>
      </w:r>
      <w:r w:rsidR="00A14CAA" w:rsidRPr="00AE1050">
        <w:rPr>
          <w:rFonts w:asciiTheme="minorHAnsi" w:hAnsiTheme="minorHAnsi" w:cstheme="minorHAnsi"/>
          <w:sz w:val="24"/>
          <w:szCs w:val="24"/>
        </w:rPr>
        <w:t xml:space="preserve"> and </w:t>
      </w:r>
      <w:r w:rsidR="00193892">
        <w:rPr>
          <w:rFonts w:asciiTheme="minorHAnsi" w:hAnsiTheme="minorHAnsi" w:cstheme="minorHAnsi"/>
          <w:sz w:val="24"/>
          <w:szCs w:val="24"/>
        </w:rPr>
        <w:t>r</w:t>
      </w:r>
      <w:r w:rsidR="00A14CAA" w:rsidRPr="00AE1050">
        <w:rPr>
          <w:rFonts w:asciiTheme="minorHAnsi" w:hAnsiTheme="minorHAnsi" w:cstheme="minorHAnsi"/>
          <w:sz w:val="24"/>
          <w:szCs w:val="24"/>
        </w:rPr>
        <w:t xml:space="preserve">enal </w:t>
      </w:r>
      <w:r w:rsidR="00193892">
        <w:rPr>
          <w:rFonts w:asciiTheme="minorHAnsi" w:hAnsiTheme="minorHAnsi" w:cstheme="minorHAnsi"/>
          <w:sz w:val="24"/>
          <w:szCs w:val="24"/>
        </w:rPr>
        <w:lastRenderedPageBreak/>
        <w:t>c</w:t>
      </w:r>
      <w:r w:rsidR="00A14CAA" w:rsidRPr="00AE1050">
        <w:rPr>
          <w:rFonts w:asciiTheme="minorHAnsi" w:hAnsiTheme="minorHAnsi" w:cstheme="minorHAnsi"/>
          <w:sz w:val="24"/>
          <w:szCs w:val="24"/>
        </w:rPr>
        <w:t xml:space="preserve">ell </w:t>
      </w:r>
      <w:r w:rsidR="00193892">
        <w:rPr>
          <w:rFonts w:asciiTheme="minorHAnsi" w:hAnsiTheme="minorHAnsi" w:cstheme="minorHAnsi"/>
          <w:sz w:val="24"/>
          <w:szCs w:val="24"/>
        </w:rPr>
        <w:t>c</w:t>
      </w:r>
      <w:r w:rsidR="00A14CAA" w:rsidRPr="00AE1050">
        <w:rPr>
          <w:rFonts w:asciiTheme="minorHAnsi" w:hAnsiTheme="minorHAnsi" w:cstheme="minorHAnsi"/>
          <w:sz w:val="24"/>
          <w:szCs w:val="24"/>
        </w:rPr>
        <w:t>ancer</w:t>
      </w:r>
      <w:r w:rsidR="00193892">
        <w:rPr>
          <w:rFonts w:asciiTheme="minorHAnsi" w:hAnsiTheme="minorHAnsi" w:cstheme="minorHAnsi"/>
          <w:sz w:val="24"/>
          <w:szCs w:val="24"/>
        </w:rPr>
        <w:t xml:space="preserve"> (RCC)</w:t>
      </w:r>
      <w:r w:rsidR="00A14CAA" w:rsidRPr="00AE1050">
        <w:rPr>
          <w:rFonts w:asciiTheme="minorHAnsi" w:hAnsiTheme="minorHAnsi" w:cstheme="minorHAnsi"/>
          <w:sz w:val="24"/>
          <w:szCs w:val="24"/>
        </w:rPr>
        <w:t xml:space="preserve"> (see Figure 1).</w:t>
      </w:r>
    </w:p>
    <w:p w:rsidR="00C058DB" w:rsidRDefault="00C058DB" w:rsidP="00EA042D">
      <w:pPr>
        <w:ind w:left="720"/>
        <w:rPr>
          <w:rFonts w:asciiTheme="minorHAnsi" w:hAnsiTheme="minorHAnsi" w:cstheme="minorHAnsi"/>
        </w:rPr>
      </w:pPr>
    </w:p>
    <w:p w:rsidR="00AC2B90" w:rsidRPr="00925068" w:rsidRDefault="0092595A" w:rsidP="00675151">
      <w:pPr>
        <w:pStyle w:val="ListParagraph"/>
        <w:rPr>
          <w:rFonts w:asciiTheme="minorHAnsi" w:hAnsiTheme="minorHAnsi" w:cstheme="minorHAnsi"/>
          <w:sz w:val="24"/>
          <w:szCs w:val="24"/>
        </w:rPr>
      </w:pPr>
      <w:r>
        <w:rPr>
          <w:noProof/>
        </w:rPr>
        <w:drawing>
          <wp:inline distT="0" distB="0" distL="0" distR="0" wp14:anchorId="1B70E0BF" wp14:editId="725E6310">
            <wp:extent cx="5610225" cy="3048000"/>
            <wp:effectExtent l="0" t="0" r="9525" b="0"/>
            <wp:docPr id="1" name="Picture 1" descr="Number of PBS subsidised scripts dispensed for PD-(L)1 inhibitors between September 2015 and June 2018 "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0225" cy="3048000"/>
                    </a:xfrm>
                    <a:prstGeom prst="rect">
                      <a:avLst/>
                    </a:prstGeom>
                  </pic:spPr>
                </pic:pic>
              </a:graphicData>
            </a:graphic>
          </wp:inline>
        </w:drawing>
      </w:r>
    </w:p>
    <w:p w:rsidR="0092595A" w:rsidRDefault="0092595A" w:rsidP="009415FC">
      <w:pPr>
        <w:pStyle w:val="CommentText"/>
        <w:rPr>
          <w:rFonts w:ascii="Arial Narrow" w:hAnsi="Arial Narrow" w:cstheme="minorHAnsi"/>
          <w:b/>
          <w:sz w:val="22"/>
          <w:szCs w:val="22"/>
        </w:rPr>
      </w:pPr>
    </w:p>
    <w:p w:rsidR="009415FC" w:rsidRPr="00AD799B" w:rsidRDefault="009415FC" w:rsidP="009415FC">
      <w:pPr>
        <w:pStyle w:val="CommentText"/>
        <w:rPr>
          <w:rFonts w:ascii="Arial Narrow" w:hAnsi="Arial Narrow" w:cstheme="minorHAnsi"/>
          <w:b/>
          <w:sz w:val="22"/>
          <w:szCs w:val="22"/>
        </w:rPr>
      </w:pPr>
      <w:r w:rsidRPr="00AD799B">
        <w:rPr>
          <w:rFonts w:ascii="Arial Narrow" w:hAnsi="Arial Narrow" w:cstheme="minorHAnsi"/>
          <w:b/>
          <w:sz w:val="22"/>
          <w:szCs w:val="22"/>
        </w:rPr>
        <w:t>Figure 1: Number of PBS subsidised scripts dispensed for PD-(L</w:t>
      </w:r>
      <w:proofErr w:type="gramStart"/>
      <w:r w:rsidRPr="00AD799B">
        <w:rPr>
          <w:rFonts w:ascii="Arial Narrow" w:hAnsi="Arial Narrow" w:cstheme="minorHAnsi"/>
          <w:b/>
          <w:sz w:val="22"/>
          <w:szCs w:val="22"/>
        </w:rPr>
        <w:t>)1</w:t>
      </w:r>
      <w:proofErr w:type="gramEnd"/>
      <w:r w:rsidRPr="00AD799B">
        <w:rPr>
          <w:rFonts w:ascii="Arial Narrow" w:hAnsi="Arial Narrow" w:cstheme="minorHAnsi"/>
          <w:b/>
          <w:sz w:val="22"/>
          <w:szCs w:val="22"/>
        </w:rPr>
        <w:t xml:space="preserve"> inhibitors between September 2015 and June 2018 </w:t>
      </w:r>
    </w:p>
    <w:p w:rsidR="009415FC" w:rsidRPr="00AE1050" w:rsidRDefault="009415FC" w:rsidP="00AE1050">
      <w:pPr>
        <w:pStyle w:val="ListParagraph"/>
        <w:contextualSpacing w:val="0"/>
        <w:rPr>
          <w:rFonts w:asciiTheme="minorHAnsi" w:hAnsiTheme="minorHAnsi" w:cstheme="minorHAnsi"/>
          <w:sz w:val="24"/>
          <w:szCs w:val="24"/>
        </w:rPr>
      </w:pPr>
    </w:p>
    <w:p w:rsidR="0059515D" w:rsidRPr="00AE1050" w:rsidRDefault="0059515D" w:rsidP="00E32161">
      <w:pPr>
        <w:pStyle w:val="ListParagraph"/>
        <w:numPr>
          <w:ilvl w:val="1"/>
          <w:numId w:val="14"/>
        </w:numPr>
        <w:spacing w:after="240"/>
        <w:contextualSpacing w:val="0"/>
        <w:rPr>
          <w:rFonts w:asciiTheme="minorHAnsi" w:hAnsiTheme="minorHAnsi" w:cstheme="minorHAnsi"/>
          <w:sz w:val="24"/>
          <w:szCs w:val="24"/>
        </w:rPr>
      </w:pPr>
      <w:r w:rsidRPr="00AE1050">
        <w:rPr>
          <w:rFonts w:asciiTheme="minorHAnsi" w:hAnsiTheme="minorHAnsi" w:cstheme="minorHAnsi"/>
          <w:sz w:val="24"/>
          <w:szCs w:val="24"/>
        </w:rPr>
        <w:t xml:space="preserve">The PBAC noted that it </w:t>
      </w:r>
      <w:r w:rsidR="00C058DB">
        <w:rPr>
          <w:rFonts w:asciiTheme="minorHAnsi" w:hAnsiTheme="minorHAnsi" w:cstheme="minorHAnsi"/>
          <w:sz w:val="24"/>
          <w:szCs w:val="24"/>
        </w:rPr>
        <w:t xml:space="preserve">had </w:t>
      </w:r>
      <w:r w:rsidRPr="00AE1050">
        <w:rPr>
          <w:rFonts w:asciiTheme="minorHAnsi" w:hAnsiTheme="minorHAnsi" w:cstheme="minorHAnsi"/>
          <w:sz w:val="24"/>
          <w:szCs w:val="24"/>
        </w:rPr>
        <w:t xml:space="preserve">considered </w:t>
      </w:r>
      <w:r w:rsidR="009415FC">
        <w:rPr>
          <w:rFonts w:asciiTheme="minorHAnsi" w:hAnsiTheme="minorHAnsi" w:cstheme="minorHAnsi"/>
          <w:sz w:val="24"/>
          <w:szCs w:val="24"/>
        </w:rPr>
        <w:t>31</w:t>
      </w:r>
      <w:r w:rsidRPr="00AE1050">
        <w:rPr>
          <w:rFonts w:asciiTheme="minorHAnsi" w:hAnsiTheme="minorHAnsi" w:cstheme="minorHAnsi"/>
          <w:sz w:val="24"/>
          <w:szCs w:val="24"/>
        </w:rPr>
        <w:t xml:space="preserve"> subsidy applications for </w:t>
      </w:r>
      <w:r w:rsidR="006C361A" w:rsidRPr="00AE1050">
        <w:rPr>
          <w:rFonts w:asciiTheme="minorHAnsi" w:hAnsiTheme="minorHAnsi" w:cstheme="minorHAnsi"/>
          <w:sz w:val="24"/>
          <w:szCs w:val="24"/>
        </w:rPr>
        <w:t>PD</w:t>
      </w:r>
      <w:r w:rsidR="006C361A">
        <w:rPr>
          <w:rFonts w:asciiTheme="minorHAnsi" w:hAnsiTheme="minorHAnsi" w:cstheme="minorHAnsi"/>
          <w:sz w:val="24"/>
          <w:szCs w:val="24"/>
        </w:rPr>
        <w:t>-</w:t>
      </w:r>
      <w:r w:rsidR="006C361A" w:rsidRPr="00AE1050">
        <w:rPr>
          <w:rFonts w:asciiTheme="minorHAnsi" w:hAnsiTheme="minorHAnsi" w:cstheme="minorHAnsi"/>
          <w:sz w:val="24"/>
          <w:szCs w:val="24"/>
        </w:rPr>
        <w:t>(L</w:t>
      </w:r>
      <w:proofErr w:type="gramStart"/>
      <w:r w:rsidR="006C361A" w:rsidRPr="00AE1050">
        <w:rPr>
          <w:rFonts w:asciiTheme="minorHAnsi" w:hAnsiTheme="minorHAnsi" w:cstheme="minorHAnsi"/>
          <w:sz w:val="24"/>
          <w:szCs w:val="24"/>
        </w:rPr>
        <w:t>)1</w:t>
      </w:r>
      <w:proofErr w:type="gramEnd"/>
      <w:r w:rsidR="006C361A">
        <w:rPr>
          <w:rFonts w:asciiTheme="minorHAnsi" w:hAnsiTheme="minorHAnsi" w:cstheme="minorHAnsi"/>
          <w:sz w:val="24"/>
          <w:szCs w:val="24"/>
        </w:rPr>
        <w:t xml:space="preserve"> </w:t>
      </w:r>
      <w:r w:rsidR="00A14CAA" w:rsidRPr="00AE1050">
        <w:rPr>
          <w:rFonts w:asciiTheme="minorHAnsi" w:hAnsiTheme="minorHAnsi" w:cstheme="minorHAnsi"/>
          <w:sz w:val="24"/>
          <w:szCs w:val="24"/>
        </w:rPr>
        <w:t>checkpoint inhibitors</w:t>
      </w:r>
      <w:r w:rsidRPr="00AE1050">
        <w:rPr>
          <w:rFonts w:asciiTheme="minorHAnsi" w:hAnsiTheme="minorHAnsi" w:cstheme="minorHAnsi"/>
          <w:sz w:val="24"/>
          <w:szCs w:val="24"/>
        </w:rPr>
        <w:t xml:space="preserve"> between March 2015 and July 2018.  These applications covered seven distinct tumour types</w:t>
      </w:r>
      <w:r w:rsidR="00A14CAA" w:rsidRPr="00AE1050">
        <w:rPr>
          <w:rFonts w:asciiTheme="minorHAnsi" w:hAnsiTheme="minorHAnsi" w:cstheme="minorHAnsi"/>
          <w:sz w:val="24"/>
          <w:szCs w:val="24"/>
        </w:rPr>
        <w:t xml:space="preserve"> and s</w:t>
      </w:r>
      <w:r w:rsidRPr="00AE1050">
        <w:rPr>
          <w:rFonts w:asciiTheme="minorHAnsi" w:hAnsiTheme="minorHAnsi" w:cstheme="minorHAnsi"/>
          <w:sz w:val="24"/>
          <w:szCs w:val="24"/>
        </w:rPr>
        <w:t>ubsidy has been recommended for all seven</w:t>
      </w:r>
      <w:r w:rsidR="001157FE">
        <w:rPr>
          <w:rFonts w:asciiTheme="minorHAnsi" w:hAnsiTheme="minorHAnsi" w:cstheme="minorHAnsi"/>
          <w:sz w:val="24"/>
          <w:szCs w:val="24"/>
        </w:rPr>
        <w:t xml:space="preserve"> </w:t>
      </w:r>
      <w:r w:rsidRPr="00AE1050">
        <w:rPr>
          <w:rFonts w:asciiTheme="minorHAnsi" w:hAnsiTheme="minorHAnsi" w:cstheme="minorHAnsi"/>
          <w:sz w:val="24"/>
          <w:szCs w:val="24"/>
        </w:rPr>
        <w:t xml:space="preserve">tumour types. </w:t>
      </w:r>
      <w:r w:rsidR="00605E2D">
        <w:rPr>
          <w:rFonts w:asciiTheme="minorHAnsi" w:hAnsiTheme="minorHAnsi" w:cstheme="minorHAnsi"/>
          <w:sz w:val="24"/>
          <w:szCs w:val="24"/>
        </w:rPr>
        <w:t>Five</w:t>
      </w:r>
      <w:r w:rsidR="00605E2D" w:rsidRPr="00AE1050">
        <w:rPr>
          <w:rFonts w:asciiTheme="minorHAnsi" w:hAnsiTheme="minorHAnsi" w:cstheme="minorHAnsi"/>
          <w:sz w:val="24"/>
          <w:szCs w:val="24"/>
        </w:rPr>
        <w:t xml:space="preserve"> </w:t>
      </w:r>
      <w:r w:rsidR="00E32161" w:rsidRPr="00AE1050">
        <w:rPr>
          <w:rFonts w:asciiTheme="minorHAnsi" w:hAnsiTheme="minorHAnsi" w:cstheme="minorHAnsi"/>
          <w:sz w:val="24"/>
          <w:szCs w:val="24"/>
        </w:rPr>
        <w:t xml:space="preserve">submissions for four medicines across three tumour types, one of which is new, </w:t>
      </w:r>
      <w:r w:rsidR="00605E2D">
        <w:rPr>
          <w:rFonts w:asciiTheme="minorHAnsi" w:hAnsiTheme="minorHAnsi" w:cstheme="minorHAnsi"/>
          <w:sz w:val="24"/>
          <w:szCs w:val="24"/>
        </w:rPr>
        <w:t>were</w:t>
      </w:r>
      <w:r w:rsidR="00E32161" w:rsidRPr="00AE1050">
        <w:rPr>
          <w:rFonts w:asciiTheme="minorHAnsi" w:hAnsiTheme="minorHAnsi" w:cstheme="minorHAnsi"/>
          <w:sz w:val="24"/>
          <w:szCs w:val="24"/>
        </w:rPr>
        <w:t xml:space="preserve"> considered at the November 2018 PBAC meeting. </w:t>
      </w:r>
      <w:r w:rsidR="00605E2D">
        <w:rPr>
          <w:rFonts w:asciiTheme="minorHAnsi" w:hAnsiTheme="minorHAnsi" w:cstheme="minorHAnsi"/>
          <w:sz w:val="24"/>
          <w:szCs w:val="24"/>
        </w:rPr>
        <w:t xml:space="preserve">Three submissions for </w:t>
      </w:r>
      <w:r w:rsidR="009415FC">
        <w:rPr>
          <w:rFonts w:asciiTheme="minorHAnsi" w:hAnsiTheme="minorHAnsi" w:cstheme="minorHAnsi"/>
          <w:sz w:val="24"/>
          <w:szCs w:val="24"/>
        </w:rPr>
        <w:t>three</w:t>
      </w:r>
      <w:r w:rsidR="00605E2D">
        <w:rPr>
          <w:rFonts w:asciiTheme="minorHAnsi" w:hAnsiTheme="minorHAnsi" w:cstheme="minorHAnsi"/>
          <w:sz w:val="24"/>
          <w:szCs w:val="24"/>
        </w:rPr>
        <w:t xml:space="preserve"> medicines across three tumour types, one of which is new will be considered at the March 2019 meeting. </w:t>
      </w:r>
      <w:r w:rsidR="00E32161" w:rsidRPr="00AE1050">
        <w:rPr>
          <w:rFonts w:asciiTheme="minorHAnsi" w:hAnsiTheme="minorHAnsi" w:cstheme="minorHAnsi"/>
          <w:sz w:val="24"/>
          <w:szCs w:val="24"/>
        </w:rPr>
        <w:t xml:space="preserve">Further information on the applications considered by the PBAC is contained in </w:t>
      </w:r>
      <w:r w:rsidR="00E32161" w:rsidRPr="008D50F8">
        <w:rPr>
          <w:rFonts w:asciiTheme="minorHAnsi" w:hAnsiTheme="minorHAnsi" w:cstheme="minorHAnsi"/>
          <w:b/>
          <w:sz w:val="24"/>
          <w:szCs w:val="24"/>
        </w:rPr>
        <w:t xml:space="preserve">Attachment </w:t>
      </w:r>
      <w:r w:rsidR="00222DF0">
        <w:rPr>
          <w:rFonts w:asciiTheme="minorHAnsi" w:hAnsiTheme="minorHAnsi" w:cstheme="minorHAnsi"/>
          <w:b/>
          <w:sz w:val="24"/>
          <w:szCs w:val="24"/>
        </w:rPr>
        <w:t>A</w:t>
      </w:r>
      <w:r w:rsidR="00E32161" w:rsidRPr="00AE1050">
        <w:rPr>
          <w:rFonts w:asciiTheme="minorHAnsi" w:hAnsiTheme="minorHAnsi" w:cstheme="minorHAnsi"/>
          <w:sz w:val="24"/>
          <w:szCs w:val="24"/>
        </w:rPr>
        <w:t>.</w:t>
      </w:r>
    </w:p>
    <w:p w:rsidR="00E32161" w:rsidRPr="00AE1050" w:rsidRDefault="006E26FB" w:rsidP="00E32161">
      <w:pPr>
        <w:pStyle w:val="ListParagraph"/>
        <w:numPr>
          <w:ilvl w:val="1"/>
          <w:numId w:val="14"/>
        </w:numPr>
        <w:spacing w:after="240"/>
        <w:contextualSpacing w:val="0"/>
        <w:rPr>
          <w:rFonts w:asciiTheme="minorHAnsi" w:hAnsiTheme="minorHAnsi" w:cstheme="minorHAnsi"/>
          <w:sz w:val="24"/>
          <w:szCs w:val="24"/>
        </w:rPr>
      </w:pPr>
      <w:r w:rsidRPr="00AE1050">
        <w:rPr>
          <w:rFonts w:asciiTheme="minorHAnsi" w:hAnsiTheme="minorHAnsi" w:cstheme="minorHAnsi"/>
          <w:sz w:val="24"/>
          <w:szCs w:val="24"/>
        </w:rPr>
        <w:t xml:space="preserve">The PBAC </w:t>
      </w:r>
      <w:r w:rsidR="00A17028" w:rsidRPr="00AE1050">
        <w:rPr>
          <w:rFonts w:asciiTheme="minorHAnsi" w:hAnsiTheme="minorHAnsi" w:cstheme="minorHAnsi"/>
          <w:sz w:val="24"/>
          <w:szCs w:val="24"/>
        </w:rPr>
        <w:t xml:space="preserve">also </w:t>
      </w:r>
      <w:r w:rsidRPr="00AE1050">
        <w:rPr>
          <w:rFonts w:asciiTheme="minorHAnsi" w:hAnsiTheme="minorHAnsi" w:cstheme="minorHAnsi"/>
          <w:sz w:val="24"/>
          <w:szCs w:val="24"/>
        </w:rPr>
        <w:t>noted that</w:t>
      </w:r>
      <w:r w:rsidR="00AC2B90" w:rsidRPr="00AE1050">
        <w:rPr>
          <w:rFonts w:asciiTheme="minorHAnsi" w:hAnsiTheme="minorHAnsi" w:cstheme="minorHAnsi"/>
          <w:sz w:val="24"/>
          <w:szCs w:val="24"/>
        </w:rPr>
        <w:t xml:space="preserve"> </w:t>
      </w:r>
      <w:r w:rsidR="00A17028" w:rsidRPr="00AE1050">
        <w:rPr>
          <w:rFonts w:asciiTheme="minorHAnsi" w:hAnsiTheme="minorHAnsi" w:cstheme="minorHAnsi"/>
          <w:sz w:val="24"/>
          <w:szCs w:val="24"/>
        </w:rPr>
        <w:t xml:space="preserve">new </w:t>
      </w:r>
      <w:r w:rsidR="00AC2B90" w:rsidRPr="00AE1050">
        <w:rPr>
          <w:rFonts w:asciiTheme="minorHAnsi" w:hAnsiTheme="minorHAnsi" w:cstheme="minorHAnsi"/>
          <w:sz w:val="24"/>
          <w:szCs w:val="24"/>
        </w:rPr>
        <w:t xml:space="preserve">therapies involving </w:t>
      </w:r>
      <w:r w:rsidRPr="00AE1050">
        <w:rPr>
          <w:rFonts w:asciiTheme="minorHAnsi" w:hAnsiTheme="minorHAnsi" w:cstheme="minorHAnsi"/>
          <w:sz w:val="24"/>
          <w:szCs w:val="24"/>
        </w:rPr>
        <w:t>immuno-oncology medicines</w:t>
      </w:r>
      <w:r w:rsidR="00891591" w:rsidRPr="00AE1050">
        <w:rPr>
          <w:rFonts w:asciiTheme="minorHAnsi" w:hAnsiTheme="minorHAnsi" w:cstheme="minorHAnsi"/>
          <w:sz w:val="24"/>
          <w:szCs w:val="24"/>
        </w:rPr>
        <w:t xml:space="preserve"> including </w:t>
      </w:r>
      <w:r w:rsidR="006C361A" w:rsidRPr="00AE1050">
        <w:rPr>
          <w:rFonts w:asciiTheme="minorHAnsi" w:hAnsiTheme="minorHAnsi" w:cstheme="minorHAnsi"/>
          <w:sz w:val="24"/>
          <w:szCs w:val="24"/>
        </w:rPr>
        <w:t>PD</w:t>
      </w:r>
      <w:r w:rsidR="006C361A">
        <w:rPr>
          <w:rFonts w:asciiTheme="minorHAnsi" w:hAnsiTheme="minorHAnsi" w:cstheme="minorHAnsi"/>
          <w:sz w:val="24"/>
          <w:szCs w:val="24"/>
        </w:rPr>
        <w:t>-</w:t>
      </w:r>
      <w:r w:rsidR="006C361A" w:rsidRPr="00AE1050">
        <w:rPr>
          <w:rFonts w:asciiTheme="minorHAnsi" w:hAnsiTheme="minorHAnsi" w:cstheme="minorHAnsi"/>
          <w:sz w:val="24"/>
          <w:szCs w:val="24"/>
        </w:rPr>
        <w:t>(L</w:t>
      </w:r>
      <w:proofErr w:type="gramStart"/>
      <w:r w:rsidR="006C361A" w:rsidRPr="00AE1050">
        <w:rPr>
          <w:rFonts w:asciiTheme="minorHAnsi" w:hAnsiTheme="minorHAnsi" w:cstheme="minorHAnsi"/>
          <w:sz w:val="24"/>
          <w:szCs w:val="24"/>
        </w:rPr>
        <w:t>)1</w:t>
      </w:r>
      <w:proofErr w:type="gramEnd"/>
      <w:r w:rsidR="006C361A">
        <w:rPr>
          <w:rFonts w:asciiTheme="minorHAnsi" w:hAnsiTheme="minorHAnsi" w:cstheme="minorHAnsi"/>
          <w:sz w:val="24"/>
          <w:szCs w:val="24"/>
        </w:rPr>
        <w:t xml:space="preserve"> </w:t>
      </w:r>
      <w:r w:rsidR="00891591" w:rsidRPr="00AE1050">
        <w:rPr>
          <w:rFonts w:asciiTheme="minorHAnsi" w:hAnsiTheme="minorHAnsi" w:cstheme="minorHAnsi"/>
          <w:sz w:val="24"/>
          <w:szCs w:val="24"/>
        </w:rPr>
        <w:t>checkpoint inhibitors and other classes of medicines</w:t>
      </w:r>
      <w:r w:rsidRPr="00AE1050">
        <w:rPr>
          <w:rFonts w:asciiTheme="minorHAnsi" w:hAnsiTheme="minorHAnsi" w:cstheme="minorHAnsi"/>
          <w:sz w:val="24"/>
          <w:szCs w:val="24"/>
        </w:rPr>
        <w:t xml:space="preserve"> </w:t>
      </w:r>
      <w:r w:rsidR="00AC2B90" w:rsidRPr="00AE1050">
        <w:rPr>
          <w:rFonts w:asciiTheme="minorHAnsi" w:hAnsiTheme="minorHAnsi" w:cstheme="minorHAnsi"/>
          <w:sz w:val="24"/>
          <w:szCs w:val="24"/>
        </w:rPr>
        <w:t>are</w:t>
      </w:r>
      <w:r w:rsidR="00A17028" w:rsidRPr="00AE1050">
        <w:rPr>
          <w:rFonts w:asciiTheme="minorHAnsi" w:hAnsiTheme="minorHAnsi" w:cstheme="minorHAnsi"/>
          <w:sz w:val="24"/>
          <w:szCs w:val="24"/>
        </w:rPr>
        <w:t xml:space="preserve"> being rapidly</w:t>
      </w:r>
      <w:r w:rsidR="00AC2B90" w:rsidRPr="00AE1050">
        <w:rPr>
          <w:rFonts w:asciiTheme="minorHAnsi" w:hAnsiTheme="minorHAnsi" w:cstheme="minorHAnsi"/>
          <w:sz w:val="24"/>
          <w:szCs w:val="24"/>
        </w:rPr>
        <w:t xml:space="preserve"> </w:t>
      </w:r>
      <w:r w:rsidRPr="00AE1050">
        <w:rPr>
          <w:rFonts w:asciiTheme="minorHAnsi" w:hAnsiTheme="minorHAnsi" w:cstheme="minorHAnsi"/>
          <w:sz w:val="24"/>
          <w:szCs w:val="24"/>
        </w:rPr>
        <w:t>develop</w:t>
      </w:r>
      <w:r w:rsidR="00A17028" w:rsidRPr="00AE1050">
        <w:rPr>
          <w:rFonts w:asciiTheme="minorHAnsi" w:hAnsiTheme="minorHAnsi" w:cstheme="minorHAnsi"/>
          <w:sz w:val="24"/>
          <w:szCs w:val="24"/>
        </w:rPr>
        <w:t>ed</w:t>
      </w:r>
      <w:r w:rsidRPr="00AE1050">
        <w:rPr>
          <w:rFonts w:asciiTheme="minorHAnsi" w:hAnsiTheme="minorHAnsi" w:cstheme="minorHAnsi"/>
          <w:sz w:val="24"/>
          <w:szCs w:val="24"/>
        </w:rPr>
        <w:t xml:space="preserve"> and that a significant number of</w:t>
      </w:r>
      <w:r w:rsidR="00A17028" w:rsidRPr="00AE1050">
        <w:rPr>
          <w:rFonts w:asciiTheme="minorHAnsi" w:hAnsiTheme="minorHAnsi" w:cstheme="minorHAnsi"/>
          <w:sz w:val="24"/>
          <w:szCs w:val="24"/>
        </w:rPr>
        <w:t xml:space="preserve"> new</w:t>
      </w:r>
      <w:r w:rsidRPr="00AE1050">
        <w:rPr>
          <w:rFonts w:asciiTheme="minorHAnsi" w:hAnsiTheme="minorHAnsi" w:cstheme="minorHAnsi"/>
          <w:sz w:val="24"/>
          <w:szCs w:val="24"/>
        </w:rPr>
        <w:t xml:space="preserve"> PBAC submissions </w:t>
      </w:r>
      <w:r w:rsidR="00DD402C" w:rsidRPr="00AE1050">
        <w:rPr>
          <w:rFonts w:asciiTheme="minorHAnsi" w:hAnsiTheme="minorHAnsi" w:cstheme="minorHAnsi"/>
          <w:sz w:val="24"/>
          <w:szCs w:val="24"/>
        </w:rPr>
        <w:t>is</w:t>
      </w:r>
      <w:r w:rsidR="00A17028" w:rsidRPr="00AE1050">
        <w:rPr>
          <w:rFonts w:asciiTheme="minorHAnsi" w:hAnsiTheme="minorHAnsi" w:cstheme="minorHAnsi"/>
          <w:sz w:val="24"/>
          <w:szCs w:val="24"/>
        </w:rPr>
        <w:t xml:space="preserve"> </w:t>
      </w:r>
      <w:r w:rsidRPr="00AE1050">
        <w:rPr>
          <w:rFonts w:asciiTheme="minorHAnsi" w:hAnsiTheme="minorHAnsi" w:cstheme="minorHAnsi"/>
          <w:sz w:val="24"/>
          <w:szCs w:val="24"/>
        </w:rPr>
        <w:t>anticipated over the next 18 to 24 months</w:t>
      </w:r>
      <w:r w:rsidR="003374D8" w:rsidRPr="00AE1050">
        <w:rPr>
          <w:rFonts w:asciiTheme="minorHAnsi" w:hAnsiTheme="minorHAnsi" w:cstheme="minorHAnsi"/>
          <w:sz w:val="24"/>
          <w:szCs w:val="24"/>
        </w:rPr>
        <w:t>.</w:t>
      </w:r>
      <w:r w:rsidR="00E32161" w:rsidRPr="00AE1050">
        <w:rPr>
          <w:rFonts w:asciiTheme="minorHAnsi" w:hAnsiTheme="minorHAnsi" w:cstheme="minorHAnsi"/>
          <w:sz w:val="24"/>
          <w:szCs w:val="24"/>
        </w:rPr>
        <w:t xml:space="preserve"> </w:t>
      </w:r>
    </w:p>
    <w:p w:rsidR="00A912AF" w:rsidRPr="00AE1050" w:rsidRDefault="00A912AF" w:rsidP="00A912AF">
      <w:pPr>
        <w:pStyle w:val="ListParagraph"/>
        <w:numPr>
          <w:ilvl w:val="1"/>
          <w:numId w:val="14"/>
        </w:numPr>
        <w:rPr>
          <w:rFonts w:asciiTheme="minorHAnsi" w:hAnsiTheme="minorHAnsi" w:cstheme="minorHAnsi"/>
          <w:sz w:val="24"/>
          <w:szCs w:val="24"/>
        </w:rPr>
      </w:pPr>
      <w:r w:rsidRPr="00AE1050">
        <w:rPr>
          <w:rFonts w:asciiTheme="minorHAnsi" w:hAnsiTheme="minorHAnsi" w:cstheme="minorHAnsi"/>
          <w:sz w:val="24"/>
          <w:szCs w:val="24"/>
        </w:rPr>
        <w:t xml:space="preserve">The PBAC noted that the </w:t>
      </w:r>
      <w:r w:rsidR="001157FE">
        <w:rPr>
          <w:rFonts w:asciiTheme="minorHAnsi" w:hAnsiTheme="minorHAnsi" w:cstheme="minorHAnsi"/>
          <w:sz w:val="24"/>
          <w:szCs w:val="24"/>
        </w:rPr>
        <w:t>majority of</w:t>
      </w:r>
      <w:r w:rsidR="001157FE" w:rsidRPr="00AE1050">
        <w:rPr>
          <w:rFonts w:asciiTheme="minorHAnsi" w:hAnsiTheme="minorHAnsi" w:cstheme="minorHAnsi"/>
          <w:sz w:val="24"/>
          <w:szCs w:val="24"/>
        </w:rPr>
        <w:t xml:space="preserve"> </w:t>
      </w:r>
      <w:r w:rsidRPr="00AE1050">
        <w:rPr>
          <w:rFonts w:asciiTheme="minorHAnsi" w:hAnsiTheme="minorHAnsi" w:cstheme="minorHAnsi"/>
          <w:sz w:val="24"/>
          <w:szCs w:val="24"/>
        </w:rPr>
        <w:t>responses acknowledged that it was appropriate to both require the provision of</w:t>
      </w:r>
      <w:r w:rsidR="003374D8" w:rsidRPr="00AE1050">
        <w:rPr>
          <w:rFonts w:asciiTheme="minorHAnsi" w:hAnsiTheme="minorHAnsi" w:cstheme="minorHAnsi"/>
          <w:sz w:val="24"/>
          <w:szCs w:val="24"/>
        </w:rPr>
        <w:t>,</w:t>
      </w:r>
      <w:r w:rsidRPr="00AE1050">
        <w:rPr>
          <w:rFonts w:asciiTheme="minorHAnsi" w:hAnsiTheme="minorHAnsi" w:cstheme="minorHAnsi"/>
          <w:sz w:val="24"/>
          <w:szCs w:val="24"/>
        </w:rPr>
        <w:t xml:space="preserve"> and assessment of, the evidence–base for a medicine for PBS listing and reimbursement.</w:t>
      </w:r>
    </w:p>
    <w:p w:rsidR="00A912AF" w:rsidRPr="00AE1050" w:rsidRDefault="00A912AF" w:rsidP="00AE1050">
      <w:pPr>
        <w:pStyle w:val="ListParagraph"/>
        <w:rPr>
          <w:rFonts w:asciiTheme="minorHAnsi" w:hAnsiTheme="minorHAnsi" w:cstheme="minorHAnsi"/>
          <w:sz w:val="24"/>
          <w:szCs w:val="24"/>
        </w:rPr>
      </w:pPr>
    </w:p>
    <w:p w:rsidR="0051066E" w:rsidRDefault="00A912AF" w:rsidP="0051066E">
      <w:pPr>
        <w:pStyle w:val="ListParagraph"/>
        <w:numPr>
          <w:ilvl w:val="1"/>
          <w:numId w:val="14"/>
        </w:numPr>
        <w:rPr>
          <w:rFonts w:asciiTheme="minorHAnsi" w:hAnsiTheme="minorHAnsi" w:cstheme="minorHAnsi"/>
          <w:sz w:val="24"/>
          <w:szCs w:val="24"/>
        </w:rPr>
      </w:pPr>
      <w:r w:rsidRPr="00AE1050">
        <w:rPr>
          <w:rFonts w:asciiTheme="minorHAnsi" w:hAnsiTheme="minorHAnsi" w:cstheme="minorHAnsi"/>
          <w:sz w:val="24"/>
          <w:szCs w:val="24"/>
        </w:rPr>
        <w:t>However, t</w:t>
      </w:r>
      <w:r w:rsidR="0051066E" w:rsidRPr="00AE1050">
        <w:rPr>
          <w:rFonts w:asciiTheme="minorHAnsi" w:hAnsiTheme="minorHAnsi" w:cstheme="minorHAnsi"/>
          <w:sz w:val="24"/>
          <w:szCs w:val="24"/>
        </w:rPr>
        <w:t>he PBAC noted the perception amongst stakeholders</w:t>
      </w:r>
      <w:r w:rsidRPr="00AE1050">
        <w:rPr>
          <w:rFonts w:asciiTheme="minorHAnsi" w:hAnsiTheme="minorHAnsi" w:cstheme="minorHAnsi"/>
          <w:sz w:val="24"/>
          <w:szCs w:val="24"/>
        </w:rPr>
        <w:t xml:space="preserve"> </w:t>
      </w:r>
      <w:r w:rsidR="0051066E" w:rsidRPr="00AE1050">
        <w:rPr>
          <w:rFonts w:asciiTheme="minorHAnsi" w:hAnsiTheme="minorHAnsi" w:cstheme="minorHAnsi"/>
          <w:sz w:val="24"/>
          <w:szCs w:val="24"/>
        </w:rPr>
        <w:t>that</w:t>
      </w:r>
      <w:r w:rsidRPr="00AE1050">
        <w:rPr>
          <w:rFonts w:asciiTheme="minorHAnsi" w:hAnsiTheme="minorHAnsi" w:cstheme="minorHAnsi"/>
          <w:sz w:val="24"/>
          <w:szCs w:val="24"/>
        </w:rPr>
        <w:t xml:space="preserve"> the</w:t>
      </w:r>
      <w:r w:rsidR="0051066E" w:rsidRPr="00AE1050">
        <w:rPr>
          <w:rFonts w:asciiTheme="minorHAnsi" w:hAnsiTheme="minorHAnsi" w:cstheme="minorHAnsi"/>
          <w:sz w:val="24"/>
          <w:szCs w:val="24"/>
        </w:rPr>
        <w:t xml:space="preserve"> time to PBS listed access for </w:t>
      </w:r>
      <w:r w:rsidR="006C361A" w:rsidRPr="00AE1050">
        <w:rPr>
          <w:rFonts w:asciiTheme="minorHAnsi" w:hAnsiTheme="minorHAnsi" w:cstheme="minorHAnsi"/>
          <w:sz w:val="24"/>
          <w:szCs w:val="24"/>
        </w:rPr>
        <w:t>PD</w:t>
      </w:r>
      <w:r w:rsidR="006C361A">
        <w:rPr>
          <w:rFonts w:asciiTheme="minorHAnsi" w:hAnsiTheme="minorHAnsi" w:cstheme="minorHAnsi"/>
          <w:sz w:val="24"/>
          <w:szCs w:val="24"/>
        </w:rPr>
        <w:t>-</w:t>
      </w:r>
      <w:r w:rsidR="006C361A" w:rsidRPr="00AE1050">
        <w:rPr>
          <w:rFonts w:asciiTheme="minorHAnsi" w:hAnsiTheme="minorHAnsi" w:cstheme="minorHAnsi"/>
          <w:sz w:val="24"/>
          <w:szCs w:val="24"/>
        </w:rPr>
        <w:t>(L</w:t>
      </w:r>
      <w:proofErr w:type="gramStart"/>
      <w:r w:rsidR="006C361A" w:rsidRPr="00AE1050">
        <w:rPr>
          <w:rFonts w:asciiTheme="minorHAnsi" w:hAnsiTheme="minorHAnsi" w:cstheme="minorHAnsi"/>
          <w:sz w:val="24"/>
          <w:szCs w:val="24"/>
        </w:rPr>
        <w:t>)1</w:t>
      </w:r>
      <w:proofErr w:type="gramEnd"/>
      <w:r w:rsidR="006C361A">
        <w:rPr>
          <w:rFonts w:asciiTheme="minorHAnsi" w:hAnsiTheme="minorHAnsi" w:cstheme="minorHAnsi"/>
          <w:sz w:val="24"/>
          <w:szCs w:val="24"/>
        </w:rPr>
        <w:t xml:space="preserve"> </w:t>
      </w:r>
      <w:r w:rsidR="003374D8" w:rsidRPr="00AE1050">
        <w:rPr>
          <w:rFonts w:asciiTheme="minorHAnsi" w:hAnsiTheme="minorHAnsi" w:cstheme="minorHAnsi"/>
          <w:sz w:val="24"/>
          <w:szCs w:val="24"/>
        </w:rPr>
        <w:t>checkpoint inhibitor</w:t>
      </w:r>
      <w:r w:rsidR="0051066E" w:rsidRPr="00AE1050">
        <w:rPr>
          <w:rFonts w:asciiTheme="minorHAnsi" w:hAnsiTheme="minorHAnsi" w:cstheme="minorHAnsi"/>
          <w:sz w:val="24"/>
          <w:szCs w:val="24"/>
        </w:rPr>
        <w:t xml:space="preserve"> medicine</w:t>
      </w:r>
      <w:r w:rsidR="003374D8" w:rsidRPr="00AE1050">
        <w:rPr>
          <w:rFonts w:asciiTheme="minorHAnsi" w:hAnsiTheme="minorHAnsi" w:cstheme="minorHAnsi"/>
          <w:sz w:val="24"/>
          <w:szCs w:val="24"/>
        </w:rPr>
        <w:t>s</w:t>
      </w:r>
      <w:r w:rsidR="0051066E" w:rsidRPr="00AE1050">
        <w:rPr>
          <w:rFonts w:asciiTheme="minorHAnsi" w:hAnsiTheme="minorHAnsi" w:cstheme="minorHAnsi"/>
          <w:sz w:val="24"/>
          <w:szCs w:val="24"/>
        </w:rPr>
        <w:t xml:space="preserve"> is</w:t>
      </w:r>
      <w:r w:rsidR="001157FE">
        <w:rPr>
          <w:rFonts w:asciiTheme="minorHAnsi" w:hAnsiTheme="minorHAnsi" w:cstheme="minorHAnsi"/>
          <w:sz w:val="24"/>
          <w:szCs w:val="24"/>
        </w:rPr>
        <w:t xml:space="preserve"> too</w:t>
      </w:r>
      <w:r w:rsidR="0051066E" w:rsidRPr="00AE1050">
        <w:rPr>
          <w:rFonts w:asciiTheme="minorHAnsi" w:hAnsiTheme="minorHAnsi" w:cstheme="minorHAnsi"/>
          <w:sz w:val="24"/>
          <w:szCs w:val="24"/>
        </w:rPr>
        <w:t xml:space="preserve"> </w:t>
      </w:r>
      <w:r w:rsidRPr="00AE1050">
        <w:rPr>
          <w:rFonts w:asciiTheme="minorHAnsi" w:hAnsiTheme="minorHAnsi" w:cstheme="minorHAnsi"/>
          <w:sz w:val="24"/>
          <w:szCs w:val="24"/>
        </w:rPr>
        <w:t>long.</w:t>
      </w:r>
      <w:r w:rsidR="0051066E" w:rsidRPr="00AE1050">
        <w:rPr>
          <w:rFonts w:asciiTheme="minorHAnsi" w:hAnsiTheme="minorHAnsi" w:cstheme="minorHAnsi"/>
          <w:sz w:val="24"/>
          <w:szCs w:val="24"/>
        </w:rPr>
        <w:t xml:space="preserve">  </w:t>
      </w:r>
    </w:p>
    <w:p w:rsidR="00EA3640" w:rsidRPr="0029466D" w:rsidRDefault="00EA3640" w:rsidP="0029466D">
      <w:pPr>
        <w:pStyle w:val="ListParagraph"/>
      </w:pPr>
    </w:p>
    <w:p w:rsidR="00EA3640" w:rsidRPr="00F1006C" w:rsidRDefault="00EA3640" w:rsidP="00EA3640">
      <w:pPr>
        <w:pStyle w:val="ListParagraph"/>
        <w:numPr>
          <w:ilvl w:val="1"/>
          <w:numId w:val="14"/>
        </w:numPr>
        <w:spacing w:after="240"/>
        <w:contextualSpacing w:val="0"/>
        <w:rPr>
          <w:rFonts w:asciiTheme="minorHAnsi" w:hAnsiTheme="minorHAnsi" w:cstheme="minorHAnsi"/>
          <w:sz w:val="24"/>
          <w:szCs w:val="24"/>
        </w:rPr>
      </w:pPr>
      <w:r w:rsidRPr="00F1006C">
        <w:rPr>
          <w:rFonts w:asciiTheme="minorHAnsi" w:hAnsiTheme="minorHAnsi" w:cstheme="minorHAnsi"/>
          <w:sz w:val="24"/>
          <w:szCs w:val="24"/>
        </w:rPr>
        <w:lastRenderedPageBreak/>
        <w:t>The PBAC noted that the time fr</w:t>
      </w:r>
      <w:r>
        <w:rPr>
          <w:rFonts w:asciiTheme="minorHAnsi" w:hAnsiTheme="minorHAnsi" w:cstheme="minorHAnsi"/>
          <w:sz w:val="24"/>
          <w:szCs w:val="24"/>
        </w:rPr>
        <w:t>om</w:t>
      </w:r>
      <w:r w:rsidRPr="00F1006C">
        <w:rPr>
          <w:rFonts w:asciiTheme="minorHAnsi" w:hAnsiTheme="minorHAnsi" w:cstheme="minorHAnsi"/>
          <w:sz w:val="24"/>
          <w:szCs w:val="24"/>
        </w:rPr>
        <w:t xml:space="preserve"> registration to reimbursement is influenced by a range of factors including:</w:t>
      </w:r>
    </w:p>
    <w:p w:rsidR="00EA3640" w:rsidRPr="00F1006C" w:rsidRDefault="00EA3640" w:rsidP="00EA3640">
      <w:pPr>
        <w:pStyle w:val="ListParagraph"/>
        <w:tabs>
          <w:tab w:val="left" w:pos="1843"/>
        </w:tabs>
        <w:spacing w:after="240"/>
        <w:ind w:firstLine="720"/>
        <w:contextualSpacing w:val="0"/>
        <w:rPr>
          <w:rFonts w:asciiTheme="minorHAnsi" w:hAnsiTheme="minorHAnsi" w:cstheme="minorHAnsi"/>
          <w:sz w:val="24"/>
          <w:szCs w:val="24"/>
        </w:rPr>
      </w:pPr>
      <w:r w:rsidRPr="00F1006C">
        <w:rPr>
          <w:rFonts w:asciiTheme="minorHAnsi" w:hAnsiTheme="minorHAnsi" w:cstheme="minorHAnsi"/>
          <w:sz w:val="24"/>
          <w:szCs w:val="24"/>
        </w:rPr>
        <w:t xml:space="preserve">–  </w:t>
      </w:r>
      <w:r w:rsidRPr="00F1006C">
        <w:rPr>
          <w:rFonts w:asciiTheme="minorHAnsi" w:hAnsiTheme="minorHAnsi" w:cstheme="minorHAnsi"/>
          <w:sz w:val="24"/>
          <w:szCs w:val="24"/>
        </w:rPr>
        <w:tab/>
      </w:r>
      <w:proofErr w:type="gramStart"/>
      <w:r w:rsidRPr="00F1006C">
        <w:rPr>
          <w:rFonts w:asciiTheme="minorHAnsi" w:hAnsiTheme="minorHAnsi" w:cstheme="minorHAnsi"/>
          <w:sz w:val="24"/>
          <w:szCs w:val="24"/>
        </w:rPr>
        <w:t>the</w:t>
      </w:r>
      <w:proofErr w:type="gramEnd"/>
      <w:r w:rsidRPr="00F1006C">
        <w:rPr>
          <w:rFonts w:asciiTheme="minorHAnsi" w:hAnsiTheme="minorHAnsi" w:cstheme="minorHAnsi"/>
          <w:sz w:val="24"/>
          <w:szCs w:val="24"/>
        </w:rPr>
        <w:t xml:space="preserve"> date a submission is first made to the </w:t>
      </w:r>
      <w:r>
        <w:rPr>
          <w:rFonts w:asciiTheme="minorHAnsi" w:hAnsiTheme="minorHAnsi" w:cstheme="minorHAnsi"/>
          <w:sz w:val="24"/>
          <w:szCs w:val="24"/>
        </w:rPr>
        <w:t xml:space="preserve">TGA and the </w:t>
      </w:r>
      <w:r w:rsidRPr="00F1006C">
        <w:rPr>
          <w:rFonts w:asciiTheme="minorHAnsi" w:hAnsiTheme="minorHAnsi" w:cstheme="minorHAnsi"/>
          <w:sz w:val="24"/>
          <w:szCs w:val="24"/>
        </w:rPr>
        <w:t>PBAC;</w:t>
      </w:r>
    </w:p>
    <w:p w:rsidR="00EA3640" w:rsidRPr="00F1006C" w:rsidRDefault="00EA3640" w:rsidP="00EA3640">
      <w:pPr>
        <w:pStyle w:val="ListParagraph"/>
        <w:numPr>
          <w:ilvl w:val="0"/>
          <w:numId w:val="39"/>
        </w:numPr>
        <w:tabs>
          <w:tab w:val="left" w:pos="1843"/>
        </w:tabs>
        <w:spacing w:after="240"/>
        <w:ind w:left="1843" w:hanging="425"/>
        <w:contextualSpacing w:val="0"/>
        <w:rPr>
          <w:rFonts w:asciiTheme="minorHAnsi" w:hAnsiTheme="minorHAnsi" w:cstheme="minorHAnsi"/>
          <w:sz w:val="24"/>
          <w:szCs w:val="24"/>
        </w:rPr>
      </w:pPr>
      <w:r w:rsidRPr="00F1006C">
        <w:rPr>
          <w:rFonts w:asciiTheme="minorHAnsi" w:hAnsiTheme="minorHAnsi" w:cstheme="minorHAnsi"/>
          <w:sz w:val="24"/>
          <w:szCs w:val="24"/>
        </w:rPr>
        <w:t>the number and timing of re-submissions required to achieve a positive PBAC recommendation; and</w:t>
      </w:r>
    </w:p>
    <w:p w:rsidR="00EA3640" w:rsidRPr="00F1006C" w:rsidRDefault="00EA3640" w:rsidP="00EA3640">
      <w:pPr>
        <w:pStyle w:val="ListParagraph"/>
        <w:numPr>
          <w:ilvl w:val="0"/>
          <w:numId w:val="39"/>
        </w:numPr>
        <w:tabs>
          <w:tab w:val="left" w:pos="1843"/>
        </w:tabs>
        <w:spacing w:after="240"/>
        <w:ind w:left="1843" w:hanging="425"/>
        <w:contextualSpacing w:val="0"/>
        <w:rPr>
          <w:rFonts w:asciiTheme="minorHAnsi" w:hAnsiTheme="minorHAnsi" w:cstheme="minorHAnsi"/>
          <w:sz w:val="24"/>
          <w:szCs w:val="24"/>
        </w:rPr>
      </w:pPr>
      <w:proofErr w:type="gramStart"/>
      <w:r w:rsidRPr="00F1006C">
        <w:rPr>
          <w:rFonts w:asciiTheme="minorHAnsi" w:hAnsiTheme="minorHAnsi" w:cstheme="minorHAnsi"/>
          <w:sz w:val="24"/>
          <w:szCs w:val="24"/>
        </w:rPr>
        <w:t>the</w:t>
      </w:r>
      <w:proofErr w:type="gramEnd"/>
      <w:r w:rsidRPr="00F1006C">
        <w:rPr>
          <w:rFonts w:asciiTheme="minorHAnsi" w:hAnsiTheme="minorHAnsi" w:cstheme="minorHAnsi"/>
          <w:sz w:val="24"/>
          <w:szCs w:val="24"/>
        </w:rPr>
        <w:t xml:space="preserve"> time taken to finalise pricing, risk-sharing</w:t>
      </w:r>
      <w:r w:rsidR="00636B8E">
        <w:rPr>
          <w:rFonts w:asciiTheme="minorHAnsi" w:hAnsiTheme="minorHAnsi" w:cstheme="minorHAnsi"/>
          <w:sz w:val="24"/>
          <w:szCs w:val="24"/>
        </w:rPr>
        <w:t xml:space="preserve"> arrangements</w:t>
      </w:r>
      <w:r w:rsidRPr="00F1006C">
        <w:rPr>
          <w:rFonts w:asciiTheme="minorHAnsi" w:hAnsiTheme="minorHAnsi" w:cstheme="minorHAnsi"/>
          <w:sz w:val="24"/>
          <w:szCs w:val="24"/>
        </w:rPr>
        <w:t xml:space="preserve"> and other matters following a positive PBAC recommendation.</w:t>
      </w:r>
    </w:p>
    <w:p w:rsidR="00EA3640" w:rsidRDefault="00EA3640" w:rsidP="00EA3640">
      <w:pPr>
        <w:pStyle w:val="ListParagraph"/>
        <w:numPr>
          <w:ilvl w:val="1"/>
          <w:numId w:val="14"/>
        </w:numPr>
        <w:rPr>
          <w:rFonts w:asciiTheme="minorHAnsi" w:hAnsiTheme="minorHAnsi" w:cstheme="minorHAnsi"/>
          <w:sz w:val="24"/>
          <w:szCs w:val="24"/>
        </w:rPr>
      </w:pPr>
      <w:r w:rsidRPr="008D50F8">
        <w:rPr>
          <w:rFonts w:asciiTheme="minorHAnsi" w:hAnsiTheme="minorHAnsi" w:cstheme="minorHAnsi"/>
          <w:sz w:val="24"/>
          <w:szCs w:val="24"/>
        </w:rPr>
        <w:t>The PBAC noted that the timing of submissions for registration and/or reimbursement in Australia was frequently later than in overseas jurisdictions.</w:t>
      </w:r>
      <w:r>
        <w:rPr>
          <w:rFonts w:asciiTheme="minorHAnsi" w:hAnsiTheme="minorHAnsi" w:cstheme="minorHAnsi"/>
          <w:sz w:val="24"/>
          <w:szCs w:val="24"/>
        </w:rPr>
        <w:t xml:space="preserve">  Examples are provided in Table 2 (see also </w:t>
      </w:r>
      <w:r w:rsidRPr="0029466D">
        <w:rPr>
          <w:rFonts w:asciiTheme="minorHAnsi" w:hAnsiTheme="minorHAnsi" w:cstheme="minorHAnsi"/>
          <w:b/>
          <w:sz w:val="24"/>
          <w:szCs w:val="24"/>
        </w:rPr>
        <w:t xml:space="preserve">Attachment </w:t>
      </w:r>
      <w:r w:rsidR="00222DF0">
        <w:rPr>
          <w:rFonts w:asciiTheme="minorHAnsi" w:hAnsiTheme="minorHAnsi" w:cstheme="minorHAnsi"/>
          <w:b/>
          <w:sz w:val="24"/>
          <w:szCs w:val="24"/>
        </w:rPr>
        <w:t>A</w:t>
      </w:r>
      <w:r>
        <w:rPr>
          <w:rFonts w:asciiTheme="minorHAnsi" w:hAnsiTheme="minorHAnsi" w:cstheme="minorHAnsi"/>
          <w:sz w:val="24"/>
          <w:szCs w:val="24"/>
        </w:rPr>
        <w:t>).</w:t>
      </w:r>
    </w:p>
    <w:p w:rsidR="00EA3640" w:rsidRDefault="00EA3640" w:rsidP="00EA3640">
      <w:pPr>
        <w:pStyle w:val="ListParagraph"/>
        <w:rPr>
          <w:rFonts w:asciiTheme="minorHAnsi" w:hAnsiTheme="minorHAnsi" w:cstheme="minorHAnsi"/>
          <w:sz w:val="24"/>
          <w:szCs w:val="24"/>
        </w:rPr>
      </w:pPr>
    </w:p>
    <w:p w:rsidR="00EA3640" w:rsidRDefault="00EA3640" w:rsidP="00E31D4B">
      <w:pPr>
        <w:pStyle w:val="CommentText"/>
        <w:rPr>
          <w:rFonts w:ascii="Arial Narrow" w:hAnsi="Arial Narrow" w:cstheme="minorHAnsi"/>
          <w:b/>
          <w:sz w:val="22"/>
          <w:szCs w:val="22"/>
        </w:rPr>
      </w:pPr>
      <w:r w:rsidRPr="00E31D4B">
        <w:rPr>
          <w:rFonts w:ascii="Arial Narrow" w:hAnsi="Arial Narrow" w:cstheme="minorHAnsi"/>
          <w:b/>
          <w:sz w:val="22"/>
          <w:szCs w:val="22"/>
        </w:rPr>
        <w:t>Table 2</w:t>
      </w:r>
      <w:r w:rsidR="0092595A">
        <w:rPr>
          <w:rFonts w:ascii="Arial Narrow" w:hAnsi="Arial Narrow" w:cstheme="minorHAnsi"/>
          <w:b/>
          <w:sz w:val="22"/>
          <w:szCs w:val="22"/>
        </w:rPr>
        <w:t xml:space="preserve">: </w:t>
      </w:r>
      <w:r w:rsidR="009415FC" w:rsidRPr="00E31D4B">
        <w:rPr>
          <w:rFonts w:ascii="Arial Narrow" w:hAnsi="Arial Narrow" w:cstheme="minorHAnsi"/>
          <w:b/>
          <w:sz w:val="22"/>
          <w:szCs w:val="22"/>
        </w:rPr>
        <w:t xml:space="preserve"> Comparison between timing of submissions for registration and/or reimbursement in Australia and overseas jurisdictions</w:t>
      </w:r>
    </w:p>
    <w:p w:rsidR="009415FC" w:rsidRPr="00E31D4B" w:rsidRDefault="009415FC" w:rsidP="00E31D4B">
      <w:pPr>
        <w:pStyle w:val="CommentText"/>
        <w:rPr>
          <w:rFonts w:ascii="Arial Narrow" w:hAnsi="Arial Narrow" w:cstheme="minorHAnsi"/>
          <w:b/>
          <w:sz w:val="22"/>
          <w:szCs w:val="22"/>
        </w:rPr>
      </w:pPr>
    </w:p>
    <w:tbl>
      <w:tblPr>
        <w:tblStyle w:val="TableGrid"/>
        <w:tblW w:w="0" w:type="auto"/>
        <w:tblLook w:val="04A0" w:firstRow="1" w:lastRow="0" w:firstColumn="1" w:lastColumn="0" w:noHBand="0" w:noVBand="1"/>
        <w:tblCaption w:val="Table 2"/>
        <w:tblDescription w:val="Comparison between timing of submissions for registration and/or reimbursement in Australia and overseas jurisdictions"/>
      </w:tblPr>
      <w:tblGrid>
        <w:gridCol w:w="1413"/>
        <w:gridCol w:w="2377"/>
        <w:gridCol w:w="1418"/>
        <w:gridCol w:w="1227"/>
        <w:gridCol w:w="1238"/>
        <w:gridCol w:w="1343"/>
      </w:tblGrid>
      <w:tr w:rsidR="00EA3640" w:rsidTr="00E74FB9">
        <w:tc>
          <w:tcPr>
            <w:tcW w:w="1413" w:type="dxa"/>
          </w:tcPr>
          <w:p w:rsidR="00EA3640" w:rsidRPr="00FE4759" w:rsidRDefault="00EA3640" w:rsidP="00E74FB9">
            <w:pPr>
              <w:rPr>
                <w:rFonts w:ascii="Arial Narrow" w:hAnsi="Arial Narrow" w:cstheme="minorHAnsi"/>
                <w:sz w:val="20"/>
                <w:szCs w:val="20"/>
              </w:rPr>
            </w:pPr>
            <w:r w:rsidRPr="00FE4759">
              <w:rPr>
                <w:rFonts w:ascii="Arial Narrow" w:hAnsi="Arial Narrow" w:cstheme="minorHAnsi"/>
                <w:sz w:val="20"/>
                <w:szCs w:val="20"/>
              </w:rPr>
              <w:t>Medicine</w:t>
            </w:r>
          </w:p>
        </w:tc>
        <w:tc>
          <w:tcPr>
            <w:tcW w:w="2377" w:type="dxa"/>
          </w:tcPr>
          <w:p w:rsidR="00EA3640" w:rsidRPr="00FE4759" w:rsidRDefault="00EA3640" w:rsidP="00E74FB9">
            <w:pPr>
              <w:rPr>
                <w:rFonts w:ascii="Arial Narrow" w:hAnsi="Arial Narrow" w:cstheme="minorHAnsi"/>
                <w:sz w:val="20"/>
                <w:szCs w:val="20"/>
              </w:rPr>
            </w:pPr>
            <w:r w:rsidRPr="00FE4759">
              <w:rPr>
                <w:rFonts w:ascii="Arial Narrow" w:hAnsi="Arial Narrow" w:cstheme="minorHAnsi"/>
                <w:sz w:val="20"/>
                <w:szCs w:val="20"/>
              </w:rPr>
              <w:t>Indication</w:t>
            </w:r>
          </w:p>
        </w:tc>
        <w:tc>
          <w:tcPr>
            <w:tcW w:w="1418" w:type="dxa"/>
          </w:tcPr>
          <w:p w:rsidR="00EA3640" w:rsidRPr="00FE4759" w:rsidRDefault="00EA3640" w:rsidP="00E74FB9">
            <w:pPr>
              <w:rPr>
                <w:rFonts w:ascii="Arial Narrow" w:hAnsi="Arial Narrow" w:cstheme="minorHAnsi"/>
                <w:sz w:val="20"/>
                <w:szCs w:val="20"/>
              </w:rPr>
            </w:pPr>
            <w:r w:rsidRPr="00FE4759">
              <w:rPr>
                <w:rFonts w:ascii="Arial Narrow" w:hAnsi="Arial Narrow" w:cstheme="minorHAnsi"/>
                <w:sz w:val="20"/>
                <w:szCs w:val="20"/>
              </w:rPr>
              <w:t>Date FDA approved</w:t>
            </w:r>
          </w:p>
        </w:tc>
        <w:tc>
          <w:tcPr>
            <w:tcW w:w="1227" w:type="dxa"/>
          </w:tcPr>
          <w:p w:rsidR="00EA3640" w:rsidRPr="00FE4759" w:rsidRDefault="00EA3640" w:rsidP="00E74FB9">
            <w:pPr>
              <w:rPr>
                <w:rFonts w:ascii="Arial Narrow" w:hAnsi="Arial Narrow" w:cstheme="minorHAnsi"/>
                <w:sz w:val="20"/>
                <w:szCs w:val="20"/>
              </w:rPr>
            </w:pPr>
            <w:r w:rsidRPr="00FE4759">
              <w:rPr>
                <w:rFonts w:ascii="Arial Narrow" w:hAnsi="Arial Narrow" w:cstheme="minorHAnsi"/>
                <w:sz w:val="20"/>
                <w:szCs w:val="20"/>
              </w:rPr>
              <w:t>Date EMEA Approved</w:t>
            </w:r>
          </w:p>
        </w:tc>
        <w:tc>
          <w:tcPr>
            <w:tcW w:w="1238" w:type="dxa"/>
          </w:tcPr>
          <w:p w:rsidR="00EA3640" w:rsidRPr="00FE4759" w:rsidRDefault="00EA3640" w:rsidP="005E1BB4">
            <w:pPr>
              <w:rPr>
                <w:rFonts w:ascii="Arial Narrow" w:hAnsi="Arial Narrow" w:cstheme="minorHAnsi"/>
                <w:sz w:val="20"/>
                <w:szCs w:val="20"/>
              </w:rPr>
            </w:pPr>
            <w:r w:rsidRPr="00FE4759">
              <w:rPr>
                <w:rFonts w:ascii="Arial Narrow" w:hAnsi="Arial Narrow" w:cstheme="minorHAnsi"/>
                <w:sz w:val="20"/>
                <w:szCs w:val="20"/>
              </w:rPr>
              <w:t xml:space="preserve">Date </w:t>
            </w:r>
            <w:r w:rsidR="005E1BB4">
              <w:rPr>
                <w:rFonts w:ascii="Arial Narrow" w:hAnsi="Arial Narrow" w:cstheme="minorHAnsi"/>
                <w:sz w:val="20"/>
                <w:szCs w:val="20"/>
              </w:rPr>
              <w:t xml:space="preserve">TGA evaluation commenced </w:t>
            </w:r>
          </w:p>
        </w:tc>
        <w:tc>
          <w:tcPr>
            <w:tcW w:w="1343" w:type="dxa"/>
          </w:tcPr>
          <w:p w:rsidR="00EA3640" w:rsidRPr="00FE4759" w:rsidRDefault="00EA3640" w:rsidP="00E74FB9">
            <w:pPr>
              <w:rPr>
                <w:rFonts w:ascii="Arial Narrow" w:hAnsi="Arial Narrow" w:cstheme="minorHAnsi"/>
                <w:sz w:val="20"/>
                <w:szCs w:val="20"/>
              </w:rPr>
            </w:pPr>
            <w:r w:rsidRPr="00FE4759">
              <w:rPr>
                <w:rFonts w:ascii="Arial Narrow" w:hAnsi="Arial Narrow" w:cstheme="minorHAnsi"/>
                <w:sz w:val="20"/>
                <w:szCs w:val="20"/>
              </w:rPr>
              <w:t>Date first PBAC consideration</w:t>
            </w:r>
          </w:p>
        </w:tc>
      </w:tr>
      <w:tr w:rsidR="00EA3640" w:rsidTr="00E74FB9">
        <w:tc>
          <w:tcPr>
            <w:tcW w:w="1413" w:type="dxa"/>
          </w:tcPr>
          <w:p w:rsidR="00EA3640" w:rsidRPr="00FE4759" w:rsidRDefault="00EA3640" w:rsidP="00E74FB9">
            <w:pPr>
              <w:rPr>
                <w:rFonts w:ascii="Arial Narrow" w:hAnsi="Arial Narrow" w:cstheme="minorHAnsi"/>
                <w:sz w:val="20"/>
                <w:szCs w:val="20"/>
              </w:rPr>
            </w:pPr>
            <w:proofErr w:type="spellStart"/>
            <w:r w:rsidRPr="00FE4759">
              <w:rPr>
                <w:rFonts w:ascii="Arial Narrow" w:hAnsi="Arial Narrow" w:cstheme="minorHAnsi"/>
                <w:sz w:val="20"/>
                <w:szCs w:val="20"/>
              </w:rPr>
              <w:t>Pembrolizumab</w:t>
            </w:r>
            <w:proofErr w:type="spellEnd"/>
          </w:p>
        </w:tc>
        <w:tc>
          <w:tcPr>
            <w:tcW w:w="2377" w:type="dxa"/>
          </w:tcPr>
          <w:p w:rsidR="00EA3640" w:rsidRPr="00FE4759" w:rsidRDefault="00EA3640" w:rsidP="00E74FB9">
            <w:pPr>
              <w:rPr>
                <w:rFonts w:ascii="Arial Narrow" w:hAnsi="Arial Narrow" w:cstheme="minorHAnsi"/>
                <w:sz w:val="20"/>
                <w:szCs w:val="20"/>
              </w:rPr>
            </w:pPr>
            <w:r w:rsidRPr="00FE4759">
              <w:rPr>
                <w:rFonts w:ascii="Arial Narrow" w:eastAsia="Calibri" w:hAnsi="Arial Narrow" w:cs="Calibri"/>
                <w:sz w:val="20"/>
                <w:szCs w:val="20"/>
              </w:rPr>
              <w:t>Treatment of patients with advanced microsatellite instability-high (MSI-H), including mismatch repair deficient (</w:t>
            </w:r>
            <w:proofErr w:type="spellStart"/>
            <w:r w:rsidRPr="00FE4759">
              <w:rPr>
                <w:rFonts w:ascii="Arial Narrow" w:eastAsia="Calibri" w:hAnsi="Arial Narrow" w:cs="Calibri"/>
                <w:sz w:val="20"/>
                <w:szCs w:val="20"/>
              </w:rPr>
              <w:t>dMMR</w:t>
            </w:r>
            <w:proofErr w:type="spellEnd"/>
            <w:r w:rsidRPr="00FE4759">
              <w:rPr>
                <w:rFonts w:ascii="Arial Narrow" w:eastAsia="Calibri" w:hAnsi="Arial Narrow" w:cs="Calibri"/>
                <w:sz w:val="20"/>
                <w:szCs w:val="20"/>
              </w:rPr>
              <w:t>) cancer who have received prior therapy</w:t>
            </w:r>
          </w:p>
        </w:tc>
        <w:tc>
          <w:tcPr>
            <w:tcW w:w="1418" w:type="dxa"/>
          </w:tcPr>
          <w:p w:rsidR="00EA3640" w:rsidRPr="00FE4759" w:rsidRDefault="00EA3640" w:rsidP="00E74FB9">
            <w:pPr>
              <w:rPr>
                <w:rFonts w:ascii="Arial Narrow" w:hAnsi="Arial Narrow" w:cstheme="minorHAnsi"/>
                <w:sz w:val="20"/>
                <w:szCs w:val="20"/>
              </w:rPr>
            </w:pPr>
            <w:r w:rsidRPr="00FE4759">
              <w:rPr>
                <w:rFonts w:ascii="Arial Narrow" w:hAnsi="Arial Narrow" w:cstheme="minorHAnsi"/>
                <w:sz w:val="20"/>
                <w:szCs w:val="20"/>
              </w:rPr>
              <w:t>23 May 2017</w:t>
            </w:r>
          </w:p>
        </w:tc>
        <w:tc>
          <w:tcPr>
            <w:tcW w:w="1227" w:type="dxa"/>
          </w:tcPr>
          <w:p w:rsidR="00EA3640" w:rsidRPr="00FE4759" w:rsidRDefault="00EA3640" w:rsidP="00E74FB9">
            <w:pPr>
              <w:rPr>
                <w:rFonts w:ascii="Arial Narrow" w:hAnsi="Arial Narrow" w:cstheme="minorHAnsi"/>
                <w:sz w:val="20"/>
                <w:szCs w:val="20"/>
              </w:rPr>
            </w:pPr>
            <w:r w:rsidRPr="00FE4759">
              <w:rPr>
                <w:rFonts w:ascii="Arial Narrow" w:hAnsi="Arial Narrow" w:cstheme="minorHAnsi"/>
                <w:sz w:val="20"/>
                <w:szCs w:val="20"/>
              </w:rPr>
              <w:t>Not approved</w:t>
            </w:r>
          </w:p>
        </w:tc>
        <w:tc>
          <w:tcPr>
            <w:tcW w:w="1238" w:type="dxa"/>
          </w:tcPr>
          <w:p w:rsidR="00EA3640" w:rsidRPr="00925068" w:rsidRDefault="00925068" w:rsidP="00E74FB9">
            <w:pPr>
              <w:rPr>
                <w:rFonts w:ascii="Arial Narrow" w:hAnsi="Arial Narrow" w:cstheme="minorHAnsi"/>
                <w:sz w:val="20"/>
                <w:szCs w:val="20"/>
                <w:highlight w:val="black"/>
              </w:rPr>
            </w:pPr>
            <w:r>
              <w:rPr>
                <w:rFonts w:ascii="Arial Narrow" w:hAnsi="Arial Narrow" w:cstheme="minorHAnsi"/>
                <w:noProof/>
                <w:color w:val="000000"/>
                <w:sz w:val="20"/>
                <w:szCs w:val="20"/>
                <w:highlight w:val="black"/>
              </w:rPr>
              <w:t>'''''' '''''''''' '''''''''''</w:t>
            </w:r>
          </w:p>
        </w:tc>
        <w:tc>
          <w:tcPr>
            <w:tcW w:w="1343" w:type="dxa"/>
          </w:tcPr>
          <w:p w:rsidR="00EA3640" w:rsidRDefault="00EA3640" w:rsidP="00E74FB9">
            <w:pPr>
              <w:rPr>
                <w:rFonts w:ascii="Arial Narrow" w:hAnsi="Arial Narrow" w:cstheme="minorHAnsi"/>
                <w:sz w:val="20"/>
                <w:szCs w:val="20"/>
              </w:rPr>
            </w:pPr>
            <w:r w:rsidRPr="00FE4759">
              <w:rPr>
                <w:rFonts w:ascii="Arial Narrow" w:hAnsi="Arial Narrow" w:cstheme="minorHAnsi"/>
                <w:sz w:val="20"/>
                <w:szCs w:val="20"/>
              </w:rPr>
              <w:t>March 2019</w:t>
            </w:r>
          </w:p>
          <w:p w:rsidR="00605E2D" w:rsidRPr="00FE4759" w:rsidRDefault="00605E2D" w:rsidP="00E74FB9">
            <w:pPr>
              <w:rPr>
                <w:rFonts w:ascii="Arial Narrow" w:hAnsi="Arial Narrow" w:cstheme="minorHAnsi"/>
                <w:sz w:val="20"/>
                <w:szCs w:val="20"/>
              </w:rPr>
            </w:pPr>
            <w:r>
              <w:rPr>
                <w:rFonts w:ascii="Arial Narrow" w:hAnsi="Arial Narrow" w:cstheme="minorHAnsi"/>
                <w:sz w:val="20"/>
                <w:szCs w:val="20"/>
              </w:rPr>
              <w:t>(colorectal cancer only)</w:t>
            </w:r>
          </w:p>
        </w:tc>
      </w:tr>
      <w:tr w:rsidR="00EA3640" w:rsidRPr="00E74FB9" w:rsidTr="00E74FB9">
        <w:tc>
          <w:tcPr>
            <w:tcW w:w="1413" w:type="dxa"/>
          </w:tcPr>
          <w:p w:rsidR="00EA3640" w:rsidRPr="00E74FB9" w:rsidRDefault="00EA3640" w:rsidP="00E74FB9">
            <w:pPr>
              <w:rPr>
                <w:rFonts w:ascii="Arial Narrow" w:hAnsi="Arial Narrow" w:cstheme="minorHAnsi"/>
                <w:sz w:val="20"/>
                <w:szCs w:val="20"/>
              </w:rPr>
            </w:pPr>
            <w:proofErr w:type="spellStart"/>
            <w:r w:rsidRPr="00E74FB9">
              <w:rPr>
                <w:rFonts w:ascii="Arial Narrow" w:hAnsi="Arial Narrow" w:cstheme="minorHAnsi"/>
                <w:sz w:val="20"/>
                <w:szCs w:val="20"/>
              </w:rPr>
              <w:t>Atezolizumab</w:t>
            </w:r>
            <w:proofErr w:type="spellEnd"/>
          </w:p>
        </w:tc>
        <w:tc>
          <w:tcPr>
            <w:tcW w:w="2377" w:type="dxa"/>
          </w:tcPr>
          <w:p w:rsidR="00EA3640" w:rsidRPr="00E74FB9" w:rsidRDefault="00EA3640" w:rsidP="00E74FB9">
            <w:pPr>
              <w:rPr>
                <w:rFonts w:ascii="Arial Narrow" w:hAnsi="Arial Narrow" w:cstheme="minorHAnsi"/>
                <w:sz w:val="20"/>
                <w:szCs w:val="20"/>
              </w:rPr>
            </w:pPr>
            <w:r w:rsidRPr="00E74FB9">
              <w:rPr>
                <w:rFonts w:ascii="Arial Narrow" w:eastAsia="Calibri" w:hAnsi="Arial Narrow" w:cs="Calibri"/>
                <w:sz w:val="20"/>
                <w:szCs w:val="20"/>
              </w:rPr>
              <w:t>Locally advanced or metastatic NSCLC with progression on or after prior chemotherapy.</w:t>
            </w:r>
          </w:p>
        </w:tc>
        <w:tc>
          <w:tcPr>
            <w:tcW w:w="1418" w:type="dxa"/>
          </w:tcPr>
          <w:p w:rsidR="00EA3640" w:rsidRPr="00E74FB9" w:rsidRDefault="00F91578" w:rsidP="00E74FB9">
            <w:pPr>
              <w:rPr>
                <w:rFonts w:ascii="Arial Narrow" w:hAnsi="Arial Narrow" w:cstheme="minorHAnsi"/>
                <w:sz w:val="20"/>
                <w:szCs w:val="20"/>
              </w:rPr>
            </w:pPr>
            <w:r>
              <w:rPr>
                <w:rFonts w:ascii="Arial Narrow" w:hAnsi="Arial Narrow" w:cstheme="minorHAnsi"/>
                <w:sz w:val="20"/>
                <w:szCs w:val="20"/>
              </w:rPr>
              <w:t>18 October 2016</w:t>
            </w:r>
          </w:p>
        </w:tc>
        <w:tc>
          <w:tcPr>
            <w:tcW w:w="1227" w:type="dxa"/>
          </w:tcPr>
          <w:p w:rsidR="00EA3640" w:rsidRPr="00E74FB9" w:rsidRDefault="00EA3640" w:rsidP="00E74FB9">
            <w:pPr>
              <w:rPr>
                <w:rFonts w:ascii="Arial Narrow" w:hAnsi="Arial Narrow" w:cstheme="minorHAnsi"/>
                <w:sz w:val="20"/>
                <w:szCs w:val="20"/>
              </w:rPr>
            </w:pPr>
            <w:r w:rsidRPr="00E74FB9">
              <w:rPr>
                <w:rFonts w:ascii="Arial Narrow" w:hAnsi="Arial Narrow" w:cstheme="minorHAnsi"/>
                <w:sz w:val="20"/>
                <w:szCs w:val="20"/>
              </w:rPr>
              <w:t>20 July 2017</w:t>
            </w:r>
          </w:p>
        </w:tc>
        <w:tc>
          <w:tcPr>
            <w:tcW w:w="1238" w:type="dxa"/>
          </w:tcPr>
          <w:p w:rsidR="00EA3640" w:rsidRPr="00E74FB9" w:rsidRDefault="005E1BB4" w:rsidP="00E74FB9">
            <w:pPr>
              <w:rPr>
                <w:rFonts w:ascii="Arial Narrow" w:hAnsi="Arial Narrow" w:cstheme="minorHAnsi"/>
                <w:sz w:val="20"/>
                <w:szCs w:val="20"/>
              </w:rPr>
            </w:pPr>
            <w:r>
              <w:rPr>
                <w:rFonts w:ascii="Arial Narrow" w:hAnsi="Arial Narrow" w:cstheme="minorHAnsi"/>
                <w:sz w:val="20"/>
                <w:szCs w:val="20"/>
              </w:rPr>
              <w:t>31</w:t>
            </w:r>
            <w:r w:rsidR="00EA3640" w:rsidRPr="00E74FB9">
              <w:rPr>
                <w:rFonts w:ascii="Arial Narrow" w:hAnsi="Arial Narrow" w:cstheme="minorHAnsi"/>
                <w:sz w:val="20"/>
                <w:szCs w:val="20"/>
              </w:rPr>
              <w:t xml:space="preserve"> July 2016</w:t>
            </w:r>
          </w:p>
        </w:tc>
        <w:tc>
          <w:tcPr>
            <w:tcW w:w="1343" w:type="dxa"/>
          </w:tcPr>
          <w:p w:rsidR="00EA3640" w:rsidRPr="00E74FB9" w:rsidRDefault="00EA3640" w:rsidP="00E74FB9">
            <w:pPr>
              <w:rPr>
                <w:rFonts w:ascii="Arial Narrow" w:hAnsi="Arial Narrow" w:cstheme="minorHAnsi"/>
                <w:sz w:val="20"/>
                <w:szCs w:val="20"/>
              </w:rPr>
            </w:pPr>
            <w:r w:rsidRPr="00E74FB9">
              <w:rPr>
                <w:rFonts w:ascii="Arial Narrow" w:hAnsi="Arial Narrow" w:cstheme="minorHAnsi"/>
                <w:sz w:val="20"/>
                <w:szCs w:val="20"/>
              </w:rPr>
              <w:t>November 2017</w:t>
            </w:r>
          </w:p>
        </w:tc>
      </w:tr>
      <w:tr w:rsidR="00EA3640" w:rsidRPr="00E74FB9" w:rsidTr="00E74FB9">
        <w:tc>
          <w:tcPr>
            <w:tcW w:w="1413" w:type="dxa"/>
          </w:tcPr>
          <w:p w:rsidR="00EA3640" w:rsidRPr="00E74FB9" w:rsidRDefault="00EA3640" w:rsidP="00E74FB9">
            <w:pPr>
              <w:rPr>
                <w:rFonts w:ascii="Arial Narrow" w:hAnsi="Arial Narrow" w:cstheme="minorHAnsi"/>
                <w:sz w:val="20"/>
                <w:szCs w:val="20"/>
              </w:rPr>
            </w:pPr>
            <w:proofErr w:type="spellStart"/>
            <w:r w:rsidRPr="00E74FB9">
              <w:rPr>
                <w:rFonts w:ascii="Arial Narrow" w:hAnsi="Arial Narrow" w:cstheme="minorHAnsi"/>
                <w:sz w:val="20"/>
                <w:szCs w:val="20"/>
              </w:rPr>
              <w:t>Nivolumab</w:t>
            </w:r>
            <w:proofErr w:type="spellEnd"/>
          </w:p>
        </w:tc>
        <w:tc>
          <w:tcPr>
            <w:tcW w:w="2377" w:type="dxa"/>
          </w:tcPr>
          <w:p w:rsidR="00EA3640" w:rsidRPr="00E74FB9" w:rsidRDefault="00EA3640" w:rsidP="00E74FB9">
            <w:pPr>
              <w:rPr>
                <w:rFonts w:ascii="Arial Narrow" w:hAnsi="Arial Narrow" w:cstheme="minorHAnsi"/>
                <w:sz w:val="20"/>
                <w:szCs w:val="20"/>
              </w:rPr>
            </w:pPr>
            <w:r w:rsidRPr="00E74FB9">
              <w:rPr>
                <w:rFonts w:ascii="Arial Narrow" w:hAnsi="Arial Narrow" w:cstheme="minorHAnsi"/>
                <w:sz w:val="20"/>
                <w:szCs w:val="20"/>
              </w:rPr>
              <w:t>Advanced clear RCC after prior anti-angiogenic therapy</w:t>
            </w:r>
          </w:p>
        </w:tc>
        <w:tc>
          <w:tcPr>
            <w:tcW w:w="1418" w:type="dxa"/>
          </w:tcPr>
          <w:p w:rsidR="00EA3640" w:rsidRPr="00E74FB9" w:rsidRDefault="00EA3640" w:rsidP="00E74FB9">
            <w:pPr>
              <w:rPr>
                <w:rFonts w:ascii="Arial Narrow" w:hAnsi="Arial Narrow" w:cstheme="minorHAnsi"/>
                <w:sz w:val="20"/>
                <w:szCs w:val="20"/>
              </w:rPr>
            </w:pPr>
            <w:r w:rsidRPr="00E74FB9">
              <w:rPr>
                <w:rFonts w:ascii="Arial Narrow" w:hAnsi="Arial Narrow" w:cstheme="minorHAnsi"/>
                <w:sz w:val="20"/>
                <w:szCs w:val="20"/>
              </w:rPr>
              <w:t>23 November 2015</w:t>
            </w:r>
          </w:p>
        </w:tc>
        <w:tc>
          <w:tcPr>
            <w:tcW w:w="1227" w:type="dxa"/>
          </w:tcPr>
          <w:p w:rsidR="00EA3640" w:rsidRPr="00E74FB9" w:rsidRDefault="00EA3640" w:rsidP="00E74FB9">
            <w:pPr>
              <w:rPr>
                <w:rFonts w:ascii="Arial Narrow" w:hAnsi="Arial Narrow" w:cstheme="minorHAnsi"/>
                <w:sz w:val="20"/>
                <w:szCs w:val="20"/>
              </w:rPr>
            </w:pPr>
            <w:r w:rsidRPr="00E74FB9">
              <w:rPr>
                <w:rFonts w:ascii="Arial Narrow" w:hAnsi="Arial Narrow" w:cstheme="minorHAnsi"/>
                <w:sz w:val="20"/>
                <w:szCs w:val="20"/>
              </w:rPr>
              <w:t>25 February 2016</w:t>
            </w:r>
          </w:p>
        </w:tc>
        <w:tc>
          <w:tcPr>
            <w:tcW w:w="1238" w:type="dxa"/>
          </w:tcPr>
          <w:p w:rsidR="00EA3640" w:rsidRPr="00925068" w:rsidRDefault="00925068" w:rsidP="00E74FB9">
            <w:pPr>
              <w:rPr>
                <w:rFonts w:ascii="Arial Narrow" w:hAnsi="Arial Narrow" w:cstheme="minorHAnsi"/>
                <w:sz w:val="20"/>
                <w:szCs w:val="20"/>
                <w:highlight w:val="black"/>
              </w:rPr>
            </w:pPr>
            <w:r>
              <w:rPr>
                <w:rFonts w:ascii="Arial Narrow" w:hAnsi="Arial Narrow" w:cstheme="minorHAnsi"/>
                <w:noProof/>
                <w:color w:val="000000"/>
                <w:sz w:val="20"/>
                <w:szCs w:val="20"/>
                <w:highlight w:val="black"/>
              </w:rPr>
              <w:t>''' ''''''''''''''''''' '''''''''''</w:t>
            </w:r>
          </w:p>
        </w:tc>
        <w:tc>
          <w:tcPr>
            <w:tcW w:w="1343" w:type="dxa"/>
          </w:tcPr>
          <w:p w:rsidR="00EA3640" w:rsidRPr="00E74FB9" w:rsidRDefault="00EA3640" w:rsidP="00E74FB9">
            <w:pPr>
              <w:rPr>
                <w:rFonts w:ascii="Arial Narrow" w:hAnsi="Arial Narrow" w:cstheme="minorHAnsi"/>
                <w:sz w:val="20"/>
                <w:szCs w:val="20"/>
              </w:rPr>
            </w:pPr>
            <w:r w:rsidRPr="00E74FB9">
              <w:rPr>
                <w:rFonts w:ascii="Arial Narrow" w:hAnsi="Arial Narrow" w:cstheme="minorHAnsi"/>
                <w:sz w:val="20"/>
                <w:szCs w:val="20"/>
              </w:rPr>
              <w:t>July 2016</w:t>
            </w:r>
          </w:p>
        </w:tc>
      </w:tr>
    </w:tbl>
    <w:p w:rsidR="00EA3640" w:rsidRPr="001157FE" w:rsidRDefault="00EA3640" w:rsidP="00EA3640">
      <w:pPr>
        <w:pStyle w:val="ListParagraph"/>
        <w:rPr>
          <w:rFonts w:asciiTheme="minorHAnsi" w:hAnsiTheme="minorHAnsi" w:cstheme="minorHAnsi"/>
          <w:sz w:val="24"/>
          <w:szCs w:val="24"/>
        </w:rPr>
      </w:pPr>
    </w:p>
    <w:p w:rsidR="00EA3640" w:rsidRDefault="00455D21" w:rsidP="00E53E21">
      <w:pPr>
        <w:pStyle w:val="ListParagraph"/>
        <w:numPr>
          <w:ilvl w:val="1"/>
          <w:numId w:val="5"/>
        </w:numPr>
        <w:spacing w:after="240"/>
        <w:contextualSpacing w:val="0"/>
        <w:rPr>
          <w:rFonts w:asciiTheme="minorHAnsi" w:hAnsiTheme="minorHAnsi" w:cstheme="minorHAnsi"/>
          <w:sz w:val="24"/>
          <w:szCs w:val="24"/>
        </w:rPr>
      </w:pPr>
      <w:r w:rsidRPr="00E53E21">
        <w:rPr>
          <w:rFonts w:asciiTheme="minorHAnsi" w:hAnsiTheme="minorHAnsi" w:cstheme="minorHAnsi"/>
          <w:sz w:val="24"/>
          <w:szCs w:val="24"/>
        </w:rPr>
        <w:t xml:space="preserve">The PBAC noted the time from registration to reimbursement for </w:t>
      </w:r>
      <w:r w:rsidR="006C361A" w:rsidRPr="00AE1050">
        <w:rPr>
          <w:rFonts w:asciiTheme="minorHAnsi" w:hAnsiTheme="minorHAnsi" w:cstheme="minorHAnsi"/>
          <w:sz w:val="24"/>
          <w:szCs w:val="24"/>
        </w:rPr>
        <w:t>PD</w:t>
      </w:r>
      <w:r w:rsidR="006C361A">
        <w:rPr>
          <w:rFonts w:asciiTheme="minorHAnsi" w:hAnsiTheme="minorHAnsi" w:cstheme="minorHAnsi"/>
          <w:sz w:val="24"/>
          <w:szCs w:val="24"/>
        </w:rPr>
        <w:t>-</w:t>
      </w:r>
      <w:r w:rsidR="006C361A" w:rsidRPr="00AE1050">
        <w:rPr>
          <w:rFonts w:asciiTheme="minorHAnsi" w:hAnsiTheme="minorHAnsi" w:cstheme="minorHAnsi"/>
          <w:sz w:val="24"/>
          <w:szCs w:val="24"/>
        </w:rPr>
        <w:t>(L)1</w:t>
      </w:r>
      <w:r w:rsidR="006C361A">
        <w:rPr>
          <w:rFonts w:asciiTheme="minorHAnsi" w:hAnsiTheme="minorHAnsi" w:cstheme="minorHAnsi"/>
          <w:sz w:val="24"/>
          <w:szCs w:val="24"/>
        </w:rPr>
        <w:t xml:space="preserve"> </w:t>
      </w:r>
      <w:r w:rsidRPr="00E53E21">
        <w:rPr>
          <w:rFonts w:asciiTheme="minorHAnsi" w:hAnsiTheme="minorHAnsi" w:cstheme="minorHAnsi"/>
          <w:sz w:val="24"/>
          <w:szCs w:val="24"/>
        </w:rPr>
        <w:t>checkpoint inhibitors in Australia ranged from 111 to 1,055</w:t>
      </w:r>
      <w:r w:rsidRPr="00AE1050">
        <w:rPr>
          <w:rStyle w:val="FootnoteReference"/>
          <w:rFonts w:asciiTheme="minorHAnsi" w:hAnsiTheme="minorHAnsi" w:cstheme="minorHAnsi"/>
          <w:sz w:val="24"/>
          <w:szCs w:val="24"/>
        </w:rPr>
        <w:footnoteReference w:id="2"/>
      </w:r>
      <w:r w:rsidRPr="00E53E21">
        <w:rPr>
          <w:rFonts w:asciiTheme="minorHAnsi" w:hAnsiTheme="minorHAnsi" w:cstheme="minorHAnsi"/>
          <w:sz w:val="24"/>
          <w:szCs w:val="24"/>
        </w:rPr>
        <w:t xml:space="preserve"> days with an average of 390 days and a median of 320 days (</w:t>
      </w:r>
      <w:r w:rsidR="003374D8" w:rsidRPr="00E53E21">
        <w:rPr>
          <w:rFonts w:asciiTheme="minorHAnsi" w:hAnsiTheme="minorHAnsi" w:cstheme="minorHAnsi"/>
          <w:sz w:val="24"/>
          <w:szCs w:val="24"/>
        </w:rPr>
        <w:t xml:space="preserve">see also </w:t>
      </w:r>
      <w:r w:rsidRPr="00E53E21">
        <w:rPr>
          <w:rFonts w:asciiTheme="minorHAnsi" w:hAnsiTheme="minorHAnsi" w:cstheme="minorHAnsi"/>
          <w:b/>
          <w:sz w:val="24"/>
          <w:szCs w:val="24"/>
        </w:rPr>
        <w:t xml:space="preserve">Attachment </w:t>
      </w:r>
      <w:r w:rsidR="00222DF0">
        <w:rPr>
          <w:rFonts w:asciiTheme="minorHAnsi" w:hAnsiTheme="minorHAnsi" w:cstheme="minorHAnsi"/>
          <w:b/>
          <w:sz w:val="24"/>
          <w:szCs w:val="24"/>
        </w:rPr>
        <w:t>A</w:t>
      </w:r>
      <w:r w:rsidRPr="00E53E21">
        <w:rPr>
          <w:rFonts w:asciiTheme="minorHAnsi" w:hAnsiTheme="minorHAnsi" w:cstheme="minorHAnsi"/>
          <w:sz w:val="24"/>
          <w:szCs w:val="24"/>
        </w:rPr>
        <w:t>). This is consistent with the average time for PBS listing of other medicines and the</w:t>
      </w:r>
      <w:r w:rsidR="003374D8" w:rsidRPr="00E53E21">
        <w:rPr>
          <w:rFonts w:asciiTheme="minorHAnsi" w:hAnsiTheme="minorHAnsi" w:cstheme="minorHAnsi"/>
          <w:sz w:val="24"/>
          <w:szCs w:val="24"/>
        </w:rPr>
        <w:t xml:space="preserve"> subsidy consideration</w:t>
      </w:r>
      <w:r w:rsidRPr="00E53E21">
        <w:rPr>
          <w:rFonts w:asciiTheme="minorHAnsi" w:hAnsiTheme="minorHAnsi" w:cstheme="minorHAnsi"/>
          <w:sz w:val="24"/>
          <w:szCs w:val="24"/>
        </w:rPr>
        <w:t xml:space="preserve"> timelines of international bodies. </w:t>
      </w:r>
    </w:p>
    <w:p w:rsidR="00E53E21" w:rsidRPr="00CE2964" w:rsidRDefault="00EA3640" w:rsidP="0029466D">
      <w:pPr>
        <w:pStyle w:val="ListParagraph"/>
        <w:spacing w:after="240"/>
        <w:contextualSpacing w:val="0"/>
        <w:rPr>
          <w:rFonts w:asciiTheme="minorHAnsi" w:hAnsiTheme="minorHAnsi" w:cstheme="minorHAnsi"/>
          <w:sz w:val="24"/>
          <w:szCs w:val="24"/>
        </w:rPr>
      </w:pPr>
      <w:r>
        <w:rPr>
          <w:rFonts w:asciiTheme="minorHAnsi" w:hAnsiTheme="minorHAnsi" w:cstheme="minorHAnsi"/>
          <w:sz w:val="24"/>
          <w:szCs w:val="24"/>
        </w:rPr>
        <w:t>T</w:t>
      </w:r>
      <w:r w:rsidR="003B6A37" w:rsidRPr="00CE2964">
        <w:rPr>
          <w:rFonts w:asciiTheme="minorHAnsi" w:hAnsiTheme="minorHAnsi" w:cstheme="minorHAnsi"/>
          <w:sz w:val="24"/>
          <w:szCs w:val="24"/>
        </w:rPr>
        <w:t xml:space="preserve">here are </w:t>
      </w:r>
      <w:r w:rsidR="00E9324A">
        <w:rPr>
          <w:rFonts w:asciiTheme="minorHAnsi" w:hAnsiTheme="minorHAnsi" w:cstheme="minorHAnsi"/>
          <w:sz w:val="24"/>
          <w:szCs w:val="24"/>
        </w:rPr>
        <w:t>many</w:t>
      </w:r>
      <w:r w:rsidR="00E9324A" w:rsidRPr="00CE2964">
        <w:rPr>
          <w:rFonts w:asciiTheme="minorHAnsi" w:hAnsiTheme="minorHAnsi" w:cstheme="minorHAnsi"/>
          <w:sz w:val="24"/>
          <w:szCs w:val="24"/>
        </w:rPr>
        <w:t xml:space="preserve"> </w:t>
      </w:r>
      <w:r w:rsidR="003B6A37" w:rsidRPr="00CE2964">
        <w:rPr>
          <w:rFonts w:asciiTheme="minorHAnsi" w:hAnsiTheme="minorHAnsi" w:cstheme="minorHAnsi"/>
          <w:sz w:val="24"/>
          <w:szCs w:val="24"/>
        </w:rPr>
        <w:t xml:space="preserve">examples of very rapid listing where drugs have high unmet clinical need, in these circumstances the listing has often occurred </w:t>
      </w:r>
      <w:r w:rsidR="00EB4D03" w:rsidRPr="00CE2964">
        <w:rPr>
          <w:rFonts w:asciiTheme="minorHAnsi" w:hAnsiTheme="minorHAnsi" w:cstheme="minorHAnsi"/>
          <w:sz w:val="24"/>
          <w:szCs w:val="24"/>
        </w:rPr>
        <w:t>significantly in advance</w:t>
      </w:r>
      <w:r w:rsidR="003B6A37" w:rsidRPr="00CE2964">
        <w:rPr>
          <w:rFonts w:asciiTheme="minorHAnsi" w:hAnsiTheme="minorHAnsi" w:cstheme="minorHAnsi"/>
          <w:sz w:val="24"/>
          <w:szCs w:val="24"/>
        </w:rPr>
        <w:t xml:space="preserve"> of reimbursement in other countries.</w:t>
      </w:r>
      <w:r w:rsidR="00E53E21" w:rsidRPr="00CE2964">
        <w:rPr>
          <w:rFonts w:asciiTheme="minorHAnsi" w:hAnsiTheme="minorHAnsi" w:cstheme="minorHAnsi"/>
          <w:sz w:val="24"/>
          <w:szCs w:val="24"/>
        </w:rPr>
        <w:t xml:space="preserve">  </w:t>
      </w:r>
      <w:r w:rsidR="00E53E21">
        <w:rPr>
          <w:rFonts w:asciiTheme="minorHAnsi" w:hAnsiTheme="minorHAnsi" w:cstheme="minorHAnsi"/>
          <w:sz w:val="24"/>
          <w:szCs w:val="24"/>
        </w:rPr>
        <w:t>F</w:t>
      </w:r>
      <w:r w:rsidR="00E53E21" w:rsidRPr="00CE2964">
        <w:rPr>
          <w:rFonts w:asciiTheme="minorHAnsi" w:hAnsiTheme="minorHAnsi" w:cstheme="minorHAnsi"/>
          <w:sz w:val="24"/>
          <w:szCs w:val="24"/>
        </w:rPr>
        <w:t xml:space="preserve">or </w:t>
      </w:r>
      <w:r w:rsidR="00E53E21">
        <w:rPr>
          <w:rFonts w:asciiTheme="minorHAnsi" w:hAnsiTheme="minorHAnsi" w:cstheme="minorHAnsi"/>
          <w:sz w:val="24"/>
          <w:szCs w:val="24"/>
        </w:rPr>
        <w:t>example</w:t>
      </w:r>
      <w:r w:rsidR="00E53E21" w:rsidRPr="00CE2964">
        <w:rPr>
          <w:rFonts w:asciiTheme="minorHAnsi" w:hAnsiTheme="minorHAnsi" w:cstheme="minorHAnsi"/>
          <w:sz w:val="24"/>
          <w:szCs w:val="24"/>
        </w:rPr>
        <w:t xml:space="preserve">, the TGA registration of </w:t>
      </w:r>
      <w:proofErr w:type="spellStart"/>
      <w:r w:rsidR="00E53E21" w:rsidRPr="00CE2964">
        <w:rPr>
          <w:rFonts w:asciiTheme="minorHAnsi" w:hAnsiTheme="minorHAnsi" w:cstheme="minorHAnsi"/>
          <w:sz w:val="24"/>
          <w:szCs w:val="24"/>
        </w:rPr>
        <w:t>pembrolizumab</w:t>
      </w:r>
      <w:proofErr w:type="spellEnd"/>
      <w:r w:rsidR="00E53E21" w:rsidRPr="00CE2964">
        <w:rPr>
          <w:rFonts w:asciiTheme="minorHAnsi" w:hAnsiTheme="minorHAnsi" w:cstheme="minorHAnsi"/>
          <w:sz w:val="24"/>
          <w:szCs w:val="24"/>
        </w:rPr>
        <w:t xml:space="preserve"> for melanoma was </w:t>
      </w:r>
      <w:r w:rsidR="00A647A0">
        <w:rPr>
          <w:rFonts w:asciiTheme="minorHAnsi" w:hAnsiTheme="minorHAnsi" w:cstheme="minorHAnsi"/>
          <w:sz w:val="24"/>
          <w:szCs w:val="24"/>
        </w:rPr>
        <w:t>approved on 16 </w:t>
      </w:r>
      <w:r w:rsidR="00E53E21" w:rsidRPr="00CE2964">
        <w:rPr>
          <w:rFonts w:asciiTheme="minorHAnsi" w:hAnsiTheme="minorHAnsi" w:cstheme="minorHAnsi"/>
          <w:sz w:val="24"/>
          <w:szCs w:val="24"/>
        </w:rPr>
        <w:t xml:space="preserve">April 2015 and PBS subsidy </w:t>
      </w:r>
      <w:r w:rsidR="00E53E21" w:rsidRPr="00CE2964">
        <w:rPr>
          <w:rFonts w:asciiTheme="minorHAnsi" w:hAnsiTheme="minorHAnsi" w:cstheme="minorHAnsi"/>
          <w:sz w:val="24"/>
          <w:szCs w:val="24"/>
        </w:rPr>
        <w:lastRenderedPageBreak/>
        <w:t>commenced on 1 September 2015, some four-and-a-half months later.</w:t>
      </w:r>
    </w:p>
    <w:p w:rsidR="00802E36" w:rsidRDefault="003103A4" w:rsidP="0085245F">
      <w:pPr>
        <w:spacing w:after="240"/>
        <w:ind w:left="720"/>
        <w:rPr>
          <w:rFonts w:asciiTheme="minorHAnsi" w:hAnsiTheme="minorHAnsi" w:cstheme="minorHAnsi"/>
        </w:rPr>
      </w:pPr>
      <w:r>
        <w:rPr>
          <w:rFonts w:asciiTheme="minorHAnsi" w:hAnsiTheme="minorHAnsi" w:cstheme="minorHAnsi"/>
        </w:rPr>
        <w:t>In contrast,</w:t>
      </w:r>
      <w:r w:rsidR="00802E36" w:rsidRPr="00AE1050">
        <w:rPr>
          <w:rFonts w:asciiTheme="minorHAnsi" w:hAnsiTheme="minorHAnsi" w:cstheme="minorHAnsi"/>
        </w:rPr>
        <w:t xml:space="preserve"> the TGA registration of </w:t>
      </w:r>
      <w:proofErr w:type="spellStart"/>
      <w:r w:rsidR="00802E36" w:rsidRPr="00AE1050">
        <w:rPr>
          <w:rFonts w:asciiTheme="minorHAnsi" w:hAnsiTheme="minorHAnsi" w:cstheme="minorHAnsi"/>
        </w:rPr>
        <w:t>nivolumab</w:t>
      </w:r>
      <w:proofErr w:type="spellEnd"/>
      <w:r w:rsidR="00802E36" w:rsidRPr="00AE1050">
        <w:rPr>
          <w:rFonts w:asciiTheme="minorHAnsi" w:hAnsiTheme="minorHAnsi" w:cstheme="minorHAnsi"/>
        </w:rPr>
        <w:t xml:space="preserve"> in combination with </w:t>
      </w:r>
      <w:proofErr w:type="spellStart"/>
      <w:r w:rsidR="00802E36" w:rsidRPr="00AE1050">
        <w:rPr>
          <w:rFonts w:asciiTheme="minorHAnsi" w:hAnsiTheme="minorHAnsi" w:cstheme="minorHAnsi"/>
        </w:rPr>
        <w:t>ipili</w:t>
      </w:r>
      <w:r w:rsidR="0085245F" w:rsidRPr="00AE1050">
        <w:rPr>
          <w:rFonts w:asciiTheme="minorHAnsi" w:hAnsiTheme="minorHAnsi" w:cstheme="minorHAnsi"/>
        </w:rPr>
        <w:t>m</w:t>
      </w:r>
      <w:r w:rsidR="00802E36" w:rsidRPr="00AE1050">
        <w:rPr>
          <w:rFonts w:asciiTheme="minorHAnsi" w:hAnsiTheme="minorHAnsi" w:cstheme="minorHAnsi"/>
        </w:rPr>
        <w:t>umab</w:t>
      </w:r>
      <w:proofErr w:type="spellEnd"/>
      <w:r w:rsidR="00802E36" w:rsidRPr="00AE1050">
        <w:rPr>
          <w:rFonts w:asciiTheme="minorHAnsi" w:hAnsiTheme="minorHAnsi" w:cstheme="minorHAnsi"/>
        </w:rPr>
        <w:t xml:space="preserve"> for the treatment of melanoma was initially approved in January 2016</w:t>
      </w:r>
      <w:r>
        <w:rPr>
          <w:rFonts w:asciiTheme="minorHAnsi" w:hAnsiTheme="minorHAnsi" w:cstheme="minorHAnsi"/>
        </w:rPr>
        <w:t xml:space="preserve"> and</w:t>
      </w:r>
      <w:r w:rsidR="00EA3640">
        <w:rPr>
          <w:rFonts w:asciiTheme="minorHAnsi" w:hAnsiTheme="minorHAnsi" w:cstheme="minorHAnsi"/>
        </w:rPr>
        <w:t xml:space="preserve"> </w:t>
      </w:r>
      <w:r w:rsidR="0085245F" w:rsidRPr="00AE1050">
        <w:rPr>
          <w:rFonts w:asciiTheme="minorHAnsi" w:hAnsiTheme="minorHAnsi" w:cstheme="minorHAnsi"/>
        </w:rPr>
        <w:t xml:space="preserve">the </w:t>
      </w:r>
      <w:r w:rsidR="00802E36" w:rsidRPr="00AE1050">
        <w:rPr>
          <w:rFonts w:asciiTheme="minorHAnsi" w:hAnsiTheme="minorHAnsi" w:cstheme="minorHAnsi"/>
        </w:rPr>
        <w:t>PBAC first considered a subsidy application for that use in November 2015</w:t>
      </w:r>
      <w:r w:rsidR="00EB4D03">
        <w:rPr>
          <w:rFonts w:asciiTheme="minorHAnsi" w:hAnsiTheme="minorHAnsi" w:cstheme="minorHAnsi"/>
        </w:rPr>
        <w:t>. However,</w:t>
      </w:r>
      <w:r w:rsidR="00802E36" w:rsidRPr="00AE1050">
        <w:rPr>
          <w:rFonts w:asciiTheme="minorHAnsi" w:hAnsiTheme="minorHAnsi" w:cstheme="minorHAnsi"/>
        </w:rPr>
        <w:t xml:space="preserve"> </w:t>
      </w:r>
      <w:r w:rsidR="0085245F" w:rsidRPr="00AE1050">
        <w:rPr>
          <w:rFonts w:asciiTheme="minorHAnsi" w:hAnsiTheme="minorHAnsi" w:cstheme="minorHAnsi"/>
        </w:rPr>
        <w:t xml:space="preserve">two further PBAC applications (March 2017 and July 2018) were required before subsidy could be recommended.  </w:t>
      </w:r>
      <w:r w:rsidR="001D14D2">
        <w:rPr>
          <w:rFonts w:asciiTheme="minorHAnsi" w:hAnsiTheme="minorHAnsi" w:cstheme="minorHAnsi"/>
        </w:rPr>
        <w:t xml:space="preserve">As a </w:t>
      </w:r>
      <w:r w:rsidR="0085245F" w:rsidRPr="00AE1050">
        <w:rPr>
          <w:rFonts w:asciiTheme="minorHAnsi" w:hAnsiTheme="minorHAnsi" w:cstheme="minorHAnsi"/>
        </w:rPr>
        <w:t>result 1055 days will have elapsed since registration</w:t>
      </w:r>
      <w:r w:rsidR="003374D8" w:rsidRPr="00AE1050">
        <w:rPr>
          <w:rFonts w:asciiTheme="minorHAnsi" w:hAnsiTheme="minorHAnsi" w:cstheme="minorHAnsi"/>
        </w:rPr>
        <w:t xml:space="preserve"> </w:t>
      </w:r>
      <w:r w:rsidR="00D253BA">
        <w:rPr>
          <w:rFonts w:asciiTheme="minorHAnsi" w:hAnsiTheme="minorHAnsi" w:cstheme="minorHAnsi"/>
        </w:rPr>
        <w:t>when</w:t>
      </w:r>
      <w:r w:rsidR="003374D8" w:rsidRPr="00AE1050">
        <w:rPr>
          <w:rFonts w:asciiTheme="minorHAnsi" w:hAnsiTheme="minorHAnsi" w:cstheme="minorHAnsi"/>
        </w:rPr>
        <w:t xml:space="preserve"> this listing proceeds on 1 December 2018</w:t>
      </w:r>
      <w:r w:rsidR="001D14D2">
        <w:rPr>
          <w:rFonts w:asciiTheme="minorHAnsi" w:hAnsiTheme="minorHAnsi" w:cstheme="minorHAnsi"/>
        </w:rPr>
        <w:t>.</w:t>
      </w:r>
      <w:r w:rsidR="00D253BA">
        <w:rPr>
          <w:rFonts w:asciiTheme="minorHAnsi" w:hAnsiTheme="minorHAnsi" w:cstheme="minorHAnsi"/>
        </w:rPr>
        <w:t xml:space="preserve">  Notably, the majority of that </w:t>
      </w:r>
      <w:r w:rsidR="00797148">
        <w:rPr>
          <w:rFonts w:asciiTheme="minorHAnsi" w:hAnsiTheme="minorHAnsi" w:cstheme="minorHAnsi"/>
        </w:rPr>
        <w:t xml:space="preserve">time period is a result of the time taken by the sponsor to re-submit to PBAC.  If the sponsor had resubmitted </w:t>
      </w:r>
      <w:r>
        <w:rPr>
          <w:rFonts w:asciiTheme="minorHAnsi" w:hAnsiTheme="minorHAnsi" w:cstheme="minorHAnsi"/>
        </w:rPr>
        <w:t>sooner</w:t>
      </w:r>
      <w:r w:rsidR="00797148">
        <w:rPr>
          <w:rFonts w:asciiTheme="minorHAnsi" w:hAnsiTheme="minorHAnsi" w:cstheme="minorHAnsi"/>
        </w:rPr>
        <w:t>, a July 2016 (2</w:t>
      </w:r>
      <w:r w:rsidR="00797148" w:rsidRPr="00FE4759">
        <w:rPr>
          <w:rFonts w:asciiTheme="minorHAnsi" w:hAnsiTheme="minorHAnsi" w:cstheme="minorHAnsi"/>
          <w:vertAlign w:val="superscript"/>
        </w:rPr>
        <w:t>nd</w:t>
      </w:r>
      <w:r w:rsidR="00797148">
        <w:rPr>
          <w:rFonts w:asciiTheme="minorHAnsi" w:hAnsiTheme="minorHAnsi" w:cstheme="minorHAnsi"/>
        </w:rPr>
        <w:t xml:space="preserve"> submission) or March 2017 (3</w:t>
      </w:r>
      <w:r w:rsidR="00797148" w:rsidRPr="00FE4759">
        <w:rPr>
          <w:rFonts w:asciiTheme="minorHAnsi" w:hAnsiTheme="minorHAnsi" w:cstheme="minorHAnsi"/>
          <w:vertAlign w:val="superscript"/>
        </w:rPr>
        <w:t>rd</w:t>
      </w:r>
      <w:r w:rsidR="00797148">
        <w:rPr>
          <w:rFonts w:asciiTheme="minorHAnsi" w:hAnsiTheme="minorHAnsi" w:cstheme="minorHAnsi"/>
        </w:rPr>
        <w:t xml:space="preserve"> submission) PBAC recommendation may have been achieved.</w:t>
      </w:r>
    </w:p>
    <w:p w:rsidR="00E5209F" w:rsidRPr="00E5209F" w:rsidRDefault="00E5209F" w:rsidP="00E5209F">
      <w:pPr>
        <w:pStyle w:val="ListParagraph"/>
        <w:numPr>
          <w:ilvl w:val="1"/>
          <w:numId w:val="14"/>
        </w:numPr>
        <w:rPr>
          <w:rFonts w:asciiTheme="minorHAnsi" w:hAnsiTheme="minorHAnsi" w:cstheme="minorHAnsi"/>
          <w:sz w:val="24"/>
          <w:szCs w:val="24"/>
        </w:rPr>
      </w:pPr>
      <w:r w:rsidRPr="00E5209F">
        <w:rPr>
          <w:rFonts w:asciiTheme="minorHAnsi" w:hAnsiTheme="minorHAnsi" w:cstheme="minorHAnsi"/>
          <w:sz w:val="24"/>
          <w:szCs w:val="24"/>
        </w:rPr>
        <w:t xml:space="preserve">The PBAC noted </w:t>
      </w:r>
      <w:r w:rsidR="00E9324A">
        <w:rPr>
          <w:rFonts w:asciiTheme="minorHAnsi" w:hAnsiTheme="minorHAnsi" w:cstheme="minorHAnsi"/>
          <w:sz w:val="24"/>
          <w:szCs w:val="24"/>
        </w:rPr>
        <w:t xml:space="preserve">that </w:t>
      </w:r>
      <w:r w:rsidRPr="00E5209F">
        <w:rPr>
          <w:rFonts w:asciiTheme="minorHAnsi" w:hAnsiTheme="minorHAnsi" w:cstheme="minorHAnsi"/>
          <w:sz w:val="24"/>
          <w:szCs w:val="24"/>
        </w:rPr>
        <w:t xml:space="preserve">regulators and reimbursement bodies </w:t>
      </w:r>
      <w:r w:rsidR="003D00E9">
        <w:rPr>
          <w:rFonts w:asciiTheme="minorHAnsi" w:hAnsiTheme="minorHAnsi" w:cstheme="minorHAnsi"/>
          <w:sz w:val="24"/>
          <w:szCs w:val="24"/>
        </w:rPr>
        <w:t xml:space="preserve">faced a tension between achieving faster access to medicines in the face </w:t>
      </w:r>
      <w:r w:rsidRPr="00E5209F">
        <w:rPr>
          <w:rFonts w:asciiTheme="minorHAnsi" w:hAnsiTheme="minorHAnsi" w:cstheme="minorHAnsi"/>
          <w:sz w:val="24"/>
          <w:szCs w:val="24"/>
        </w:rPr>
        <w:t xml:space="preserve">of </w:t>
      </w:r>
      <w:r w:rsidR="003D00E9">
        <w:rPr>
          <w:rFonts w:asciiTheme="minorHAnsi" w:hAnsiTheme="minorHAnsi" w:cstheme="minorHAnsi"/>
          <w:sz w:val="24"/>
          <w:szCs w:val="24"/>
        </w:rPr>
        <w:t xml:space="preserve">high </w:t>
      </w:r>
      <w:r w:rsidRPr="00E5209F">
        <w:rPr>
          <w:rFonts w:asciiTheme="minorHAnsi" w:hAnsiTheme="minorHAnsi" w:cstheme="minorHAnsi"/>
          <w:sz w:val="24"/>
          <w:szCs w:val="24"/>
        </w:rPr>
        <w:t>clinical need w</w:t>
      </w:r>
      <w:r w:rsidR="003D00E9">
        <w:rPr>
          <w:rFonts w:asciiTheme="minorHAnsi" w:hAnsiTheme="minorHAnsi" w:cstheme="minorHAnsi"/>
          <w:sz w:val="24"/>
          <w:szCs w:val="24"/>
        </w:rPr>
        <w:t>hile meeting their core obligations to ensure safety (in the case of the TGA) and cost-effectiveness (in the case of the PBAC).</w:t>
      </w:r>
      <w:r w:rsidRPr="00E5209F">
        <w:rPr>
          <w:rFonts w:asciiTheme="minorHAnsi" w:hAnsiTheme="minorHAnsi" w:cstheme="minorHAnsi"/>
          <w:sz w:val="24"/>
          <w:szCs w:val="24"/>
        </w:rPr>
        <w:t xml:space="preserve"> The PBAC noted that many of the access issues identified during consultation were outside of its legislated framework and scope</w:t>
      </w:r>
      <w:r w:rsidR="003D00E9">
        <w:rPr>
          <w:rFonts w:asciiTheme="minorHAnsi" w:hAnsiTheme="minorHAnsi" w:cstheme="minorHAnsi"/>
          <w:sz w:val="24"/>
          <w:szCs w:val="24"/>
        </w:rPr>
        <w:t xml:space="preserve"> such as indications for which a medicine was not registered or funding of medicines for clinical trial access</w:t>
      </w:r>
      <w:r w:rsidRPr="00E5209F">
        <w:rPr>
          <w:rFonts w:asciiTheme="minorHAnsi" w:hAnsiTheme="minorHAnsi" w:cstheme="minorHAnsi"/>
          <w:sz w:val="24"/>
          <w:szCs w:val="24"/>
        </w:rPr>
        <w:t xml:space="preserve">. </w:t>
      </w:r>
    </w:p>
    <w:p w:rsidR="00A912AF" w:rsidRPr="00AE1050" w:rsidRDefault="00A912AF" w:rsidP="00AE1050">
      <w:pPr>
        <w:pStyle w:val="ListParagraph"/>
        <w:rPr>
          <w:rFonts w:asciiTheme="minorHAnsi" w:hAnsiTheme="minorHAnsi" w:cstheme="minorHAnsi"/>
          <w:sz w:val="24"/>
          <w:szCs w:val="24"/>
        </w:rPr>
      </w:pPr>
    </w:p>
    <w:p w:rsidR="003006B0" w:rsidRPr="00AE1050" w:rsidRDefault="003006B0" w:rsidP="003006B0">
      <w:pPr>
        <w:pStyle w:val="ListParagraph"/>
        <w:numPr>
          <w:ilvl w:val="1"/>
          <w:numId w:val="14"/>
        </w:numPr>
        <w:rPr>
          <w:rFonts w:asciiTheme="minorHAnsi" w:hAnsiTheme="minorHAnsi" w:cstheme="minorHAnsi"/>
          <w:sz w:val="24"/>
          <w:szCs w:val="24"/>
        </w:rPr>
      </w:pPr>
      <w:r w:rsidRPr="00AE1050">
        <w:rPr>
          <w:rFonts w:asciiTheme="minorHAnsi" w:hAnsiTheme="minorHAnsi" w:cstheme="minorHAnsi"/>
          <w:sz w:val="24"/>
          <w:szCs w:val="24"/>
        </w:rPr>
        <w:t xml:space="preserve">The PBAC considered other policy ideas and international responses to this issue such as the UK Cancer Drug Fund and noted learnings from this, as well as learnings from previous approaches used by the PBAC and </w:t>
      </w:r>
      <w:r w:rsidR="003374D8" w:rsidRPr="00AE1050">
        <w:rPr>
          <w:rFonts w:asciiTheme="minorHAnsi" w:hAnsiTheme="minorHAnsi" w:cstheme="minorHAnsi"/>
          <w:sz w:val="24"/>
          <w:szCs w:val="24"/>
        </w:rPr>
        <w:t>government</w:t>
      </w:r>
      <w:r w:rsidRPr="00AE1050">
        <w:rPr>
          <w:rFonts w:asciiTheme="minorHAnsi" w:hAnsiTheme="minorHAnsi" w:cstheme="minorHAnsi"/>
          <w:sz w:val="24"/>
          <w:szCs w:val="24"/>
        </w:rPr>
        <w:t xml:space="preserve"> to resolve uncertainty around PBS listing, such as </w:t>
      </w:r>
      <w:r w:rsidR="003374D8" w:rsidRPr="00AE1050">
        <w:rPr>
          <w:rFonts w:asciiTheme="minorHAnsi" w:hAnsiTheme="minorHAnsi" w:cstheme="minorHAnsi"/>
          <w:sz w:val="24"/>
          <w:szCs w:val="24"/>
        </w:rPr>
        <w:t>M</w:t>
      </w:r>
      <w:r w:rsidRPr="00AE1050">
        <w:rPr>
          <w:rFonts w:asciiTheme="minorHAnsi" w:hAnsiTheme="minorHAnsi" w:cstheme="minorHAnsi"/>
          <w:sz w:val="24"/>
          <w:szCs w:val="24"/>
        </w:rPr>
        <w:t xml:space="preserve">anaged </w:t>
      </w:r>
      <w:r w:rsidR="003374D8" w:rsidRPr="00AE1050">
        <w:rPr>
          <w:rFonts w:asciiTheme="minorHAnsi" w:hAnsiTheme="minorHAnsi" w:cstheme="minorHAnsi"/>
          <w:sz w:val="24"/>
          <w:szCs w:val="24"/>
        </w:rPr>
        <w:t>A</w:t>
      </w:r>
      <w:r w:rsidRPr="00AE1050">
        <w:rPr>
          <w:rFonts w:asciiTheme="minorHAnsi" w:hAnsiTheme="minorHAnsi" w:cstheme="minorHAnsi"/>
          <w:sz w:val="24"/>
          <w:szCs w:val="24"/>
        </w:rPr>
        <w:t xml:space="preserve">ccess </w:t>
      </w:r>
      <w:r w:rsidR="003374D8" w:rsidRPr="00AE1050">
        <w:rPr>
          <w:rFonts w:asciiTheme="minorHAnsi" w:hAnsiTheme="minorHAnsi" w:cstheme="minorHAnsi"/>
          <w:sz w:val="24"/>
          <w:szCs w:val="24"/>
        </w:rPr>
        <w:t>P</w:t>
      </w:r>
      <w:r w:rsidRPr="00AE1050">
        <w:rPr>
          <w:rFonts w:asciiTheme="minorHAnsi" w:hAnsiTheme="minorHAnsi" w:cstheme="minorHAnsi"/>
          <w:sz w:val="24"/>
          <w:szCs w:val="24"/>
        </w:rPr>
        <w:t xml:space="preserve">rograms. </w:t>
      </w:r>
    </w:p>
    <w:p w:rsidR="00521844" w:rsidRPr="00AE1050" w:rsidRDefault="00521844" w:rsidP="00AE1050">
      <w:pPr>
        <w:pStyle w:val="ListParagraph"/>
        <w:rPr>
          <w:rFonts w:asciiTheme="minorHAnsi" w:hAnsiTheme="minorHAnsi" w:cstheme="minorHAnsi"/>
          <w:sz w:val="24"/>
          <w:szCs w:val="24"/>
        </w:rPr>
      </w:pPr>
    </w:p>
    <w:p w:rsidR="00521844" w:rsidRDefault="00521844" w:rsidP="00EB4D03">
      <w:pPr>
        <w:pStyle w:val="ListParagraph"/>
        <w:numPr>
          <w:ilvl w:val="1"/>
          <w:numId w:val="14"/>
        </w:numPr>
        <w:rPr>
          <w:rFonts w:asciiTheme="minorHAnsi" w:hAnsiTheme="minorHAnsi" w:cstheme="minorHAnsi"/>
          <w:sz w:val="24"/>
          <w:szCs w:val="24"/>
        </w:rPr>
      </w:pPr>
      <w:r w:rsidRPr="00AE1050">
        <w:rPr>
          <w:rFonts w:asciiTheme="minorHAnsi" w:hAnsiTheme="minorHAnsi" w:cstheme="minorHAnsi"/>
          <w:sz w:val="24"/>
          <w:szCs w:val="24"/>
        </w:rPr>
        <w:t xml:space="preserve">The PBAC </w:t>
      </w:r>
      <w:r w:rsidR="001D14D2">
        <w:rPr>
          <w:rFonts w:asciiTheme="minorHAnsi" w:hAnsiTheme="minorHAnsi" w:cstheme="minorHAnsi"/>
          <w:sz w:val="24"/>
          <w:szCs w:val="24"/>
        </w:rPr>
        <w:t xml:space="preserve">further </w:t>
      </w:r>
      <w:r w:rsidRPr="00AE1050">
        <w:rPr>
          <w:rFonts w:asciiTheme="minorHAnsi" w:hAnsiTheme="minorHAnsi" w:cstheme="minorHAnsi"/>
          <w:sz w:val="24"/>
          <w:szCs w:val="24"/>
        </w:rPr>
        <w:t>noted the UK Cancer Drug Fund has been substantially redesigned</w:t>
      </w:r>
      <w:r w:rsidR="003374D8" w:rsidRPr="00AE1050">
        <w:rPr>
          <w:rFonts w:asciiTheme="minorHAnsi" w:hAnsiTheme="minorHAnsi" w:cstheme="minorHAnsi"/>
          <w:sz w:val="24"/>
          <w:szCs w:val="24"/>
        </w:rPr>
        <w:t xml:space="preserve"> recently </w:t>
      </w:r>
      <w:r w:rsidRPr="00AE1050">
        <w:rPr>
          <w:rFonts w:asciiTheme="minorHAnsi" w:hAnsiTheme="minorHAnsi" w:cstheme="minorHAnsi"/>
          <w:sz w:val="24"/>
          <w:szCs w:val="24"/>
        </w:rPr>
        <w:t>and now operates similarly to the Australian Managed Access Program arrangements, albeit within an overall fixed funding cap and with clearly defined</w:t>
      </w:r>
      <w:r w:rsidR="003374D8" w:rsidRPr="00AE1050">
        <w:rPr>
          <w:rFonts w:asciiTheme="minorHAnsi" w:hAnsiTheme="minorHAnsi" w:cstheme="minorHAnsi"/>
          <w:sz w:val="24"/>
          <w:szCs w:val="24"/>
        </w:rPr>
        <w:t xml:space="preserve"> review mechanisms</w:t>
      </w:r>
      <w:r w:rsidR="001D14D2">
        <w:rPr>
          <w:rFonts w:asciiTheme="minorHAnsi" w:hAnsiTheme="minorHAnsi" w:cstheme="minorHAnsi"/>
          <w:sz w:val="24"/>
          <w:szCs w:val="24"/>
        </w:rPr>
        <w:t xml:space="preserve"> and timeframes for establish</w:t>
      </w:r>
      <w:r w:rsidR="001157FE">
        <w:rPr>
          <w:rFonts w:asciiTheme="minorHAnsi" w:hAnsiTheme="minorHAnsi" w:cstheme="minorHAnsi"/>
          <w:sz w:val="24"/>
          <w:szCs w:val="24"/>
        </w:rPr>
        <w:t>ing</w:t>
      </w:r>
      <w:r w:rsidR="001D14D2">
        <w:rPr>
          <w:rFonts w:asciiTheme="minorHAnsi" w:hAnsiTheme="minorHAnsi" w:cstheme="minorHAnsi"/>
          <w:sz w:val="24"/>
          <w:szCs w:val="24"/>
        </w:rPr>
        <w:t xml:space="preserve"> ongoing subsidy</w:t>
      </w:r>
      <w:r w:rsidR="001157FE">
        <w:rPr>
          <w:rFonts w:asciiTheme="minorHAnsi" w:hAnsiTheme="minorHAnsi" w:cstheme="minorHAnsi"/>
          <w:sz w:val="24"/>
          <w:szCs w:val="24"/>
        </w:rPr>
        <w:t xml:space="preserve"> arrangements (price, indications for use etc.)</w:t>
      </w:r>
      <w:r w:rsidR="001D14D2">
        <w:rPr>
          <w:rFonts w:asciiTheme="minorHAnsi" w:hAnsiTheme="minorHAnsi" w:cstheme="minorHAnsi"/>
          <w:sz w:val="24"/>
          <w:szCs w:val="24"/>
        </w:rPr>
        <w:t xml:space="preserve"> where the longer term evidence supports this</w:t>
      </w:r>
      <w:r w:rsidR="00EB4D03">
        <w:rPr>
          <w:rFonts w:asciiTheme="minorHAnsi" w:hAnsiTheme="minorHAnsi" w:cstheme="minorHAnsi"/>
          <w:sz w:val="24"/>
          <w:szCs w:val="24"/>
        </w:rPr>
        <w:t>.</w:t>
      </w:r>
      <w:r w:rsidR="00EB4D03" w:rsidRPr="00EB4D03">
        <w:t xml:space="preserve"> </w:t>
      </w:r>
      <w:r w:rsidR="00EB4D03" w:rsidRPr="003E0542">
        <w:rPr>
          <w:rFonts w:asciiTheme="minorHAnsi" w:hAnsiTheme="minorHAnsi" w:cstheme="minorHAnsi"/>
          <w:sz w:val="24"/>
        </w:rPr>
        <w:t>T</w:t>
      </w:r>
      <w:r w:rsidR="00EB4D03" w:rsidRPr="00EB4D03">
        <w:rPr>
          <w:rFonts w:asciiTheme="minorHAnsi" w:hAnsiTheme="minorHAnsi" w:cstheme="minorHAnsi"/>
          <w:sz w:val="24"/>
          <w:szCs w:val="24"/>
        </w:rPr>
        <w:t>he UK Cancer Drug Fund</w:t>
      </w:r>
      <w:r w:rsidR="00E53E21">
        <w:rPr>
          <w:rFonts w:asciiTheme="minorHAnsi" w:hAnsiTheme="minorHAnsi" w:cstheme="minorHAnsi"/>
          <w:sz w:val="24"/>
          <w:szCs w:val="24"/>
        </w:rPr>
        <w:t xml:space="preserve"> </w:t>
      </w:r>
      <w:r w:rsidR="00EB4D03">
        <w:rPr>
          <w:rFonts w:asciiTheme="minorHAnsi" w:hAnsiTheme="minorHAnsi" w:cstheme="minorHAnsi"/>
          <w:sz w:val="24"/>
          <w:szCs w:val="24"/>
        </w:rPr>
        <w:t xml:space="preserve">also </w:t>
      </w:r>
      <w:r w:rsidR="00B70A7E">
        <w:rPr>
          <w:rFonts w:asciiTheme="minorHAnsi" w:hAnsiTheme="minorHAnsi" w:cstheme="minorHAnsi"/>
          <w:sz w:val="24"/>
          <w:szCs w:val="24"/>
        </w:rPr>
        <w:t xml:space="preserve">does </w:t>
      </w:r>
      <w:r w:rsidR="00EB4D03">
        <w:rPr>
          <w:rFonts w:asciiTheme="minorHAnsi" w:hAnsiTheme="minorHAnsi" w:cstheme="minorHAnsi"/>
          <w:sz w:val="24"/>
          <w:szCs w:val="24"/>
        </w:rPr>
        <w:t>not include</w:t>
      </w:r>
      <w:r w:rsidRPr="00AE1050">
        <w:rPr>
          <w:rFonts w:asciiTheme="minorHAnsi" w:hAnsiTheme="minorHAnsi" w:cstheme="minorHAnsi"/>
          <w:sz w:val="24"/>
          <w:szCs w:val="24"/>
        </w:rPr>
        <w:t xml:space="preserve"> process</w:t>
      </w:r>
      <w:r w:rsidR="00B16276" w:rsidRPr="00AE1050">
        <w:rPr>
          <w:rFonts w:asciiTheme="minorHAnsi" w:hAnsiTheme="minorHAnsi" w:cstheme="minorHAnsi"/>
          <w:sz w:val="24"/>
          <w:szCs w:val="24"/>
        </w:rPr>
        <w:t>es for ceasing subsidy for medicines where the longer term e</w:t>
      </w:r>
      <w:r w:rsidR="003374D8" w:rsidRPr="00AE1050">
        <w:rPr>
          <w:rFonts w:asciiTheme="minorHAnsi" w:hAnsiTheme="minorHAnsi" w:cstheme="minorHAnsi"/>
          <w:sz w:val="24"/>
          <w:szCs w:val="24"/>
        </w:rPr>
        <w:t>vidence does not support</w:t>
      </w:r>
      <w:r w:rsidR="001D14D2">
        <w:rPr>
          <w:rFonts w:asciiTheme="minorHAnsi" w:hAnsiTheme="minorHAnsi" w:cstheme="minorHAnsi"/>
          <w:sz w:val="24"/>
          <w:szCs w:val="24"/>
        </w:rPr>
        <w:t xml:space="preserve"> ongoing</w:t>
      </w:r>
      <w:r w:rsidR="00B16276" w:rsidRPr="00AE1050">
        <w:rPr>
          <w:rFonts w:asciiTheme="minorHAnsi" w:hAnsiTheme="minorHAnsi" w:cstheme="minorHAnsi"/>
          <w:sz w:val="24"/>
          <w:szCs w:val="24"/>
        </w:rPr>
        <w:t xml:space="preserve"> subsidy</w:t>
      </w:r>
      <w:r w:rsidR="001D14D2">
        <w:rPr>
          <w:rFonts w:asciiTheme="minorHAnsi" w:hAnsiTheme="minorHAnsi" w:cstheme="minorHAnsi"/>
          <w:sz w:val="24"/>
          <w:szCs w:val="24"/>
        </w:rPr>
        <w:t>.</w:t>
      </w:r>
      <w:r w:rsidR="003374D8" w:rsidRPr="00AE1050">
        <w:rPr>
          <w:rFonts w:asciiTheme="minorHAnsi" w:hAnsiTheme="minorHAnsi" w:cstheme="minorHAnsi"/>
          <w:sz w:val="24"/>
          <w:szCs w:val="24"/>
        </w:rPr>
        <w:t xml:space="preserve"> </w:t>
      </w:r>
      <w:r w:rsidR="00B16276" w:rsidRPr="00AE1050">
        <w:rPr>
          <w:rFonts w:asciiTheme="minorHAnsi" w:hAnsiTheme="minorHAnsi" w:cstheme="minorHAnsi"/>
          <w:sz w:val="24"/>
          <w:szCs w:val="24"/>
        </w:rPr>
        <w:t xml:space="preserve">  </w:t>
      </w:r>
    </w:p>
    <w:p w:rsidR="001157FE" w:rsidRPr="008D50F8" w:rsidRDefault="001157FE" w:rsidP="008D50F8">
      <w:pPr>
        <w:pStyle w:val="ListParagraph"/>
        <w:rPr>
          <w:rFonts w:asciiTheme="minorHAnsi" w:hAnsiTheme="minorHAnsi" w:cstheme="minorHAnsi"/>
          <w:sz w:val="24"/>
          <w:szCs w:val="24"/>
        </w:rPr>
      </w:pPr>
    </w:p>
    <w:p w:rsidR="001157FE" w:rsidRPr="00D10307" w:rsidRDefault="001157FE">
      <w:pPr>
        <w:pStyle w:val="ListParagraph"/>
        <w:numPr>
          <w:ilvl w:val="1"/>
          <w:numId w:val="14"/>
        </w:numPr>
        <w:rPr>
          <w:rFonts w:asciiTheme="minorHAnsi" w:hAnsiTheme="minorHAnsi" w:cstheme="minorHAnsi"/>
          <w:sz w:val="24"/>
          <w:szCs w:val="24"/>
        </w:rPr>
      </w:pPr>
      <w:r w:rsidRPr="00D10307">
        <w:rPr>
          <w:rFonts w:asciiTheme="minorHAnsi" w:hAnsiTheme="minorHAnsi" w:cstheme="minorHAnsi"/>
          <w:sz w:val="24"/>
          <w:szCs w:val="24"/>
        </w:rPr>
        <w:t>The PBAC noted that an arrangement of this type could potentially be used to provide access to medicines considered by the PBAC to meet a high and unmet need, while a</w:t>
      </w:r>
      <w:r w:rsidR="00D10307" w:rsidRPr="00D10307">
        <w:rPr>
          <w:rFonts w:asciiTheme="minorHAnsi" w:hAnsiTheme="minorHAnsi" w:cstheme="minorHAnsi"/>
          <w:sz w:val="24"/>
          <w:szCs w:val="24"/>
        </w:rPr>
        <w:t xml:space="preserve"> subsidy</w:t>
      </w:r>
      <w:r w:rsidRPr="00D10307">
        <w:rPr>
          <w:rFonts w:asciiTheme="minorHAnsi" w:hAnsiTheme="minorHAnsi" w:cstheme="minorHAnsi"/>
          <w:sz w:val="24"/>
          <w:szCs w:val="24"/>
        </w:rPr>
        <w:t xml:space="preserve"> application is being considered.  </w:t>
      </w:r>
    </w:p>
    <w:p w:rsidR="003006B0" w:rsidRPr="00AE1050" w:rsidRDefault="003006B0" w:rsidP="003006B0">
      <w:pPr>
        <w:pStyle w:val="ListParagraph"/>
        <w:rPr>
          <w:rFonts w:asciiTheme="minorHAnsi" w:hAnsiTheme="minorHAnsi" w:cstheme="minorHAnsi"/>
          <w:sz w:val="24"/>
          <w:szCs w:val="24"/>
        </w:rPr>
      </w:pPr>
    </w:p>
    <w:p w:rsidR="00E37E9A" w:rsidRPr="00AE1050" w:rsidRDefault="00E37E9A" w:rsidP="00E37E9A">
      <w:pPr>
        <w:pStyle w:val="ListParagraph"/>
        <w:numPr>
          <w:ilvl w:val="1"/>
          <w:numId w:val="14"/>
        </w:numPr>
        <w:rPr>
          <w:rFonts w:asciiTheme="minorHAnsi" w:hAnsiTheme="minorHAnsi" w:cstheme="minorHAnsi"/>
          <w:sz w:val="24"/>
          <w:szCs w:val="24"/>
        </w:rPr>
      </w:pPr>
      <w:r w:rsidRPr="00AE1050">
        <w:rPr>
          <w:rFonts w:asciiTheme="minorHAnsi" w:hAnsiTheme="minorHAnsi" w:cstheme="minorHAnsi"/>
          <w:sz w:val="24"/>
          <w:szCs w:val="24"/>
        </w:rPr>
        <w:t>The PBAC further noted that, although some other international bodies had made some modifications to their processes, most had not significantly adjusted their standard processes to facilitate subsidy of this class of medicines.</w:t>
      </w:r>
    </w:p>
    <w:p w:rsidR="003006B0" w:rsidRPr="00AE1050" w:rsidRDefault="003006B0" w:rsidP="00AE1050">
      <w:pPr>
        <w:pStyle w:val="ListParagraph"/>
        <w:rPr>
          <w:rFonts w:asciiTheme="minorHAnsi" w:hAnsiTheme="minorHAnsi" w:cstheme="minorHAnsi"/>
          <w:sz w:val="24"/>
          <w:szCs w:val="24"/>
        </w:rPr>
      </w:pPr>
    </w:p>
    <w:p w:rsidR="00E37E9A" w:rsidRPr="00AE1050" w:rsidRDefault="00E37E9A" w:rsidP="0085245F">
      <w:pPr>
        <w:pStyle w:val="ListParagraph"/>
        <w:numPr>
          <w:ilvl w:val="1"/>
          <w:numId w:val="14"/>
        </w:numPr>
        <w:spacing w:after="240"/>
        <w:contextualSpacing w:val="0"/>
        <w:rPr>
          <w:rFonts w:asciiTheme="minorHAnsi" w:hAnsiTheme="minorHAnsi" w:cstheme="minorHAnsi"/>
          <w:sz w:val="24"/>
          <w:szCs w:val="24"/>
        </w:rPr>
      </w:pPr>
      <w:r w:rsidRPr="00AE1050">
        <w:rPr>
          <w:rFonts w:asciiTheme="minorHAnsi" w:hAnsiTheme="minorHAnsi" w:cstheme="minorHAnsi"/>
          <w:sz w:val="24"/>
          <w:szCs w:val="24"/>
        </w:rPr>
        <w:t xml:space="preserve">The PBAC did not agree that the potential to reduce the workload for applicants and the Committee is, of itself, a sufficient reason to change process, particularly in the </w:t>
      </w:r>
      <w:r w:rsidRPr="00AE1050">
        <w:rPr>
          <w:rFonts w:asciiTheme="minorHAnsi" w:hAnsiTheme="minorHAnsi" w:cstheme="minorHAnsi"/>
          <w:sz w:val="24"/>
          <w:szCs w:val="24"/>
        </w:rPr>
        <w:lastRenderedPageBreak/>
        <w:t xml:space="preserve">context of a treatment which </w:t>
      </w:r>
      <w:r w:rsidR="003D0031">
        <w:rPr>
          <w:rFonts w:asciiTheme="minorHAnsi" w:hAnsiTheme="minorHAnsi" w:cstheme="minorHAnsi"/>
          <w:sz w:val="24"/>
          <w:szCs w:val="24"/>
        </w:rPr>
        <w:t xml:space="preserve">has </w:t>
      </w:r>
      <w:r w:rsidRPr="00AE1050">
        <w:rPr>
          <w:rFonts w:asciiTheme="minorHAnsi" w:hAnsiTheme="minorHAnsi" w:cstheme="minorHAnsi"/>
          <w:sz w:val="24"/>
          <w:szCs w:val="24"/>
        </w:rPr>
        <w:t>not been shown to be beneficial in all cancer types and which has the potential to cause harm.</w:t>
      </w:r>
    </w:p>
    <w:p w:rsidR="00A411EB" w:rsidRPr="00AE1050" w:rsidRDefault="00A411EB" w:rsidP="00A411EB">
      <w:pPr>
        <w:pStyle w:val="ListParagraph"/>
        <w:numPr>
          <w:ilvl w:val="1"/>
          <w:numId w:val="14"/>
        </w:numPr>
        <w:spacing w:after="240"/>
        <w:contextualSpacing w:val="0"/>
        <w:rPr>
          <w:rFonts w:asciiTheme="minorHAnsi" w:hAnsiTheme="minorHAnsi" w:cstheme="minorHAnsi"/>
          <w:sz w:val="24"/>
          <w:szCs w:val="24"/>
        </w:rPr>
      </w:pPr>
      <w:r w:rsidRPr="00AE1050">
        <w:rPr>
          <w:rFonts w:asciiTheme="minorHAnsi" w:hAnsiTheme="minorHAnsi" w:cstheme="minorHAnsi"/>
          <w:sz w:val="24"/>
          <w:szCs w:val="24"/>
        </w:rPr>
        <w:t>The PBAC noted that the parallel consideration of TGA applications and PBAC submissions had already led to overall reductions in the time between TGA approval and PBS listing. The PBAC acknowledged that the TGA priority and provisional approval pathways may provide additional opportunities to ensure timely access for consumers and reiterated its commitment to working with</w:t>
      </w:r>
      <w:r w:rsidR="003374D8" w:rsidRPr="00AE1050">
        <w:rPr>
          <w:rFonts w:asciiTheme="minorHAnsi" w:hAnsiTheme="minorHAnsi" w:cstheme="minorHAnsi"/>
          <w:sz w:val="24"/>
          <w:szCs w:val="24"/>
        </w:rPr>
        <w:t xml:space="preserve"> all stakeholders to ensure the opportunities afforded by</w:t>
      </w:r>
      <w:r w:rsidRPr="00AE1050">
        <w:rPr>
          <w:rFonts w:asciiTheme="minorHAnsi" w:hAnsiTheme="minorHAnsi" w:cstheme="minorHAnsi"/>
          <w:sz w:val="24"/>
          <w:szCs w:val="24"/>
        </w:rPr>
        <w:t xml:space="preserve"> these new</w:t>
      </w:r>
      <w:r w:rsidR="001D14D2">
        <w:rPr>
          <w:rFonts w:asciiTheme="minorHAnsi" w:hAnsiTheme="minorHAnsi" w:cstheme="minorHAnsi"/>
          <w:sz w:val="24"/>
          <w:szCs w:val="24"/>
        </w:rPr>
        <w:t xml:space="preserve"> regulatory</w:t>
      </w:r>
      <w:r w:rsidRPr="00AE1050">
        <w:rPr>
          <w:rFonts w:asciiTheme="minorHAnsi" w:hAnsiTheme="minorHAnsi" w:cstheme="minorHAnsi"/>
          <w:sz w:val="24"/>
          <w:szCs w:val="24"/>
        </w:rPr>
        <w:t xml:space="preserve"> processes</w:t>
      </w:r>
      <w:r w:rsidR="003374D8" w:rsidRPr="00AE1050">
        <w:rPr>
          <w:rFonts w:asciiTheme="minorHAnsi" w:hAnsiTheme="minorHAnsi" w:cstheme="minorHAnsi"/>
          <w:sz w:val="24"/>
          <w:szCs w:val="24"/>
        </w:rPr>
        <w:t xml:space="preserve"> are utilised</w:t>
      </w:r>
      <w:r w:rsidRPr="00AE1050">
        <w:rPr>
          <w:rFonts w:asciiTheme="minorHAnsi" w:hAnsiTheme="minorHAnsi" w:cstheme="minorHAnsi"/>
          <w:sz w:val="24"/>
          <w:szCs w:val="24"/>
        </w:rPr>
        <w:t xml:space="preserve">.  </w:t>
      </w:r>
    </w:p>
    <w:p w:rsidR="00A411EB" w:rsidRPr="00AE1050" w:rsidRDefault="001D14D2" w:rsidP="00A411EB">
      <w:pPr>
        <w:pStyle w:val="ListParagraph"/>
        <w:numPr>
          <w:ilvl w:val="1"/>
          <w:numId w:val="14"/>
        </w:numPr>
        <w:rPr>
          <w:rFonts w:asciiTheme="minorHAnsi" w:hAnsiTheme="minorHAnsi" w:cstheme="minorHAnsi"/>
          <w:sz w:val="24"/>
          <w:szCs w:val="24"/>
        </w:rPr>
      </w:pPr>
      <w:r>
        <w:rPr>
          <w:rFonts w:asciiTheme="minorHAnsi" w:hAnsiTheme="minorHAnsi" w:cstheme="minorHAnsi"/>
          <w:sz w:val="24"/>
          <w:szCs w:val="24"/>
        </w:rPr>
        <w:t>T</w:t>
      </w:r>
      <w:r w:rsidR="00A411EB" w:rsidRPr="00AE1050">
        <w:rPr>
          <w:rFonts w:asciiTheme="minorHAnsi" w:hAnsiTheme="minorHAnsi" w:cstheme="minorHAnsi"/>
          <w:sz w:val="24"/>
          <w:szCs w:val="24"/>
        </w:rPr>
        <w:t>he PBAC noted there are a number of</w:t>
      </w:r>
      <w:r w:rsidR="00EB4D03">
        <w:rPr>
          <w:rFonts w:asciiTheme="minorHAnsi" w:hAnsiTheme="minorHAnsi" w:cstheme="minorHAnsi"/>
          <w:sz w:val="24"/>
          <w:szCs w:val="24"/>
        </w:rPr>
        <w:t xml:space="preserve"> parallel</w:t>
      </w:r>
      <w:r w:rsidR="00A411EB" w:rsidRPr="00AE1050">
        <w:rPr>
          <w:rFonts w:asciiTheme="minorHAnsi" w:hAnsiTheme="minorHAnsi" w:cstheme="minorHAnsi"/>
          <w:sz w:val="24"/>
          <w:szCs w:val="24"/>
        </w:rPr>
        <w:t xml:space="preserve"> initiatives related to the Strategic Agreement with Medicines Australia that </w:t>
      </w:r>
      <w:r w:rsidR="003374D8" w:rsidRPr="00AE1050">
        <w:rPr>
          <w:rFonts w:asciiTheme="minorHAnsi" w:hAnsiTheme="minorHAnsi" w:cstheme="minorHAnsi"/>
          <w:sz w:val="24"/>
          <w:szCs w:val="24"/>
        </w:rPr>
        <w:t>a</w:t>
      </w:r>
      <w:r w:rsidR="00A411EB" w:rsidRPr="00AE1050">
        <w:rPr>
          <w:rFonts w:asciiTheme="minorHAnsi" w:hAnsiTheme="minorHAnsi" w:cstheme="minorHAnsi"/>
          <w:sz w:val="24"/>
          <w:szCs w:val="24"/>
        </w:rPr>
        <w:t>re seeking to improve the efficiency, transparency and timeliness of PBS listing processes</w:t>
      </w:r>
      <w:r w:rsidR="00675151" w:rsidRPr="00AE1050">
        <w:rPr>
          <w:rFonts w:asciiTheme="minorHAnsi" w:hAnsiTheme="minorHAnsi" w:cstheme="minorHAnsi"/>
          <w:sz w:val="24"/>
          <w:szCs w:val="24"/>
        </w:rPr>
        <w:t xml:space="preserve"> and</w:t>
      </w:r>
      <w:r w:rsidR="00A411EB" w:rsidRPr="00AE1050">
        <w:rPr>
          <w:rFonts w:asciiTheme="minorHAnsi" w:hAnsiTheme="minorHAnsi" w:cstheme="minorHAnsi"/>
          <w:sz w:val="24"/>
          <w:szCs w:val="24"/>
        </w:rPr>
        <w:t xml:space="preserve"> which should fu</w:t>
      </w:r>
      <w:r w:rsidR="003006B0" w:rsidRPr="00AE1050">
        <w:rPr>
          <w:rFonts w:asciiTheme="minorHAnsi" w:hAnsiTheme="minorHAnsi" w:cstheme="minorHAnsi"/>
          <w:sz w:val="24"/>
          <w:szCs w:val="24"/>
        </w:rPr>
        <w:t>r</w:t>
      </w:r>
      <w:r w:rsidR="00A411EB" w:rsidRPr="00AE1050">
        <w:rPr>
          <w:rFonts w:asciiTheme="minorHAnsi" w:hAnsiTheme="minorHAnsi" w:cstheme="minorHAnsi"/>
          <w:sz w:val="24"/>
          <w:szCs w:val="24"/>
        </w:rPr>
        <w:t>ther improve access</w:t>
      </w:r>
      <w:r w:rsidR="00D10307">
        <w:rPr>
          <w:rFonts w:asciiTheme="minorHAnsi" w:hAnsiTheme="minorHAnsi" w:cstheme="minorHAnsi"/>
          <w:sz w:val="24"/>
          <w:szCs w:val="24"/>
        </w:rPr>
        <w:t xml:space="preserve"> to new medicines and/or indications</w:t>
      </w:r>
      <w:r w:rsidR="00A411EB" w:rsidRPr="00AE1050">
        <w:rPr>
          <w:rFonts w:asciiTheme="minorHAnsi" w:hAnsiTheme="minorHAnsi" w:cstheme="minorHAnsi"/>
          <w:sz w:val="24"/>
          <w:szCs w:val="24"/>
        </w:rPr>
        <w:t>.</w:t>
      </w:r>
    </w:p>
    <w:p w:rsidR="003006B0" w:rsidRPr="00AE1050" w:rsidRDefault="003006B0" w:rsidP="00AE1050">
      <w:pPr>
        <w:pStyle w:val="ListParagraph"/>
        <w:rPr>
          <w:rFonts w:asciiTheme="minorHAnsi" w:hAnsiTheme="minorHAnsi" w:cstheme="minorHAnsi"/>
          <w:sz w:val="24"/>
          <w:szCs w:val="24"/>
        </w:rPr>
      </w:pPr>
    </w:p>
    <w:p w:rsidR="002B7395" w:rsidRDefault="002B7395" w:rsidP="002B7395">
      <w:pPr>
        <w:pStyle w:val="ListParagraph"/>
        <w:numPr>
          <w:ilvl w:val="1"/>
          <w:numId w:val="14"/>
        </w:numPr>
        <w:rPr>
          <w:rFonts w:asciiTheme="minorHAnsi" w:hAnsiTheme="minorHAnsi" w:cstheme="minorHAnsi"/>
          <w:sz w:val="24"/>
          <w:szCs w:val="24"/>
        </w:rPr>
      </w:pPr>
      <w:r>
        <w:rPr>
          <w:rFonts w:asciiTheme="minorHAnsi" w:hAnsiTheme="minorHAnsi" w:cstheme="minorHAnsi"/>
          <w:sz w:val="24"/>
          <w:szCs w:val="24"/>
        </w:rPr>
        <w:t>T</w:t>
      </w:r>
      <w:r w:rsidRPr="002E08DB">
        <w:rPr>
          <w:rFonts w:asciiTheme="minorHAnsi" w:hAnsiTheme="minorHAnsi" w:cstheme="minorHAnsi"/>
          <w:sz w:val="24"/>
          <w:szCs w:val="24"/>
        </w:rPr>
        <w:t>he PBAC considered that not all respondents were well informed about</w:t>
      </w:r>
      <w:r w:rsidR="003103A4">
        <w:rPr>
          <w:rFonts w:asciiTheme="minorHAnsi" w:hAnsiTheme="minorHAnsi" w:cstheme="minorHAnsi"/>
          <w:sz w:val="24"/>
          <w:szCs w:val="24"/>
        </w:rPr>
        <w:t xml:space="preserve"> Government</w:t>
      </w:r>
      <w:r w:rsidRPr="002E08DB">
        <w:rPr>
          <w:rFonts w:asciiTheme="minorHAnsi" w:hAnsiTheme="minorHAnsi" w:cstheme="minorHAnsi"/>
          <w:sz w:val="24"/>
          <w:szCs w:val="24"/>
        </w:rPr>
        <w:t xml:space="preserve"> registration and reimbursement processes for medicines and that</w:t>
      </w:r>
      <w:r>
        <w:rPr>
          <w:rFonts w:asciiTheme="minorHAnsi" w:hAnsiTheme="minorHAnsi" w:cstheme="minorHAnsi"/>
          <w:sz w:val="24"/>
          <w:szCs w:val="24"/>
        </w:rPr>
        <w:t xml:space="preserve"> ongoing </w:t>
      </w:r>
      <w:r w:rsidRPr="002E08DB">
        <w:rPr>
          <w:rFonts w:asciiTheme="minorHAnsi" w:hAnsiTheme="minorHAnsi" w:cstheme="minorHAnsi"/>
          <w:sz w:val="24"/>
          <w:szCs w:val="24"/>
        </w:rPr>
        <w:t>communication</w:t>
      </w:r>
      <w:r>
        <w:rPr>
          <w:rFonts w:asciiTheme="minorHAnsi" w:hAnsiTheme="minorHAnsi" w:cstheme="minorHAnsi"/>
          <w:sz w:val="24"/>
          <w:szCs w:val="24"/>
        </w:rPr>
        <w:t xml:space="preserve"> was required to</w:t>
      </w:r>
      <w:r w:rsidRPr="002E08DB">
        <w:rPr>
          <w:rFonts w:asciiTheme="minorHAnsi" w:hAnsiTheme="minorHAnsi" w:cstheme="minorHAnsi"/>
          <w:sz w:val="24"/>
          <w:szCs w:val="24"/>
        </w:rPr>
        <w:t xml:space="preserve"> </w:t>
      </w:r>
      <w:r w:rsidR="003103A4">
        <w:rPr>
          <w:rFonts w:asciiTheme="minorHAnsi" w:hAnsiTheme="minorHAnsi" w:cstheme="minorHAnsi"/>
          <w:sz w:val="24"/>
          <w:szCs w:val="24"/>
        </w:rPr>
        <w:t xml:space="preserve">provide </w:t>
      </w:r>
      <w:r w:rsidRPr="002E08DB">
        <w:rPr>
          <w:rFonts w:asciiTheme="minorHAnsi" w:hAnsiTheme="minorHAnsi" w:cstheme="minorHAnsi"/>
          <w:sz w:val="24"/>
          <w:szCs w:val="24"/>
        </w:rPr>
        <w:t>stakeholders</w:t>
      </w:r>
      <w:r w:rsidR="003103A4">
        <w:rPr>
          <w:rFonts w:asciiTheme="minorHAnsi" w:hAnsiTheme="minorHAnsi" w:cstheme="minorHAnsi"/>
          <w:sz w:val="24"/>
          <w:szCs w:val="24"/>
        </w:rPr>
        <w:t xml:space="preserve"> with accurate information</w:t>
      </w:r>
      <w:r>
        <w:rPr>
          <w:rFonts w:asciiTheme="minorHAnsi" w:hAnsiTheme="minorHAnsi" w:cstheme="minorHAnsi"/>
          <w:sz w:val="24"/>
          <w:szCs w:val="24"/>
        </w:rPr>
        <w:t xml:space="preserve">. </w:t>
      </w:r>
    </w:p>
    <w:p w:rsidR="002B7395" w:rsidRPr="00464B6E" w:rsidRDefault="002B7395" w:rsidP="002B7395">
      <w:pPr>
        <w:pStyle w:val="ListParagraph"/>
        <w:rPr>
          <w:rFonts w:asciiTheme="minorHAnsi" w:hAnsiTheme="minorHAnsi" w:cstheme="minorHAnsi"/>
          <w:sz w:val="24"/>
          <w:szCs w:val="24"/>
        </w:rPr>
      </w:pPr>
    </w:p>
    <w:p w:rsidR="00605E2D" w:rsidRPr="00FD1B15" w:rsidRDefault="002B7395" w:rsidP="00605E2D">
      <w:pPr>
        <w:pStyle w:val="ListParagraph"/>
        <w:numPr>
          <w:ilvl w:val="1"/>
          <w:numId w:val="14"/>
        </w:numPr>
        <w:rPr>
          <w:rFonts w:asciiTheme="minorHAnsi" w:hAnsiTheme="minorHAnsi" w:cstheme="minorHAnsi"/>
        </w:rPr>
      </w:pPr>
      <w:r w:rsidRPr="00605E2D">
        <w:rPr>
          <w:rFonts w:asciiTheme="minorHAnsi" w:hAnsiTheme="minorHAnsi" w:cstheme="minorHAnsi"/>
          <w:sz w:val="24"/>
          <w:szCs w:val="24"/>
        </w:rPr>
        <w:t xml:space="preserve">The PBAC also considered that </w:t>
      </w:r>
      <w:r w:rsidR="00EB4D03" w:rsidRPr="00605E2D">
        <w:rPr>
          <w:rFonts w:asciiTheme="minorHAnsi" w:hAnsiTheme="minorHAnsi" w:cstheme="minorHAnsi"/>
          <w:sz w:val="24"/>
          <w:szCs w:val="24"/>
        </w:rPr>
        <w:t xml:space="preserve">greater </w:t>
      </w:r>
      <w:r w:rsidRPr="00605E2D">
        <w:rPr>
          <w:rFonts w:asciiTheme="minorHAnsi" w:hAnsiTheme="minorHAnsi" w:cstheme="minorHAnsi"/>
          <w:sz w:val="24"/>
          <w:szCs w:val="24"/>
        </w:rPr>
        <w:t>transparency around conditions of reimbursement, including price</w:t>
      </w:r>
      <w:r w:rsidR="009E2E4F" w:rsidRPr="00605E2D">
        <w:rPr>
          <w:rFonts w:asciiTheme="minorHAnsi" w:hAnsiTheme="minorHAnsi" w:cstheme="minorHAnsi"/>
          <w:sz w:val="24"/>
          <w:szCs w:val="24"/>
        </w:rPr>
        <w:t xml:space="preserve"> negotiation</w:t>
      </w:r>
      <w:r w:rsidR="00A60D6F" w:rsidRPr="00605E2D">
        <w:rPr>
          <w:rFonts w:asciiTheme="minorHAnsi" w:hAnsiTheme="minorHAnsi" w:cstheme="minorHAnsi"/>
          <w:sz w:val="24"/>
          <w:szCs w:val="24"/>
        </w:rPr>
        <w:t xml:space="preserve"> i</w:t>
      </w:r>
      <w:r w:rsidR="009E2E4F" w:rsidRPr="00605E2D">
        <w:rPr>
          <w:rFonts w:asciiTheme="minorHAnsi" w:hAnsiTheme="minorHAnsi" w:cstheme="minorHAnsi"/>
          <w:sz w:val="24"/>
          <w:szCs w:val="24"/>
        </w:rPr>
        <w:t>s</w:t>
      </w:r>
      <w:r w:rsidR="00A60D6F" w:rsidRPr="00605E2D">
        <w:rPr>
          <w:rFonts w:asciiTheme="minorHAnsi" w:hAnsiTheme="minorHAnsi" w:cstheme="minorHAnsi"/>
          <w:sz w:val="24"/>
          <w:szCs w:val="24"/>
        </w:rPr>
        <w:t>sues</w:t>
      </w:r>
      <w:r w:rsidR="009E2E4F" w:rsidRPr="00605E2D">
        <w:rPr>
          <w:rFonts w:asciiTheme="minorHAnsi" w:hAnsiTheme="minorHAnsi" w:cstheme="minorHAnsi"/>
          <w:sz w:val="24"/>
          <w:szCs w:val="24"/>
        </w:rPr>
        <w:t xml:space="preserve"> and pricing agreements</w:t>
      </w:r>
      <w:r w:rsidRPr="00605E2D">
        <w:rPr>
          <w:rFonts w:asciiTheme="minorHAnsi" w:hAnsiTheme="minorHAnsi" w:cstheme="minorHAnsi"/>
          <w:sz w:val="24"/>
          <w:szCs w:val="24"/>
        </w:rPr>
        <w:t xml:space="preserve">, may also assist in managing the perception of delays to access. </w:t>
      </w:r>
      <w:r w:rsidR="00581878">
        <w:rPr>
          <w:rFonts w:asciiTheme="minorHAnsi" w:hAnsiTheme="minorHAnsi" w:cstheme="minorHAnsi"/>
          <w:sz w:val="24"/>
          <w:szCs w:val="24"/>
        </w:rPr>
        <w:t xml:space="preserve">The </w:t>
      </w:r>
      <w:r w:rsidRPr="00605E2D">
        <w:rPr>
          <w:rFonts w:asciiTheme="minorHAnsi" w:hAnsiTheme="minorHAnsi" w:cstheme="minorHAnsi"/>
          <w:sz w:val="24"/>
          <w:szCs w:val="24"/>
        </w:rPr>
        <w:t>PBAC noted that with the agreement and cooperation of sponsors it would be possible to greatly increase transparency for consumers and the public more generally.</w:t>
      </w:r>
    </w:p>
    <w:p w:rsidR="006E26FB" w:rsidRPr="00EA042D" w:rsidRDefault="006E26FB" w:rsidP="00FD1B15">
      <w:pPr>
        <w:pStyle w:val="Heading5"/>
      </w:pPr>
      <w:r w:rsidRPr="00EA042D">
        <w:t xml:space="preserve">Access to </w:t>
      </w:r>
      <w:r w:rsidR="006C361A" w:rsidRPr="006C361A">
        <w:rPr>
          <w:szCs w:val="24"/>
        </w:rPr>
        <w:t>PD-(L</w:t>
      </w:r>
      <w:proofErr w:type="gramStart"/>
      <w:r w:rsidR="006C361A" w:rsidRPr="006C361A">
        <w:rPr>
          <w:szCs w:val="24"/>
        </w:rPr>
        <w:t>)1</w:t>
      </w:r>
      <w:proofErr w:type="gramEnd"/>
      <w:r w:rsidR="006C361A" w:rsidRPr="006C361A">
        <w:rPr>
          <w:szCs w:val="24"/>
        </w:rPr>
        <w:t xml:space="preserve"> </w:t>
      </w:r>
      <w:r w:rsidR="00D65EC4" w:rsidRPr="00EA042D">
        <w:t xml:space="preserve">checkpoint inhibitors </w:t>
      </w:r>
      <w:r w:rsidRPr="00EA042D">
        <w:t xml:space="preserve">for </w:t>
      </w:r>
      <w:r w:rsidR="009D467F" w:rsidRPr="00EA042D">
        <w:t>diseases</w:t>
      </w:r>
      <w:r w:rsidRPr="00EA042D">
        <w:t xml:space="preserve"> with limited clinical evidence (including rare cancers)</w:t>
      </w:r>
    </w:p>
    <w:p w:rsidR="00A912AF" w:rsidRPr="00EA042D" w:rsidRDefault="00A912AF" w:rsidP="00AE1050">
      <w:pPr>
        <w:rPr>
          <w:rFonts w:asciiTheme="minorHAnsi" w:hAnsiTheme="minorHAnsi" w:cstheme="minorHAnsi"/>
          <w:sz w:val="28"/>
          <w:szCs w:val="28"/>
          <w:lang w:eastAsia="en-US"/>
        </w:rPr>
      </w:pPr>
    </w:p>
    <w:p w:rsidR="006E26FB" w:rsidRPr="00AE1050" w:rsidRDefault="006E26FB" w:rsidP="006E26FB">
      <w:pPr>
        <w:pStyle w:val="ListParagraph"/>
        <w:numPr>
          <w:ilvl w:val="1"/>
          <w:numId w:val="14"/>
        </w:numPr>
        <w:spacing w:after="240"/>
        <w:contextualSpacing w:val="0"/>
        <w:rPr>
          <w:rFonts w:asciiTheme="minorHAnsi" w:hAnsiTheme="minorHAnsi" w:cstheme="minorHAnsi"/>
          <w:sz w:val="24"/>
          <w:szCs w:val="24"/>
        </w:rPr>
      </w:pPr>
      <w:r w:rsidRPr="00AE1050">
        <w:rPr>
          <w:rFonts w:asciiTheme="minorHAnsi" w:hAnsiTheme="minorHAnsi" w:cstheme="minorHAnsi"/>
          <w:sz w:val="24"/>
          <w:szCs w:val="24"/>
        </w:rPr>
        <w:t xml:space="preserve">The PBAC acknowledged </w:t>
      </w:r>
      <w:r w:rsidR="00675151" w:rsidRPr="00AE1050">
        <w:rPr>
          <w:rFonts w:asciiTheme="minorHAnsi" w:hAnsiTheme="minorHAnsi" w:cstheme="minorHAnsi"/>
          <w:sz w:val="24"/>
          <w:szCs w:val="24"/>
        </w:rPr>
        <w:t xml:space="preserve">respondent </w:t>
      </w:r>
      <w:r w:rsidRPr="00AE1050">
        <w:rPr>
          <w:rFonts w:asciiTheme="minorHAnsi" w:hAnsiTheme="minorHAnsi" w:cstheme="minorHAnsi"/>
          <w:sz w:val="24"/>
          <w:szCs w:val="24"/>
        </w:rPr>
        <w:t xml:space="preserve">concerns around equity of access for </w:t>
      </w:r>
      <w:r w:rsidR="009D467F" w:rsidRPr="00AE1050">
        <w:rPr>
          <w:rFonts w:asciiTheme="minorHAnsi" w:hAnsiTheme="minorHAnsi" w:cstheme="minorHAnsi"/>
          <w:sz w:val="24"/>
          <w:szCs w:val="24"/>
        </w:rPr>
        <w:t>diseases</w:t>
      </w:r>
      <w:r w:rsidRPr="00AE1050">
        <w:rPr>
          <w:rFonts w:asciiTheme="minorHAnsi" w:hAnsiTheme="minorHAnsi" w:cstheme="minorHAnsi"/>
          <w:sz w:val="24"/>
          <w:szCs w:val="24"/>
        </w:rPr>
        <w:t xml:space="preserve"> where the evidence </w:t>
      </w:r>
      <w:r w:rsidR="00675151" w:rsidRPr="00AE1050">
        <w:rPr>
          <w:rFonts w:asciiTheme="minorHAnsi" w:hAnsiTheme="minorHAnsi" w:cstheme="minorHAnsi"/>
          <w:sz w:val="24"/>
          <w:szCs w:val="24"/>
        </w:rPr>
        <w:t xml:space="preserve">is </w:t>
      </w:r>
      <w:r w:rsidRPr="00AE1050">
        <w:rPr>
          <w:rFonts w:asciiTheme="minorHAnsi" w:hAnsiTheme="minorHAnsi" w:cstheme="minorHAnsi"/>
          <w:sz w:val="24"/>
          <w:szCs w:val="24"/>
        </w:rPr>
        <w:t xml:space="preserve">limited, and </w:t>
      </w:r>
      <w:r w:rsidR="00EB4D03">
        <w:rPr>
          <w:rFonts w:asciiTheme="minorHAnsi" w:hAnsiTheme="minorHAnsi" w:cstheme="minorHAnsi"/>
          <w:sz w:val="24"/>
          <w:szCs w:val="24"/>
        </w:rPr>
        <w:t xml:space="preserve">some </w:t>
      </w:r>
      <w:r w:rsidRPr="00AE1050">
        <w:rPr>
          <w:rFonts w:asciiTheme="minorHAnsi" w:hAnsiTheme="minorHAnsi" w:cstheme="minorHAnsi"/>
          <w:sz w:val="24"/>
          <w:szCs w:val="24"/>
        </w:rPr>
        <w:t>views that the current PB</w:t>
      </w:r>
      <w:r w:rsidR="00675151" w:rsidRPr="00AE1050">
        <w:rPr>
          <w:rFonts w:asciiTheme="minorHAnsi" w:hAnsiTheme="minorHAnsi" w:cstheme="minorHAnsi"/>
          <w:sz w:val="24"/>
          <w:szCs w:val="24"/>
        </w:rPr>
        <w:t>AC</w:t>
      </w:r>
      <w:r w:rsidRPr="00AE1050">
        <w:rPr>
          <w:rFonts w:asciiTheme="minorHAnsi" w:hAnsiTheme="minorHAnsi" w:cstheme="minorHAnsi"/>
          <w:sz w:val="24"/>
          <w:szCs w:val="24"/>
        </w:rPr>
        <w:t xml:space="preserve"> process d</w:t>
      </w:r>
      <w:r w:rsidR="00675151" w:rsidRPr="00AE1050">
        <w:rPr>
          <w:rFonts w:asciiTheme="minorHAnsi" w:hAnsiTheme="minorHAnsi" w:cstheme="minorHAnsi"/>
          <w:sz w:val="24"/>
          <w:szCs w:val="24"/>
        </w:rPr>
        <w:t>oes</w:t>
      </w:r>
      <w:r w:rsidRPr="00AE1050">
        <w:rPr>
          <w:rFonts w:asciiTheme="minorHAnsi" w:hAnsiTheme="minorHAnsi" w:cstheme="minorHAnsi"/>
          <w:sz w:val="24"/>
          <w:szCs w:val="24"/>
        </w:rPr>
        <w:t xml:space="preserve"> not work for these conditions. </w:t>
      </w:r>
    </w:p>
    <w:p w:rsidR="00675151" w:rsidRPr="00AE1050" w:rsidRDefault="006E26FB" w:rsidP="006E26FB">
      <w:pPr>
        <w:pStyle w:val="ListParagraph"/>
        <w:numPr>
          <w:ilvl w:val="1"/>
          <w:numId w:val="14"/>
        </w:numPr>
        <w:spacing w:after="240"/>
        <w:contextualSpacing w:val="0"/>
        <w:rPr>
          <w:rFonts w:asciiTheme="minorHAnsi" w:hAnsiTheme="minorHAnsi" w:cstheme="minorHAnsi"/>
          <w:sz w:val="24"/>
          <w:szCs w:val="24"/>
        </w:rPr>
      </w:pPr>
      <w:r w:rsidRPr="00AE1050">
        <w:rPr>
          <w:rFonts w:asciiTheme="minorHAnsi" w:hAnsiTheme="minorHAnsi" w:cstheme="minorHAnsi"/>
          <w:sz w:val="24"/>
          <w:szCs w:val="24"/>
        </w:rPr>
        <w:t>The PBAC noted that it had recommended medicines for PBS listing based on a range of trial and evidence types, and</w:t>
      </w:r>
      <w:r w:rsidR="00EB4D03">
        <w:rPr>
          <w:rFonts w:asciiTheme="minorHAnsi" w:hAnsiTheme="minorHAnsi" w:cstheme="minorHAnsi"/>
          <w:sz w:val="24"/>
          <w:szCs w:val="24"/>
        </w:rPr>
        <w:t>,</w:t>
      </w:r>
      <w:r w:rsidRPr="00AE1050">
        <w:rPr>
          <w:rFonts w:asciiTheme="minorHAnsi" w:hAnsiTheme="minorHAnsi" w:cstheme="minorHAnsi"/>
          <w:sz w:val="24"/>
          <w:szCs w:val="24"/>
        </w:rPr>
        <w:t xml:space="preserve"> although there is a preference for, there is not a requirement for, </w:t>
      </w:r>
      <w:r w:rsidR="00675151" w:rsidRPr="00AE1050">
        <w:rPr>
          <w:rFonts w:asciiTheme="minorHAnsi" w:hAnsiTheme="minorHAnsi" w:cstheme="minorHAnsi"/>
          <w:sz w:val="24"/>
          <w:szCs w:val="24"/>
        </w:rPr>
        <w:t>P</w:t>
      </w:r>
      <w:r w:rsidRPr="00AE1050">
        <w:rPr>
          <w:rFonts w:asciiTheme="minorHAnsi" w:hAnsiTheme="minorHAnsi" w:cstheme="minorHAnsi"/>
          <w:sz w:val="24"/>
          <w:szCs w:val="24"/>
        </w:rPr>
        <w:t>hase III randomised controlled trial</w:t>
      </w:r>
      <w:r w:rsidR="00675151" w:rsidRPr="00AE1050">
        <w:rPr>
          <w:rFonts w:asciiTheme="minorHAnsi" w:hAnsiTheme="minorHAnsi" w:cstheme="minorHAnsi"/>
          <w:sz w:val="24"/>
          <w:szCs w:val="24"/>
        </w:rPr>
        <w:t xml:space="preserve"> evidence to support applications </w:t>
      </w:r>
      <w:r w:rsidRPr="00AE1050">
        <w:rPr>
          <w:rFonts w:asciiTheme="minorHAnsi" w:hAnsiTheme="minorHAnsi" w:cstheme="minorHAnsi"/>
          <w:sz w:val="24"/>
          <w:szCs w:val="24"/>
        </w:rPr>
        <w:t>for PBS listing of medicines.</w:t>
      </w:r>
      <w:r w:rsidR="00EB4D03">
        <w:rPr>
          <w:rFonts w:asciiTheme="minorHAnsi" w:hAnsiTheme="minorHAnsi" w:cstheme="minorHAnsi"/>
          <w:sz w:val="24"/>
          <w:szCs w:val="24"/>
        </w:rPr>
        <w:t xml:space="preserve"> </w:t>
      </w:r>
      <w:r w:rsidR="002B7395">
        <w:rPr>
          <w:rFonts w:asciiTheme="minorHAnsi" w:hAnsiTheme="minorHAnsi" w:cstheme="minorHAnsi"/>
          <w:sz w:val="24"/>
          <w:szCs w:val="24"/>
        </w:rPr>
        <w:t>The preference for Phase III studies is because they have greater reliability than other types of studies.</w:t>
      </w:r>
    </w:p>
    <w:p w:rsidR="006E26FB" w:rsidRPr="00AE1050" w:rsidRDefault="00675151" w:rsidP="006E26FB">
      <w:pPr>
        <w:pStyle w:val="ListParagraph"/>
        <w:numPr>
          <w:ilvl w:val="1"/>
          <w:numId w:val="14"/>
        </w:numPr>
        <w:spacing w:after="240"/>
        <w:contextualSpacing w:val="0"/>
        <w:rPr>
          <w:rFonts w:asciiTheme="minorHAnsi" w:hAnsiTheme="minorHAnsi" w:cstheme="minorHAnsi"/>
          <w:sz w:val="24"/>
          <w:szCs w:val="24"/>
        </w:rPr>
      </w:pPr>
      <w:r w:rsidRPr="00AE1050">
        <w:rPr>
          <w:rFonts w:asciiTheme="minorHAnsi" w:hAnsiTheme="minorHAnsi" w:cstheme="minorHAnsi"/>
          <w:sz w:val="24"/>
          <w:szCs w:val="24"/>
        </w:rPr>
        <w:t xml:space="preserve">The PBAC noted it has recommended </w:t>
      </w:r>
      <w:r w:rsidR="006C361A" w:rsidRPr="00AE1050">
        <w:rPr>
          <w:rFonts w:asciiTheme="minorHAnsi" w:hAnsiTheme="minorHAnsi" w:cstheme="minorHAnsi"/>
          <w:sz w:val="24"/>
          <w:szCs w:val="24"/>
        </w:rPr>
        <w:t>PD</w:t>
      </w:r>
      <w:r w:rsidR="006C361A">
        <w:rPr>
          <w:rFonts w:asciiTheme="minorHAnsi" w:hAnsiTheme="minorHAnsi" w:cstheme="minorHAnsi"/>
          <w:sz w:val="24"/>
          <w:szCs w:val="24"/>
        </w:rPr>
        <w:t>-</w:t>
      </w:r>
      <w:r w:rsidR="006C361A" w:rsidRPr="00AE1050">
        <w:rPr>
          <w:rFonts w:asciiTheme="minorHAnsi" w:hAnsiTheme="minorHAnsi" w:cstheme="minorHAnsi"/>
          <w:sz w:val="24"/>
          <w:szCs w:val="24"/>
        </w:rPr>
        <w:t>(L</w:t>
      </w:r>
      <w:proofErr w:type="gramStart"/>
      <w:r w:rsidR="006C361A" w:rsidRPr="00AE1050">
        <w:rPr>
          <w:rFonts w:asciiTheme="minorHAnsi" w:hAnsiTheme="minorHAnsi" w:cstheme="minorHAnsi"/>
          <w:sz w:val="24"/>
          <w:szCs w:val="24"/>
        </w:rPr>
        <w:t>)1</w:t>
      </w:r>
      <w:proofErr w:type="gramEnd"/>
      <w:r w:rsidR="006C361A">
        <w:rPr>
          <w:rFonts w:asciiTheme="minorHAnsi" w:hAnsiTheme="minorHAnsi" w:cstheme="minorHAnsi"/>
          <w:sz w:val="24"/>
          <w:szCs w:val="24"/>
        </w:rPr>
        <w:t xml:space="preserve"> </w:t>
      </w:r>
      <w:r w:rsidRPr="00AE1050">
        <w:rPr>
          <w:rFonts w:asciiTheme="minorHAnsi" w:hAnsiTheme="minorHAnsi" w:cstheme="minorHAnsi"/>
          <w:sz w:val="24"/>
          <w:szCs w:val="24"/>
        </w:rPr>
        <w:t>checkpoint inhibitors for three rare cancers</w:t>
      </w:r>
      <w:r w:rsidR="001D14D2">
        <w:rPr>
          <w:rFonts w:asciiTheme="minorHAnsi" w:hAnsiTheme="minorHAnsi" w:cstheme="minorHAnsi"/>
          <w:sz w:val="24"/>
          <w:szCs w:val="24"/>
        </w:rPr>
        <w:t>;</w:t>
      </w:r>
      <w:r w:rsidRPr="00AE1050">
        <w:rPr>
          <w:rFonts w:asciiTheme="minorHAnsi" w:hAnsiTheme="minorHAnsi" w:cstheme="minorHAnsi"/>
          <w:sz w:val="24"/>
          <w:szCs w:val="24"/>
        </w:rPr>
        <w:t xml:space="preserve"> Merkel cell carcinoma, squamous cell carcinoma of the head and neck and classical Hodgkin lymphoma and confirmed it would continue to review clinical evidence with appropriate consideration of unmet medical need.  </w:t>
      </w:r>
    </w:p>
    <w:p w:rsidR="001A2196" w:rsidRPr="00AE1050" w:rsidRDefault="001A2196" w:rsidP="001A2196">
      <w:pPr>
        <w:pStyle w:val="ListParagraph"/>
        <w:numPr>
          <w:ilvl w:val="1"/>
          <w:numId w:val="14"/>
        </w:numPr>
        <w:spacing w:after="240"/>
        <w:contextualSpacing w:val="0"/>
        <w:rPr>
          <w:rFonts w:asciiTheme="minorHAnsi" w:hAnsiTheme="minorHAnsi" w:cstheme="minorHAnsi"/>
          <w:sz w:val="24"/>
          <w:szCs w:val="24"/>
        </w:rPr>
      </w:pPr>
      <w:r w:rsidRPr="00AE1050">
        <w:rPr>
          <w:rFonts w:asciiTheme="minorHAnsi" w:hAnsiTheme="minorHAnsi" w:cstheme="minorHAnsi"/>
          <w:sz w:val="24"/>
          <w:szCs w:val="24"/>
        </w:rPr>
        <w:lastRenderedPageBreak/>
        <w:t>The PBAC considered that</w:t>
      </w:r>
      <w:r w:rsidR="00675151" w:rsidRPr="00AE1050">
        <w:rPr>
          <w:rFonts w:asciiTheme="minorHAnsi" w:hAnsiTheme="minorHAnsi" w:cstheme="minorHAnsi"/>
          <w:sz w:val="24"/>
          <w:szCs w:val="24"/>
        </w:rPr>
        <w:t xml:space="preserve"> </w:t>
      </w:r>
      <w:r w:rsidR="001D14D2">
        <w:rPr>
          <w:rFonts w:asciiTheme="minorHAnsi" w:hAnsiTheme="minorHAnsi" w:cstheme="minorHAnsi"/>
          <w:sz w:val="24"/>
          <w:szCs w:val="24"/>
        </w:rPr>
        <w:t xml:space="preserve">the </w:t>
      </w:r>
      <w:r w:rsidRPr="00AE1050">
        <w:rPr>
          <w:rFonts w:asciiTheme="minorHAnsi" w:hAnsiTheme="minorHAnsi" w:cstheme="minorHAnsi"/>
          <w:sz w:val="24"/>
          <w:szCs w:val="24"/>
        </w:rPr>
        <w:t>majorit</w:t>
      </w:r>
      <w:r w:rsidR="00675151" w:rsidRPr="00AE1050">
        <w:rPr>
          <w:rFonts w:asciiTheme="minorHAnsi" w:hAnsiTheme="minorHAnsi" w:cstheme="minorHAnsi"/>
          <w:sz w:val="24"/>
          <w:szCs w:val="24"/>
        </w:rPr>
        <w:t xml:space="preserve">y </w:t>
      </w:r>
      <w:r w:rsidR="00D65EC4" w:rsidRPr="00AE1050">
        <w:rPr>
          <w:rFonts w:asciiTheme="minorHAnsi" w:hAnsiTheme="minorHAnsi" w:cstheme="minorHAnsi"/>
          <w:sz w:val="24"/>
          <w:szCs w:val="24"/>
        </w:rPr>
        <w:t>of</w:t>
      </w:r>
      <w:r w:rsidR="001D14D2">
        <w:rPr>
          <w:rFonts w:asciiTheme="minorHAnsi" w:hAnsiTheme="minorHAnsi" w:cstheme="minorHAnsi"/>
          <w:sz w:val="24"/>
          <w:szCs w:val="24"/>
        </w:rPr>
        <w:t xml:space="preserve"> </w:t>
      </w:r>
      <w:r w:rsidR="00D10307">
        <w:rPr>
          <w:rFonts w:asciiTheme="minorHAnsi" w:hAnsiTheme="minorHAnsi" w:cstheme="minorHAnsi"/>
          <w:sz w:val="24"/>
          <w:szCs w:val="24"/>
        </w:rPr>
        <w:t>cases</w:t>
      </w:r>
      <w:r w:rsidR="001D14D2">
        <w:rPr>
          <w:rFonts w:asciiTheme="minorHAnsi" w:hAnsiTheme="minorHAnsi" w:cstheme="minorHAnsi"/>
          <w:sz w:val="24"/>
          <w:szCs w:val="24"/>
        </w:rPr>
        <w:t xml:space="preserve"> </w:t>
      </w:r>
      <w:r w:rsidR="00D10307">
        <w:rPr>
          <w:rFonts w:asciiTheme="minorHAnsi" w:hAnsiTheme="minorHAnsi" w:cstheme="minorHAnsi"/>
          <w:sz w:val="24"/>
          <w:szCs w:val="24"/>
        </w:rPr>
        <w:t>with</w:t>
      </w:r>
      <w:r w:rsidR="00EA042D">
        <w:rPr>
          <w:rFonts w:asciiTheme="minorHAnsi" w:hAnsiTheme="minorHAnsi" w:cstheme="minorHAnsi"/>
          <w:sz w:val="24"/>
          <w:szCs w:val="24"/>
        </w:rPr>
        <w:t xml:space="preserve"> no</w:t>
      </w:r>
      <w:r w:rsidR="00D65EC4" w:rsidRPr="00AE1050">
        <w:rPr>
          <w:rFonts w:asciiTheme="minorHAnsi" w:hAnsiTheme="minorHAnsi" w:cstheme="minorHAnsi"/>
          <w:sz w:val="24"/>
          <w:szCs w:val="24"/>
        </w:rPr>
        <w:t xml:space="preserve"> </w:t>
      </w:r>
      <w:r w:rsidRPr="00AE1050">
        <w:rPr>
          <w:rFonts w:asciiTheme="minorHAnsi" w:hAnsiTheme="minorHAnsi" w:cstheme="minorHAnsi"/>
          <w:sz w:val="24"/>
          <w:szCs w:val="24"/>
        </w:rPr>
        <w:t>access</w:t>
      </w:r>
      <w:r w:rsidR="00675151" w:rsidRPr="00AE1050">
        <w:rPr>
          <w:rFonts w:asciiTheme="minorHAnsi" w:hAnsiTheme="minorHAnsi" w:cstheme="minorHAnsi"/>
          <w:sz w:val="24"/>
          <w:szCs w:val="24"/>
        </w:rPr>
        <w:t xml:space="preserve"> to PBS subsidised treatment</w:t>
      </w:r>
      <w:r w:rsidR="00EA042D">
        <w:rPr>
          <w:rFonts w:asciiTheme="minorHAnsi" w:hAnsiTheme="minorHAnsi" w:cstheme="minorHAnsi"/>
          <w:sz w:val="24"/>
          <w:szCs w:val="24"/>
        </w:rPr>
        <w:t xml:space="preserve"> in the longer term</w:t>
      </w:r>
      <w:r w:rsidR="00675151" w:rsidRPr="00AE1050">
        <w:rPr>
          <w:rFonts w:asciiTheme="minorHAnsi" w:hAnsiTheme="minorHAnsi" w:cstheme="minorHAnsi"/>
          <w:sz w:val="24"/>
          <w:szCs w:val="24"/>
        </w:rPr>
        <w:t xml:space="preserve"> </w:t>
      </w:r>
      <w:r w:rsidR="00EA042D">
        <w:rPr>
          <w:rFonts w:asciiTheme="minorHAnsi" w:hAnsiTheme="minorHAnsi" w:cstheme="minorHAnsi"/>
          <w:sz w:val="24"/>
          <w:szCs w:val="24"/>
        </w:rPr>
        <w:t>are</w:t>
      </w:r>
      <w:r w:rsidR="001D14D2">
        <w:rPr>
          <w:rFonts w:asciiTheme="minorHAnsi" w:hAnsiTheme="minorHAnsi" w:cstheme="minorHAnsi"/>
          <w:sz w:val="24"/>
          <w:szCs w:val="24"/>
        </w:rPr>
        <w:t xml:space="preserve"> for</w:t>
      </w:r>
      <w:r w:rsidRPr="00AE1050">
        <w:rPr>
          <w:rFonts w:asciiTheme="minorHAnsi" w:hAnsiTheme="minorHAnsi" w:cstheme="minorHAnsi"/>
          <w:sz w:val="24"/>
          <w:szCs w:val="24"/>
        </w:rPr>
        <w:t xml:space="preserve"> medicine</w:t>
      </w:r>
      <w:r w:rsidR="00675151" w:rsidRPr="00AE1050">
        <w:rPr>
          <w:rFonts w:asciiTheme="minorHAnsi" w:hAnsiTheme="minorHAnsi" w:cstheme="minorHAnsi"/>
          <w:sz w:val="24"/>
          <w:szCs w:val="24"/>
        </w:rPr>
        <w:t>-indication pairs</w:t>
      </w:r>
      <w:r w:rsidRPr="00AE1050">
        <w:rPr>
          <w:rFonts w:asciiTheme="minorHAnsi" w:hAnsiTheme="minorHAnsi" w:cstheme="minorHAnsi"/>
          <w:sz w:val="24"/>
          <w:szCs w:val="24"/>
        </w:rPr>
        <w:t xml:space="preserve"> that </w:t>
      </w:r>
      <w:r w:rsidR="00675151" w:rsidRPr="00AE1050">
        <w:rPr>
          <w:rFonts w:asciiTheme="minorHAnsi" w:hAnsiTheme="minorHAnsi" w:cstheme="minorHAnsi"/>
          <w:sz w:val="24"/>
          <w:szCs w:val="24"/>
        </w:rPr>
        <w:t>a</w:t>
      </w:r>
      <w:r w:rsidRPr="00AE1050">
        <w:rPr>
          <w:rFonts w:asciiTheme="minorHAnsi" w:hAnsiTheme="minorHAnsi" w:cstheme="minorHAnsi"/>
          <w:sz w:val="24"/>
          <w:szCs w:val="24"/>
        </w:rPr>
        <w:t>re not TGA registered</w:t>
      </w:r>
      <w:r w:rsidR="00D10307">
        <w:rPr>
          <w:rFonts w:asciiTheme="minorHAnsi" w:hAnsiTheme="minorHAnsi" w:cstheme="minorHAnsi"/>
          <w:sz w:val="24"/>
          <w:szCs w:val="24"/>
        </w:rPr>
        <w:t xml:space="preserve">. The PBAC </w:t>
      </w:r>
      <w:r w:rsidR="00D65EC4" w:rsidRPr="00AE1050">
        <w:rPr>
          <w:rFonts w:asciiTheme="minorHAnsi" w:hAnsiTheme="minorHAnsi" w:cstheme="minorHAnsi"/>
          <w:sz w:val="24"/>
          <w:szCs w:val="24"/>
        </w:rPr>
        <w:t>noted many</w:t>
      </w:r>
      <w:r w:rsidRPr="00AE1050">
        <w:rPr>
          <w:rFonts w:asciiTheme="minorHAnsi" w:hAnsiTheme="minorHAnsi" w:cstheme="minorHAnsi"/>
          <w:sz w:val="24"/>
          <w:szCs w:val="24"/>
        </w:rPr>
        <w:t xml:space="preserve"> cancers </w:t>
      </w:r>
      <w:r w:rsidR="00D65EC4" w:rsidRPr="00AE1050">
        <w:rPr>
          <w:rFonts w:asciiTheme="minorHAnsi" w:hAnsiTheme="minorHAnsi" w:cstheme="minorHAnsi"/>
          <w:sz w:val="24"/>
          <w:szCs w:val="24"/>
        </w:rPr>
        <w:t>for which there is</w:t>
      </w:r>
      <w:r w:rsidRPr="00AE1050">
        <w:rPr>
          <w:rFonts w:asciiTheme="minorHAnsi" w:hAnsiTheme="minorHAnsi" w:cstheme="minorHAnsi"/>
          <w:sz w:val="24"/>
          <w:szCs w:val="24"/>
        </w:rPr>
        <w:t xml:space="preserve"> limited evidence</w:t>
      </w:r>
      <w:r w:rsidR="00D65EC4" w:rsidRPr="00AE1050">
        <w:rPr>
          <w:rFonts w:asciiTheme="minorHAnsi" w:hAnsiTheme="minorHAnsi" w:cstheme="minorHAnsi"/>
          <w:sz w:val="24"/>
          <w:szCs w:val="24"/>
        </w:rPr>
        <w:t xml:space="preserve"> of the benefits of treatment with particular medicines, including rare cancers,</w:t>
      </w:r>
      <w:r w:rsidRPr="00AE1050">
        <w:rPr>
          <w:rFonts w:asciiTheme="minorHAnsi" w:hAnsiTheme="minorHAnsi" w:cstheme="minorHAnsi"/>
          <w:sz w:val="24"/>
          <w:szCs w:val="24"/>
        </w:rPr>
        <w:t xml:space="preserve"> tended to fall into this category.</w:t>
      </w:r>
    </w:p>
    <w:p w:rsidR="005E0F7D" w:rsidRPr="00AE1050" w:rsidRDefault="00D65EC4" w:rsidP="005E0F7D">
      <w:pPr>
        <w:pStyle w:val="ListParagraph"/>
        <w:numPr>
          <w:ilvl w:val="1"/>
          <w:numId w:val="14"/>
        </w:numPr>
        <w:spacing w:after="240"/>
        <w:contextualSpacing w:val="0"/>
        <w:rPr>
          <w:rFonts w:asciiTheme="minorHAnsi" w:hAnsiTheme="minorHAnsi" w:cstheme="minorHAnsi"/>
          <w:sz w:val="24"/>
          <w:szCs w:val="24"/>
        </w:rPr>
      </w:pPr>
      <w:r w:rsidRPr="00AE1050">
        <w:rPr>
          <w:rFonts w:asciiTheme="minorHAnsi" w:hAnsiTheme="minorHAnsi" w:cstheme="minorHAnsi"/>
          <w:sz w:val="24"/>
          <w:szCs w:val="24"/>
        </w:rPr>
        <w:t>The PBAC considered that the PBS is generally not an appropriate funding source for</w:t>
      </w:r>
      <w:r w:rsidR="001A2196" w:rsidRPr="00AE1050">
        <w:rPr>
          <w:rFonts w:asciiTheme="minorHAnsi" w:hAnsiTheme="minorHAnsi" w:cstheme="minorHAnsi"/>
          <w:sz w:val="24"/>
          <w:szCs w:val="24"/>
        </w:rPr>
        <w:t xml:space="preserve"> medicine</w:t>
      </w:r>
      <w:r w:rsidRPr="00AE1050">
        <w:rPr>
          <w:rFonts w:asciiTheme="minorHAnsi" w:hAnsiTheme="minorHAnsi" w:cstheme="minorHAnsi"/>
          <w:sz w:val="24"/>
          <w:szCs w:val="24"/>
        </w:rPr>
        <w:t>-indication pairs</w:t>
      </w:r>
      <w:r w:rsidR="001A2196" w:rsidRPr="00AE1050">
        <w:rPr>
          <w:rFonts w:asciiTheme="minorHAnsi" w:hAnsiTheme="minorHAnsi" w:cstheme="minorHAnsi"/>
          <w:sz w:val="24"/>
          <w:szCs w:val="24"/>
        </w:rPr>
        <w:t xml:space="preserve"> not registered </w:t>
      </w:r>
      <w:r w:rsidR="00EA042D">
        <w:rPr>
          <w:rFonts w:asciiTheme="minorHAnsi" w:hAnsiTheme="minorHAnsi" w:cstheme="minorHAnsi"/>
          <w:sz w:val="24"/>
          <w:szCs w:val="24"/>
        </w:rPr>
        <w:t>by</w:t>
      </w:r>
      <w:r w:rsidR="001A2196" w:rsidRPr="00AE1050">
        <w:rPr>
          <w:rFonts w:asciiTheme="minorHAnsi" w:hAnsiTheme="minorHAnsi" w:cstheme="minorHAnsi"/>
          <w:sz w:val="24"/>
          <w:szCs w:val="24"/>
        </w:rPr>
        <w:t xml:space="preserve"> the TGA</w:t>
      </w:r>
      <w:r w:rsidRPr="00AE1050">
        <w:rPr>
          <w:rFonts w:asciiTheme="minorHAnsi" w:hAnsiTheme="minorHAnsi" w:cstheme="minorHAnsi"/>
          <w:sz w:val="24"/>
          <w:szCs w:val="24"/>
        </w:rPr>
        <w:t xml:space="preserve">. </w:t>
      </w:r>
      <w:r w:rsidR="00EB44C6" w:rsidRPr="00AE1050">
        <w:rPr>
          <w:rFonts w:asciiTheme="minorHAnsi" w:hAnsiTheme="minorHAnsi" w:cstheme="minorHAnsi"/>
          <w:sz w:val="24"/>
          <w:szCs w:val="24"/>
        </w:rPr>
        <w:t xml:space="preserve"> </w:t>
      </w:r>
      <w:r w:rsidR="00EA042D">
        <w:rPr>
          <w:rFonts w:asciiTheme="minorHAnsi" w:hAnsiTheme="minorHAnsi" w:cstheme="minorHAnsi"/>
          <w:sz w:val="24"/>
          <w:szCs w:val="24"/>
        </w:rPr>
        <w:t>The i</w:t>
      </w:r>
      <w:r w:rsidR="00EB44C6" w:rsidRPr="00AE1050">
        <w:rPr>
          <w:rFonts w:asciiTheme="minorHAnsi" w:hAnsiTheme="minorHAnsi" w:cstheme="minorHAnsi"/>
          <w:sz w:val="24"/>
          <w:szCs w:val="24"/>
        </w:rPr>
        <w:t>ssues</w:t>
      </w:r>
      <w:r w:rsidR="00EA042D">
        <w:rPr>
          <w:rFonts w:asciiTheme="minorHAnsi" w:hAnsiTheme="minorHAnsi" w:cstheme="minorHAnsi"/>
          <w:sz w:val="24"/>
          <w:szCs w:val="24"/>
        </w:rPr>
        <w:t xml:space="preserve"> that arise from such an approach </w:t>
      </w:r>
      <w:r w:rsidR="00EB44C6" w:rsidRPr="00AE1050">
        <w:rPr>
          <w:rFonts w:asciiTheme="minorHAnsi" w:hAnsiTheme="minorHAnsi" w:cstheme="minorHAnsi"/>
          <w:sz w:val="24"/>
          <w:szCs w:val="24"/>
        </w:rPr>
        <w:t xml:space="preserve">include: lack of conformity with </w:t>
      </w:r>
      <w:r w:rsidR="005E0F7D" w:rsidRPr="00AE1050">
        <w:rPr>
          <w:rFonts w:asciiTheme="minorHAnsi" w:hAnsiTheme="minorHAnsi" w:cstheme="minorHAnsi"/>
          <w:sz w:val="24"/>
          <w:szCs w:val="24"/>
        </w:rPr>
        <w:t xml:space="preserve">the </w:t>
      </w:r>
      <w:r w:rsidR="00EB44C6" w:rsidRPr="00AE1050">
        <w:rPr>
          <w:rFonts w:asciiTheme="minorHAnsi" w:hAnsiTheme="minorHAnsi" w:cstheme="minorHAnsi"/>
          <w:sz w:val="24"/>
          <w:szCs w:val="24"/>
        </w:rPr>
        <w:t xml:space="preserve">requirements of the </w:t>
      </w:r>
      <w:r w:rsidR="00EB44C6" w:rsidRPr="00EA042D">
        <w:rPr>
          <w:rFonts w:asciiTheme="minorHAnsi" w:hAnsiTheme="minorHAnsi" w:cstheme="minorHAnsi"/>
          <w:i/>
          <w:sz w:val="24"/>
          <w:szCs w:val="24"/>
        </w:rPr>
        <w:t>National Health Act 1953</w:t>
      </w:r>
      <w:r w:rsidR="005E0F7D" w:rsidRPr="00AE1050">
        <w:rPr>
          <w:rFonts w:asciiTheme="minorHAnsi" w:hAnsiTheme="minorHAnsi" w:cstheme="minorHAnsi"/>
          <w:sz w:val="24"/>
          <w:szCs w:val="24"/>
        </w:rPr>
        <w:t>;</w:t>
      </w:r>
      <w:r w:rsidR="001A2196" w:rsidRPr="00AE1050">
        <w:rPr>
          <w:rFonts w:asciiTheme="minorHAnsi" w:hAnsiTheme="minorHAnsi" w:cstheme="minorHAnsi"/>
          <w:sz w:val="24"/>
          <w:szCs w:val="24"/>
        </w:rPr>
        <w:t xml:space="preserve"> precedents </w:t>
      </w:r>
      <w:r w:rsidR="005E0F7D" w:rsidRPr="00AE1050">
        <w:rPr>
          <w:rFonts w:asciiTheme="minorHAnsi" w:hAnsiTheme="minorHAnsi" w:cstheme="minorHAnsi"/>
          <w:sz w:val="24"/>
          <w:szCs w:val="24"/>
        </w:rPr>
        <w:t>for</w:t>
      </w:r>
      <w:r w:rsidR="001A2196" w:rsidRPr="00AE1050">
        <w:rPr>
          <w:rFonts w:asciiTheme="minorHAnsi" w:hAnsiTheme="minorHAnsi" w:cstheme="minorHAnsi"/>
          <w:sz w:val="24"/>
          <w:szCs w:val="24"/>
        </w:rPr>
        <w:t xml:space="preserve"> decision making</w:t>
      </w:r>
      <w:r w:rsidR="005E0F7D" w:rsidRPr="00AE1050">
        <w:rPr>
          <w:rFonts w:asciiTheme="minorHAnsi" w:hAnsiTheme="minorHAnsi" w:cstheme="minorHAnsi"/>
          <w:sz w:val="24"/>
          <w:szCs w:val="24"/>
        </w:rPr>
        <w:t>; and</w:t>
      </w:r>
      <w:r w:rsidR="001A2196" w:rsidRPr="00AE1050">
        <w:rPr>
          <w:rFonts w:asciiTheme="minorHAnsi" w:hAnsiTheme="minorHAnsi" w:cstheme="minorHAnsi"/>
          <w:sz w:val="24"/>
          <w:szCs w:val="24"/>
        </w:rPr>
        <w:t xml:space="preserve"> the</w:t>
      </w:r>
      <w:r w:rsidR="005E0F7D" w:rsidRPr="00AE1050">
        <w:rPr>
          <w:rFonts w:asciiTheme="minorHAnsi" w:hAnsiTheme="minorHAnsi" w:cstheme="minorHAnsi"/>
          <w:sz w:val="24"/>
          <w:szCs w:val="24"/>
        </w:rPr>
        <w:t xml:space="preserve"> potential for s</w:t>
      </w:r>
      <w:r w:rsidR="001A2196" w:rsidRPr="00AE1050">
        <w:rPr>
          <w:rFonts w:asciiTheme="minorHAnsi" w:hAnsiTheme="minorHAnsi" w:cstheme="minorHAnsi"/>
          <w:sz w:val="24"/>
          <w:szCs w:val="24"/>
        </w:rPr>
        <w:t xml:space="preserve">ignificant </w:t>
      </w:r>
      <w:r w:rsidR="005E0F7D" w:rsidRPr="00AE1050">
        <w:rPr>
          <w:rFonts w:asciiTheme="minorHAnsi" w:hAnsiTheme="minorHAnsi" w:cstheme="minorHAnsi"/>
          <w:sz w:val="24"/>
          <w:szCs w:val="24"/>
        </w:rPr>
        <w:t xml:space="preserve">expenditure without reasonable return. </w:t>
      </w:r>
      <w:r w:rsidR="001A2196" w:rsidRPr="00AE1050">
        <w:rPr>
          <w:rFonts w:asciiTheme="minorHAnsi" w:hAnsiTheme="minorHAnsi" w:cstheme="minorHAnsi"/>
          <w:sz w:val="24"/>
          <w:szCs w:val="24"/>
        </w:rPr>
        <w:t xml:space="preserve"> Additionally, the PBAC noted t</w:t>
      </w:r>
      <w:r w:rsidR="00D10307">
        <w:rPr>
          <w:rFonts w:asciiTheme="minorHAnsi" w:hAnsiTheme="minorHAnsi" w:cstheme="minorHAnsi"/>
          <w:sz w:val="24"/>
          <w:szCs w:val="24"/>
        </w:rPr>
        <w:t>h</w:t>
      </w:r>
      <w:r w:rsidR="00EA042D">
        <w:rPr>
          <w:rFonts w:asciiTheme="minorHAnsi" w:hAnsiTheme="minorHAnsi" w:cstheme="minorHAnsi"/>
          <w:sz w:val="24"/>
          <w:szCs w:val="24"/>
        </w:rPr>
        <w:t>e</w:t>
      </w:r>
      <w:r w:rsidR="001A2196" w:rsidRPr="00AE1050">
        <w:rPr>
          <w:rFonts w:asciiTheme="minorHAnsi" w:hAnsiTheme="minorHAnsi" w:cstheme="minorHAnsi"/>
          <w:sz w:val="24"/>
          <w:szCs w:val="24"/>
        </w:rPr>
        <w:t xml:space="preserve"> </w:t>
      </w:r>
      <w:r w:rsidR="005E0F7D" w:rsidRPr="00AE1050">
        <w:rPr>
          <w:rFonts w:asciiTheme="minorHAnsi" w:hAnsiTheme="minorHAnsi" w:cstheme="minorHAnsi"/>
          <w:sz w:val="24"/>
          <w:szCs w:val="24"/>
        </w:rPr>
        <w:t>additional risks for all stakeholders when medicines are presc</w:t>
      </w:r>
      <w:r w:rsidR="001A2196" w:rsidRPr="00AE1050">
        <w:rPr>
          <w:rFonts w:asciiTheme="minorHAnsi" w:hAnsiTheme="minorHAnsi" w:cstheme="minorHAnsi"/>
          <w:sz w:val="24"/>
          <w:szCs w:val="24"/>
        </w:rPr>
        <w:t>ribed off-label (i.e</w:t>
      </w:r>
      <w:r w:rsidR="000B704A">
        <w:rPr>
          <w:rFonts w:asciiTheme="minorHAnsi" w:hAnsiTheme="minorHAnsi" w:cstheme="minorHAnsi"/>
          <w:sz w:val="24"/>
          <w:szCs w:val="24"/>
        </w:rPr>
        <w:t>.</w:t>
      </w:r>
      <w:r w:rsidR="001A2196" w:rsidRPr="00AE1050">
        <w:rPr>
          <w:rFonts w:asciiTheme="minorHAnsi" w:hAnsiTheme="minorHAnsi" w:cstheme="minorHAnsi"/>
          <w:sz w:val="24"/>
          <w:szCs w:val="24"/>
        </w:rPr>
        <w:t xml:space="preserve"> outside TGA</w:t>
      </w:r>
      <w:r w:rsidR="000B704A">
        <w:rPr>
          <w:rFonts w:asciiTheme="minorHAnsi" w:hAnsiTheme="minorHAnsi" w:cstheme="minorHAnsi"/>
          <w:sz w:val="24"/>
          <w:szCs w:val="24"/>
        </w:rPr>
        <w:t>-approved</w:t>
      </w:r>
      <w:r w:rsidR="001A2196" w:rsidRPr="00AE1050">
        <w:rPr>
          <w:rFonts w:asciiTheme="minorHAnsi" w:hAnsiTheme="minorHAnsi" w:cstheme="minorHAnsi"/>
          <w:sz w:val="24"/>
          <w:szCs w:val="24"/>
        </w:rPr>
        <w:t xml:space="preserve"> indications)</w:t>
      </w:r>
      <w:r w:rsidR="005E0F7D" w:rsidRPr="00AE1050">
        <w:rPr>
          <w:rFonts w:asciiTheme="minorHAnsi" w:hAnsiTheme="minorHAnsi" w:cstheme="minorHAnsi"/>
          <w:sz w:val="24"/>
          <w:szCs w:val="24"/>
        </w:rPr>
        <w:t xml:space="preserve">. </w:t>
      </w:r>
    </w:p>
    <w:p w:rsidR="00891272" w:rsidRDefault="00891272" w:rsidP="005E0F7D">
      <w:pPr>
        <w:pStyle w:val="ListParagraph"/>
        <w:numPr>
          <w:ilvl w:val="1"/>
          <w:numId w:val="14"/>
        </w:numPr>
        <w:spacing w:after="240"/>
        <w:contextualSpacing w:val="0"/>
        <w:rPr>
          <w:rFonts w:asciiTheme="minorHAnsi" w:hAnsiTheme="minorHAnsi" w:cstheme="minorHAnsi"/>
          <w:sz w:val="24"/>
          <w:szCs w:val="24"/>
        </w:rPr>
      </w:pPr>
      <w:r>
        <w:rPr>
          <w:rFonts w:asciiTheme="minorHAnsi" w:hAnsiTheme="minorHAnsi" w:cstheme="minorHAnsi"/>
          <w:sz w:val="24"/>
          <w:szCs w:val="24"/>
        </w:rPr>
        <w:t>The PBAC indicated it would continue to encourage sponsors, clinical expert groups and other stakeholders to make</w:t>
      </w:r>
      <w:r w:rsidR="00CB0814">
        <w:rPr>
          <w:rFonts w:asciiTheme="minorHAnsi" w:hAnsiTheme="minorHAnsi" w:cstheme="minorHAnsi"/>
          <w:sz w:val="24"/>
          <w:szCs w:val="24"/>
        </w:rPr>
        <w:t xml:space="preserve"> registration and</w:t>
      </w:r>
      <w:r>
        <w:rPr>
          <w:rFonts w:asciiTheme="minorHAnsi" w:hAnsiTheme="minorHAnsi" w:cstheme="minorHAnsi"/>
          <w:sz w:val="24"/>
          <w:szCs w:val="24"/>
        </w:rPr>
        <w:t xml:space="preserve"> funding submissions </w:t>
      </w:r>
      <w:r w:rsidR="00CB0814">
        <w:rPr>
          <w:rFonts w:asciiTheme="minorHAnsi" w:hAnsiTheme="minorHAnsi" w:cstheme="minorHAnsi"/>
          <w:sz w:val="24"/>
          <w:szCs w:val="24"/>
        </w:rPr>
        <w:t>to address</w:t>
      </w:r>
      <w:r>
        <w:rPr>
          <w:rFonts w:asciiTheme="minorHAnsi" w:hAnsiTheme="minorHAnsi" w:cstheme="minorHAnsi"/>
          <w:sz w:val="24"/>
          <w:szCs w:val="24"/>
        </w:rPr>
        <w:t xml:space="preserve"> areas of unmet clinical need</w:t>
      </w:r>
      <w:r w:rsidR="00CB0814">
        <w:rPr>
          <w:rFonts w:asciiTheme="minorHAnsi" w:hAnsiTheme="minorHAnsi" w:cstheme="minorHAnsi"/>
          <w:sz w:val="24"/>
          <w:szCs w:val="24"/>
        </w:rPr>
        <w:t xml:space="preserve"> wherever possible.  However the PBAC also noted that such an approach was usually only possible where there is sufficient evidence available to support such submissions.</w:t>
      </w:r>
      <w:r w:rsidR="001C2E46">
        <w:rPr>
          <w:rFonts w:asciiTheme="minorHAnsi" w:hAnsiTheme="minorHAnsi" w:cstheme="minorHAnsi"/>
          <w:sz w:val="24"/>
          <w:szCs w:val="24"/>
        </w:rPr>
        <w:t xml:space="preserve"> </w:t>
      </w:r>
    </w:p>
    <w:p w:rsidR="001A2196" w:rsidRPr="00AE1050" w:rsidRDefault="005E0F7D" w:rsidP="005E0F7D">
      <w:pPr>
        <w:pStyle w:val="ListParagraph"/>
        <w:numPr>
          <w:ilvl w:val="1"/>
          <w:numId w:val="14"/>
        </w:numPr>
        <w:spacing w:after="240"/>
        <w:contextualSpacing w:val="0"/>
        <w:rPr>
          <w:rFonts w:asciiTheme="minorHAnsi" w:hAnsiTheme="minorHAnsi" w:cstheme="minorHAnsi"/>
          <w:sz w:val="24"/>
          <w:szCs w:val="24"/>
        </w:rPr>
      </w:pPr>
      <w:r w:rsidRPr="00AE1050">
        <w:rPr>
          <w:rFonts w:asciiTheme="minorHAnsi" w:hAnsiTheme="minorHAnsi" w:cstheme="minorHAnsi"/>
          <w:sz w:val="24"/>
          <w:szCs w:val="24"/>
        </w:rPr>
        <w:t xml:space="preserve">The PBAC noted that other mechanisms exist for patients to access medicines </w:t>
      </w:r>
      <w:r w:rsidR="002B7395">
        <w:rPr>
          <w:rFonts w:asciiTheme="minorHAnsi" w:hAnsiTheme="minorHAnsi" w:cstheme="minorHAnsi"/>
          <w:sz w:val="24"/>
          <w:szCs w:val="24"/>
        </w:rPr>
        <w:t>without</w:t>
      </w:r>
      <w:r w:rsidRPr="00AE1050">
        <w:rPr>
          <w:rFonts w:asciiTheme="minorHAnsi" w:hAnsiTheme="minorHAnsi" w:cstheme="minorHAnsi"/>
          <w:sz w:val="24"/>
          <w:szCs w:val="24"/>
        </w:rPr>
        <w:t xml:space="preserve"> PBS subsidy, including through clinical trials that are sponsor or government funded, through compassionate access programs and through publ</w:t>
      </w:r>
      <w:r w:rsidR="00EA042D">
        <w:rPr>
          <w:rFonts w:asciiTheme="minorHAnsi" w:hAnsiTheme="minorHAnsi" w:cstheme="minorHAnsi"/>
          <w:sz w:val="24"/>
          <w:szCs w:val="24"/>
        </w:rPr>
        <w:t>i</w:t>
      </w:r>
      <w:r w:rsidRPr="00AE1050">
        <w:rPr>
          <w:rFonts w:asciiTheme="minorHAnsi" w:hAnsiTheme="minorHAnsi" w:cstheme="minorHAnsi"/>
          <w:sz w:val="24"/>
          <w:szCs w:val="24"/>
        </w:rPr>
        <w:t>c hospital based arrangements.</w:t>
      </w:r>
    </w:p>
    <w:p w:rsidR="006E26FB" w:rsidRPr="00EA042D" w:rsidRDefault="002F58AD" w:rsidP="00FD1B15">
      <w:pPr>
        <w:pStyle w:val="Heading5"/>
      </w:pPr>
      <w:r w:rsidRPr="00EA042D">
        <w:t xml:space="preserve">Proposed </w:t>
      </w:r>
      <w:r w:rsidR="00A912AF" w:rsidRPr="00EA042D">
        <w:t xml:space="preserve">options </w:t>
      </w:r>
      <w:r w:rsidR="006E26FB" w:rsidRPr="00EA042D">
        <w:t>to broaden PBS listings or decrease time to access</w:t>
      </w:r>
    </w:p>
    <w:p w:rsidR="00A912AF" w:rsidRPr="00AE1050" w:rsidRDefault="00A912AF" w:rsidP="00A912AF">
      <w:pPr>
        <w:pStyle w:val="ListParagraph"/>
        <w:numPr>
          <w:ilvl w:val="1"/>
          <w:numId w:val="5"/>
        </w:numPr>
        <w:spacing w:after="240"/>
        <w:contextualSpacing w:val="0"/>
        <w:rPr>
          <w:rFonts w:asciiTheme="minorHAnsi" w:hAnsiTheme="minorHAnsi" w:cstheme="minorHAnsi"/>
          <w:sz w:val="24"/>
          <w:szCs w:val="24"/>
        </w:rPr>
      </w:pPr>
      <w:r w:rsidRPr="00AE1050">
        <w:rPr>
          <w:rFonts w:asciiTheme="minorHAnsi" w:hAnsiTheme="minorHAnsi" w:cstheme="minorHAnsi"/>
          <w:sz w:val="24"/>
          <w:szCs w:val="24"/>
        </w:rPr>
        <w:t>The PBAC noted the revised medicine access models proposed in a number of stakeholder submissions which included:</w:t>
      </w:r>
    </w:p>
    <w:p w:rsidR="00A912AF" w:rsidRPr="00AE1050" w:rsidRDefault="00A912AF" w:rsidP="00220A65">
      <w:pPr>
        <w:pStyle w:val="ListParagraph"/>
        <w:numPr>
          <w:ilvl w:val="2"/>
          <w:numId w:val="5"/>
        </w:numPr>
        <w:spacing w:after="240"/>
        <w:ind w:left="1418" w:hanging="709"/>
        <w:contextualSpacing w:val="0"/>
        <w:rPr>
          <w:rFonts w:asciiTheme="minorHAnsi" w:hAnsiTheme="minorHAnsi" w:cstheme="minorHAnsi"/>
          <w:sz w:val="24"/>
          <w:szCs w:val="24"/>
        </w:rPr>
      </w:pPr>
      <w:r w:rsidRPr="00AE1050">
        <w:rPr>
          <w:rFonts w:asciiTheme="minorHAnsi" w:hAnsiTheme="minorHAnsi" w:cstheme="minorHAnsi"/>
          <w:sz w:val="24"/>
          <w:szCs w:val="24"/>
        </w:rPr>
        <w:t xml:space="preserve">Use of standard pre-determined pricing structures such as tiers or common prices across multiple indications, with prices determined based on surrogate outcomes, established scores of clinical value or </w:t>
      </w:r>
      <w:r w:rsidR="00EA042D">
        <w:rPr>
          <w:rFonts w:asciiTheme="minorHAnsi" w:hAnsiTheme="minorHAnsi" w:cstheme="minorHAnsi"/>
          <w:sz w:val="24"/>
          <w:szCs w:val="24"/>
        </w:rPr>
        <w:t xml:space="preserve">by using </w:t>
      </w:r>
      <w:r w:rsidRPr="00AE1050">
        <w:rPr>
          <w:rFonts w:asciiTheme="minorHAnsi" w:hAnsiTheme="minorHAnsi" w:cstheme="minorHAnsi"/>
          <w:sz w:val="24"/>
          <w:szCs w:val="24"/>
        </w:rPr>
        <w:t>anchor</w:t>
      </w:r>
      <w:r w:rsidR="00D10307">
        <w:rPr>
          <w:rFonts w:asciiTheme="minorHAnsi" w:hAnsiTheme="minorHAnsi" w:cstheme="minorHAnsi"/>
          <w:sz w:val="24"/>
          <w:szCs w:val="24"/>
        </w:rPr>
        <w:t>,</w:t>
      </w:r>
      <w:r w:rsidR="0041363B">
        <w:rPr>
          <w:rFonts w:asciiTheme="minorHAnsi" w:hAnsiTheme="minorHAnsi" w:cstheme="minorHAnsi"/>
          <w:sz w:val="24"/>
          <w:szCs w:val="24"/>
        </w:rPr>
        <w:t xml:space="preserve"> or first indication</w:t>
      </w:r>
      <w:r w:rsidR="00D10307">
        <w:rPr>
          <w:rFonts w:asciiTheme="minorHAnsi" w:hAnsiTheme="minorHAnsi" w:cstheme="minorHAnsi"/>
          <w:sz w:val="24"/>
          <w:szCs w:val="24"/>
        </w:rPr>
        <w:t>,</w:t>
      </w:r>
      <w:r w:rsidRPr="00AE1050">
        <w:rPr>
          <w:rFonts w:asciiTheme="minorHAnsi" w:hAnsiTheme="minorHAnsi" w:cstheme="minorHAnsi"/>
          <w:sz w:val="24"/>
          <w:szCs w:val="24"/>
        </w:rPr>
        <w:t xml:space="preserve"> prices for </w:t>
      </w:r>
      <w:r w:rsidR="00EA042D">
        <w:rPr>
          <w:rFonts w:asciiTheme="minorHAnsi" w:hAnsiTheme="minorHAnsi" w:cstheme="minorHAnsi"/>
          <w:sz w:val="24"/>
          <w:szCs w:val="24"/>
        </w:rPr>
        <w:t>second and subsequent</w:t>
      </w:r>
      <w:r w:rsidRPr="00AE1050">
        <w:rPr>
          <w:rFonts w:asciiTheme="minorHAnsi" w:hAnsiTheme="minorHAnsi" w:cstheme="minorHAnsi"/>
          <w:sz w:val="24"/>
          <w:szCs w:val="24"/>
        </w:rPr>
        <w:t xml:space="preserve"> indications.</w:t>
      </w:r>
    </w:p>
    <w:p w:rsidR="00A912AF" w:rsidRPr="00AE1050" w:rsidRDefault="00A912AF" w:rsidP="00220A65">
      <w:pPr>
        <w:pStyle w:val="ListParagraph"/>
        <w:numPr>
          <w:ilvl w:val="2"/>
          <w:numId w:val="5"/>
        </w:numPr>
        <w:spacing w:after="240"/>
        <w:ind w:left="1418" w:hanging="709"/>
        <w:contextualSpacing w:val="0"/>
        <w:rPr>
          <w:rFonts w:asciiTheme="minorHAnsi" w:hAnsiTheme="minorHAnsi" w:cstheme="minorHAnsi"/>
          <w:sz w:val="24"/>
          <w:szCs w:val="24"/>
        </w:rPr>
      </w:pPr>
      <w:r w:rsidRPr="00AE1050">
        <w:rPr>
          <w:rFonts w:asciiTheme="minorHAnsi" w:hAnsiTheme="minorHAnsi" w:cstheme="minorHAnsi"/>
          <w:sz w:val="24"/>
          <w:szCs w:val="24"/>
        </w:rPr>
        <w:t>Modified pay-for-performance and managed access scheme structures for example, for rare cancers.</w:t>
      </w:r>
    </w:p>
    <w:p w:rsidR="00A912AF" w:rsidRPr="00AE1050" w:rsidRDefault="00A912AF" w:rsidP="00220A65">
      <w:pPr>
        <w:pStyle w:val="ListParagraph"/>
        <w:numPr>
          <w:ilvl w:val="2"/>
          <w:numId w:val="5"/>
        </w:numPr>
        <w:spacing w:after="240"/>
        <w:ind w:left="1418" w:hanging="709"/>
        <w:contextualSpacing w:val="0"/>
        <w:rPr>
          <w:rFonts w:asciiTheme="minorHAnsi" w:hAnsiTheme="minorHAnsi" w:cstheme="minorHAnsi"/>
          <w:sz w:val="24"/>
          <w:szCs w:val="24"/>
        </w:rPr>
      </w:pPr>
      <w:r w:rsidRPr="00AE1050">
        <w:rPr>
          <w:rFonts w:asciiTheme="minorHAnsi" w:hAnsiTheme="minorHAnsi" w:cstheme="minorHAnsi"/>
          <w:sz w:val="24"/>
          <w:szCs w:val="24"/>
        </w:rPr>
        <w:t>Abbreviated HTA processes.</w:t>
      </w:r>
    </w:p>
    <w:p w:rsidR="00A912AF" w:rsidRDefault="00950A55" w:rsidP="00220A65">
      <w:pPr>
        <w:pStyle w:val="ListParagraph"/>
        <w:numPr>
          <w:ilvl w:val="2"/>
          <w:numId w:val="5"/>
        </w:numPr>
        <w:spacing w:after="240"/>
        <w:ind w:left="1418" w:hanging="709"/>
        <w:contextualSpacing w:val="0"/>
        <w:rPr>
          <w:rFonts w:asciiTheme="minorHAnsi" w:hAnsiTheme="minorHAnsi" w:cstheme="minorHAnsi"/>
          <w:sz w:val="24"/>
          <w:szCs w:val="24"/>
        </w:rPr>
      </w:pPr>
      <w:r w:rsidRPr="00AE1050">
        <w:rPr>
          <w:rFonts w:asciiTheme="minorHAnsi" w:hAnsiTheme="minorHAnsi" w:cstheme="minorHAnsi"/>
          <w:sz w:val="24"/>
          <w:szCs w:val="24"/>
        </w:rPr>
        <w:t>E</w:t>
      </w:r>
      <w:r w:rsidR="00A912AF" w:rsidRPr="00AE1050">
        <w:rPr>
          <w:rFonts w:asciiTheme="minorHAnsi" w:hAnsiTheme="minorHAnsi" w:cstheme="minorHAnsi"/>
          <w:sz w:val="24"/>
          <w:szCs w:val="24"/>
        </w:rPr>
        <w:t>arly listing with development of post market clinical data.</w:t>
      </w:r>
    </w:p>
    <w:p w:rsidR="00EA042D" w:rsidRPr="00AE1050" w:rsidRDefault="00EA042D" w:rsidP="00A44CF9">
      <w:pPr>
        <w:pStyle w:val="ListParagraph"/>
        <w:numPr>
          <w:ilvl w:val="2"/>
          <w:numId w:val="5"/>
        </w:numPr>
        <w:tabs>
          <w:tab w:val="left" w:pos="1418"/>
        </w:tabs>
        <w:spacing w:after="240"/>
        <w:ind w:left="1418" w:hanging="709"/>
        <w:contextualSpacing w:val="0"/>
        <w:rPr>
          <w:rFonts w:asciiTheme="minorHAnsi" w:hAnsiTheme="minorHAnsi" w:cstheme="minorHAnsi"/>
          <w:sz w:val="24"/>
          <w:szCs w:val="24"/>
        </w:rPr>
      </w:pPr>
      <w:r w:rsidRPr="00EA042D">
        <w:rPr>
          <w:rFonts w:asciiTheme="minorHAnsi" w:hAnsiTheme="minorHAnsi" w:cstheme="minorHAnsi"/>
          <w:sz w:val="24"/>
          <w:szCs w:val="24"/>
        </w:rPr>
        <w:t>Boost</w:t>
      </w:r>
      <w:r>
        <w:rPr>
          <w:rFonts w:asciiTheme="minorHAnsi" w:hAnsiTheme="minorHAnsi" w:cstheme="minorHAnsi"/>
          <w:sz w:val="24"/>
          <w:szCs w:val="24"/>
        </w:rPr>
        <w:t>ing</w:t>
      </w:r>
      <w:r w:rsidRPr="00EA042D">
        <w:rPr>
          <w:rFonts w:asciiTheme="minorHAnsi" w:hAnsiTheme="minorHAnsi" w:cstheme="minorHAnsi"/>
          <w:sz w:val="24"/>
          <w:szCs w:val="24"/>
        </w:rPr>
        <w:t xml:space="preserve"> clinical trial participation, with a focus on identifying where there</w:t>
      </w:r>
      <w:r w:rsidR="00D10307">
        <w:rPr>
          <w:rFonts w:asciiTheme="minorHAnsi" w:hAnsiTheme="minorHAnsi" w:cstheme="minorHAnsi"/>
          <w:sz w:val="24"/>
          <w:szCs w:val="24"/>
        </w:rPr>
        <w:t xml:space="preserve"> is a clinical need and </w:t>
      </w:r>
      <w:r w:rsidRPr="00EA042D">
        <w:rPr>
          <w:rFonts w:asciiTheme="minorHAnsi" w:hAnsiTheme="minorHAnsi" w:cstheme="minorHAnsi"/>
          <w:sz w:val="24"/>
          <w:szCs w:val="24"/>
        </w:rPr>
        <w:t xml:space="preserve">gaps in </w:t>
      </w:r>
      <w:r w:rsidR="00D10307">
        <w:rPr>
          <w:rFonts w:asciiTheme="minorHAnsi" w:hAnsiTheme="minorHAnsi" w:cstheme="minorHAnsi"/>
          <w:sz w:val="24"/>
          <w:szCs w:val="24"/>
        </w:rPr>
        <w:t xml:space="preserve">the </w:t>
      </w:r>
      <w:r w:rsidRPr="00EA042D">
        <w:rPr>
          <w:rFonts w:asciiTheme="minorHAnsi" w:hAnsiTheme="minorHAnsi" w:cstheme="minorHAnsi"/>
          <w:sz w:val="24"/>
          <w:szCs w:val="24"/>
        </w:rPr>
        <w:t>evidence base</w:t>
      </w:r>
      <w:r w:rsidR="00D10307">
        <w:rPr>
          <w:rFonts w:asciiTheme="minorHAnsi" w:hAnsiTheme="minorHAnsi" w:cstheme="minorHAnsi"/>
          <w:sz w:val="24"/>
          <w:szCs w:val="24"/>
        </w:rPr>
        <w:t>.</w:t>
      </w:r>
    </w:p>
    <w:p w:rsidR="00220A65" w:rsidRPr="00AE1050" w:rsidRDefault="00220A65" w:rsidP="00220A65">
      <w:pPr>
        <w:pStyle w:val="ListParagraph"/>
        <w:numPr>
          <w:ilvl w:val="1"/>
          <w:numId w:val="5"/>
        </w:numPr>
        <w:rPr>
          <w:rFonts w:asciiTheme="minorHAnsi" w:hAnsiTheme="minorHAnsi" w:cstheme="minorHAnsi"/>
          <w:sz w:val="24"/>
          <w:szCs w:val="24"/>
        </w:rPr>
      </w:pPr>
      <w:r w:rsidRPr="00AE1050">
        <w:rPr>
          <w:rFonts w:asciiTheme="minorHAnsi" w:hAnsiTheme="minorHAnsi" w:cstheme="minorHAnsi"/>
          <w:sz w:val="24"/>
          <w:szCs w:val="24"/>
        </w:rPr>
        <w:lastRenderedPageBreak/>
        <w:t xml:space="preserve">The PBAC noted that </w:t>
      </w:r>
      <w:r w:rsidR="00D10307">
        <w:rPr>
          <w:rFonts w:asciiTheme="minorHAnsi" w:hAnsiTheme="minorHAnsi" w:cstheme="minorHAnsi"/>
          <w:sz w:val="24"/>
          <w:szCs w:val="24"/>
        </w:rPr>
        <w:t>in</w:t>
      </w:r>
      <w:r w:rsidRPr="00AE1050">
        <w:rPr>
          <w:rFonts w:asciiTheme="minorHAnsi" w:hAnsiTheme="minorHAnsi" w:cstheme="minorHAnsi"/>
          <w:sz w:val="24"/>
          <w:szCs w:val="24"/>
        </w:rPr>
        <w:t xml:space="preserve"> the models presented in </w:t>
      </w:r>
      <w:r w:rsidR="0041363B">
        <w:rPr>
          <w:rFonts w:asciiTheme="minorHAnsi" w:hAnsiTheme="minorHAnsi" w:cstheme="minorHAnsi"/>
          <w:sz w:val="24"/>
          <w:szCs w:val="24"/>
        </w:rPr>
        <w:t xml:space="preserve">the industry </w:t>
      </w:r>
      <w:r w:rsidRPr="00AE1050">
        <w:rPr>
          <w:rFonts w:asciiTheme="minorHAnsi" w:hAnsiTheme="minorHAnsi" w:cstheme="minorHAnsi"/>
          <w:sz w:val="24"/>
          <w:szCs w:val="24"/>
        </w:rPr>
        <w:t xml:space="preserve">stakeholder submissions, no </w:t>
      </w:r>
      <w:r w:rsidR="00A44CF9">
        <w:rPr>
          <w:rFonts w:asciiTheme="minorHAnsi" w:hAnsiTheme="minorHAnsi" w:cstheme="minorHAnsi"/>
          <w:sz w:val="24"/>
          <w:szCs w:val="24"/>
        </w:rPr>
        <w:t xml:space="preserve">consistent or </w:t>
      </w:r>
      <w:r w:rsidRPr="00AE1050">
        <w:rPr>
          <w:rFonts w:asciiTheme="minorHAnsi" w:hAnsiTheme="minorHAnsi" w:cstheme="minorHAnsi"/>
          <w:sz w:val="24"/>
          <w:szCs w:val="24"/>
        </w:rPr>
        <w:t>significant improvements in time to access w</w:t>
      </w:r>
      <w:r w:rsidR="00A44CF9">
        <w:rPr>
          <w:rFonts w:asciiTheme="minorHAnsi" w:hAnsiTheme="minorHAnsi" w:cstheme="minorHAnsi"/>
          <w:sz w:val="24"/>
          <w:szCs w:val="24"/>
        </w:rPr>
        <w:t>ere</w:t>
      </w:r>
      <w:r w:rsidRPr="00AE1050">
        <w:rPr>
          <w:rFonts w:asciiTheme="minorHAnsi" w:hAnsiTheme="minorHAnsi" w:cstheme="minorHAnsi"/>
          <w:sz w:val="24"/>
          <w:szCs w:val="24"/>
        </w:rPr>
        <w:t xml:space="preserve"> apparent, and that the submissions provided limited justification for a shift from current process. </w:t>
      </w:r>
      <w:r w:rsidR="00FB7D0D">
        <w:rPr>
          <w:rFonts w:asciiTheme="minorHAnsi" w:hAnsiTheme="minorHAnsi" w:cstheme="minorHAnsi"/>
          <w:sz w:val="24"/>
          <w:szCs w:val="24"/>
        </w:rPr>
        <w:t xml:space="preserve">These submissions were </w:t>
      </w:r>
      <w:r w:rsidR="004A2E29">
        <w:rPr>
          <w:rFonts w:asciiTheme="minorHAnsi" w:hAnsiTheme="minorHAnsi" w:cstheme="minorHAnsi"/>
          <w:sz w:val="24"/>
          <w:szCs w:val="24"/>
        </w:rPr>
        <w:t xml:space="preserve">also </w:t>
      </w:r>
      <w:r w:rsidR="00FB7D0D">
        <w:rPr>
          <w:rFonts w:asciiTheme="minorHAnsi" w:hAnsiTheme="minorHAnsi" w:cstheme="minorHAnsi"/>
          <w:sz w:val="24"/>
          <w:szCs w:val="24"/>
        </w:rPr>
        <w:t xml:space="preserve">focused on indications where there was an established TGA registration in place, thereby excluding potential benefits for less common or rare cancers where registration did not exist or was not likely. </w:t>
      </w:r>
    </w:p>
    <w:p w:rsidR="00220A65" w:rsidRPr="00AE1050" w:rsidRDefault="00220A65" w:rsidP="00220A65">
      <w:pPr>
        <w:pStyle w:val="ListParagraph"/>
        <w:rPr>
          <w:rFonts w:asciiTheme="minorHAnsi" w:hAnsiTheme="minorHAnsi" w:cstheme="minorHAnsi"/>
          <w:sz w:val="24"/>
          <w:szCs w:val="24"/>
        </w:rPr>
      </w:pPr>
    </w:p>
    <w:p w:rsidR="00220A65" w:rsidRPr="00AE1050" w:rsidRDefault="00220A65" w:rsidP="00220A65">
      <w:pPr>
        <w:pStyle w:val="ListParagraph"/>
        <w:numPr>
          <w:ilvl w:val="1"/>
          <w:numId w:val="5"/>
        </w:numPr>
        <w:spacing w:after="240"/>
        <w:contextualSpacing w:val="0"/>
        <w:rPr>
          <w:rFonts w:asciiTheme="minorHAnsi" w:hAnsiTheme="minorHAnsi" w:cstheme="minorHAnsi"/>
          <w:sz w:val="24"/>
          <w:szCs w:val="24"/>
        </w:rPr>
      </w:pPr>
      <w:r w:rsidRPr="00AE1050">
        <w:rPr>
          <w:rFonts w:asciiTheme="minorHAnsi" w:hAnsiTheme="minorHAnsi" w:cstheme="minorHAnsi"/>
          <w:sz w:val="24"/>
          <w:szCs w:val="24"/>
        </w:rPr>
        <w:t xml:space="preserve">The PBAC also considered that all presented models shifted the workload to earlier and/or later in the PBS listing process rather than eliminating or reducing workload. If anything, the proposed models were likely to increase the administrative burden on clinicians and payers. Additionally, they would likely require significant up-front price reductions or lower initial list prices to </w:t>
      </w:r>
      <w:r w:rsidR="00FB7D0D">
        <w:rPr>
          <w:rFonts w:asciiTheme="minorHAnsi" w:hAnsiTheme="minorHAnsi" w:cstheme="minorHAnsi"/>
          <w:sz w:val="24"/>
          <w:szCs w:val="24"/>
        </w:rPr>
        <w:t>address</w:t>
      </w:r>
      <w:r w:rsidR="00FB7D0D" w:rsidRPr="00AE1050">
        <w:rPr>
          <w:rFonts w:asciiTheme="minorHAnsi" w:hAnsiTheme="minorHAnsi" w:cstheme="minorHAnsi"/>
          <w:sz w:val="24"/>
          <w:szCs w:val="24"/>
        </w:rPr>
        <w:t xml:space="preserve"> </w:t>
      </w:r>
      <w:r w:rsidRPr="00AE1050">
        <w:rPr>
          <w:rFonts w:asciiTheme="minorHAnsi" w:hAnsiTheme="minorHAnsi" w:cstheme="minorHAnsi"/>
          <w:sz w:val="24"/>
          <w:szCs w:val="24"/>
        </w:rPr>
        <w:t xml:space="preserve">the high level of uncertainty of cost-effectiveness. Such lower prices may not be acceptable to sponsors given international market arrangements. </w:t>
      </w:r>
    </w:p>
    <w:p w:rsidR="00950A55" w:rsidRPr="00AE1050" w:rsidRDefault="00950A55" w:rsidP="00675151">
      <w:pPr>
        <w:pStyle w:val="ListParagraph"/>
        <w:numPr>
          <w:ilvl w:val="1"/>
          <w:numId w:val="5"/>
        </w:numPr>
        <w:rPr>
          <w:rFonts w:asciiTheme="minorHAnsi" w:hAnsiTheme="minorHAnsi" w:cstheme="minorHAnsi"/>
          <w:sz w:val="24"/>
          <w:szCs w:val="24"/>
        </w:rPr>
      </w:pPr>
      <w:r w:rsidRPr="00AE1050">
        <w:rPr>
          <w:rFonts w:asciiTheme="minorHAnsi" w:hAnsiTheme="minorHAnsi" w:cstheme="minorHAnsi"/>
          <w:sz w:val="24"/>
          <w:szCs w:val="24"/>
        </w:rPr>
        <w:t xml:space="preserve">The PBAC reiterated its concern that the clinical results for </w:t>
      </w:r>
      <w:r w:rsidR="006C361A" w:rsidRPr="00AE1050">
        <w:rPr>
          <w:rFonts w:asciiTheme="minorHAnsi" w:hAnsiTheme="minorHAnsi" w:cstheme="minorHAnsi"/>
          <w:sz w:val="24"/>
          <w:szCs w:val="24"/>
        </w:rPr>
        <w:t>PD</w:t>
      </w:r>
      <w:r w:rsidR="006C361A">
        <w:rPr>
          <w:rFonts w:asciiTheme="minorHAnsi" w:hAnsiTheme="minorHAnsi" w:cstheme="minorHAnsi"/>
          <w:sz w:val="24"/>
          <w:szCs w:val="24"/>
        </w:rPr>
        <w:t>-</w:t>
      </w:r>
      <w:r w:rsidR="006C361A" w:rsidRPr="00AE1050">
        <w:rPr>
          <w:rFonts w:asciiTheme="minorHAnsi" w:hAnsiTheme="minorHAnsi" w:cstheme="minorHAnsi"/>
          <w:sz w:val="24"/>
          <w:szCs w:val="24"/>
        </w:rPr>
        <w:t>(L</w:t>
      </w:r>
      <w:proofErr w:type="gramStart"/>
      <w:r w:rsidR="006C361A" w:rsidRPr="00AE1050">
        <w:rPr>
          <w:rFonts w:asciiTheme="minorHAnsi" w:hAnsiTheme="minorHAnsi" w:cstheme="minorHAnsi"/>
          <w:sz w:val="24"/>
          <w:szCs w:val="24"/>
        </w:rPr>
        <w:t>)1</w:t>
      </w:r>
      <w:proofErr w:type="gramEnd"/>
      <w:r w:rsidR="006C361A">
        <w:rPr>
          <w:rFonts w:asciiTheme="minorHAnsi" w:hAnsiTheme="minorHAnsi" w:cstheme="minorHAnsi"/>
          <w:sz w:val="24"/>
          <w:szCs w:val="24"/>
        </w:rPr>
        <w:t xml:space="preserve"> </w:t>
      </w:r>
      <w:r w:rsidRPr="00AE1050">
        <w:rPr>
          <w:rFonts w:asciiTheme="minorHAnsi" w:hAnsiTheme="minorHAnsi" w:cstheme="minorHAnsi"/>
          <w:sz w:val="24"/>
          <w:szCs w:val="24"/>
        </w:rPr>
        <w:t>checkpoint inhibitors have been variable to date. Checkpoint inhibitors have been shown to produce good responses in some cancers</w:t>
      </w:r>
      <w:r w:rsidR="00246F57">
        <w:rPr>
          <w:rFonts w:asciiTheme="minorHAnsi" w:hAnsiTheme="minorHAnsi" w:cstheme="minorHAnsi"/>
          <w:sz w:val="24"/>
          <w:szCs w:val="24"/>
        </w:rPr>
        <w:t>,</w:t>
      </w:r>
      <w:r w:rsidRPr="00AE1050">
        <w:rPr>
          <w:rFonts w:asciiTheme="minorHAnsi" w:hAnsiTheme="minorHAnsi" w:cstheme="minorHAnsi"/>
          <w:sz w:val="24"/>
          <w:szCs w:val="24"/>
        </w:rPr>
        <w:t xml:space="preserve"> but not in all cancers and not in all patients. Testing for biomarkers including PD-L1 and tumour mutational burden</w:t>
      </w:r>
      <w:r w:rsidR="00D10307">
        <w:rPr>
          <w:rFonts w:asciiTheme="minorHAnsi" w:hAnsiTheme="minorHAnsi" w:cstheme="minorHAnsi"/>
          <w:sz w:val="24"/>
          <w:szCs w:val="24"/>
        </w:rPr>
        <w:t xml:space="preserve"> (TMB</w:t>
      </w:r>
      <w:r w:rsidRPr="00AE1050">
        <w:rPr>
          <w:rFonts w:asciiTheme="minorHAnsi" w:hAnsiTheme="minorHAnsi" w:cstheme="minorHAnsi"/>
          <w:sz w:val="24"/>
          <w:szCs w:val="24"/>
        </w:rPr>
        <w:t>) may be useful in some cancers</w:t>
      </w:r>
      <w:r w:rsidR="00246F57">
        <w:rPr>
          <w:rFonts w:asciiTheme="minorHAnsi" w:hAnsiTheme="minorHAnsi" w:cstheme="minorHAnsi"/>
          <w:sz w:val="24"/>
          <w:szCs w:val="24"/>
        </w:rPr>
        <w:t>,</w:t>
      </w:r>
      <w:r w:rsidRPr="00AE1050">
        <w:rPr>
          <w:rFonts w:asciiTheme="minorHAnsi" w:hAnsiTheme="minorHAnsi" w:cstheme="minorHAnsi"/>
          <w:sz w:val="24"/>
          <w:szCs w:val="24"/>
        </w:rPr>
        <w:t xml:space="preserve"> but </w:t>
      </w:r>
      <w:r w:rsidR="001B1C14">
        <w:rPr>
          <w:rFonts w:asciiTheme="minorHAnsi" w:hAnsiTheme="minorHAnsi" w:cstheme="minorHAnsi"/>
          <w:sz w:val="24"/>
          <w:szCs w:val="24"/>
        </w:rPr>
        <w:t>biomarker trial approaches</w:t>
      </w:r>
      <w:r w:rsidR="00FC4E95">
        <w:rPr>
          <w:rFonts w:asciiTheme="minorHAnsi" w:hAnsiTheme="minorHAnsi" w:cstheme="minorHAnsi"/>
          <w:sz w:val="24"/>
          <w:szCs w:val="24"/>
        </w:rPr>
        <w:t>,</w:t>
      </w:r>
      <w:r w:rsidR="001B1C14">
        <w:rPr>
          <w:rFonts w:asciiTheme="minorHAnsi" w:hAnsiTheme="minorHAnsi" w:cstheme="minorHAnsi"/>
          <w:sz w:val="24"/>
          <w:szCs w:val="24"/>
        </w:rPr>
        <w:t xml:space="preserve"> and </w:t>
      </w:r>
      <w:r w:rsidRPr="00AE1050">
        <w:rPr>
          <w:rFonts w:asciiTheme="minorHAnsi" w:hAnsiTheme="minorHAnsi" w:cstheme="minorHAnsi"/>
          <w:sz w:val="24"/>
          <w:szCs w:val="24"/>
        </w:rPr>
        <w:t>the results are variable</w:t>
      </w:r>
      <w:r w:rsidR="007230BB">
        <w:rPr>
          <w:rFonts w:asciiTheme="minorHAnsi" w:hAnsiTheme="minorHAnsi" w:cstheme="minorHAnsi"/>
          <w:sz w:val="24"/>
          <w:szCs w:val="24"/>
        </w:rPr>
        <w:t>,</w:t>
      </w:r>
      <w:r w:rsidR="00FB7D0D">
        <w:rPr>
          <w:rFonts w:asciiTheme="minorHAnsi" w:hAnsiTheme="minorHAnsi" w:cstheme="minorHAnsi"/>
          <w:sz w:val="24"/>
          <w:szCs w:val="24"/>
        </w:rPr>
        <w:t xml:space="preserve"> which leads to uncertainty in decision-making where biomarkers are used.  R</w:t>
      </w:r>
      <w:r w:rsidRPr="00AE1050">
        <w:rPr>
          <w:rFonts w:asciiTheme="minorHAnsi" w:hAnsiTheme="minorHAnsi" w:cstheme="minorHAnsi"/>
          <w:sz w:val="24"/>
          <w:szCs w:val="24"/>
        </w:rPr>
        <w:t xml:space="preserve">esearch is still being undertaken to identify and validate accurate biomarkers.  </w:t>
      </w:r>
    </w:p>
    <w:p w:rsidR="0059350C" w:rsidRPr="00AE1050" w:rsidRDefault="0059350C" w:rsidP="00AE1050">
      <w:pPr>
        <w:pStyle w:val="ListParagraph"/>
        <w:rPr>
          <w:rFonts w:asciiTheme="minorHAnsi" w:hAnsiTheme="minorHAnsi" w:cstheme="minorHAnsi"/>
          <w:sz w:val="24"/>
          <w:szCs w:val="24"/>
        </w:rPr>
      </w:pPr>
    </w:p>
    <w:p w:rsidR="00950A55" w:rsidRPr="00AE1050" w:rsidRDefault="00950A55" w:rsidP="003A22FC">
      <w:pPr>
        <w:pStyle w:val="ListParagraph"/>
        <w:numPr>
          <w:ilvl w:val="1"/>
          <w:numId w:val="5"/>
        </w:numPr>
        <w:spacing w:after="240"/>
        <w:contextualSpacing w:val="0"/>
        <w:rPr>
          <w:rFonts w:asciiTheme="minorHAnsi" w:hAnsiTheme="minorHAnsi" w:cstheme="minorHAnsi"/>
          <w:sz w:val="24"/>
          <w:szCs w:val="24"/>
        </w:rPr>
      </w:pPr>
      <w:r w:rsidRPr="00AE1050">
        <w:rPr>
          <w:rFonts w:asciiTheme="minorHAnsi" w:hAnsiTheme="minorHAnsi" w:cstheme="minorHAnsi"/>
          <w:sz w:val="24"/>
          <w:szCs w:val="24"/>
        </w:rPr>
        <w:t>Th</w:t>
      </w:r>
      <w:r w:rsidR="0041363B">
        <w:rPr>
          <w:rFonts w:asciiTheme="minorHAnsi" w:hAnsiTheme="minorHAnsi" w:cstheme="minorHAnsi"/>
          <w:sz w:val="24"/>
          <w:szCs w:val="24"/>
        </w:rPr>
        <w:t>is</w:t>
      </w:r>
      <w:r w:rsidR="00D10307">
        <w:rPr>
          <w:rFonts w:asciiTheme="minorHAnsi" w:hAnsiTheme="minorHAnsi" w:cstheme="minorHAnsi"/>
          <w:sz w:val="24"/>
          <w:szCs w:val="24"/>
        </w:rPr>
        <w:t xml:space="preserve"> view</w:t>
      </w:r>
      <w:r w:rsidR="0041363B">
        <w:rPr>
          <w:rFonts w:asciiTheme="minorHAnsi" w:hAnsiTheme="minorHAnsi" w:cstheme="minorHAnsi"/>
          <w:sz w:val="24"/>
          <w:szCs w:val="24"/>
        </w:rPr>
        <w:t xml:space="preserve"> is supported by</w:t>
      </w:r>
      <w:r w:rsidR="00D10307">
        <w:rPr>
          <w:rFonts w:asciiTheme="minorHAnsi" w:hAnsiTheme="minorHAnsi" w:cstheme="minorHAnsi"/>
          <w:sz w:val="24"/>
          <w:szCs w:val="24"/>
        </w:rPr>
        <w:t xml:space="preserve"> </w:t>
      </w:r>
      <w:r w:rsidRPr="00AE1050">
        <w:rPr>
          <w:rFonts w:asciiTheme="minorHAnsi" w:hAnsiTheme="minorHAnsi" w:cstheme="minorHAnsi"/>
          <w:sz w:val="24"/>
          <w:szCs w:val="24"/>
        </w:rPr>
        <w:t xml:space="preserve">an analysis of the previous PBAC medicine submissions for </w:t>
      </w:r>
      <w:r w:rsidR="006C361A" w:rsidRPr="00AE1050">
        <w:rPr>
          <w:rFonts w:asciiTheme="minorHAnsi" w:hAnsiTheme="minorHAnsi" w:cstheme="minorHAnsi"/>
          <w:sz w:val="24"/>
          <w:szCs w:val="24"/>
        </w:rPr>
        <w:t>PD</w:t>
      </w:r>
      <w:r w:rsidR="006C361A">
        <w:rPr>
          <w:rFonts w:asciiTheme="minorHAnsi" w:hAnsiTheme="minorHAnsi" w:cstheme="minorHAnsi"/>
          <w:sz w:val="24"/>
          <w:szCs w:val="24"/>
        </w:rPr>
        <w:t>-</w:t>
      </w:r>
      <w:r w:rsidR="006C361A" w:rsidRPr="00AE1050">
        <w:rPr>
          <w:rFonts w:asciiTheme="minorHAnsi" w:hAnsiTheme="minorHAnsi" w:cstheme="minorHAnsi"/>
          <w:sz w:val="24"/>
          <w:szCs w:val="24"/>
        </w:rPr>
        <w:t>(L</w:t>
      </w:r>
      <w:proofErr w:type="gramStart"/>
      <w:r w:rsidR="006C361A" w:rsidRPr="00AE1050">
        <w:rPr>
          <w:rFonts w:asciiTheme="minorHAnsi" w:hAnsiTheme="minorHAnsi" w:cstheme="minorHAnsi"/>
          <w:sz w:val="24"/>
          <w:szCs w:val="24"/>
        </w:rPr>
        <w:t>)1</w:t>
      </w:r>
      <w:proofErr w:type="gramEnd"/>
      <w:r w:rsidR="006C361A">
        <w:rPr>
          <w:rFonts w:asciiTheme="minorHAnsi" w:hAnsiTheme="minorHAnsi" w:cstheme="minorHAnsi"/>
          <w:sz w:val="24"/>
          <w:szCs w:val="24"/>
        </w:rPr>
        <w:t xml:space="preserve"> </w:t>
      </w:r>
      <w:r w:rsidRPr="00AE1050">
        <w:rPr>
          <w:rFonts w:asciiTheme="minorHAnsi" w:hAnsiTheme="minorHAnsi" w:cstheme="minorHAnsi"/>
          <w:sz w:val="24"/>
          <w:szCs w:val="24"/>
        </w:rPr>
        <w:t>checkpoint inhibitors</w:t>
      </w:r>
      <w:r w:rsidR="0041363B">
        <w:rPr>
          <w:rFonts w:asciiTheme="minorHAnsi" w:hAnsiTheme="minorHAnsi" w:cstheme="minorHAnsi"/>
          <w:sz w:val="24"/>
          <w:szCs w:val="24"/>
        </w:rPr>
        <w:t xml:space="preserve"> which</w:t>
      </w:r>
      <w:r w:rsidRPr="00AE1050">
        <w:rPr>
          <w:rFonts w:asciiTheme="minorHAnsi" w:hAnsiTheme="minorHAnsi" w:cstheme="minorHAnsi"/>
          <w:sz w:val="24"/>
          <w:szCs w:val="24"/>
        </w:rPr>
        <w:t xml:space="preserve"> found there was considerable heterogeneity in the clinical outcomes observed across cancer indications; between lines of therapy within a cancer indication for a specific medicine; and between medicines of the same class within a cancer indication, within the same line of therapy. </w:t>
      </w:r>
      <w:r w:rsidR="0041363B">
        <w:rPr>
          <w:rFonts w:asciiTheme="minorHAnsi" w:hAnsiTheme="minorHAnsi" w:cstheme="minorHAnsi"/>
          <w:sz w:val="24"/>
          <w:szCs w:val="24"/>
        </w:rPr>
        <w:t>Based on this analysis, i</w:t>
      </w:r>
      <w:r w:rsidRPr="00AE1050">
        <w:rPr>
          <w:rFonts w:asciiTheme="minorHAnsi" w:hAnsiTheme="minorHAnsi" w:cstheme="minorHAnsi"/>
          <w:sz w:val="24"/>
          <w:szCs w:val="24"/>
        </w:rPr>
        <w:t xml:space="preserve">t did not presently appear possible that an adequate single reference model could be developed that would allow for consideration of different tumour types, </w:t>
      </w:r>
      <w:r w:rsidR="003A22FC">
        <w:rPr>
          <w:rFonts w:asciiTheme="minorHAnsi" w:hAnsiTheme="minorHAnsi" w:cstheme="minorHAnsi"/>
          <w:sz w:val="24"/>
          <w:szCs w:val="24"/>
        </w:rPr>
        <w:t>or biomarker</w:t>
      </w:r>
      <w:r w:rsidR="003A22FC" w:rsidRPr="003A22FC">
        <w:rPr>
          <w:rFonts w:asciiTheme="minorHAnsi" w:hAnsiTheme="minorHAnsi" w:cstheme="minorHAnsi"/>
          <w:sz w:val="24"/>
          <w:szCs w:val="24"/>
        </w:rPr>
        <w:t xml:space="preserve"> defined subgroups</w:t>
      </w:r>
      <w:r w:rsidRPr="00AE1050">
        <w:rPr>
          <w:rFonts w:asciiTheme="minorHAnsi" w:hAnsiTheme="minorHAnsi" w:cstheme="minorHAnsi"/>
          <w:sz w:val="24"/>
          <w:szCs w:val="24"/>
        </w:rPr>
        <w:t>, medicines or lines of therapy.</w:t>
      </w:r>
    </w:p>
    <w:p w:rsidR="003A22FC" w:rsidRPr="003A22FC" w:rsidRDefault="003A22FC" w:rsidP="003A22FC">
      <w:pPr>
        <w:pStyle w:val="ListParagraph"/>
        <w:numPr>
          <w:ilvl w:val="1"/>
          <w:numId w:val="5"/>
        </w:numPr>
        <w:rPr>
          <w:rFonts w:asciiTheme="minorHAnsi" w:hAnsiTheme="minorHAnsi" w:cstheme="minorHAnsi"/>
          <w:sz w:val="24"/>
          <w:szCs w:val="24"/>
        </w:rPr>
      </w:pPr>
      <w:r w:rsidRPr="003A22FC">
        <w:rPr>
          <w:rFonts w:asciiTheme="minorHAnsi" w:hAnsiTheme="minorHAnsi" w:cstheme="minorHAnsi"/>
          <w:sz w:val="24"/>
          <w:szCs w:val="24"/>
        </w:rPr>
        <w:t>The PBAC considered that in the circumstance of limited evidence, or highly extrapolated evidence, there was a significant risk of causing harm either directly (forgoing effective current standard treatments, adverse events) or intangibly (false hope, not resolving patient needs, inadequate provision of palliative care).</w:t>
      </w:r>
    </w:p>
    <w:p w:rsidR="00A44CF9" w:rsidRDefault="00A44CF9" w:rsidP="00457A2C">
      <w:pPr>
        <w:pStyle w:val="ListParagraph"/>
        <w:rPr>
          <w:rFonts w:asciiTheme="minorHAnsi" w:hAnsiTheme="minorHAnsi" w:cstheme="minorHAnsi"/>
          <w:sz w:val="24"/>
          <w:szCs w:val="24"/>
        </w:rPr>
      </w:pPr>
    </w:p>
    <w:p w:rsidR="00A44CF9" w:rsidRDefault="0059350C" w:rsidP="0059350C">
      <w:pPr>
        <w:pStyle w:val="ListParagraph"/>
        <w:numPr>
          <w:ilvl w:val="1"/>
          <w:numId w:val="5"/>
        </w:numPr>
        <w:rPr>
          <w:rFonts w:asciiTheme="minorHAnsi" w:hAnsiTheme="minorHAnsi" w:cstheme="minorHAnsi"/>
          <w:sz w:val="24"/>
          <w:szCs w:val="24"/>
        </w:rPr>
      </w:pPr>
      <w:r w:rsidRPr="00AE1050">
        <w:rPr>
          <w:rFonts w:asciiTheme="minorHAnsi" w:hAnsiTheme="minorHAnsi" w:cstheme="minorHAnsi"/>
          <w:sz w:val="24"/>
          <w:szCs w:val="24"/>
        </w:rPr>
        <w:t xml:space="preserve">The PBAC considered that in general, extrapolation between tumour types, lines of therapy and </w:t>
      </w:r>
      <w:r w:rsidR="006C361A" w:rsidRPr="00AE1050">
        <w:rPr>
          <w:rFonts w:asciiTheme="minorHAnsi" w:hAnsiTheme="minorHAnsi" w:cstheme="minorHAnsi"/>
          <w:sz w:val="24"/>
          <w:szCs w:val="24"/>
        </w:rPr>
        <w:t>PD</w:t>
      </w:r>
      <w:r w:rsidR="006C361A">
        <w:rPr>
          <w:rFonts w:asciiTheme="minorHAnsi" w:hAnsiTheme="minorHAnsi" w:cstheme="minorHAnsi"/>
          <w:sz w:val="24"/>
          <w:szCs w:val="24"/>
        </w:rPr>
        <w:t>-</w:t>
      </w:r>
      <w:r w:rsidR="006C361A" w:rsidRPr="00AE1050">
        <w:rPr>
          <w:rFonts w:asciiTheme="minorHAnsi" w:hAnsiTheme="minorHAnsi" w:cstheme="minorHAnsi"/>
          <w:sz w:val="24"/>
          <w:szCs w:val="24"/>
        </w:rPr>
        <w:t>(L)1</w:t>
      </w:r>
      <w:r w:rsidR="006C361A">
        <w:rPr>
          <w:rFonts w:asciiTheme="minorHAnsi" w:hAnsiTheme="minorHAnsi" w:cstheme="minorHAnsi"/>
          <w:sz w:val="24"/>
          <w:szCs w:val="24"/>
        </w:rPr>
        <w:t xml:space="preserve"> </w:t>
      </w:r>
      <w:r w:rsidR="007027BD" w:rsidRPr="00AE1050">
        <w:rPr>
          <w:rFonts w:asciiTheme="minorHAnsi" w:hAnsiTheme="minorHAnsi" w:cstheme="minorHAnsi"/>
          <w:sz w:val="24"/>
          <w:szCs w:val="24"/>
        </w:rPr>
        <w:t>checkpoint inhibitors</w:t>
      </w:r>
      <w:r w:rsidRPr="00AE1050">
        <w:rPr>
          <w:rFonts w:asciiTheme="minorHAnsi" w:hAnsiTheme="minorHAnsi" w:cstheme="minorHAnsi"/>
          <w:sz w:val="24"/>
          <w:szCs w:val="24"/>
        </w:rPr>
        <w:t xml:space="preserve"> was</w:t>
      </w:r>
      <w:r w:rsidR="00521844" w:rsidRPr="00AE1050">
        <w:rPr>
          <w:rFonts w:asciiTheme="minorHAnsi" w:hAnsiTheme="minorHAnsi" w:cstheme="minorHAnsi"/>
          <w:sz w:val="24"/>
          <w:szCs w:val="24"/>
        </w:rPr>
        <w:t xml:space="preserve"> currently</w:t>
      </w:r>
      <w:r w:rsidRPr="00AE1050">
        <w:rPr>
          <w:rFonts w:asciiTheme="minorHAnsi" w:hAnsiTheme="minorHAnsi" w:cstheme="minorHAnsi"/>
          <w:sz w:val="24"/>
          <w:szCs w:val="24"/>
        </w:rPr>
        <w:t xml:space="preserve"> not reasonable and noted the limited support for various types of extrapolation in the stakeholder submissions. </w:t>
      </w:r>
    </w:p>
    <w:p w:rsidR="00A44CF9" w:rsidRPr="00457A2C" w:rsidRDefault="00A44CF9" w:rsidP="00457A2C">
      <w:pPr>
        <w:pStyle w:val="ListParagraph"/>
        <w:rPr>
          <w:rFonts w:asciiTheme="minorHAnsi" w:hAnsiTheme="minorHAnsi" w:cstheme="minorHAnsi"/>
          <w:sz w:val="24"/>
          <w:szCs w:val="24"/>
        </w:rPr>
      </w:pPr>
    </w:p>
    <w:p w:rsidR="00A44CF9" w:rsidRDefault="007027BD" w:rsidP="0059350C">
      <w:pPr>
        <w:pStyle w:val="ListParagraph"/>
        <w:numPr>
          <w:ilvl w:val="1"/>
          <w:numId w:val="5"/>
        </w:numPr>
        <w:rPr>
          <w:rFonts w:asciiTheme="minorHAnsi" w:hAnsiTheme="minorHAnsi" w:cstheme="minorHAnsi"/>
          <w:sz w:val="24"/>
          <w:szCs w:val="24"/>
        </w:rPr>
      </w:pPr>
      <w:r w:rsidRPr="00AE1050">
        <w:rPr>
          <w:rFonts w:asciiTheme="minorHAnsi" w:hAnsiTheme="minorHAnsi" w:cstheme="minorHAnsi"/>
          <w:sz w:val="24"/>
          <w:szCs w:val="24"/>
        </w:rPr>
        <w:t>However</w:t>
      </w:r>
      <w:r w:rsidR="00D10307">
        <w:rPr>
          <w:rFonts w:asciiTheme="minorHAnsi" w:hAnsiTheme="minorHAnsi" w:cstheme="minorHAnsi"/>
          <w:sz w:val="24"/>
          <w:szCs w:val="24"/>
        </w:rPr>
        <w:t>, the PBAC considered</w:t>
      </w:r>
      <w:r w:rsidRPr="00AE1050">
        <w:rPr>
          <w:rFonts w:asciiTheme="minorHAnsi" w:hAnsiTheme="minorHAnsi" w:cstheme="minorHAnsi"/>
          <w:sz w:val="24"/>
          <w:szCs w:val="24"/>
        </w:rPr>
        <w:t xml:space="preserve"> this </w:t>
      </w:r>
      <w:r w:rsidR="00A44CF9">
        <w:rPr>
          <w:rFonts w:asciiTheme="minorHAnsi" w:hAnsiTheme="minorHAnsi" w:cstheme="minorHAnsi"/>
          <w:sz w:val="24"/>
          <w:szCs w:val="24"/>
        </w:rPr>
        <w:t>i</w:t>
      </w:r>
      <w:r w:rsidR="00A44CF9" w:rsidRPr="00AE1050">
        <w:rPr>
          <w:rFonts w:asciiTheme="minorHAnsi" w:hAnsiTheme="minorHAnsi" w:cstheme="minorHAnsi"/>
          <w:sz w:val="24"/>
          <w:szCs w:val="24"/>
        </w:rPr>
        <w:t xml:space="preserve">s </w:t>
      </w:r>
      <w:r w:rsidRPr="00AE1050">
        <w:rPr>
          <w:rFonts w:asciiTheme="minorHAnsi" w:hAnsiTheme="minorHAnsi" w:cstheme="minorHAnsi"/>
          <w:sz w:val="24"/>
          <w:szCs w:val="24"/>
        </w:rPr>
        <w:t>not true for all uses of these medicines.  For example, substantial evidence and experience is</w:t>
      </w:r>
      <w:r w:rsidR="0000524D" w:rsidRPr="00AE1050">
        <w:rPr>
          <w:rFonts w:asciiTheme="minorHAnsi" w:hAnsiTheme="minorHAnsi" w:cstheme="minorHAnsi"/>
          <w:sz w:val="24"/>
          <w:szCs w:val="24"/>
        </w:rPr>
        <w:t xml:space="preserve"> available for </w:t>
      </w:r>
      <w:r w:rsidR="006C361A" w:rsidRPr="00AE1050">
        <w:rPr>
          <w:rFonts w:asciiTheme="minorHAnsi" w:hAnsiTheme="minorHAnsi" w:cstheme="minorHAnsi"/>
          <w:sz w:val="24"/>
          <w:szCs w:val="24"/>
        </w:rPr>
        <w:t>PD</w:t>
      </w:r>
      <w:r w:rsidR="006C361A">
        <w:rPr>
          <w:rFonts w:asciiTheme="minorHAnsi" w:hAnsiTheme="minorHAnsi" w:cstheme="minorHAnsi"/>
          <w:sz w:val="24"/>
          <w:szCs w:val="24"/>
        </w:rPr>
        <w:t>-</w:t>
      </w:r>
      <w:r w:rsidR="006C361A" w:rsidRPr="00AE1050">
        <w:rPr>
          <w:rFonts w:asciiTheme="minorHAnsi" w:hAnsiTheme="minorHAnsi" w:cstheme="minorHAnsi"/>
          <w:sz w:val="24"/>
          <w:szCs w:val="24"/>
        </w:rPr>
        <w:t>(L</w:t>
      </w:r>
      <w:proofErr w:type="gramStart"/>
      <w:r w:rsidR="006C361A" w:rsidRPr="00AE1050">
        <w:rPr>
          <w:rFonts w:asciiTheme="minorHAnsi" w:hAnsiTheme="minorHAnsi" w:cstheme="minorHAnsi"/>
          <w:sz w:val="24"/>
          <w:szCs w:val="24"/>
        </w:rPr>
        <w:t>)1</w:t>
      </w:r>
      <w:proofErr w:type="gramEnd"/>
      <w:r w:rsidR="006C361A">
        <w:rPr>
          <w:rFonts w:asciiTheme="minorHAnsi" w:hAnsiTheme="minorHAnsi" w:cstheme="minorHAnsi"/>
          <w:sz w:val="24"/>
          <w:szCs w:val="24"/>
        </w:rPr>
        <w:t xml:space="preserve"> </w:t>
      </w:r>
      <w:r w:rsidR="0000524D" w:rsidRPr="00AE1050">
        <w:rPr>
          <w:rFonts w:asciiTheme="minorHAnsi" w:hAnsiTheme="minorHAnsi" w:cstheme="minorHAnsi"/>
          <w:sz w:val="24"/>
          <w:szCs w:val="24"/>
        </w:rPr>
        <w:t xml:space="preserve">checkpoint </w:t>
      </w:r>
      <w:r w:rsidR="0000524D" w:rsidRPr="00AE1050">
        <w:rPr>
          <w:rFonts w:asciiTheme="minorHAnsi" w:hAnsiTheme="minorHAnsi" w:cstheme="minorHAnsi"/>
          <w:sz w:val="24"/>
          <w:szCs w:val="24"/>
        </w:rPr>
        <w:lastRenderedPageBreak/>
        <w:t xml:space="preserve">inhibitors in lung cancer and consideration of a broader lung cancer listing across all </w:t>
      </w:r>
      <w:r w:rsidR="006C361A" w:rsidRPr="00AE1050">
        <w:rPr>
          <w:rFonts w:asciiTheme="minorHAnsi" w:hAnsiTheme="minorHAnsi" w:cstheme="minorHAnsi"/>
          <w:sz w:val="24"/>
          <w:szCs w:val="24"/>
        </w:rPr>
        <w:t>PD</w:t>
      </w:r>
      <w:r w:rsidR="006C361A">
        <w:rPr>
          <w:rFonts w:asciiTheme="minorHAnsi" w:hAnsiTheme="minorHAnsi" w:cstheme="minorHAnsi"/>
          <w:sz w:val="24"/>
          <w:szCs w:val="24"/>
        </w:rPr>
        <w:t>-</w:t>
      </w:r>
      <w:r w:rsidR="006C361A" w:rsidRPr="00AE1050">
        <w:rPr>
          <w:rFonts w:asciiTheme="minorHAnsi" w:hAnsiTheme="minorHAnsi" w:cstheme="minorHAnsi"/>
          <w:sz w:val="24"/>
          <w:szCs w:val="24"/>
        </w:rPr>
        <w:t>(L)1</w:t>
      </w:r>
      <w:r w:rsidR="006C361A">
        <w:rPr>
          <w:rFonts w:asciiTheme="minorHAnsi" w:hAnsiTheme="minorHAnsi" w:cstheme="minorHAnsi"/>
          <w:sz w:val="24"/>
          <w:szCs w:val="24"/>
        </w:rPr>
        <w:t xml:space="preserve"> </w:t>
      </w:r>
      <w:r w:rsidR="0000524D" w:rsidRPr="00AE1050">
        <w:rPr>
          <w:rFonts w:asciiTheme="minorHAnsi" w:hAnsiTheme="minorHAnsi" w:cstheme="minorHAnsi"/>
          <w:sz w:val="24"/>
          <w:szCs w:val="24"/>
        </w:rPr>
        <w:t>checkpoint inhibitors may be warranted.</w:t>
      </w:r>
      <w:r w:rsidRPr="00AE1050">
        <w:rPr>
          <w:rFonts w:asciiTheme="minorHAnsi" w:hAnsiTheme="minorHAnsi" w:cstheme="minorHAnsi"/>
          <w:sz w:val="24"/>
          <w:szCs w:val="24"/>
        </w:rPr>
        <w:t xml:space="preserve">  </w:t>
      </w:r>
    </w:p>
    <w:p w:rsidR="007027BD" w:rsidRPr="00AE1050" w:rsidRDefault="007027BD" w:rsidP="00AE1050">
      <w:pPr>
        <w:pStyle w:val="ListParagraph"/>
        <w:rPr>
          <w:rFonts w:asciiTheme="minorHAnsi" w:hAnsiTheme="minorHAnsi" w:cstheme="minorHAnsi"/>
          <w:sz w:val="24"/>
          <w:szCs w:val="24"/>
        </w:rPr>
      </w:pPr>
    </w:p>
    <w:p w:rsidR="005E6AF4" w:rsidRDefault="005E6AF4" w:rsidP="005E6AF4">
      <w:pPr>
        <w:pStyle w:val="ListParagraph"/>
        <w:numPr>
          <w:ilvl w:val="1"/>
          <w:numId w:val="5"/>
        </w:numPr>
        <w:rPr>
          <w:rFonts w:asciiTheme="minorHAnsi" w:hAnsiTheme="minorHAnsi" w:cstheme="minorHAnsi"/>
          <w:sz w:val="24"/>
          <w:szCs w:val="24"/>
        </w:rPr>
      </w:pPr>
      <w:r w:rsidRPr="005E6AF4">
        <w:rPr>
          <w:rFonts w:asciiTheme="minorHAnsi" w:hAnsiTheme="minorHAnsi" w:cstheme="minorHAnsi"/>
          <w:sz w:val="24"/>
          <w:szCs w:val="24"/>
        </w:rPr>
        <w:t>The PBAC noted that, contrary to the assertion of Medicines Australia (and others), that applications for PBS subsidy could only be made for a</w:t>
      </w:r>
      <w:r w:rsidR="00D10307">
        <w:rPr>
          <w:rFonts w:asciiTheme="minorHAnsi" w:hAnsiTheme="minorHAnsi" w:cstheme="minorHAnsi"/>
          <w:sz w:val="24"/>
          <w:szCs w:val="24"/>
        </w:rPr>
        <w:t>n</w:t>
      </w:r>
      <w:r w:rsidRPr="005E6AF4">
        <w:rPr>
          <w:rFonts w:asciiTheme="minorHAnsi" w:hAnsiTheme="minorHAnsi" w:cstheme="minorHAnsi"/>
          <w:sz w:val="24"/>
          <w:szCs w:val="24"/>
        </w:rPr>
        <w:t xml:space="preserve"> indication/single tumour type at a time, a</w:t>
      </w:r>
      <w:r w:rsidR="00FA3BB4">
        <w:rPr>
          <w:rFonts w:asciiTheme="minorHAnsi" w:hAnsiTheme="minorHAnsi" w:cstheme="minorHAnsi"/>
          <w:sz w:val="24"/>
          <w:szCs w:val="24"/>
        </w:rPr>
        <w:t xml:space="preserve"> biomarker/mutation </w:t>
      </w:r>
      <w:r w:rsidRPr="005E6AF4">
        <w:rPr>
          <w:rFonts w:asciiTheme="minorHAnsi" w:hAnsiTheme="minorHAnsi" w:cstheme="minorHAnsi"/>
          <w:sz w:val="24"/>
          <w:szCs w:val="24"/>
        </w:rPr>
        <w:t>multi-tumour submission is possible using current processes and Managed Access Program arrangements.  Applicants seeking a broad listing for a tumour group based on a biological marker or other</w:t>
      </w:r>
      <w:r w:rsidR="00FA3BB4">
        <w:rPr>
          <w:rFonts w:asciiTheme="minorHAnsi" w:hAnsiTheme="minorHAnsi" w:cstheme="minorHAnsi"/>
          <w:sz w:val="24"/>
          <w:szCs w:val="24"/>
        </w:rPr>
        <w:t xml:space="preserve"> common</w:t>
      </w:r>
      <w:r w:rsidRPr="005E6AF4">
        <w:rPr>
          <w:rFonts w:asciiTheme="minorHAnsi" w:hAnsiTheme="minorHAnsi" w:cstheme="minorHAnsi"/>
          <w:sz w:val="24"/>
          <w:szCs w:val="24"/>
        </w:rPr>
        <w:t xml:space="preserve"> feature can make applications for subsidy now providing they have some evidence to show effectiveness for that group of cancers. There are no specific barriers to such an application.  However, no sponsor has availed itself of this opportunity to date.</w:t>
      </w:r>
    </w:p>
    <w:p w:rsidR="002E30FA" w:rsidRPr="00DB1D7D" w:rsidRDefault="002E30FA" w:rsidP="00DB1D7D">
      <w:pPr>
        <w:pStyle w:val="ListParagraph"/>
        <w:rPr>
          <w:rFonts w:asciiTheme="minorHAnsi" w:hAnsiTheme="minorHAnsi" w:cstheme="minorHAnsi"/>
          <w:sz w:val="24"/>
          <w:szCs w:val="24"/>
        </w:rPr>
      </w:pPr>
    </w:p>
    <w:p w:rsidR="00CF2982" w:rsidRDefault="002E30FA" w:rsidP="00CF2982">
      <w:pPr>
        <w:pStyle w:val="ListParagraph"/>
        <w:numPr>
          <w:ilvl w:val="1"/>
          <w:numId w:val="5"/>
        </w:numPr>
        <w:rPr>
          <w:rFonts w:asciiTheme="minorHAnsi" w:hAnsiTheme="minorHAnsi" w:cstheme="minorHAnsi"/>
          <w:sz w:val="24"/>
          <w:szCs w:val="24"/>
        </w:rPr>
      </w:pPr>
      <w:r w:rsidRPr="00F90B87">
        <w:rPr>
          <w:rFonts w:asciiTheme="minorHAnsi" w:hAnsiTheme="minorHAnsi" w:cstheme="minorHAnsi"/>
          <w:sz w:val="24"/>
          <w:szCs w:val="24"/>
        </w:rPr>
        <w:t xml:space="preserve">The PBAC </w:t>
      </w:r>
      <w:r w:rsidR="00F90B87" w:rsidRPr="00F90B87">
        <w:rPr>
          <w:rFonts w:asciiTheme="minorHAnsi" w:hAnsiTheme="minorHAnsi" w:cstheme="minorHAnsi"/>
          <w:sz w:val="24"/>
          <w:szCs w:val="24"/>
        </w:rPr>
        <w:t>s</w:t>
      </w:r>
      <w:r w:rsidRPr="00F90B87">
        <w:rPr>
          <w:rFonts w:asciiTheme="minorHAnsi" w:hAnsiTheme="minorHAnsi" w:cstheme="minorHAnsi"/>
          <w:sz w:val="24"/>
          <w:szCs w:val="24"/>
        </w:rPr>
        <w:t>upport</w:t>
      </w:r>
      <w:r w:rsidR="00F90B87" w:rsidRPr="00F90B87">
        <w:rPr>
          <w:rFonts w:asciiTheme="minorHAnsi" w:hAnsiTheme="minorHAnsi" w:cstheme="minorHAnsi"/>
          <w:sz w:val="24"/>
          <w:szCs w:val="24"/>
        </w:rPr>
        <w:t>s</w:t>
      </w:r>
      <w:r w:rsidRPr="00F90B87">
        <w:rPr>
          <w:rFonts w:asciiTheme="minorHAnsi" w:hAnsiTheme="minorHAnsi" w:cstheme="minorHAnsi"/>
          <w:sz w:val="24"/>
          <w:szCs w:val="24"/>
        </w:rPr>
        <w:t xml:space="preserve"> the </w:t>
      </w:r>
      <w:r w:rsidR="00CF2982">
        <w:rPr>
          <w:rFonts w:asciiTheme="minorHAnsi" w:hAnsiTheme="minorHAnsi" w:cstheme="minorHAnsi"/>
          <w:sz w:val="24"/>
          <w:szCs w:val="24"/>
        </w:rPr>
        <w:t>use</w:t>
      </w:r>
      <w:r w:rsidR="00CF2982" w:rsidRPr="00F90B87">
        <w:rPr>
          <w:rFonts w:asciiTheme="minorHAnsi" w:hAnsiTheme="minorHAnsi" w:cstheme="minorHAnsi"/>
          <w:sz w:val="24"/>
          <w:szCs w:val="24"/>
        </w:rPr>
        <w:t xml:space="preserve"> </w:t>
      </w:r>
      <w:r w:rsidRPr="00F90B87">
        <w:rPr>
          <w:rFonts w:asciiTheme="minorHAnsi" w:hAnsiTheme="minorHAnsi" w:cstheme="minorHAnsi"/>
          <w:sz w:val="24"/>
          <w:szCs w:val="24"/>
        </w:rPr>
        <w:t>of different types of evidenc</w:t>
      </w:r>
      <w:r w:rsidR="0097229E">
        <w:rPr>
          <w:rFonts w:asciiTheme="minorHAnsi" w:hAnsiTheme="minorHAnsi" w:cstheme="minorHAnsi"/>
          <w:sz w:val="24"/>
          <w:szCs w:val="24"/>
        </w:rPr>
        <w:t xml:space="preserve">e providing </w:t>
      </w:r>
      <w:r w:rsidR="00F90B87" w:rsidRPr="00F90B87">
        <w:rPr>
          <w:rFonts w:asciiTheme="minorHAnsi" w:hAnsiTheme="minorHAnsi" w:cstheme="minorHAnsi"/>
          <w:sz w:val="24"/>
          <w:szCs w:val="24"/>
        </w:rPr>
        <w:t>that the</w:t>
      </w:r>
      <w:r w:rsidRPr="00F90B87">
        <w:rPr>
          <w:rFonts w:asciiTheme="minorHAnsi" w:hAnsiTheme="minorHAnsi" w:cstheme="minorHAnsi"/>
          <w:sz w:val="24"/>
          <w:szCs w:val="24"/>
        </w:rPr>
        <w:t xml:space="preserve"> </w:t>
      </w:r>
      <w:r w:rsidR="00FE54D4">
        <w:rPr>
          <w:rFonts w:asciiTheme="minorHAnsi" w:hAnsiTheme="minorHAnsi" w:cstheme="minorHAnsi"/>
          <w:sz w:val="24"/>
          <w:szCs w:val="24"/>
        </w:rPr>
        <w:t xml:space="preserve">evidence allows the </w:t>
      </w:r>
      <w:r w:rsidRPr="00F90B87">
        <w:rPr>
          <w:rFonts w:asciiTheme="minorHAnsi" w:hAnsiTheme="minorHAnsi" w:cstheme="minorHAnsi"/>
          <w:sz w:val="24"/>
          <w:szCs w:val="24"/>
        </w:rPr>
        <w:t>PBAC</w:t>
      </w:r>
      <w:r w:rsidR="00FE54D4">
        <w:rPr>
          <w:rFonts w:asciiTheme="minorHAnsi" w:hAnsiTheme="minorHAnsi" w:cstheme="minorHAnsi"/>
          <w:sz w:val="24"/>
          <w:szCs w:val="24"/>
        </w:rPr>
        <w:t xml:space="preserve"> to </w:t>
      </w:r>
      <w:r w:rsidRPr="00F90B87">
        <w:rPr>
          <w:rFonts w:asciiTheme="minorHAnsi" w:hAnsiTheme="minorHAnsi" w:cstheme="minorHAnsi"/>
          <w:sz w:val="24"/>
          <w:szCs w:val="24"/>
        </w:rPr>
        <w:t xml:space="preserve">make a judgement about </w:t>
      </w:r>
      <w:r w:rsidR="00FE54D4">
        <w:rPr>
          <w:rFonts w:asciiTheme="minorHAnsi" w:hAnsiTheme="minorHAnsi" w:cstheme="minorHAnsi"/>
          <w:sz w:val="24"/>
          <w:szCs w:val="24"/>
        </w:rPr>
        <w:t xml:space="preserve">relative </w:t>
      </w:r>
      <w:r w:rsidRPr="00F90B87">
        <w:rPr>
          <w:rFonts w:asciiTheme="minorHAnsi" w:hAnsiTheme="minorHAnsi" w:cstheme="minorHAnsi"/>
          <w:sz w:val="24"/>
          <w:szCs w:val="24"/>
        </w:rPr>
        <w:t>value.</w:t>
      </w:r>
      <w:r w:rsidR="00CF2982">
        <w:rPr>
          <w:rFonts w:asciiTheme="minorHAnsi" w:hAnsiTheme="minorHAnsi" w:cstheme="minorHAnsi"/>
          <w:sz w:val="24"/>
          <w:szCs w:val="24"/>
        </w:rPr>
        <w:t xml:space="preserve"> </w:t>
      </w:r>
      <w:r w:rsidR="00F90B87" w:rsidRPr="00F90B87">
        <w:rPr>
          <w:rFonts w:asciiTheme="minorHAnsi" w:hAnsiTheme="minorHAnsi" w:cstheme="minorHAnsi"/>
          <w:sz w:val="24"/>
          <w:szCs w:val="24"/>
        </w:rPr>
        <w:t xml:space="preserve">Within the range of </w:t>
      </w:r>
      <w:r w:rsidR="00CF2982">
        <w:rPr>
          <w:rFonts w:asciiTheme="minorHAnsi" w:hAnsiTheme="minorHAnsi" w:cstheme="minorHAnsi"/>
          <w:sz w:val="24"/>
          <w:szCs w:val="24"/>
        </w:rPr>
        <w:t xml:space="preserve">clinical </w:t>
      </w:r>
      <w:r w:rsidR="00F90B87" w:rsidRPr="00F90B87">
        <w:rPr>
          <w:rFonts w:asciiTheme="minorHAnsi" w:hAnsiTheme="minorHAnsi" w:cstheme="minorHAnsi"/>
          <w:sz w:val="24"/>
          <w:szCs w:val="24"/>
        </w:rPr>
        <w:t xml:space="preserve">study types available, some provide better and some worse bases for decision makers.  For example, </w:t>
      </w:r>
      <w:r w:rsidRPr="00F90B87">
        <w:rPr>
          <w:rFonts w:asciiTheme="minorHAnsi" w:hAnsiTheme="minorHAnsi" w:cstheme="minorHAnsi"/>
          <w:sz w:val="24"/>
          <w:szCs w:val="24"/>
        </w:rPr>
        <w:t xml:space="preserve">basket trials test one type of targeted therapy on several tumour types. </w:t>
      </w:r>
      <w:r w:rsidR="00F90B87">
        <w:rPr>
          <w:rFonts w:asciiTheme="minorHAnsi" w:hAnsiTheme="minorHAnsi" w:cstheme="minorHAnsi"/>
          <w:sz w:val="24"/>
          <w:szCs w:val="24"/>
        </w:rPr>
        <w:t>However</w:t>
      </w:r>
      <w:r w:rsidR="006554B8">
        <w:rPr>
          <w:rFonts w:asciiTheme="minorHAnsi" w:hAnsiTheme="minorHAnsi" w:cstheme="minorHAnsi"/>
          <w:sz w:val="24"/>
          <w:szCs w:val="24"/>
        </w:rPr>
        <w:t>,</w:t>
      </w:r>
      <w:r w:rsidR="00F90B87">
        <w:rPr>
          <w:rFonts w:asciiTheme="minorHAnsi" w:hAnsiTheme="minorHAnsi" w:cstheme="minorHAnsi"/>
          <w:sz w:val="24"/>
          <w:szCs w:val="24"/>
        </w:rPr>
        <w:t xml:space="preserve"> these trials </w:t>
      </w:r>
      <w:r w:rsidRPr="00F90B87">
        <w:rPr>
          <w:rFonts w:asciiTheme="minorHAnsi" w:hAnsiTheme="minorHAnsi" w:cstheme="minorHAnsi"/>
          <w:sz w:val="24"/>
          <w:szCs w:val="24"/>
        </w:rPr>
        <w:t>do</w:t>
      </w:r>
      <w:r w:rsidR="006554B8">
        <w:rPr>
          <w:rFonts w:asciiTheme="minorHAnsi" w:hAnsiTheme="minorHAnsi" w:cstheme="minorHAnsi"/>
          <w:sz w:val="24"/>
          <w:szCs w:val="24"/>
        </w:rPr>
        <w:t xml:space="preserve"> not</w:t>
      </w:r>
      <w:r w:rsidRPr="00F90B87">
        <w:rPr>
          <w:rFonts w:asciiTheme="minorHAnsi" w:hAnsiTheme="minorHAnsi" w:cstheme="minorHAnsi"/>
          <w:sz w:val="24"/>
          <w:szCs w:val="24"/>
        </w:rPr>
        <w:t xml:space="preserve"> </w:t>
      </w:r>
      <w:r w:rsidR="00F90B87">
        <w:rPr>
          <w:rFonts w:asciiTheme="minorHAnsi" w:hAnsiTheme="minorHAnsi" w:cstheme="minorHAnsi"/>
          <w:sz w:val="24"/>
          <w:szCs w:val="24"/>
        </w:rPr>
        <w:t>include</w:t>
      </w:r>
      <w:r w:rsidRPr="00F90B87">
        <w:rPr>
          <w:rFonts w:asciiTheme="minorHAnsi" w:hAnsiTheme="minorHAnsi" w:cstheme="minorHAnsi"/>
          <w:sz w:val="24"/>
          <w:szCs w:val="24"/>
        </w:rPr>
        <w:t xml:space="preserve"> controls and are almost entirely reliant on response rates as the signal of effect (which is a poor predictor of benefit for </w:t>
      </w:r>
      <w:r w:rsidR="0013691A">
        <w:rPr>
          <w:rFonts w:asciiTheme="minorHAnsi" w:hAnsiTheme="minorHAnsi" w:cstheme="minorHAnsi"/>
          <w:sz w:val="24"/>
          <w:szCs w:val="24"/>
        </w:rPr>
        <w:t>many</w:t>
      </w:r>
      <w:r w:rsidR="0013691A" w:rsidRPr="00F90B87">
        <w:rPr>
          <w:rFonts w:asciiTheme="minorHAnsi" w:hAnsiTheme="minorHAnsi" w:cstheme="minorHAnsi"/>
          <w:sz w:val="24"/>
          <w:szCs w:val="24"/>
        </w:rPr>
        <w:t xml:space="preserve"> </w:t>
      </w:r>
      <w:r w:rsidRPr="00F90B87">
        <w:rPr>
          <w:rFonts w:asciiTheme="minorHAnsi" w:hAnsiTheme="minorHAnsi" w:cstheme="minorHAnsi"/>
          <w:sz w:val="24"/>
          <w:szCs w:val="24"/>
        </w:rPr>
        <w:t xml:space="preserve">tumours). So these studies are </w:t>
      </w:r>
      <w:r w:rsidR="00CF2982" w:rsidRPr="00CF2982">
        <w:rPr>
          <w:rFonts w:asciiTheme="minorHAnsi" w:hAnsiTheme="minorHAnsi" w:cstheme="minorHAnsi"/>
          <w:sz w:val="24"/>
          <w:szCs w:val="24"/>
        </w:rPr>
        <w:t xml:space="preserve">at best </w:t>
      </w:r>
      <w:r w:rsidR="00246F57">
        <w:rPr>
          <w:rFonts w:asciiTheme="minorHAnsi" w:hAnsiTheme="minorHAnsi" w:cstheme="minorHAnsi"/>
          <w:sz w:val="24"/>
          <w:szCs w:val="24"/>
        </w:rPr>
        <w:t>‘</w:t>
      </w:r>
      <w:r w:rsidR="00CF2982" w:rsidRPr="00CF2982">
        <w:rPr>
          <w:rFonts w:asciiTheme="minorHAnsi" w:hAnsiTheme="minorHAnsi" w:cstheme="minorHAnsi"/>
          <w:sz w:val="24"/>
          <w:szCs w:val="24"/>
        </w:rPr>
        <w:t>signal finding</w:t>
      </w:r>
      <w:r w:rsidR="00246F57">
        <w:rPr>
          <w:rFonts w:asciiTheme="minorHAnsi" w:hAnsiTheme="minorHAnsi" w:cstheme="minorHAnsi"/>
          <w:sz w:val="24"/>
          <w:szCs w:val="24"/>
        </w:rPr>
        <w:t>’</w:t>
      </w:r>
      <w:r w:rsidR="00CF2982" w:rsidRPr="00CF2982">
        <w:rPr>
          <w:rFonts w:asciiTheme="minorHAnsi" w:hAnsiTheme="minorHAnsi" w:cstheme="minorHAnsi"/>
          <w:sz w:val="24"/>
          <w:szCs w:val="24"/>
        </w:rPr>
        <w:t xml:space="preserve"> trials </w:t>
      </w:r>
      <w:r w:rsidR="00CF2982">
        <w:rPr>
          <w:rFonts w:asciiTheme="minorHAnsi" w:hAnsiTheme="minorHAnsi" w:cstheme="minorHAnsi"/>
          <w:sz w:val="24"/>
          <w:szCs w:val="24"/>
        </w:rPr>
        <w:t>and</w:t>
      </w:r>
      <w:r w:rsidR="00473CC0">
        <w:rPr>
          <w:rFonts w:asciiTheme="minorHAnsi" w:hAnsiTheme="minorHAnsi" w:cstheme="minorHAnsi"/>
          <w:sz w:val="24"/>
          <w:szCs w:val="24"/>
        </w:rPr>
        <w:t xml:space="preserve">, while useful </w:t>
      </w:r>
      <w:r w:rsidR="0013691A">
        <w:rPr>
          <w:rFonts w:asciiTheme="minorHAnsi" w:hAnsiTheme="minorHAnsi" w:cstheme="minorHAnsi"/>
          <w:sz w:val="24"/>
          <w:szCs w:val="24"/>
        </w:rPr>
        <w:t xml:space="preserve">innovations in clinical research, </w:t>
      </w:r>
      <w:r w:rsidR="00CF2982">
        <w:rPr>
          <w:rFonts w:asciiTheme="minorHAnsi" w:hAnsiTheme="minorHAnsi" w:cstheme="minorHAnsi"/>
          <w:sz w:val="24"/>
          <w:szCs w:val="24"/>
        </w:rPr>
        <w:t xml:space="preserve">may </w:t>
      </w:r>
      <w:r w:rsidRPr="00F90B87">
        <w:rPr>
          <w:rFonts w:asciiTheme="minorHAnsi" w:hAnsiTheme="minorHAnsi" w:cstheme="minorHAnsi"/>
          <w:sz w:val="24"/>
          <w:szCs w:val="24"/>
        </w:rPr>
        <w:t>not</w:t>
      </w:r>
      <w:r w:rsidR="00CF2982">
        <w:rPr>
          <w:rFonts w:asciiTheme="minorHAnsi" w:hAnsiTheme="minorHAnsi" w:cstheme="minorHAnsi"/>
          <w:sz w:val="24"/>
          <w:szCs w:val="24"/>
        </w:rPr>
        <w:t xml:space="preserve"> be</w:t>
      </w:r>
      <w:r w:rsidRPr="00F90B87">
        <w:rPr>
          <w:rFonts w:asciiTheme="minorHAnsi" w:hAnsiTheme="minorHAnsi" w:cstheme="minorHAnsi"/>
          <w:sz w:val="24"/>
          <w:szCs w:val="24"/>
        </w:rPr>
        <w:t xml:space="preserve"> that useful for decision making</w:t>
      </w:r>
      <w:r w:rsidR="00473CC0">
        <w:rPr>
          <w:rFonts w:asciiTheme="minorHAnsi" w:hAnsiTheme="minorHAnsi" w:cstheme="minorHAnsi"/>
          <w:sz w:val="24"/>
          <w:szCs w:val="24"/>
        </w:rPr>
        <w:t xml:space="preserve"> for reimbursement</w:t>
      </w:r>
      <w:r w:rsidRPr="00F90B87">
        <w:rPr>
          <w:rFonts w:asciiTheme="minorHAnsi" w:hAnsiTheme="minorHAnsi" w:cstheme="minorHAnsi"/>
          <w:sz w:val="24"/>
          <w:szCs w:val="24"/>
        </w:rPr>
        <w:t xml:space="preserve">. </w:t>
      </w:r>
      <w:r w:rsidR="00F90B87">
        <w:rPr>
          <w:rFonts w:asciiTheme="minorHAnsi" w:hAnsiTheme="minorHAnsi" w:cstheme="minorHAnsi"/>
          <w:sz w:val="24"/>
          <w:szCs w:val="24"/>
        </w:rPr>
        <w:t xml:space="preserve"> On the other hand, u</w:t>
      </w:r>
      <w:r w:rsidRPr="00F90B87">
        <w:rPr>
          <w:rFonts w:asciiTheme="minorHAnsi" w:hAnsiTheme="minorHAnsi" w:cstheme="minorHAnsi"/>
          <w:sz w:val="24"/>
          <w:szCs w:val="24"/>
        </w:rPr>
        <w:t>mbrella studies allow for testing multiple targeted treatments for one or more tumour types and incorporate randomisation in the sub-studies</w:t>
      </w:r>
      <w:r w:rsidR="00F90B87">
        <w:rPr>
          <w:rFonts w:asciiTheme="minorHAnsi" w:hAnsiTheme="minorHAnsi" w:cstheme="minorHAnsi"/>
          <w:sz w:val="24"/>
          <w:szCs w:val="24"/>
        </w:rPr>
        <w:t>. P</w:t>
      </w:r>
      <w:r w:rsidRPr="00F90B87">
        <w:rPr>
          <w:rFonts w:asciiTheme="minorHAnsi" w:hAnsiTheme="minorHAnsi" w:cstheme="minorHAnsi"/>
          <w:sz w:val="24"/>
          <w:szCs w:val="24"/>
        </w:rPr>
        <w:t xml:space="preserve">latform trials have advantages over </w:t>
      </w:r>
      <w:r w:rsidR="00F90B87">
        <w:rPr>
          <w:rFonts w:asciiTheme="minorHAnsi" w:hAnsiTheme="minorHAnsi" w:cstheme="minorHAnsi"/>
          <w:sz w:val="24"/>
          <w:szCs w:val="24"/>
        </w:rPr>
        <w:t>both</w:t>
      </w:r>
      <w:r w:rsidR="00F90B87" w:rsidRPr="00F90B87">
        <w:rPr>
          <w:rFonts w:asciiTheme="minorHAnsi" w:hAnsiTheme="minorHAnsi" w:cstheme="minorHAnsi"/>
          <w:sz w:val="24"/>
          <w:szCs w:val="24"/>
        </w:rPr>
        <w:t xml:space="preserve"> </w:t>
      </w:r>
      <w:r w:rsidR="0066622B">
        <w:rPr>
          <w:rFonts w:asciiTheme="minorHAnsi" w:hAnsiTheme="minorHAnsi" w:cstheme="minorHAnsi"/>
          <w:sz w:val="24"/>
          <w:szCs w:val="24"/>
        </w:rPr>
        <w:t xml:space="preserve">these </w:t>
      </w:r>
      <w:r w:rsidRPr="00F90B87">
        <w:rPr>
          <w:rFonts w:asciiTheme="minorHAnsi" w:hAnsiTheme="minorHAnsi" w:cstheme="minorHAnsi"/>
          <w:sz w:val="24"/>
          <w:szCs w:val="24"/>
        </w:rPr>
        <w:t xml:space="preserve">other two approaches but they also have limitations </w:t>
      </w:r>
      <w:r w:rsidR="00F90B87">
        <w:rPr>
          <w:rFonts w:asciiTheme="minorHAnsi" w:hAnsiTheme="minorHAnsi" w:cstheme="minorHAnsi"/>
          <w:sz w:val="24"/>
          <w:szCs w:val="24"/>
        </w:rPr>
        <w:t>including that they</w:t>
      </w:r>
      <w:r w:rsidRPr="00F90B87">
        <w:rPr>
          <w:rFonts w:asciiTheme="minorHAnsi" w:hAnsiTheme="minorHAnsi" w:cstheme="minorHAnsi"/>
          <w:sz w:val="24"/>
          <w:szCs w:val="24"/>
        </w:rPr>
        <w:t xml:space="preserve"> take a long time</w:t>
      </w:r>
      <w:r w:rsidR="00F90B87">
        <w:rPr>
          <w:rFonts w:asciiTheme="minorHAnsi" w:hAnsiTheme="minorHAnsi" w:cstheme="minorHAnsi"/>
          <w:sz w:val="24"/>
          <w:szCs w:val="24"/>
        </w:rPr>
        <w:t xml:space="preserve"> and</w:t>
      </w:r>
      <w:r w:rsidRPr="00F90B87">
        <w:rPr>
          <w:rFonts w:asciiTheme="minorHAnsi" w:hAnsiTheme="minorHAnsi" w:cstheme="minorHAnsi"/>
          <w:sz w:val="24"/>
          <w:szCs w:val="24"/>
        </w:rPr>
        <w:t xml:space="preserve"> involve Bayesian methodology</w:t>
      </w:r>
      <w:r w:rsidR="00F90B87">
        <w:rPr>
          <w:rFonts w:asciiTheme="minorHAnsi" w:hAnsiTheme="minorHAnsi" w:cstheme="minorHAnsi"/>
          <w:sz w:val="24"/>
          <w:szCs w:val="24"/>
        </w:rPr>
        <w:t>.</w:t>
      </w:r>
      <w:r w:rsidR="004A2E29">
        <w:rPr>
          <w:rFonts w:asciiTheme="minorHAnsi" w:hAnsiTheme="minorHAnsi" w:cstheme="minorHAnsi"/>
          <w:sz w:val="24"/>
          <w:szCs w:val="24"/>
        </w:rPr>
        <w:t xml:space="preserve"> </w:t>
      </w:r>
    </w:p>
    <w:p w:rsidR="004A2E29" w:rsidRPr="00FA3BB4" w:rsidRDefault="004A2E29" w:rsidP="00FA3BB4">
      <w:pPr>
        <w:pStyle w:val="ListParagraph"/>
        <w:rPr>
          <w:rFonts w:asciiTheme="minorHAnsi" w:hAnsiTheme="minorHAnsi" w:cstheme="minorHAnsi"/>
          <w:sz w:val="24"/>
          <w:szCs w:val="24"/>
        </w:rPr>
      </w:pPr>
    </w:p>
    <w:p w:rsidR="004A2E29" w:rsidRDefault="004A2E29" w:rsidP="00CF2982">
      <w:pPr>
        <w:pStyle w:val="ListParagraph"/>
        <w:numPr>
          <w:ilvl w:val="1"/>
          <w:numId w:val="5"/>
        </w:numPr>
        <w:rPr>
          <w:rFonts w:asciiTheme="minorHAnsi" w:hAnsiTheme="minorHAnsi" w:cstheme="minorHAnsi"/>
          <w:sz w:val="24"/>
          <w:szCs w:val="24"/>
        </w:rPr>
      </w:pPr>
      <w:r>
        <w:rPr>
          <w:rFonts w:asciiTheme="minorHAnsi" w:hAnsiTheme="minorHAnsi" w:cstheme="minorHAnsi"/>
          <w:sz w:val="24"/>
          <w:szCs w:val="24"/>
        </w:rPr>
        <w:t>The PBAC noted that other types of evidence can also be used in reimbursement submissions, including evidence from early stage clinical trials and real-world evidence.  Of critical importance for the PBAC is the suitability of the evidence base for informing an assessment of the comparative benefits and harms of the proposed new treatment with currently available treatments.</w:t>
      </w:r>
    </w:p>
    <w:p w:rsidR="00CF2982" w:rsidRPr="0066622B" w:rsidRDefault="00CF2982" w:rsidP="0066622B">
      <w:pPr>
        <w:pStyle w:val="ListParagraph"/>
        <w:rPr>
          <w:rFonts w:asciiTheme="minorHAnsi" w:hAnsiTheme="minorHAnsi" w:cstheme="minorHAnsi"/>
          <w:sz w:val="24"/>
          <w:szCs w:val="24"/>
        </w:rPr>
      </w:pPr>
    </w:p>
    <w:p w:rsidR="0066622B" w:rsidRPr="00FC78B0" w:rsidRDefault="00CF2982" w:rsidP="0066622B">
      <w:pPr>
        <w:pStyle w:val="ListParagraph"/>
        <w:numPr>
          <w:ilvl w:val="1"/>
          <w:numId w:val="5"/>
        </w:numPr>
        <w:rPr>
          <w:rFonts w:asciiTheme="minorHAnsi" w:hAnsiTheme="minorHAnsi" w:cstheme="minorHAnsi"/>
          <w:sz w:val="24"/>
          <w:szCs w:val="24"/>
        </w:rPr>
      </w:pPr>
      <w:r w:rsidRPr="00FC78B0">
        <w:rPr>
          <w:rFonts w:asciiTheme="minorHAnsi" w:hAnsiTheme="minorHAnsi" w:cstheme="minorHAnsi"/>
          <w:sz w:val="24"/>
          <w:szCs w:val="24"/>
        </w:rPr>
        <w:t xml:space="preserve">The PBAC also </w:t>
      </w:r>
      <w:r w:rsidR="00431E8D" w:rsidRPr="00FC78B0">
        <w:rPr>
          <w:rFonts w:asciiTheme="minorHAnsi" w:hAnsiTheme="minorHAnsi" w:cstheme="minorHAnsi"/>
          <w:sz w:val="24"/>
          <w:szCs w:val="24"/>
        </w:rPr>
        <w:t>considered it</w:t>
      </w:r>
      <w:r w:rsidR="0066622B" w:rsidRPr="00FC78B0">
        <w:rPr>
          <w:rFonts w:asciiTheme="minorHAnsi" w:hAnsiTheme="minorHAnsi" w:cstheme="minorHAnsi"/>
          <w:sz w:val="24"/>
          <w:szCs w:val="24"/>
        </w:rPr>
        <w:t xml:space="preserve"> </w:t>
      </w:r>
      <w:r w:rsidRPr="00FC78B0">
        <w:rPr>
          <w:rFonts w:asciiTheme="minorHAnsi" w:hAnsiTheme="minorHAnsi" w:cstheme="minorHAnsi"/>
          <w:sz w:val="24"/>
          <w:szCs w:val="24"/>
        </w:rPr>
        <w:t xml:space="preserve">pertinent </w:t>
      </w:r>
      <w:r w:rsidR="00FC696D" w:rsidRPr="00FC78B0">
        <w:rPr>
          <w:rFonts w:asciiTheme="minorHAnsi" w:hAnsiTheme="minorHAnsi" w:cstheme="minorHAnsi"/>
          <w:sz w:val="24"/>
          <w:szCs w:val="24"/>
        </w:rPr>
        <w:t xml:space="preserve">that </w:t>
      </w:r>
      <w:r w:rsidRPr="00FC78B0">
        <w:rPr>
          <w:rFonts w:asciiTheme="minorHAnsi" w:hAnsiTheme="minorHAnsi" w:cstheme="minorHAnsi"/>
          <w:sz w:val="24"/>
          <w:szCs w:val="24"/>
        </w:rPr>
        <w:t xml:space="preserve">there are very few </w:t>
      </w:r>
      <w:r w:rsidR="00D10307" w:rsidRPr="00FC78B0">
        <w:rPr>
          <w:rFonts w:asciiTheme="minorHAnsi" w:hAnsiTheme="minorHAnsi" w:cstheme="minorHAnsi"/>
          <w:sz w:val="24"/>
          <w:szCs w:val="24"/>
        </w:rPr>
        <w:t xml:space="preserve">current </w:t>
      </w:r>
      <w:r w:rsidRPr="00FC78B0">
        <w:rPr>
          <w:rFonts w:asciiTheme="minorHAnsi" w:hAnsiTheme="minorHAnsi" w:cstheme="minorHAnsi"/>
          <w:sz w:val="24"/>
          <w:szCs w:val="24"/>
        </w:rPr>
        <w:t>examples of biomarkers reliably predicting response across tumour types</w:t>
      </w:r>
      <w:r w:rsidR="00431E8D" w:rsidRPr="00FC78B0">
        <w:rPr>
          <w:rFonts w:asciiTheme="minorHAnsi" w:hAnsiTheme="minorHAnsi" w:cstheme="minorHAnsi"/>
          <w:sz w:val="24"/>
          <w:szCs w:val="24"/>
        </w:rPr>
        <w:t xml:space="preserve">.  For example, although BRAF mutations usefully predict response to BRAF inhibitors in melanoma, BRAF inhibitors are not active in BRAF-mutant </w:t>
      </w:r>
      <w:r w:rsidR="0066622B" w:rsidRPr="00FC78B0">
        <w:rPr>
          <w:rFonts w:asciiTheme="minorHAnsi" w:hAnsiTheme="minorHAnsi" w:cstheme="minorHAnsi"/>
          <w:sz w:val="24"/>
          <w:szCs w:val="24"/>
        </w:rPr>
        <w:t>c</w:t>
      </w:r>
      <w:r w:rsidR="00431E8D" w:rsidRPr="00FC78B0">
        <w:rPr>
          <w:rFonts w:asciiTheme="minorHAnsi" w:hAnsiTheme="minorHAnsi" w:cstheme="minorHAnsi"/>
          <w:sz w:val="24"/>
          <w:szCs w:val="24"/>
        </w:rPr>
        <w:t xml:space="preserve">olorectal cancer; HER2 usefully predicts response to </w:t>
      </w:r>
      <w:proofErr w:type="spellStart"/>
      <w:r w:rsidR="00431E8D" w:rsidRPr="00FC78B0">
        <w:rPr>
          <w:rFonts w:asciiTheme="minorHAnsi" w:hAnsiTheme="minorHAnsi" w:cstheme="minorHAnsi"/>
          <w:sz w:val="24"/>
          <w:szCs w:val="24"/>
        </w:rPr>
        <w:t>trastuzumab</w:t>
      </w:r>
      <w:proofErr w:type="spellEnd"/>
      <w:r w:rsidR="00431E8D" w:rsidRPr="00FC78B0">
        <w:rPr>
          <w:rFonts w:asciiTheme="minorHAnsi" w:hAnsiTheme="minorHAnsi" w:cstheme="minorHAnsi"/>
          <w:sz w:val="24"/>
          <w:szCs w:val="24"/>
        </w:rPr>
        <w:t xml:space="preserve"> in breast cancer</w:t>
      </w:r>
      <w:r w:rsidR="00D10307" w:rsidRPr="00FC78B0">
        <w:rPr>
          <w:rFonts w:asciiTheme="minorHAnsi" w:hAnsiTheme="minorHAnsi" w:cstheme="minorHAnsi"/>
          <w:sz w:val="24"/>
          <w:szCs w:val="24"/>
        </w:rPr>
        <w:t xml:space="preserve"> and</w:t>
      </w:r>
      <w:r w:rsidR="00431E8D" w:rsidRPr="00FC78B0">
        <w:rPr>
          <w:rFonts w:asciiTheme="minorHAnsi" w:hAnsiTheme="minorHAnsi" w:cstheme="minorHAnsi"/>
          <w:sz w:val="24"/>
          <w:szCs w:val="24"/>
        </w:rPr>
        <w:t xml:space="preserve"> is a more modest predictor of response in gastric cancer</w:t>
      </w:r>
      <w:r w:rsidR="00D10307" w:rsidRPr="00FC78B0">
        <w:rPr>
          <w:rFonts w:asciiTheme="minorHAnsi" w:hAnsiTheme="minorHAnsi" w:cstheme="minorHAnsi"/>
          <w:sz w:val="24"/>
          <w:szCs w:val="24"/>
        </w:rPr>
        <w:t>,</w:t>
      </w:r>
      <w:r w:rsidR="00431E8D" w:rsidRPr="00FC78B0">
        <w:rPr>
          <w:rFonts w:asciiTheme="minorHAnsi" w:hAnsiTheme="minorHAnsi" w:cstheme="minorHAnsi"/>
          <w:sz w:val="24"/>
          <w:szCs w:val="24"/>
        </w:rPr>
        <w:t xml:space="preserve"> but has not otherwise proven to be a useful predictor for response.</w:t>
      </w:r>
      <w:r w:rsidR="00D10307" w:rsidRPr="00FC78B0">
        <w:rPr>
          <w:rFonts w:asciiTheme="minorHAnsi" w:hAnsiTheme="minorHAnsi" w:cstheme="minorHAnsi"/>
          <w:sz w:val="24"/>
          <w:szCs w:val="24"/>
        </w:rPr>
        <w:t xml:space="preserve"> </w:t>
      </w:r>
      <w:r w:rsidR="006F6CFA">
        <w:rPr>
          <w:rFonts w:asciiTheme="minorHAnsi" w:hAnsiTheme="minorHAnsi" w:cstheme="minorHAnsi"/>
          <w:sz w:val="24"/>
          <w:szCs w:val="24"/>
        </w:rPr>
        <w:t>[Redacted text]</w:t>
      </w:r>
      <w:r w:rsidR="00925068">
        <w:rPr>
          <w:rFonts w:asciiTheme="minorHAnsi" w:hAnsiTheme="minorHAnsi" w:cstheme="minorHAnsi"/>
          <w:noProof/>
          <w:color w:val="000000"/>
          <w:sz w:val="24"/>
          <w:szCs w:val="24"/>
          <w:highlight w:val="black"/>
        </w:rPr>
        <w:t>''''' ''''''''' '''' ''''''' '''''''''''''' '''''''''''' '''' ''''''' ''''''''' '''''''''''''''' ''''''''' '''''''''''''''''' ''''''''''''''''''''' ''''''''' ''''''''' '''' ''''''''''' '''''''' ''' '''''''''''''''''''''' ''''''''''''''''' '''' '''''''''' ''''' ''' ''''''''''''' ''''''''' ''''' ''''''''' '''' '''''''''''''''''' '''''''''''''''''''''''' '''''''' ''''''''''''''' '''''''''''''' '''''''''' ''' '''''''''''''''''' '''''''''''</w:t>
      </w:r>
    </w:p>
    <w:p w:rsidR="00431E8D" w:rsidRDefault="00431E8D" w:rsidP="008D50F8">
      <w:pPr>
        <w:pStyle w:val="ListParagraph"/>
        <w:rPr>
          <w:rFonts w:asciiTheme="minorHAnsi" w:hAnsiTheme="minorHAnsi" w:cstheme="minorHAnsi"/>
          <w:sz w:val="24"/>
          <w:szCs w:val="24"/>
        </w:rPr>
      </w:pPr>
    </w:p>
    <w:p w:rsidR="00925068" w:rsidRPr="00431E8D" w:rsidRDefault="00925068" w:rsidP="008D50F8">
      <w:pPr>
        <w:pStyle w:val="ListParagraph"/>
        <w:rPr>
          <w:rFonts w:asciiTheme="minorHAnsi" w:hAnsiTheme="minorHAnsi" w:cstheme="minorHAnsi"/>
          <w:sz w:val="24"/>
          <w:szCs w:val="24"/>
        </w:rPr>
      </w:pPr>
    </w:p>
    <w:p w:rsidR="00D10307" w:rsidRDefault="00CF2982" w:rsidP="00230018">
      <w:pPr>
        <w:pStyle w:val="ListParagraph"/>
        <w:numPr>
          <w:ilvl w:val="1"/>
          <w:numId w:val="5"/>
        </w:numPr>
        <w:rPr>
          <w:rFonts w:asciiTheme="minorHAnsi" w:hAnsiTheme="minorHAnsi" w:cstheme="minorHAnsi"/>
          <w:sz w:val="24"/>
          <w:szCs w:val="24"/>
        </w:rPr>
      </w:pPr>
      <w:r w:rsidRPr="00BC3A9A">
        <w:rPr>
          <w:rFonts w:asciiTheme="minorHAnsi" w:hAnsiTheme="minorHAnsi" w:cstheme="minorHAnsi"/>
          <w:sz w:val="24"/>
          <w:szCs w:val="24"/>
        </w:rPr>
        <w:t>Overall, the PBAC</w:t>
      </w:r>
      <w:r w:rsidR="00BC3A9A" w:rsidRPr="00BC3A9A">
        <w:rPr>
          <w:rFonts w:asciiTheme="minorHAnsi" w:hAnsiTheme="minorHAnsi" w:cstheme="minorHAnsi"/>
          <w:sz w:val="24"/>
          <w:szCs w:val="24"/>
        </w:rPr>
        <w:t xml:space="preserve"> considered it may be appropriate for further guidance to be developed on </w:t>
      </w:r>
      <w:r w:rsidR="00BC3A9A">
        <w:rPr>
          <w:rFonts w:asciiTheme="minorHAnsi" w:hAnsiTheme="minorHAnsi" w:cstheme="minorHAnsi"/>
          <w:sz w:val="24"/>
          <w:szCs w:val="24"/>
        </w:rPr>
        <w:t>approaches to multi-</w:t>
      </w:r>
      <w:r w:rsidR="00FA3BB4">
        <w:rPr>
          <w:rFonts w:asciiTheme="minorHAnsi" w:hAnsiTheme="minorHAnsi" w:cstheme="minorHAnsi"/>
          <w:sz w:val="24"/>
          <w:szCs w:val="24"/>
        </w:rPr>
        <w:t>tumour</w:t>
      </w:r>
      <w:r w:rsidR="00BC3A9A">
        <w:rPr>
          <w:rFonts w:asciiTheme="minorHAnsi" w:hAnsiTheme="minorHAnsi" w:cstheme="minorHAnsi"/>
          <w:sz w:val="24"/>
          <w:szCs w:val="24"/>
        </w:rPr>
        <w:t xml:space="preserve"> submissions</w:t>
      </w:r>
      <w:r w:rsidR="00FA3BB4">
        <w:rPr>
          <w:rFonts w:asciiTheme="minorHAnsi" w:hAnsiTheme="minorHAnsi" w:cstheme="minorHAnsi"/>
          <w:sz w:val="24"/>
          <w:szCs w:val="24"/>
        </w:rPr>
        <w:t xml:space="preserve"> based on a biomarker, mutation or other common feature.</w:t>
      </w:r>
    </w:p>
    <w:p w:rsidR="002E30FA" w:rsidRPr="002E30FA" w:rsidRDefault="00BC3A9A" w:rsidP="008D50F8">
      <w:pPr>
        <w:pStyle w:val="ListParagraph"/>
        <w:rPr>
          <w:rFonts w:asciiTheme="minorHAnsi" w:hAnsiTheme="minorHAnsi" w:cstheme="minorHAnsi"/>
          <w:sz w:val="24"/>
          <w:szCs w:val="24"/>
        </w:rPr>
      </w:pPr>
      <w:r w:rsidRPr="00BC3A9A">
        <w:rPr>
          <w:rFonts w:asciiTheme="minorHAnsi" w:hAnsiTheme="minorHAnsi" w:cstheme="minorHAnsi"/>
          <w:sz w:val="24"/>
          <w:szCs w:val="24"/>
        </w:rPr>
        <w:t xml:space="preserve"> </w:t>
      </w:r>
      <w:r w:rsidR="00CF2982" w:rsidRPr="00BC3A9A">
        <w:rPr>
          <w:rFonts w:asciiTheme="minorHAnsi" w:hAnsiTheme="minorHAnsi" w:cstheme="minorHAnsi"/>
          <w:sz w:val="24"/>
          <w:szCs w:val="24"/>
        </w:rPr>
        <w:t xml:space="preserve">  </w:t>
      </w:r>
    </w:p>
    <w:p w:rsidR="007027BD" w:rsidRPr="00AE1050" w:rsidRDefault="0000524D" w:rsidP="0059350C">
      <w:pPr>
        <w:pStyle w:val="ListParagraph"/>
        <w:numPr>
          <w:ilvl w:val="1"/>
          <w:numId w:val="5"/>
        </w:numPr>
        <w:rPr>
          <w:rFonts w:asciiTheme="minorHAnsi" w:hAnsiTheme="minorHAnsi" w:cstheme="minorHAnsi"/>
          <w:sz w:val="24"/>
          <w:szCs w:val="24"/>
        </w:rPr>
      </w:pPr>
      <w:r w:rsidRPr="00AE1050">
        <w:rPr>
          <w:rFonts w:asciiTheme="minorHAnsi" w:hAnsiTheme="minorHAnsi" w:cstheme="minorHAnsi"/>
          <w:sz w:val="24"/>
          <w:szCs w:val="24"/>
        </w:rPr>
        <w:t xml:space="preserve">The PBAC noted that Medicines Australia and MSD’s proposals comprised three separate elements. </w:t>
      </w:r>
      <w:r w:rsidR="007027BD" w:rsidRPr="00AE1050">
        <w:rPr>
          <w:rFonts w:asciiTheme="minorHAnsi" w:hAnsiTheme="minorHAnsi" w:cstheme="minorHAnsi"/>
          <w:sz w:val="24"/>
          <w:szCs w:val="24"/>
        </w:rPr>
        <w:t xml:space="preserve"> </w:t>
      </w:r>
    </w:p>
    <w:p w:rsidR="00F6619E" w:rsidRPr="00AE1050" w:rsidRDefault="00F6619E" w:rsidP="00AE1050">
      <w:pPr>
        <w:pStyle w:val="ListParagraph"/>
        <w:rPr>
          <w:rFonts w:asciiTheme="minorHAnsi" w:hAnsiTheme="minorHAnsi" w:cstheme="minorHAnsi"/>
          <w:sz w:val="24"/>
          <w:szCs w:val="24"/>
        </w:rPr>
      </w:pPr>
    </w:p>
    <w:p w:rsidR="00F6619E" w:rsidRPr="00AE1050" w:rsidRDefault="00F6619E" w:rsidP="00AE1050">
      <w:pPr>
        <w:pStyle w:val="ListParagraph"/>
        <w:numPr>
          <w:ilvl w:val="2"/>
          <w:numId w:val="5"/>
        </w:numPr>
        <w:ind w:left="1418" w:hanging="709"/>
        <w:rPr>
          <w:rFonts w:asciiTheme="minorHAnsi" w:hAnsiTheme="minorHAnsi" w:cstheme="minorHAnsi"/>
          <w:sz w:val="24"/>
          <w:szCs w:val="24"/>
        </w:rPr>
      </w:pPr>
      <w:r w:rsidRPr="00AE1050">
        <w:rPr>
          <w:rFonts w:asciiTheme="minorHAnsi" w:hAnsiTheme="minorHAnsi" w:cstheme="minorHAnsi"/>
          <w:sz w:val="24"/>
          <w:szCs w:val="24"/>
        </w:rPr>
        <w:t xml:space="preserve">A streamlined </w:t>
      </w:r>
      <w:r w:rsidRPr="00AE1050">
        <w:rPr>
          <w:rFonts w:asciiTheme="minorHAnsi" w:eastAsiaTheme="minorHAnsi" w:hAnsiTheme="minorHAnsi" w:cstheme="minorHAnsi"/>
          <w:sz w:val="24"/>
          <w:szCs w:val="24"/>
        </w:rPr>
        <w:t xml:space="preserve">submission process for second and subsequent PBS indications (“follow on indications”) for which randomised clinical trials are being pursued, using a pre-agreed per patient cost (anchor price) and patient numbers to enable early listing, with verification of cost effectiveness and price adjustment (upwards or downwards, </w:t>
      </w:r>
      <w:r w:rsidRPr="00AE1050">
        <w:rPr>
          <w:rFonts w:asciiTheme="minorHAnsi" w:eastAsiaTheme="minorHAnsi" w:hAnsiTheme="minorHAnsi" w:cstheme="minorHAnsi"/>
          <w:sz w:val="24"/>
          <w:szCs w:val="24"/>
          <w:u w:val="single"/>
        </w:rPr>
        <w:t>but not retrospectively</w:t>
      </w:r>
      <w:r w:rsidRPr="00AE1050">
        <w:rPr>
          <w:rFonts w:asciiTheme="minorHAnsi" w:eastAsiaTheme="minorHAnsi" w:hAnsiTheme="minorHAnsi" w:cstheme="minorHAnsi"/>
          <w:sz w:val="24"/>
          <w:szCs w:val="24"/>
        </w:rPr>
        <w:t xml:space="preserve">) </w:t>
      </w:r>
      <w:r w:rsidR="00246F57">
        <w:rPr>
          <w:rFonts w:asciiTheme="minorHAnsi" w:eastAsiaTheme="minorHAnsi" w:hAnsiTheme="minorHAnsi" w:cstheme="minorHAnsi"/>
          <w:sz w:val="24"/>
          <w:szCs w:val="24"/>
        </w:rPr>
        <w:t xml:space="preserve">after </w:t>
      </w:r>
      <w:r w:rsidRPr="00AE1050">
        <w:rPr>
          <w:rFonts w:asciiTheme="minorHAnsi" w:eastAsiaTheme="minorHAnsi" w:hAnsiTheme="minorHAnsi" w:cstheme="minorHAnsi"/>
          <w:sz w:val="24"/>
          <w:szCs w:val="24"/>
        </w:rPr>
        <w:t xml:space="preserve">four years </w:t>
      </w:r>
      <w:r w:rsidR="00246F57">
        <w:rPr>
          <w:rFonts w:asciiTheme="minorHAnsi" w:eastAsiaTheme="minorHAnsi" w:hAnsiTheme="minorHAnsi" w:cstheme="minorHAnsi"/>
          <w:sz w:val="24"/>
          <w:szCs w:val="24"/>
        </w:rPr>
        <w:t>of</w:t>
      </w:r>
      <w:r w:rsidR="00246F57" w:rsidRPr="00AE1050">
        <w:rPr>
          <w:rFonts w:asciiTheme="minorHAnsi" w:eastAsiaTheme="minorHAnsi" w:hAnsiTheme="minorHAnsi" w:cstheme="minorHAnsi"/>
          <w:sz w:val="24"/>
          <w:szCs w:val="24"/>
        </w:rPr>
        <w:t xml:space="preserve"> </w:t>
      </w:r>
      <w:r w:rsidRPr="00AE1050">
        <w:rPr>
          <w:rFonts w:asciiTheme="minorHAnsi" w:eastAsiaTheme="minorHAnsi" w:hAnsiTheme="minorHAnsi" w:cstheme="minorHAnsi"/>
          <w:sz w:val="24"/>
          <w:szCs w:val="24"/>
        </w:rPr>
        <w:t>listing;</w:t>
      </w:r>
    </w:p>
    <w:p w:rsidR="00AE1050" w:rsidRPr="00AE1050" w:rsidRDefault="00AE1050" w:rsidP="00AE1050">
      <w:pPr>
        <w:pStyle w:val="ListParagraph"/>
        <w:ind w:left="1418"/>
        <w:rPr>
          <w:rFonts w:asciiTheme="minorHAnsi" w:hAnsiTheme="minorHAnsi" w:cstheme="minorHAnsi"/>
          <w:sz w:val="24"/>
          <w:szCs w:val="24"/>
        </w:rPr>
      </w:pPr>
    </w:p>
    <w:p w:rsidR="00AE1050" w:rsidRPr="00AE1050" w:rsidRDefault="00F6619E" w:rsidP="00AE1050">
      <w:pPr>
        <w:pStyle w:val="ListParagraph"/>
        <w:numPr>
          <w:ilvl w:val="2"/>
          <w:numId w:val="5"/>
        </w:numPr>
        <w:ind w:left="1418" w:hanging="709"/>
        <w:rPr>
          <w:rFonts w:asciiTheme="minorHAnsi" w:hAnsiTheme="minorHAnsi" w:cstheme="minorHAnsi"/>
          <w:sz w:val="24"/>
          <w:szCs w:val="24"/>
        </w:rPr>
      </w:pPr>
      <w:r w:rsidRPr="00AE1050">
        <w:rPr>
          <w:rFonts w:asciiTheme="minorHAnsi" w:hAnsiTheme="minorHAnsi" w:cstheme="minorHAnsi"/>
          <w:sz w:val="24"/>
          <w:szCs w:val="24"/>
        </w:rPr>
        <w:t>A pay-for</w:t>
      </w:r>
      <w:r w:rsidRPr="00AE1050">
        <w:rPr>
          <w:rFonts w:asciiTheme="minorHAnsi" w:eastAsiaTheme="minorHAnsi" w:hAnsiTheme="minorHAnsi" w:cstheme="minorHAnsi"/>
          <w:sz w:val="24"/>
          <w:szCs w:val="24"/>
        </w:rPr>
        <w:t>-performance type pathway for rare diseases with limited data but biological plausibility for response; and</w:t>
      </w:r>
    </w:p>
    <w:p w:rsidR="00F6619E" w:rsidRPr="00AE1050" w:rsidRDefault="00F6619E" w:rsidP="00AE1050">
      <w:pPr>
        <w:pStyle w:val="ListParagraph"/>
        <w:ind w:left="1418"/>
        <w:rPr>
          <w:rFonts w:asciiTheme="minorHAnsi" w:hAnsiTheme="minorHAnsi" w:cstheme="minorHAnsi"/>
          <w:sz w:val="24"/>
          <w:szCs w:val="24"/>
        </w:rPr>
      </w:pPr>
      <w:r w:rsidRPr="00AE1050">
        <w:rPr>
          <w:rFonts w:asciiTheme="minorHAnsi" w:eastAsiaTheme="minorHAnsi" w:hAnsiTheme="minorHAnsi" w:cstheme="minorHAnsi"/>
          <w:sz w:val="24"/>
          <w:szCs w:val="24"/>
        </w:rPr>
        <w:t xml:space="preserve"> </w:t>
      </w:r>
    </w:p>
    <w:p w:rsidR="00AD3440" w:rsidRPr="00AE1050" w:rsidRDefault="00F6619E" w:rsidP="00AE1050">
      <w:pPr>
        <w:pStyle w:val="ListParagraph"/>
        <w:numPr>
          <w:ilvl w:val="2"/>
          <w:numId w:val="5"/>
        </w:numPr>
        <w:ind w:left="1418" w:hanging="709"/>
        <w:rPr>
          <w:rFonts w:asciiTheme="minorHAnsi" w:hAnsiTheme="minorHAnsi" w:cstheme="minorHAnsi"/>
          <w:sz w:val="24"/>
          <w:szCs w:val="24"/>
        </w:rPr>
      </w:pPr>
      <w:r w:rsidRPr="00AE1050">
        <w:rPr>
          <w:rFonts w:asciiTheme="minorHAnsi" w:hAnsiTheme="minorHAnsi" w:cstheme="minorHAnsi"/>
          <w:sz w:val="24"/>
          <w:szCs w:val="24"/>
        </w:rPr>
        <w:t>A price volume arrangement covering 3 years, to complement the other two elements, manage the overall budget, and allow for sponsors to offer discounts.</w:t>
      </w:r>
    </w:p>
    <w:p w:rsidR="00F6619E" w:rsidRPr="00AE1050" w:rsidRDefault="00F6619E" w:rsidP="00AE1050">
      <w:pPr>
        <w:pStyle w:val="ListParagraph"/>
        <w:ind w:left="1418"/>
        <w:rPr>
          <w:rFonts w:asciiTheme="minorHAnsi" w:hAnsiTheme="minorHAnsi" w:cstheme="minorHAnsi"/>
          <w:sz w:val="24"/>
          <w:szCs w:val="24"/>
        </w:rPr>
      </w:pPr>
      <w:r w:rsidRPr="00AE1050">
        <w:rPr>
          <w:rFonts w:asciiTheme="minorHAnsi" w:hAnsiTheme="minorHAnsi" w:cstheme="minorHAnsi"/>
          <w:sz w:val="24"/>
          <w:szCs w:val="24"/>
        </w:rPr>
        <w:t xml:space="preserve">  </w:t>
      </w:r>
    </w:p>
    <w:p w:rsidR="00F6619E" w:rsidRPr="00AE1050" w:rsidRDefault="00AD3440" w:rsidP="00A60D6F">
      <w:pPr>
        <w:pStyle w:val="ListParagraph"/>
        <w:numPr>
          <w:ilvl w:val="1"/>
          <w:numId w:val="5"/>
        </w:numPr>
        <w:rPr>
          <w:rFonts w:asciiTheme="minorHAnsi" w:hAnsiTheme="minorHAnsi" w:cstheme="minorHAnsi"/>
          <w:sz w:val="24"/>
          <w:szCs w:val="24"/>
        </w:rPr>
      </w:pPr>
      <w:r w:rsidRPr="00AE1050">
        <w:rPr>
          <w:rFonts w:asciiTheme="minorHAnsi" w:hAnsiTheme="minorHAnsi" w:cstheme="minorHAnsi"/>
          <w:sz w:val="24"/>
          <w:szCs w:val="24"/>
        </w:rPr>
        <w:t>The PBAC</w:t>
      </w:r>
      <w:r w:rsidR="00AD53EF">
        <w:rPr>
          <w:rFonts w:asciiTheme="minorHAnsi" w:hAnsiTheme="minorHAnsi" w:cstheme="minorHAnsi"/>
          <w:sz w:val="24"/>
          <w:szCs w:val="24"/>
        </w:rPr>
        <w:t xml:space="preserve"> acknowledged the potential utility of such a</w:t>
      </w:r>
      <w:r w:rsidR="00246F57">
        <w:rPr>
          <w:rFonts w:asciiTheme="minorHAnsi" w:hAnsiTheme="minorHAnsi" w:cstheme="minorHAnsi"/>
          <w:sz w:val="24"/>
          <w:szCs w:val="24"/>
        </w:rPr>
        <w:t xml:space="preserve"> broad</w:t>
      </w:r>
      <w:r w:rsidR="00AD53EF">
        <w:rPr>
          <w:rFonts w:asciiTheme="minorHAnsi" w:hAnsiTheme="minorHAnsi" w:cstheme="minorHAnsi"/>
          <w:sz w:val="24"/>
          <w:szCs w:val="24"/>
        </w:rPr>
        <w:t xml:space="preserve"> approach, but </w:t>
      </w:r>
      <w:r w:rsidRPr="00AE1050">
        <w:rPr>
          <w:rFonts w:asciiTheme="minorHAnsi" w:hAnsiTheme="minorHAnsi" w:cstheme="minorHAnsi"/>
          <w:sz w:val="24"/>
          <w:szCs w:val="24"/>
        </w:rPr>
        <w:t xml:space="preserve">had a number of concerns with </w:t>
      </w:r>
      <w:r w:rsidR="00AD53EF">
        <w:rPr>
          <w:rFonts w:asciiTheme="minorHAnsi" w:hAnsiTheme="minorHAnsi" w:cstheme="minorHAnsi"/>
          <w:sz w:val="24"/>
          <w:szCs w:val="24"/>
        </w:rPr>
        <w:t xml:space="preserve">how </w:t>
      </w:r>
      <w:r w:rsidRPr="00AE1050">
        <w:rPr>
          <w:rFonts w:asciiTheme="minorHAnsi" w:hAnsiTheme="minorHAnsi" w:cstheme="minorHAnsi"/>
          <w:sz w:val="24"/>
          <w:szCs w:val="24"/>
        </w:rPr>
        <w:t>th</w:t>
      </w:r>
      <w:r w:rsidR="00D4160F">
        <w:rPr>
          <w:rFonts w:asciiTheme="minorHAnsi" w:hAnsiTheme="minorHAnsi" w:cstheme="minorHAnsi"/>
          <w:sz w:val="24"/>
          <w:szCs w:val="24"/>
        </w:rPr>
        <w:t>e</w:t>
      </w:r>
      <w:r w:rsidRPr="00AE1050">
        <w:rPr>
          <w:rFonts w:asciiTheme="minorHAnsi" w:hAnsiTheme="minorHAnsi" w:cstheme="minorHAnsi"/>
          <w:sz w:val="24"/>
          <w:szCs w:val="24"/>
        </w:rPr>
        <w:t xml:space="preserve">se proposals </w:t>
      </w:r>
      <w:r w:rsidR="00AD53EF">
        <w:rPr>
          <w:rFonts w:asciiTheme="minorHAnsi" w:hAnsiTheme="minorHAnsi" w:cstheme="minorHAnsi"/>
          <w:sz w:val="24"/>
          <w:szCs w:val="24"/>
        </w:rPr>
        <w:t>could be used to improve time to access</w:t>
      </w:r>
      <w:r w:rsidR="00D4160F">
        <w:rPr>
          <w:rFonts w:asciiTheme="minorHAnsi" w:hAnsiTheme="minorHAnsi" w:cstheme="minorHAnsi"/>
          <w:sz w:val="24"/>
          <w:szCs w:val="24"/>
        </w:rPr>
        <w:t xml:space="preserve"> </w:t>
      </w:r>
      <w:r w:rsidRPr="00AE1050">
        <w:rPr>
          <w:rFonts w:asciiTheme="minorHAnsi" w:hAnsiTheme="minorHAnsi" w:cstheme="minorHAnsi"/>
          <w:sz w:val="24"/>
          <w:szCs w:val="24"/>
        </w:rPr>
        <w:t>including that</w:t>
      </w:r>
      <w:r w:rsidR="00AE1050" w:rsidRPr="00AE1050">
        <w:rPr>
          <w:rFonts w:asciiTheme="minorHAnsi" w:hAnsiTheme="minorHAnsi" w:cstheme="minorHAnsi"/>
          <w:sz w:val="24"/>
          <w:szCs w:val="24"/>
        </w:rPr>
        <w:t>:</w:t>
      </w:r>
      <w:r w:rsidRPr="00AE1050">
        <w:rPr>
          <w:rFonts w:asciiTheme="minorHAnsi" w:hAnsiTheme="minorHAnsi" w:cstheme="minorHAnsi"/>
          <w:sz w:val="24"/>
          <w:szCs w:val="24"/>
        </w:rPr>
        <w:t xml:space="preserve"> the basis for agreement of the criteria for entry (clinical benefit) and listing parameters (anchor price, patient numbers, </w:t>
      </w:r>
      <w:r w:rsidR="00AD53EF">
        <w:rPr>
          <w:rFonts w:asciiTheme="minorHAnsi" w:hAnsiTheme="minorHAnsi" w:cstheme="minorHAnsi"/>
          <w:sz w:val="24"/>
          <w:szCs w:val="24"/>
        </w:rPr>
        <w:t xml:space="preserve">retreatment options </w:t>
      </w:r>
      <w:r w:rsidRPr="00AE1050">
        <w:rPr>
          <w:rFonts w:asciiTheme="minorHAnsi" w:hAnsiTheme="minorHAnsi" w:cstheme="minorHAnsi"/>
          <w:sz w:val="24"/>
          <w:szCs w:val="24"/>
        </w:rPr>
        <w:t>price adjustment</w:t>
      </w:r>
      <w:r w:rsidR="00D10307">
        <w:rPr>
          <w:rFonts w:asciiTheme="minorHAnsi" w:hAnsiTheme="minorHAnsi" w:cstheme="minorHAnsi"/>
          <w:sz w:val="24"/>
          <w:szCs w:val="24"/>
        </w:rPr>
        <w:t xml:space="preserve"> mechanisms</w:t>
      </w:r>
      <w:r w:rsidRPr="00AE1050">
        <w:rPr>
          <w:rFonts w:asciiTheme="minorHAnsi" w:hAnsiTheme="minorHAnsi" w:cstheme="minorHAnsi"/>
          <w:sz w:val="24"/>
          <w:szCs w:val="24"/>
        </w:rPr>
        <w:t xml:space="preserve"> and rebate arrangements) and</w:t>
      </w:r>
      <w:r w:rsidR="00220A65" w:rsidRPr="00AE1050">
        <w:rPr>
          <w:rFonts w:asciiTheme="minorHAnsi" w:hAnsiTheme="minorHAnsi" w:cstheme="minorHAnsi"/>
          <w:sz w:val="24"/>
          <w:szCs w:val="24"/>
        </w:rPr>
        <w:t xml:space="preserve"> mechanisms for ceasing subsidy (managed exit)</w:t>
      </w:r>
      <w:r w:rsidRPr="00AE1050">
        <w:rPr>
          <w:rFonts w:asciiTheme="minorHAnsi" w:hAnsiTheme="minorHAnsi" w:cstheme="minorHAnsi"/>
          <w:sz w:val="24"/>
          <w:szCs w:val="24"/>
        </w:rPr>
        <w:t xml:space="preserve"> </w:t>
      </w:r>
      <w:r w:rsidR="00220A65" w:rsidRPr="00AE1050">
        <w:rPr>
          <w:rFonts w:asciiTheme="minorHAnsi" w:hAnsiTheme="minorHAnsi" w:cstheme="minorHAnsi"/>
          <w:sz w:val="24"/>
          <w:szCs w:val="24"/>
        </w:rPr>
        <w:t>were not clear</w:t>
      </w:r>
      <w:r w:rsidR="00D10307">
        <w:rPr>
          <w:rFonts w:asciiTheme="minorHAnsi" w:hAnsiTheme="minorHAnsi" w:cstheme="minorHAnsi"/>
          <w:sz w:val="24"/>
          <w:szCs w:val="24"/>
        </w:rPr>
        <w:t>.  Considerable</w:t>
      </w:r>
      <w:r w:rsidR="00AD53EF">
        <w:rPr>
          <w:rFonts w:asciiTheme="minorHAnsi" w:hAnsiTheme="minorHAnsi" w:cstheme="minorHAnsi"/>
          <w:sz w:val="24"/>
          <w:szCs w:val="24"/>
        </w:rPr>
        <w:t xml:space="preserve"> ‘up-front’</w:t>
      </w:r>
      <w:r w:rsidR="00D10307">
        <w:rPr>
          <w:rFonts w:asciiTheme="minorHAnsi" w:hAnsiTheme="minorHAnsi" w:cstheme="minorHAnsi"/>
          <w:sz w:val="24"/>
          <w:szCs w:val="24"/>
        </w:rPr>
        <w:t xml:space="preserve"> PBAC and Department </w:t>
      </w:r>
      <w:r w:rsidR="00AD53EF">
        <w:rPr>
          <w:rFonts w:asciiTheme="minorHAnsi" w:hAnsiTheme="minorHAnsi" w:cstheme="minorHAnsi"/>
          <w:sz w:val="24"/>
          <w:szCs w:val="24"/>
        </w:rPr>
        <w:t xml:space="preserve">time and </w:t>
      </w:r>
      <w:r w:rsidR="00D10307">
        <w:rPr>
          <w:rFonts w:asciiTheme="minorHAnsi" w:hAnsiTheme="minorHAnsi" w:cstheme="minorHAnsi"/>
          <w:sz w:val="24"/>
          <w:szCs w:val="24"/>
        </w:rPr>
        <w:t>effort would be needed to establish these parameters.</w:t>
      </w:r>
      <w:r w:rsidR="00220A65" w:rsidRPr="00AE1050">
        <w:rPr>
          <w:rFonts w:asciiTheme="minorHAnsi" w:hAnsiTheme="minorHAnsi" w:cstheme="minorHAnsi"/>
          <w:sz w:val="24"/>
          <w:szCs w:val="24"/>
        </w:rPr>
        <w:t xml:space="preserve">  </w:t>
      </w:r>
      <w:r w:rsidR="00A60D6F">
        <w:rPr>
          <w:rFonts w:asciiTheme="minorHAnsi" w:eastAsiaTheme="minorHAnsi" w:hAnsiTheme="minorHAnsi" w:cstheme="minorHAnsi"/>
          <w:sz w:val="24"/>
          <w:szCs w:val="24"/>
        </w:rPr>
        <w:t>It is also unclear how use in unregistered indications might be feasible or how the proposal aligns with TGA processes for evaluation and decision-making.</w:t>
      </w:r>
    </w:p>
    <w:p w:rsidR="00220A65" w:rsidRPr="00AE1050" w:rsidRDefault="00220A65" w:rsidP="00AE1050">
      <w:pPr>
        <w:pStyle w:val="ListParagraph"/>
        <w:rPr>
          <w:rFonts w:asciiTheme="minorHAnsi" w:hAnsiTheme="minorHAnsi" w:cstheme="minorHAnsi"/>
          <w:sz w:val="24"/>
          <w:szCs w:val="24"/>
        </w:rPr>
      </w:pPr>
    </w:p>
    <w:p w:rsidR="007027BD" w:rsidRPr="00AE1050" w:rsidRDefault="00220A65" w:rsidP="00AE1050">
      <w:pPr>
        <w:pStyle w:val="ListParagraph"/>
        <w:numPr>
          <w:ilvl w:val="1"/>
          <w:numId w:val="5"/>
        </w:numPr>
        <w:rPr>
          <w:rFonts w:asciiTheme="minorHAnsi" w:eastAsiaTheme="minorHAnsi" w:hAnsiTheme="minorHAnsi" w:cstheme="minorHAnsi"/>
          <w:sz w:val="24"/>
          <w:szCs w:val="24"/>
        </w:rPr>
      </w:pPr>
      <w:r w:rsidRPr="00AE1050">
        <w:rPr>
          <w:rFonts w:asciiTheme="minorHAnsi" w:hAnsiTheme="minorHAnsi" w:cstheme="minorHAnsi"/>
          <w:sz w:val="24"/>
          <w:szCs w:val="24"/>
        </w:rPr>
        <w:t>The PBAC was also concerned that</w:t>
      </w:r>
      <w:r w:rsidR="00246F57">
        <w:rPr>
          <w:rFonts w:asciiTheme="minorHAnsi" w:hAnsiTheme="minorHAnsi" w:cstheme="minorHAnsi"/>
          <w:sz w:val="24"/>
          <w:szCs w:val="24"/>
        </w:rPr>
        <w:t>,</w:t>
      </w:r>
      <w:r w:rsidRPr="00AE1050">
        <w:rPr>
          <w:rFonts w:asciiTheme="minorHAnsi" w:hAnsiTheme="minorHAnsi" w:cstheme="minorHAnsi"/>
          <w:sz w:val="24"/>
          <w:szCs w:val="24"/>
        </w:rPr>
        <w:t xml:space="preserve"> despite the authors contrary assertions, these arrangements might not be consistent with the </w:t>
      </w:r>
      <w:r w:rsidRPr="00AE1050">
        <w:rPr>
          <w:rFonts w:asciiTheme="minorHAnsi" w:eastAsiaTheme="minorHAnsi" w:hAnsiTheme="minorHAnsi" w:cstheme="minorHAnsi"/>
          <w:i/>
          <w:sz w:val="24"/>
          <w:szCs w:val="24"/>
        </w:rPr>
        <w:t xml:space="preserve">National Health Act 1953 </w:t>
      </w:r>
      <w:r w:rsidRPr="00AE1050">
        <w:rPr>
          <w:rFonts w:asciiTheme="minorHAnsi" w:eastAsiaTheme="minorHAnsi" w:hAnsiTheme="minorHAnsi" w:cstheme="minorHAnsi"/>
          <w:sz w:val="24"/>
          <w:szCs w:val="24"/>
        </w:rPr>
        <w:t>because they may result in a higher price than is cost</w:t>
      </w:r>
      <w:r w:rsidR="00B12F98">
        <w:rPr>
          <w:rFonts w:asciiTheme="minorHAnsi" w:eastAsiaTheme="minorHAnsi" w:hAnsiTheme="minorHAnsi" w:cstheme="minorHAnsi"/>
          <w:sz w:val="24"/>
          <w:szCs w:val="24"/>
        </w:rPr>
        <w:t xml:space="preserve"> </w:t>
      </w:r>
      <w:r w:rsidRPr="00AE1050">
        <w:rPr>
          <w:rFonts w:asciiTheme="minorHAnsi" w:eastAsiaTheme="minorHAnsi" w:hAnsiTheme="minorHAnsi" w:cstheme="minorHAnsi"/>
          <w:sz w:val="24"/>
          <w:szCs w:val="24"/>
        </w:rPr>
        <w:t xml:space="preserve">effective being paid for a long period without avenues for recovery of overpayments. </w:t>
      </w:r>
      <w:r w:rsidR="00291613">
        <w:rPr>
          <w:rFonts w:asciiTheme="minorHAnsi" w:eastAsiaTheme="minorHAnsi" w:hAnsiTheme="minorHAnsi" w:cstheme="minorHAnsi"/>
          <w:sz w:val="24"/>
          <w:szCs w:val="24"/>
        </w:rPr>
        <w:t xml:space="preserve">The alternative, where </w:t>
      </w:r>
      <w:r w:rsidR="00213F1D">
        <w:rPr>
          <w:rFonts w:asciiTheme="minorHAnsi" w:eastAsiaTheme="minorHAnsi" w:hAnsiTheme="minorHAnsi" w:cstheme="minorHAnsi"/>
          <w:sz w:val="24"/>
          <w:szCs w:val="24"/>
        </w:rPr>
        <w:t>the</w:t>
      </w:r>
      <w:r w:rsidR="00227C66">
        <w:rPr>
          <w:rFonts w:asciiTheme="minorHAnsi" w:eastAsiaTheme="minorHAnsi" w:hAnsiTheme="minorHAnsi" w:cstheme="minorHAnsi"/>
          <w:sz w:val="24"/>
          <w:szCs w:val="24"/>
        </w:rPr>
        <w:t xml:space="preserve"> </w:t>
      </w:r>
      <w:r w:rsidR="00213F1D">
        <w:rPr>
          <w:rFonts w:asciiTheme="minorHAnsi" w:eastAsiaTheme="minorHAnsi" w:hAnsiTheme="minorHAnsi" w:cstheme="minorHAnsi"/>
          <w:sz w:val="24"/>
          <w:szCs w:val="24"/>
        </w:rPr>
        <w:t>a</w:t>
      </w:r>
      <w:r w:rsidR="00EA2339">
        <w:rPr>
          <w:rFonts w:asciiTheme="minorHAnsi" w:eastAsiaTheme="minorHAnsi" w:hAnsiTheme="minorHAnsi" w:cstheme="minorHAnsi"/>
          <w:sz w:val="24"/>
          <w:szCs w:val="24"/>
        </w:rPr>
        <w:t xml:space="preserve">greed </w:t>
      </w:r>
      <w:r w:rsidR="00227C66">
        <w:rPr>
          <w:rFonts w:asciiTheme="minorHAnsi" w:eastAsiaTheme="minorHAnsi" w:hAnsiTheme="minorHAnsi" w:cstheme="minorHAnsi"/>
          <w:sz w:val="24"/>
          <w:szCs w:val="24"/>
        </w:rPr>
        <w:t xml:space="preserve">price ensured cost effectiveness </w:t>
      </w:r>
      <w:r w:rsidR="008B328C">
        <w:rPr>
          <w:rFonts w:asciiTheme="minorHAnsi" w:eastAsiaTheme="minorHAnsi" w:hAnsiTheme="minorHAnsi" w:cstheme="minorHAnsi"/>
          <w:sz w:val="24"/>
          <w:szCs w:val="24"/>
        </w:rPr>
        <w:t>across all indications</w:t>
      </w:r>
      <w:r w:rsidR="00291613">
        <w:rPr>
          <w:rFonts w:asciiTheme="minorHAnsi" w:eastAsiaTheme="minorHAnsi" w:hAnsiTheme="minorHAnsi" w:cstheme="minorHAnsi"/>
          <w:sz w:val="24"/>
          <w:szCs w:val="24"/>
        </w:rPr>
        <w:t xml:space="preserve">, was </w:t>
      </w:r>
      <w:r w:rsidR="00213F1D">
        <w:rPr>
          <w:rFonts w:asciiTheme="minorHAnsi" w:eastAsiaTheme="minorHAnsi" w:hAnsiTheme="minorHAnsi" w:cstheme="minorHAnsi"/>
          <w:sz w:val="24"/>
          <w:szCs w:val="24"/>
        </w:rPr>
        <w:t>considered unlikely to be acceptable to companies</w:t>
      </w:r>
      <w:r w:rsidR="008B328C">
        <w:rPr>
          <w:rFonts w:asciiTheme="minorHAnsi" w:eastAsiaTheme="minorHAnsi" w:hAnsiTheme="minorHAnsi" w:cstheme="minorHAnsi"/>
          <w:sz w:val="24"/>
          <w:szCs w:val="24"/>
        </w:rPr>
        <w:t xml:space="preserve">. </w:t>
      </w:r>
      <w:r w:rsidRPr="00AE1050">
        <w:rPr>
          <w:rFonts w:asciiTheme="minorHAnsi" w:eastAsiaTheme="minorHAnsi" w:hAnsiTheme="minorHAnsi" w:cstheme="minorHAnsi"/>
          <w:sz w:val="24"/>
          <w:szCs w:val="24"/>
        </w:rPr>
        <w:t xml:space="preserve"> </w:t>
      </w:r>
      <w:r w:rsidR="00BD5D61" w:rsidRPr="00AE1050">
        <w:rPr>
          <w:rFonts w:asciiTheme="minorHAnsi" w:eastAsiaTheme="minorHAnsi" w:hAnsiTheme="minorHAnsi" w:cstheme="minorHAnsi"/>
          <w:sz w:val="24"/>
          <w:szCs w:val="24"/>
        </w:rPr>
        <w:t>Additionally,</w:t>
      </w:r>
      <w:r w:rsidRPr="00AE1050">
        <w:rPr>
          <w:rFonts w:asciiTheme="minorHAnsi" w:eastAsiaTheme="minorHAnsi" w:hAnsiTheme="minorHAnsi" w:cstheme="minorHAnsi"/>
          <w:sz w:val="24"/>
          <w:szCs w:val="24"/>
        </w:rPr>
        <w:t xml:space="preserve"> these proposals require </w:t>
      </w:r>
      <w:r w:rsidR="007027BD" w:rsidRPr="00AE1050">
        <w:rPr>
          <w:rFonts w:asciiTheme="minorHAnsi" w:eastAsiaTheme="minorHAnsi" w:hAnsiTheme="minorHAnsi" w:cstheme="minorHAnsi"/>
          <w:sz w:val="24"/>
          <w:szCs w:val="24"/>
        </w:rPr>
        <w:t>mec</w:t>
      </w:r>
      <w:r w:rsidRPr="00AE1050">
        <w:rPr>
          <w:rFonts w:asciiTheme="minorHAnsi" w:eastAsiaTheme="minorHAnsi" w:hAnsiTheme="minorHAnsi" w:cstheme="minorHAnsi"/>
          <w:sz w:val="24"/>
          <w:szCs w:val="24"/>
        </w:rPr>
        <w:t>hanisms</w:t>
      </w:r>
      <w:r w:rsidR="007027BD" w:rsidRPr="00AE1050">
        <w:rPr>
          <w:rFonts w:asciiTheme="minorHAnsi" w:eastAsiaTheme="minorHAnsi" w:hAnsiTheme="minorHAnsi" w:cstheme="minorHAnsi"/>
          <w:sz w:val="24"/>
          <w:szCs w:val="24"/>
        </w:rPr>
        <w:t xml:space="preserve"> to collect data</w:t>
      </w:r>
      <w:r w:rsidRPr="00AE1050">
        <w:rPr>
          <w:rFonts w:asciiTheme="minorHAnsi" w:eastAsiaTheme="minorHAnsi" w:hAnsiTheme="minorHAnsi" w:cstheme="minorHAnsi"/>
          <w:sz w:val="24"/>
          <w:szCs w:val="24"/>
        </w:rPr>
        <w:t xml:space="preserve">, but provide </w:t>
      </w:r>
      <w:r w:rsidR="007027BD" w:rsidRPr="00AE1050">
        <w:rPr>
          <w:rFonts w:asciiTheme="minorHAnsi" w:eastAsiaTheme="minorHAnsi" w:hAnsiTheme="minorHAnsi" w:cstheme="minorHAnsi"/>
          <w:sz w:val="24"/>
          <w:szCs w:val="24"/>
        </w:rPr>
        <w:t xml:space="preserve">scant detail on </w:t>
      </w:r>
      <w:r w:rsidR="00AE1050" w:rsidRPr="00AE1050">
        <w:rPr>
          <w:rFonts w:asciiTheme="minorHAnsi" w:eastAsiaTheme="minorHAnsi" w:hAnsiTheme="minorHAnsi" w:cstheme="minorHAnsi"/>
          <w:sz w:val="24"/>
          <w:szCs w:val="24"/>
        </w:rPr>
        <w:t xml:space="preserve">the </w:t>
      </w:r>
      <w:r w:rsidR="007027BD" w:rsidRPr="00AE1050">
        <w:rPr>
          <w:rFonts w:asciiTheme="minorHAnsi" w:eastAsiaTheme="minorHAnsi" w:hAnsiTheme="minorHAnsi" w:cstheme="minorHAnsi"/>
          <w:sz w:val="24"/>
          <w:szCs w:val="24"/>
        </w:rPr>
        <w:t xml:space="preserve">suitability </w:t>
      </w:r>
      <w:r w:rsidR="00A21FE0">
        <w:rPr>
          <w:rFonts w:asciiTheme="minorHAnsi" w:eastAsiaTheme="minorHAnsi" w:hAnsiTheme="minorHAnsi" w:cstheme="minorHAnsi"/>
          <w:sz w:val="24"/>
          <w:szCs w:val="24"/>
        </w:rPr>
        <w:t xml:space="preserve">or feasibility </w:t>
      </w:r>
      <w:r w:rsidR="007027BD" w:rsidRPr="00AE1050">
        <w:rPr>
          <w:rFonts w:asciiTheme="minorHAnsi" w:eastAsiaTheme="minorHAnsi" w:hAnsiTheme="minorHAnsi" w:cstheme="minorHAnsi"/>
          <w:sz w:val="24"/>
          <w:szCs w:val="24"/>
        </w:rPr>
        <w:t>of current Australian systems for this activity, or how it would be funded.</w:t>
      </w:r>
    </w:p>
    <w:p w:rsidR="0000524D" w:rsidRPr="00AE1050" w:rsidRDefault="0000524D" w:rsidP="007027BD">
      <w:pPr>
        <w:ind w:left="851"/>
        <w:rPr>
          <w:rFonts w:asciiTheme="minorHAnsi" w:eastAsiaTheme="minorHAnsi" w:hAnsiTheme="minorHAnsi" w:cstheme="minorHAnsi"/>
          <w:lang w:eastAsia="en-US"/>
        </w:rPr>
      </w:pPr>
    </w:p>
    <w:p w:rsidR="00DB1D7D" w:rsidRDefault="0000524D" w:rsidP="00AE1050">
      <w:pPr>
        <w:pStyle w:val="ListParagraph"/>
        <w:numPr>
          <w:ilvl w:val="1"/>
          <w:numId w:val="5"/>
        </w:numPr>
        <w:spacing w:after="240"/>
        <w:contextualSpacing w:val="0"/>
        <w:jc w:val="left"/>
        <w:rPr>
          <w:rFonts w:asciiTheme="minorHAnsi" w:hAnsiTheme="minorHAnsi" w:cstheme="minorHAnsi"/>
          <w:sz w:val="24"/>
          <w:szCs w:val="24"/>
        </w:rPr>
      </w:pPr>
      <w:r w:rsidRPr="00AE1050">
        <w:rPr>
          <w:rFonts w:asciiTheme="minorHAnsi" w:hAnsiTheme="minorHAnsi" w:cstheme="minorHAnsi"/>
          <w:sz w:val="24"/>
          <w:szCs w:val="24"/>
        </w:rPr>
        <w:t>The PBAC noted that the Bristol Myers Squibb</w:t>
      </w:r>
      <w:r w:rsidR="00DB1D7D">
        <w:rPr>
          <w:rFonts w:asciiTheme="minorHAnsi" w:hAnsiTheme="minorHAnsi" w:cstheme="minorHAnsi"/>
          <w:sz w:val="24"/>
          <w:szCs w:val="24"/>
        </w:rPr>
        <w:t xml:space="preserve"> Australia</w:t>
      </w:r>
      <w:r w:rsidR="009E126C" w:rsidRPr="00AE1050">
        <w:rPr>
          <w:rFonts w:asciiTheme="minorHAnsi" w:hAnsiTheme="minorHAnsi" w:cstheme="minorHAnsi"/>
          <w:sz w:val="24"/>
          <w:szCs w:val="24"/>
        </w:rPr>
        <w:t xml:space="preserve"> (BMS</w:t>
      </w:r>
      <w:r w:rsidR="00DB1D7D">
        <w:rPr>
          <w:rFonts w:asciiTheme="minorHAnsi" w:hAnsiTheme="minorHAnsi" w:cstheme="minorHAnsi"/>
          <w:sz w:val="24"/>
          <w:szCs w:val="24"/>
        </w:rPr>
        <w:t>A</w:t>
      </w:r>
      <w:r w:rsidR="009E126C" w:rsidRPr="00AE1050">
        <w:rPr>
          <w:rFonts w:asciiTheme="minorHAnsi" w:hAnsiTheme="minorHAnsi" w:cstheme="minorHAnsi"/>
          <w:sz w:val="24"/>
          <w:szCs w:val="24"/>
        </w:rPr>
        <w:t>)</w:t>
      </w:r>
      <w:r w:rsidRPr="00AE1050">
        <w:rPr>
          <w:rFonts w:asciiTheme="minorHAnsi" w:hAnsiTheme="minorHAnsi" w:cstheme="minorHAnsi"/>
          <w:sz w:val="24"/>
          <w:szCs w:val="24"/>
        </w:rPr>
        <w:t xml:space="preserve"> proposal to use a surrogate marker of response as a means of initial price setting</w:t>
      </w:r>
      <w:r w:rsidR="00246F57">
        <w:rPr>
          <w:rFonts w:asciiTheme="minorHAnsi" w:hAnsiTheme="minorHAnsi" w:cstheme="minorHAnsi"/>
          <w:sz w:val="24"/>
          <w:szCs w:val="24"/>
        </w:rPr>
        <w:t>,</w:t>
      </w:r>
      <w:r w:rsidRPr="00AE1050">
        <w:rPr>
          <w:rFonts w:asciiTheme="minorHAnsi" w:hAnsiTheme="minorHAnsi" w:cstheme="minorHAnsi"/>
          <w:sz w:val="24"/>
          <w:szCs w:val="24"/>
        </w:rPr>
        <w:t xml:space="preserve"> whilst promising</w:t>
      </w:r>
      <w:r w:rsidR="00246F57">
        <w:rPr>
          <w:rFonts w:asciiTheme="minorHAnsi" w:hAnsiTheme="minorHAnsi" w:cstheme="minorHAnsi"/>
          <w:sz w:val="24"/>
          <w:szCs w:val="24"/>
        </w:rPr>
        <w:t>,</w:t>
      </w:r>
      <w:r w:rsidRPr="00AE1050">
        <w:rPr>
          <w:rFonts w:asciiTheme="minorHAnsi" w:hAnsiTheme="minorHAnsi" w:cstheme="minorHAnsi"/>
          <w:sz w:val="24"/>
          <w:szCs w:val="24"/>
        </w:rPr>
        <w:t xml:space="preserve"> was based on an analysis of a very limited number of subsidy submissions.  The PBAC </w:t>
      </w:r>
      <w:r w:rsidRPr="00AE1050">
        <w:rPr>
          <w:rFonts w:asciiTheme="minorHAnsi" w:hAnsiTheme="minorHAnsi" w:cstheme="minorHAnsi"/>
          <w:sz w:val="24"/>
          <w:szCs w:val="24"/>
        </w:rPr>
        <w:lastRenderedPageBreak/>
        <w:t>further noted that the particular surrogate nominated by BMS</w:t>
      </w:r>
      <w:r w:rsidR="00D04EE1">
        <w:rPr>
          <w:rFonts w:asciiTheme="minorHAnsi" w:hAnsiTheme="minorHAnsi" w:cstheme="minorHAnsi"/>
          <w:sz w:val="24"/>
          <w:szCs w:val="24"/>
        </w:rPr>
        <w:t>A</w:t>
      </w:r>
      <w:r w:rsidRPr="00AE1050">
        <w:rPr>
          <w:rFonts w:asciiTheme="minorHAnsi" w:hAnsiTheme="minorHAnsi" w:cstheme="minorHAnsi"/>
          <w:sz w:val="24"/>
          <w:szCs w:val="24"/>
        </w:rPr>
        <w:t xml:space="preserve"> did not consistently correlate with improvements in patient important outcomes such a progression-free and overall survival in other cancer types. </w:t>
      </w:r>
    </w:p>
    <w:p w:rsidR="0059350C" w:rsidRPr="00FC78B0" w:rsidRDefault="00DB1D7D" w:rsidP="00DB1D7D">
      <w:pPr>
        <w:pStyle w:val="ListParagraph"/>
        <w:numPr>
          <w:ilvl w:val="1"/>
          <w:numId w:val="5"/>
        </w:numPr>
        <w:spacing w:after="240"/>
        <w:contextualSpacing w:val="0"/>
        <w:jc w:val="left"/>
        <w:rPr>
          <w:rFonts w:asciiTheme="minorHAnsi" w:hAnsiTheme="minorHAnsi" w:cstheme="minorHAnsi"/>
          <w:sz w:val="24"/>
          <w:szCs w:val="24"/>
        </w:rPr>
      </w:pPr>
      <w:r w:rsidRPr="00FC78B0">
        <w:rPr>
          <w:rFonts w:asciiTheme="minorHAnsi" w:hAnsiTheme="minorHAnsi" w:cstheme="minorHAnsi"/>
          <w:sz w:val="24"/>
          <w:szCs w:val="24"/>
        </w:rPr>
        <w:t>BMSA’s submission noted</w:t>
      </w:r>
      <w:r w:rsidR="006F6CFA">
        <w:rPr>
          <w:rFonts w:asciiTheme="minorHAnsi" w:hAnsiTheme="minorHAnsi" w:cstheme="minorHAnsi"/>
          <w:sz w:val="24"/>
          <w:szCs w:val="24"/>
        </w:rPr>
        <w:t xml:space="preserve"> </w:t>
      </w:r>
      <w:r w:rsidR="006F6CFA">
        <w:rPr>
          <w:rFonts w:asciiTheme="minorHAnsi" w:hAnsiTheme="minorHAnsi" w:cstheme="minorHAnsi"/>
          <w:sz w:val="24"/>
          <w:szCs w:val="24"/>
        </w:rPr>
        <w:t>[Redacted text]</w:t>
      </w:r>
      <w:r w:rsidR="006F6CFA">
        <w:rPr>
          <w:rFonts w:asciiTheme="minorHAnsi" w:hAnsiTheme="minorHAnsi" w:cstheme="minorHAnsi"/>
          <w:noProof/>
          <w:color w:val="000000"/>
          <w:sz w:val="24"/>
          <w:szCs w:val="24"/>
          <w:highlight w:val="black"/>
        </w:rPr>
        <w:t xml:space="preserve">''''' </w:t>
      </w:r>
      <w:bookmarkStart w:id="0" w:name="_GoBack"/>
      <w:bookmarkEnd w:id="0"/>
      <w:r w:rsidRPr="00FC78B0">
        <w:rPr>
          <w:rFonts w:asciiTheme="minorHAnsi" w:hAnsiTheme="minorHAnsi" w:cstheme="minorHAnsi"/>
          <w:sz w:val="24"/>
          <w:szCs w:val="24"/>
        </w:rPr>
        <w:t xml:space="preserve"> </w:t>
      </w:r>
      <w:r w:rsidR="00925068">
        <w:rPr>
          <w:rFonts w:asciiTheme="minorHAnsi" w:hAnsiTheme="minorHAnsi" w:cstheme="minorHAnsi"/>
          <w:noProof/>
          <w:color w:val="000000"/>
          <w:sz w:val="24"/>
          <w:szCs w:val="24"/>
          <w:highlight w:val="black"/>
        </w:rPr>
        <w:t>'''''''' '''' ''''''''' ''''' ''''''' ''''''''''''''''''''''' '''''' ''''''''''' '''''''''''''''''''' ''''''' ''''''''''' '''''''''' '''''' '''''' ''''''''' '''''''''''''' ''''''''''''''' ''''''''''' ''''''' ''''''''''''''''' ''''''''''''''''''''''''''''''''' ''''''''''''''''''' ''''''''''''''''' ''''''''' '''''''''''' '''''''''' '''''''''''''''''' ''''''''''' ''''''''''''''''''' '''''''' '''''''''''' '''''''' '''''''''''''' ''''''''''' '''''' '''''''''''' '''''''''''' ''''' '' ''''''''''' '''''''''''''''' '''' '''''''''''''''' ''''''''''' '''''' ''''''''''''''' ''''''''''' ''' '''''''''' ''''''''''''''''' ''''' ''''''' ''''''''''''''' '''''''''''''''' ''' '''''''' ''' ''' ''''''''''''' ''''' ''''''''''''''''' ''''''''' ''''''''''''' '''''''' ''''''''''''''''''''' ''''''''''''''''''' '''' ''''''''' '''''' ''''''''''''''''' ''' '''''' '''''''''''' '''''''' ''''' ''''''''''''''' '''''''''''''''''' '''' '''''''''' ''''' '''' '''''''''''''''''' ''''''''''''' '''''''''' '''''' ''''''''' ''' ''''''''''''''' '''' '''''' ''''''''''''''''''' '''''''' '''''''' ''''''''' ''''''''''''''''''' '''''''' ''''''' '''''''''''''''''''' ''''''''' ''''''' '''''''''''''''''''' ''''''''''''''''''' '''''''''''''' '''' '''''''' ''''''''' ''''''''''''''''''''''''''' '''''' ''''''''''''' ''''''''''''''' '''''''' ''''''''''''' '''''''''''''''' '''''' ''''''''''''''''' ''''''''''''''' '''''''''''''''''' ''' ''' '''''''''''''' ''''''' ''''''''''''''''''' '''''''''''' ''''' '''''''''''''''''''''''' ''''''''''''''''''''' ''''''''' '''''''''''''''''''''''''''''' ''''''' '''''''''''' ''' ''''' ''''''' '''''''' '''''' '''''''' ''''''''''''''''' ''''' '''''' '''''''''' '''''''' ''''''''' ''''' '''''''''''''' '''' '''''' '''''''''''''''''' '''''''' ''''''''''''''''' ''''' '''''''''''''''''' '''''''''''''''' ''''''''''' ''''''' ''''' '''''''''''''''''' '''''''''''''''''''''''' '''' '''''' ''''''''''</w:t>
      </w:r>
      <w:r w:rsidR="0059350C" w:rsidRPr="00FC78B0">
        <w:rPr>
          <w:rFonts w:asciiTheme="minorHAnsi" w:hAnsiTheme="minorHAnsi" w:cstheme="minorHAnsi"/>
          <w:sz w:val="24"/>
          <w:szCs w:val="24"/>
        </w:rPr>
        <w:t xml:space="preserve"> </w:t>
      </w:r>
    </w:p>
    <w:p w:rsidR="0059350C" w:rsidRPr="00AE1050" w:rsidRDefault="00675F06" w:rsidP="00AE1050">
      <w:pPr>
        <w:pStyle w:val="ListParagraph"/>
        <w:numPr>
          <w:ilvl w:val="1"/>
          <w:numId w:val="14"/>
        </w:numPr>
        <w:spacing w:after="240"/>
        <w:contextualSpacing w:val="0"/>
        <w:jc w:val="left"/>
        <w:rPr>
          <w:rFonts w:asciiTheme="minorHAnsi" w:hAnsiTheme="minorHAnsi" w:cstheme="minorHAnsi"/>
          <w:sz w:val="24"/>
          <w:szCs w:val="24"/>
        </w:rPr>
      </w:pPr>
      <w:r w:rsidRPr="00AE1050">
        <w:rPr>
          <w:rFonts w:asciiTheme="minorHAnsi" w:hAnsiTheme="minorHAnsi" w:cstheme="minorHAnsi"/>
          <w:sz w:val="24"/>
          <w:szCs w:val="24"/>
        </w:rPr>
        <w:t xml:space="preserve">The PBAC </w:t>
      </w:r>
      <w:r w:rsidR="00233072" w:rsidRPr="00AE1050">
        <w:rPr>
          <w:rFonts w:asciiTheme="minorHAnsi" w:hAnsiTheme="minorHAnsi" w:cstheme="minorHAnsi"/>
          <w:sz w:val="24"/>
          <w:szCs w:val="24"/>
        </w:rPr>
        <w:t>noted</w:t>
      </w:r>
      <w:r w:rsidRPr="00AE1050">
        <w:rPr>
          <w:rFonts w:asciiTheme="minorHAnsi" w:hAnsiTheme="minorHAnsi" w:cstheme="minorHAnsi"/>
          <w:sz w:val="24"/>
          <w:szCs w:val="24"/>
        </w:rPr>
        <w:t xml:space="preserve"> that </w:t>
      </w:r>
      <w:r w:rsidR="0059350C" w:rsidRPr="00AE1050">
        <w:rPr>
          <w:rFonts w:asciiTheme="minorHAnsi" w:hAnsiTheme="minorHAnsi" w:cstheme="minorHAnsi"/>
          <w:sz w:val="24"/>
          <w:szCs w:val="24"/>
        </w:rPr>
        <w:t>the various</w:t>
      </w:r>
      <w:r w:rsidRPr="00AE1050">
        <w:rPr>
          <w:rFonts w:asciiTheme="minorHAnsi" w:hAnsiTheme="minorHAnsi" w:cstheme="minorHAnsi"/>
          <w:sz w:val="24"/>
          <w:szCs w:val="24"/>
        </w:rPr>
        <w:t xml:space="preserve"> </w:t>
      </w:r>
      <w:r w:rsidR="00233072" w:rsidRPr="00AE1050">
        <w:rPr>
          <w:rFonts w:asciiTheme="minorHAnsi" w:hAnsiTheme="minorHAnsi" w:cstheme="minorHAnsi"/>
          <w:sz w:val="24"/>
          <w:szCs w:val="24"/>
        </w:rPr>
        <w:t>activities</w:t>
      </w:r>
      <w:r w:rsidR="0059350C" w:rsidRPr="00AE1050">
        <w:rPr>
          <w:rFonts w:asciiTheme="minorHAnsi" w:hAnsiTheme="minorHAnsi" w:cstheme="minorHAnsi"/>
          <w:sz w:val="24"/>
          <w:szCs w:val="24"/>
        </w:rPr>
        <w:t xml:space="preserve"> already</w:t>
      </w:r>
      <w:r w:rsidR="00233072" w:rsidRPr="00AE1050">
        <w:rPr>
          <w:rFonts w:asciiTheme="minorHAnsi" w:hAnsiTheme="minorHAnsi" w:cstheme="minorHAnsi"/>
          <w:sz w:val="24"/>
          <w:szCs w:val="24"/>
        </w:rPr>
        <w:t xml:space="preserve"> underway </w:t>
      </w:r>
      <w:r w:rsidRPr="00AE1050">
        <w:rPr>
          <w:rFonts w:asciiTheme="minorHAnsi" w:hAnsiTheme="minorHAnsi" w:cstheme="minorHAnsi"/>
          <w:sz w:val="24"/>
          <w:szCs w:val="24"/>
        </w:rPr>
        <w:t>to expedite TGA registration for medicin</w:t>
      </w:r>
      <w:r w:rsidR="00233072" w:rsidRPr="00AE1050">
        <w:rPr>
          <w:rFonts w:asciiTheme="minorHAnsi" w:hAnsiTheme="minorHAnsi" w:cstheme="minorHAnsi"/>
          <w:sz w:val="24"/>
          <w:szCs w:val="24"/>
        </w:rPr>
        <w:t>es</w:t>
      </w:r>
      <w:r w:rsidR="0059350C" w:rsidRPr="00AE1050">
        <w:rPr>
          <w:rFonts w:asciiTheme="minorHAnsi" w:hAnsiTheme="minorHAnsi" w:cstheme="minorHAnsi"/>
          <w:sz w:val="24"/>
          <w:szCs w:val="24"/>
        </w:rPr>
        <w:t xml:space="preserve"> for conditions with a high and unmet clinical need and to improve the efficiency and transparency of PBS listing processes</w:t>
      </w:r>
      <w:r w:rsidR="00233072" w:rsidRPr="00AE1050">
        <w:rPr>
          <w:rFonts w:asciiTheme="minorHAnsi" w:hAnsiTheme="minorHAnsi" w:cstheme="minorHAnsi"/>
          <w:sz w:val="24"/>
          <w:szCs w:val="24"/>
        </w:rPr>
        <w:t xml:space="preserve"> </w:t>
      </w:r>
      <w:r w:rsidR="0059350C" w:rsidRPr="00AE1050">
        <w:rPr>
          <w:rFonts w:asciiTheme="minorHAnsi" w:hAnsiTheme="minorHAnsi" w:cstheme="minorHAnsi"/>
          <w:sz w:val="24"/>
          <w:szCs w:val="24"/>
        </w:rPr>
        <w:t xml:space="preserve">may </w:t>
      </w:r>
      <w:r w:rsidR="00233072" w:rsidRPr="00AE1050">
        <w:rPr>
          <w:rFonts w:asciiTheme="minorHAnsi" w:hAnsiTheme="minorHAnsi" w:cstheme="minorHAnsi"/>
          <w:sz w:val="24"/>
          <w:szCs w:val="24"/>
        </w:rPr>
        <w:t>limit</w:t>
      </w:r>
      <w:r w:rsidR="0059350C" w:rsidRPr="00AE1050">
        <w:rPr>
          <w:rFonts w:asciiTheme="minorHAnsi" w:hAnsiTheme="minorHAnsi" w:cstheme="minorHAnsi"/>
          <w:sz w:val="24"/>
          <w:szCs w:val="24"/>
        </w:rPr>
        <w:t xml:space="preserve"> the</w:t>
      </w:r>
      <w:r w:rsidR="00233072" w:rsidRPr="00AE1050">
        <w:rPr>
          <w:rFonts w:asciiTheme="minorHAnsi" w:hAnsiTheme="minorHAnsi" w:cstheme="minorHAnsi"/>
          <w:sz w:val="24"/>
          <w:szCs w:val="24"/>
        </w:rPr>
        <w:t xml:space="preserve"> </w:t>
      </w:r>
      <w:r w:rsidR="0059350C" w:rsidRPr="00AE1050">
        <w:rPr>
          <w:rFonts w:asciiTheme="minorHAnsi" w:hAnsiTheme="minorHAnsi" w:cstheme="minorHAnsi"/>
          <w:sz w:val="24"/>
          <w:szCs w:val="24"/>
        </w:rPr>
        <w:t xml:space="preserve">opportunities </w:t>
      </w:r>
      <w:r w:rsidR="00233072" w:rsidRPr="00AE1050">
        <w:rPr>
          <w:rFonts w:asciiTheme="minorHAnsi" w:hAnsiTheme="minorHAnsi" w:cstheme="minorHAnsi"/>
          <w:sz w:val="24"/>
          <w:szCs w:val="24"/>
        </w:rPr>
        <w:t>for further expediting the assessment process</w:t>
      </w:r>
      <w:r w:rsidR="007E289D" w:rsidRPr="00AE1050">
        <w:rPr>
          <w:rFonts w:asciiTheme="minorHAnsi" w:hAnsiTheme="minorHAnsi" w:cstheme="minorHAnsi"/>
          <w:sz w:val="24"/>
          <w:szCs w:val="24"/>
        </w:rPr>
        <w:t xml:space="preserve"> without reducing the rigour of health technology assessment applied</w:t>
      </w:r>
      <w:r w:rsidR="00233072" w:rsidRPr="00AE1050">
        <w:rPr>
          <w:rFonts w:asciiTheme="minorHAnsi" w:hAnsiTheme="minorHAnsi" w:cstheme="minorHAnsi"/>
          <w:sz w:val="24"/>
          <w:szCs w:val="24"/>
        </w:rPr>
        <w:t xml:space="preserve">.  </w:t>
      </w:r>
      <w:r w:rsidR="00521844" w:rsidRPr="00AE1050">
        <w:rPr>
          <w:rFonts w:asciiTheme="minorHAnsi" w:hAnsiTheme="minorHAnsi" w:cstheme="minorHAnsi"/>
          <w:sz w:val="24"/>
          <w:szCs w:val="24"/>
        </w:rPr>
        <w:t>However the PBAC reiterated its commitment to continuous process improvement.</w:t>
      </w:r>
    </w:p>
    <w:p w:rsidR="003B3515" w:rsidRPr="00AE1050" w:rsidRDefault="00B1113F" w:rsidP="00FD1B15">
      <w:pPr>
        <w:pStyle w:val="Heading2"/>
      </w:pPr>
      <w:r w:rsidRPr="00AE1050">
        <w:t>O</w:t>
      </w:r>
      <w:r w:rsidR="00521844" w:rsidRPr="00AE1050">
        <w:t>ptions for consideration by the Minister.</w:t>
      </w:r>
    </w:p>
    <w:p w:rsidR="003B3515" w:rsidRPr="00AE1050" w:rsidRDefault="003B3515" w:rsidP="00AE1050">
      <w:pPr>
        <w:pStyle w:val="ListParagraph"/>
        <w:numPr>
          <w:ilvl w:val="1"/>
          <w:numId w:val="14"/>
        </w:numPr>
        <w:spacing w:after="240"/>
        <w:contextualSpacing w:val="0"/>
        <w:rPr>
          <w:rFonts w:asciiTheme="minorHAnsi" w:hAnsiTheme="minorHAnsi" w:cstheme="minorHAnsi"/>
        </w:rPr>
      </w:pPr>
      <w:r w:rsidRPr="00AE1050">
        <w:rPr>
          <w:rFonts w:asciiTheme="minorHAnsi" w:hAnsiTheme="minorHAnsi" w:cstheme="minorHAnsi"/>
          <w:sz w:val="24"/>
          <w:szCs w:val="24"/>
        </w:rPr>
        <w:t xml:space="preserve">In providing </w:t>
      </w:r>
      <w:r w:rsidR="00FA1392" w:rsidRPr="00AE1050">
        <w:rPr>
          <w:rFonts w:asciiTheme="minorHAnsi" w:hAnsiTheme="minorHAnsi" w:cstheme="minorHAnsi"/>
          <w:sz w:val="24"/>
          <w:szCs w:val="24"/>
        </w:rPr>
        <w:t>these options</w:t>
      </w:r>
      <w:r w:rsidRPr="00AE1050">
        <w:rPr>
          <w:rFonts w:asciiTheme="minorHAnsi" w:hAnsiTheme="minorHAnsi" w:cstheme="minorHAnsi"/>
          <w:sz w:val="24"/>
          <w:szCs w:val="24"/>
        </w:rPr>
        <w:t xml:space="preserve"> to the Minister</w:t>
      </w:r>
      <w:r w:rsidR="00FA1392" w:rsidRPr="00AE1050">
        <w:rPr>
          <w:rFonts w:asciiTheme="minorHAnsi" w:hAnsiTheme="minorHAnsi" w:cstheme="minorHAnsi"/>
          <w:sz w:val="24"/>
          <w:szCs w:val="24"/>
        </w:rPr>
        <w:t xml:space="preserve"> for</w:t>
      </w:r>
      <w:r w:rsidRPr="00AE1050">
        <w:rPr>
          <w:rFonts w:asciiTheme="minorHAnsi" w:hAnsiTheme="minorHAnsi" w:cstheme="minorHAnsi"/>
          <w:sz w:val="24"/>
          <w:szCs w:val="24"/>
        </w:rPr>
        <w:t xml:space="preserve"> consider</w:t>
      </w:r>
      <w:r w:rsidR="00FA1392" w:rsidRPr="00AE1050">
        <w:rPr>
          <w:rFonts w:asciiTheme="minorHAnsi" w:hAnsiTheme="minorHAnsi" w:cstheme="minorHAnsi"/>
          <w:sz w:val="24"/>
          <w:szCs w:val="24"/>
        </w:rPr>
        <w:t>ation th</w:t>
      </w:r>
      <w:r w:rsidRPr="00AE1050">
        <w:rPr>
          <w:rFonts w:asciiTheme="minorHAnsi" w:hAnsiTheme="minorHAnsi" w:cstheme="minorHAnsi"/>
          <w:sz w:val="24"/>
          <w:szCs w:val="24"/>
        </w:rPr>
        <w:t>e</w:t>
      </w:r>
      <w:r w:rsidR="00FA1392" w:rsidRPr="00AE1050">
        <w:rPr>
          <w:rFonts w:asciiTheme="minorHAnsi" w:hAnsiTheme="minorHAnsi" w:cstheme="minorHAnsi"/>
          <w:sz w:val="24"/>
          <w:szCs w:val="24"/>
        </w:rPr>
        <w:t xml:space="preserve"> PBAC notes that</w:t>
      </w:r>
      <w:r w:rsidRPr="00AE1050">
        <w:rPr>
          <w:rFonts w:asciiTheme="minorHAnsi" w:hAnsiTheme="minorHAnsi" w:cstheme="minorHAnsi"/>
          <w:sz w:val="24"/>
          <w:szCs w:val="24"/>
        </w:rPr>
        <w:t xml:space="preserve">: </w:t>
      </w:r>
    </w:p>
    <w:p w:rsidR="003B3515" w:rsidRPr="00AE1050" w:rsidRDefault="003103A4" w:rsidP="00D10307">
      <w:pPr>
        <w:pStyle w:val="ListParagraph"/>
        <w:numPr>
          <w:ilvl w:val="2"/>
          <w:numId w:val="14"/>
        </w:numPr>
        <w:spacing w:after="240"/>
        <w:ind w:left="1418" w:hanging="709"/>
        <w:contextualSpacing w:val="0"/>
        <w:rPr>
          <w:rFonts w:asciiTheme="minorHAnsi" w:hAnsiTheme="minorHAnsi" w:cstheme="minorHAnsi"/>
          <w:sz w:val="24"/>
          <w:szCs w:val="24"/>
        </w:rPr>
      </w:pPr>
      <w:r>
        <w:rPr>
          <w:rFonts w:asciiTheme="minorHAnsi" w:hAnsiTheme="minorHAnsi" w:cstheme="minorHAnsi"/>
          <w:sz w:val="24"/>
          <w:szCs w:val="24"/>
        </w:rPr>
        <w:t>The PBAC</w:t>
      </w:r>
      <w:r w:rsidR="0013297D">
        <w:rPr>
          <w:rFonts w:asciiTheme="minorHAnsi" w:hAnsiTheme="minorHAnsi" w:cstheme="minorHAnsi"/>
          <w:sz w:val="24"/>
          <w:szCs w:val="24"/>
        </w:rPr>
        <w:t xml:space="preserve"> </w:t>
      </w:r>
      <w:r w:rsidR="00FA1392" w:rsidRPr="00AE1050">
        <w:rPr>
          <w:rFonts w:asciiTheme="minorHAnsi" w:hAnsiTheme="minorHAnsi" w:cstheme="minorHAnsi"/>
          <w:sz w:val="24"/>
          <w:szCs w:val="24"/>
        </w:rPr>
        <w:t>is</w:t>
      </w:r>
      <w:r w:rsidR="003B3515" w:rsidRPr="00AE1050">
        <w:rPr>
          <w:rFonts w:asciiTheme="minorHAnsi" w:hAnsiTheme="minorHAnsi" w:cstheme="minorHAnsi"/>
          <w:sz w:val="24"/>
          <w:szCs w:val="24"/>
        </w:rPr>
        <w:t xml:space="preserve"> required</w:t>
      </w:r>
      <w:r>
        <w:rPr>
          <w:rFonts w:asciiTheme="minorHAnsi" w:hAnsiTheme="minorHAnsi" w:cstheme="minorHAnsi"/>
          <w:sz w:val="24"/>
          <w:szCs w:val="24"/>
        </w:rPr>
        <w:t xml:space="preserve"> by the </w:t>
      </w:r>
      <w:r w:rsidRPr="003103A4">
        <w:rPr>
          <w:rFonts w:asciiTheme="minorHAnsi" w:hAnsiTheme="minorHAnsi" w:cstheme="minorHAnsi"/>
          <w:i/>
          <w:sz w:val="24"/>
          <w:szCs w:val="24"/>
        </w:rPr>
        <w:t>National Health Act 1953</w:t>
      </w:r>
      <w:r w:rsidR="003B3515" w:rsidRPr="00AE1050">
        <w:rPr>
          <w:rFonts w:asciiTheme="minorHAnsi" w:hAnsiTheme="minorHAnsi" w:cstheme="minorHAnsi"/>
          <w:sz w:val="24"/>
          <w:szCs w:val="24"/>
        </w:rPr>
        <w:t xml:space="preserve"> to consider the comparative effectiveness, safety and costs of new medicines</w:t>
      </w:r>
      <w:r w:rsidR="00AD53EF">
        <w:rPr>
          <w:rFonts w:asciiTheme="minorHAnsi" w:hAnsiTheme="minorHAnsi" w:cstheme="minorHAnsi"/>
          <w:sz w:val="24"/>
          <w:szCs w:val="24"/>
        </w:rPr>
        <w:t xml:space="preserve"> (including cost effectiveness and financial affordability)</w:t>
      </w:r>
      <w:r w:rsidR="003B3515" w:rsidRPr="00AE1050">
        <w:rPr>
          <w:rFonts w:asciiTheme="minorHAnsi" w:hAnsiTheme="minorHAnsi" w:cstheme="minorHAnsi"/>
          <w:sz w:val="24"/>
          <w:szCs w:val="24"/>
        </w:rPr>
        <w:t xml:space="preserve"> in making recommendations for listing. The objective of greater efficiency of process cannot override the</w:t>
      </w:r>
      <w:r w:rsidR="00BF40C9" w:rsidRPr="00AE1050">
        <w:rPr>
          <w:rFonts w:asciiTheme="minorHAnsi" w:hAnsiTheme="minorHAnsi" w:cstheme="minorHAnsi"/>
          <w:sz w:val="24"/>
          <w:szCs w:val="24"/>
        </w:rPr>
        <w:t xml:space="preserve">se </w:t>
      </w:r>
      <w:r w:rsidR="003B3515" w:rsidRPr="00AE1050">
        <w:rPr>
          <w:rFonts w:asciiTheme="minorHAnsi" w:hAnsiTheme="minorHAnsi" w:cstheme="minorHAnsi"/>
          <w:sz w:val="24"/>
          <w:szCs w:val="24"/>
        </w:rPr>
        <w:t>requirement</w:t>
      </w:r>
      <w:r w:rsidR="00BF40C9" w:rsidRPr="00AE1050">
        <w:rPr>
          <w:rFonts w:asciiTheme="minorHAnsi" w:hAnsiTheme="minorHAnsi" w:cstheme="minorHAnsi"/>
          <w:sz w:val="24"/>
          <w:szCs w:val="24"/>
        </w:rPr>
        <w:t>s.</w:t>
      </w:r>
    </w:p>
    <w:p w:rsidR="003B3515" w:rsidRPr="00CB0814" w:rsidRDefault="003B3515" w:rsidP="00D10307">
      <w:pPr>
        <w:pStyle w:val="ListParagraph"/>
        <w:numPr>
          <w:ilvl w:val="2"/>
          <w:numId w:val="14"/>
        </w:numPr>
        <w:spacing w:after="240"/>
        <w:ind w:left="1418" w:hanging="709"/>
        <w:contextualSpacing w:val="0"/>
        <w:rPr>
          <w:rFonts w:asciiTheme="minorHAnsi" w:hAnsiTheme="minorHAnsi" w:cstheme="minorHAnsi"/>
          <w:sz w:val="24"/>
          <w:szCs w:val="24"/>
        </w:rPr>
      </w:pPr>
      <w:r w:rsidRPr="00AE1050">
        <w:rPr>
          <w:rFonts w:asciiTheme="minorHAnsi" w:hAnsiTheme="minorHAnsi" w:cstheme="minorHAnsi"/>
          <w:sz w:val="24"/>
          <w:szCs w:val="24"/>
        </w:rPr>
        <w:t xml:space="preserve">It </w:t>
      </w:r>
      <w:r w:rsidR="00BF40C9" w:rsidRPr="00AE1050">
        <w:rPr>
          <w:rFonts w:asciiTheme="minorHAnsi" w:hAnsiTheme="minorHAnsi" w:cstheme="minorHAnsi"/>
          <w:sz w:val="24"/>
          <w:szCs w:val="24"/>
        </w:rPr>
        <w:t>i</w:t>
      </w:r>
      <w:r w:rsidRPr="00AE1050">
        <w:rPr>
          <w:rFonts w:asciiTheme="minorHAnsi" w:hAnsiTheme="minorHAnsi" w:cstheme="minorHAnsi"/>
          <w:sz w:val="24"/>
          <w:szCs w:val="24"/>
        </w:rPr>
        <w:t xml:space="preserve">s important </w:t>
      </w:r>
      <w:r w:rsidR="00252CE2" w:rsidRPr="00AE1050">
        <w:rPr>
          <w:rFonts w:asciiTheme="minorHAnsi" w:hAnsiTheme="minorHAnsi" w:cstheme="minorHAnsi"/>
          <w:sz w:val="24"/>
          <w:szCs w:val="24"/>
        </w:rPr>
        <w:t>to consider the precede</w:t>
      </w:r>
      <w:r w:rsidR="00BF40C9" w:rsidRPr="00AE1050">
        <w:rPr>
          <w:rFonts w:asciiTheme="minorHAnsi" w:hAnsiTheme="minorHAnsi" w:cstheme="minorHAnsi"/>
          <w:sz w:val="24"/>
          <w:szCs w:val="24"/>
        </w:rPr>
        <w:t>nt</w:t>
      </w:r>
      <w:r w:rsidR="00252CE2" w:rsidRPr="00AE1050">
        <w:rPr>
          <w:rFonts w:asciiTheme="minorHAnsi" w:hAnsiTheme="minorHAnsi" w:cstheme="minorHAnsi"/>
          <w:sz w:val="24"/>
          <w:szCs w:val="24"/>
        </w:rPr>
        <w:t xml:space="preserve"> that </w:t>
      </w:r>
      <w:r w:rsidR="00BF40C9" w:rsidRPr="00AE1050">
        <w:rPr>
          <w:rFonts w:asciiTheme="minorHAnsi" w:hAnsiTheme="minorHAnsi" w:cstheme="minorHAnsi"/>
          <w:sz w:val="24"/>
          <w:szCs w:val="24"/>
        </w:rPr>
        <w:t>a recommendation</w:t>
      </w:r>
      <w:r w:rsidRPr="00AE1050">
        <w:rPr>
          <w:rFonts w:asciiTheme="minorHAnsi" w:hAnsiTheme="minorHAnsi" w:cstheme="minorHAnsi"/>
          <w:sz w:val="24"/>
          <w:szCs w:val="24"/>
        </w:rPr>
        <w:t xml:space="preserve"> about any </w:t>
      </w:r>
      <w:r w:rsidRPr="00CB0814">
        <w:rPr>
          <w:rFonts w:asciiTheme="minorHAnsi" w:hAnsiTheme="minorHAnsi" w:cstheme="minorHAnsi"/>
          <w:sz w:val="24"/>
          <w:szCs w:val="24"/>
        </w:rPr>
        <w:t>medicine or class of medicine</w:t>
      </w:r>
      <w:r w:rsidR="00470655">
        <w:rPr>
          <w:rFonts w:asciiTheme="minorHAnsi" w:hAnsiTheme="minorHAnsi" w:cstheme="minorHAnsi"/>
          <w:sz w:val="24"/>
          <w:szCs w:val="24"/>
        </w:rPr>
        <w:t>s</w:t>
      </w:r>
      <w:r w:rsidRPr="00CB0814">
        <w:rPr>
          <w:rFonts w:asciiTheme="minorHAnsi" w:hAnsiTheme="minorHAnsi" w:cstheme="minorHAnsi"/>
          <w:sz w:val="24"/>
          <w:szCs w:val="24"/>
        </w:rPr>
        <w:t xml:space="preserve"> has for broader PBAC processes and for subsequent submissions for other medicines for the treatment of the same indications.</w:t>
      </w:r>
    </w:p>
    <w:p w:rsidR="00D10307" w:rsidRPr="00CB0814" w:rsidRDefault="00BF40C9" w:rsidP="008D50F8">
      <w:pPr>
        <w:pStyle w:val="ListParagraph"/>
        <w:numPr>
          <w:ilvl w:val="2"/>
          <w:numId w:val="14"/>
        </w:numPr>
        <w:spacing w:after="240"/>
        <w:ind w:left="1418" w:hanging="709"/>
        <w:contextualSpacing w:val="0"/>
        <w:rPr>
          <w:rFonts w:asciiTheme="minorHAnsi" w:hAnsiTheme="minorHAnsi" w:cstheme="minorHAnsi"/>
          <w:sz w:val="24"/>
          <w:szCs w:val="24"/>
        </w:rPr>
      </w:pPr>
      <w:r w:rsidRPr="00CB0814">
        <w:rPr>
          <w:rFonts w:asciiTheme="minorHAnsi" w:hAnsiTheme="minorHAnsi" w:cstheme="minorHAnsi"/>
          <w:sz w:val="24"/>
          <w:szCs w:val="24"/>
        </w:rPr>
        <w:t>Its p</w:t>
      </w:r>
      <w:r w:rsidR="003B3515" w:rsidRPr="00CB0814">
        <w:rPr>
          <w:rFonts w:asciiTheme="minorHAnsi" w:hAnsiTheme="minorHAnsi" w:cstheme="minorHAnsi"/>
          <w:sz w:val="24"/>
          <w:szCs w:val="24"/>
        </w:rPr>
        <w:t>referred position is not to implicitly or explicitly endorse an approach which preferences recommendations for medicines</w:t>
      </w:r>
      <w:r w:rsidR="00AD53EF">
        <w:rPr>
          <w:rFonts w:asciiTheme="minorHAnsi" w:hAnsiTheme="minorHAnsi" w:cstheme="minorHAnsi"/>
          <w:sz w:val="24"/>
          <w:szCs w:val="24"/>
        </w:rPr>
        <w:t xml:space="preserve"> (or a particular class of medicine</w:t>
      </w:r>
      <w:r w:rsidR="00470655">
        <w:rPr>
          <w:rFonts w:asciiTheme="minorHAnsi" w:hAnsiTheme="minorHAnsi" w:cstheme="minorHAnsi"/>
          <w:sz w:val="24"/>
          <w:szCs w:val="24"/>
        </w:rPr>
        <w:t>s</w:t>
      </w:r>
      <w:r w:rsidR="00AD53EF">
        <w:rPr>
          <w:rFonts w:asciiTheme="minorHAnsi" w:hAnsiTheme="minorHAnsi" w:cstheme="minorHAnsi"/>
          <w:sz w:val="24"/>
          <w:szCs w:val="24"/>
        </w:rPr>
        <w:t xml:space="preserve">) </w:t>
      </w:r>
      <w:r w:rsidR="003B3515" w:rsidRPr="00CB0814">
        <w:rPr>
          <w:rFonts w:asciiTheme="minorHAnsi" w:hAnsiTheme="minorHAnsi" w:cstheme="minorHAnsi"/>
          <w:sz w:val="24"/>
          <w:szCs w:val="24"/>
        </w:rPr>
        <w:t xml:space="preserve">for one disease or sub-set of diseases over other equally </w:t>
      </w:r>
      <w:r w:rsidR="003B3515" w:rsidRPr="00CB0814">
        <w:rPr>
          <w:rFonts w:asciiTheme="minorHAnsi" w:hAnsiTheme="minorHAnsi" w:cstheme="minorHAnsi"/>
          <w:sz w:val="24"/>
          <w:szCs w:val="24"/>
        </w:rPr>
        <w:lastRenderedPageBreak/>
        <w:t>devast</w:t>
      </w:r>
      <w:r w:rsidR="00557CF3" w:rsidRPr="00CB0814">
        <w:rPr>
          <w:rFonts w:asciiTheme="minorHAnsi" w:hAnsiTheme="minorHAnsi" w:cstheme="minorHAnsi"/>
          <w:sz w:val="24"/>
          <w:szCs w:val="24"/>
        </w:rPr>
        <w:t>at</w:t>
      </w:r>
      <w:r w:rsidR="003B3515" w:rsidRPr="00CB0814">
        <w:rPr>
          <w:rFonts w:asciiTheme="minorHAnsi" w:hAnsiTheme="minorHAnsi" w:cstheme="minorHAnsi"/>
          <w:sz w:val="24"/>
          <w:szCs w:val="24"/>
        </w:rPr>
        <w:t xml:space="preserve">ing diseases. </w:t>
      </w:r>
      <w:r w:rsidR="00D10307" w:rsidRPr="00CB0814">
        <w:rPr>
          <w:rFonts w:asciiTheme="minorHAnsi" w:hAnsiTheme="minorHAnsi" w:cstheme="minorHAnsi"/>
          <w:sz w:val="24"/>
          <w:szCs w:val="24"/>
        </w:rPr>
        <w:t xml:space="preserve"> </w:t>
      </w:r>
    </w:p>
    <w:p w:rsidR="003B3515" w:rsidRPr="00D10307" w:rsidRDefault="003B3515" w:rsidP="008D50F8">
      <w:pPr>
        <w:pStyle w:val="ListParagraph"/>
        <w:numPr>
          <w:ilvl w:val="2"/>
          <w:numId w:val="14"/>
        </w:numPr>
        <w:spacing w:after="240"/>
        <w:ind w:left="1418" w:hanging="709"/>
        <w:contextualSpacing w:val="0"/>
        <w:rPr>
          <w:rFonts w:asciiTheme="minorHAnsi" w:hAnsiTheme="minorHAnsi" w:cstheme="minorHAnsi"/>
          <w:sz w:val="24"/>
          <w:szCs w:val="24"/>
        </w:rPr>
      </w:pPr>
      <w:r w:rsidRPr="00CB0814">
        <w:rPr>
          <w:rFonts w:asciiTheme="minorHAnsi" w:hAnsiTheme="minorHAnsi" w:cstheme="minorHAnsi"/>
          <w:sz w:val="24"/>
          <w:szCs w:val="24"/>
        </w:rPr>
        <w:t>It</w:t>
      </w:r>
      <w:r w:rsidR="004363E6" w:rsidRPr="00CB0814">
        <w:rPr>
          <w:rFonts w:asciiTheme="minorHAnsi" w:hAnsiTheme="minorHAnsi" w:cstheme="minorHAnsi"/>
          <w:sz w:val="24"/>
          <w:szCs w:val="24"/>
        </w:rPr>
        <w:t>s preferred position is</w:t>
      </w:r>
      <w:r w:rsidRPr="00CB0814">
        <w:rPr>
          <w:rFonts w:asciiTheme="minorHAnsi" w:hAnsiTheme="minorHAnsi" w:cstheme="minorHAnsi"/>
          <w:sz w:val="24"/>
          <w:szCs w:val="24"/>
        </w:rPr>
        <w:t xml:space="preserve"> to have as few as possible special access arrangements for specific classes of medicines</w:t>
      </w:r>
      <w:r w:rsidRPr="00D10307">
        <w:rPr>
          <w:rFonts w:asciiTheme="minorHAnsi" w:hAnsiTheme="minorHAnsi" w:cstheme="minorHAnsi"/>
          <w:sz w:val="24"/>
          <w:szCs w:val="24"/>
        </w:rPr>
        <w:t xml:space="preserve"> or conditions.  </w:t>
      </w:r>
    </w:p>
    <w:p w:rsidR="00733E37" w:rsidRPr="00AE1050" w:rsidRDefault="00733E37" w:rsidP="00D10307">
      <w:pPr>
        <w:pStyle w:val="ListParagraph"/>
        <w:numPr>
          <w:ilvl w:val="2"/>
          <w:numId w:val="14"/>
        </w:numPr>
        <w:spacing w:after="240"/>
        <w:ind w:left="1418" w:hanging="709"/>
        <w:contextualSpacing w:val="0"/>
        <w:rPr>
          <w:rFonts w:asciiTheme="minorHAnsi" w:hAnsiTheme="minorHAnsi" w:cstheme="minorHAnsi"/>
          <w:sz w:val="24"/>
          <w:szCs w:val="24"/>
        </w:rPr>
      </w:pPr>
      <w:r w:rsidRPr="00AE1050">
        <w:rPr>
          <w:rFonts w:asciiTheme="minorHAnsi" w:hAnsiTheme="minorHAnsi" w:cstheme="minorHAnsi"/>
          <w:sz w:val="24"/>
          <w:szCs w:val="24"/>
        </w:rPr>
        <w:t>It considers any change should not devalue the current PBS system or undermine the importance of evidence generation.</w:t>
      </w:r>
    </w:p>
    <w:p w:rsidR="003B3515" w:rsidRPr="00AE1050" w:rsidRDefault="003B3515" w:rsidP="00AE1050">
      <w:pPr>
        <w:pStyle w:val="ListParagraph"/>
        <w:numPr>
          <w:ilvl w:val="1"/>
          <w:numId w:val="14"/>
        </w:numPr>
        <w:spacing w:after="240"/>
        <w:contextualSpacing w:val="0"/>
        <w:rPr>
          <w:rFonts w:asciiTheme="minorHAnsi" w:hAnsiTheme="minorHAnsi" w:cstheme="minorHAnsi"/>
        </w:rPr>
      </w:pPr>
      <w:r w:rsidRPr="00AE1050">
        <w:rPr>
          <w:rFonts w:asciiTheme="minorHAnsi" w:hAnsiTheme="minorHAnsi" w:cstheme="minorHAnsi"/>
          <w:sz w:val="24"/>
          <w:szCs w:val="24"/>
        </w:rPr>
        <w:t>The PBAC also note</w:t>
      </w:r>
      <w:r w:rsidR="00BF40C9" w:rsidRPr="00AE1050">
        <w:rPr>
          <w:rFonts w:asciiTheme="minorHAnsi" w:hAnsiTheme="minorHAnsi" w:cstheme="minorHAnsi"/>
          <w:sz w:val="24"/>
          <w:szCs w:val="24"/>
        </w:rPr>
        <w:t>s</w:t>
      </w:r>
      <w:r w:rsidRPr="00AE1050">
        <w:rPr>
          <w:rFonts w:asciiTheme="minorHAnsi" w:hAnsiTheme="minorHAnsi" w:cstheme="minorHAnsi"/>
          <w:sz w:val="24"/>
          <w:szCs w:val="24"/>
        </w:rPr>
        <w:t xml:space="preserve"> that:</w:t>
      </w:r>
    </w:p>
    <w:p w:rsidR="003B3515" w:rsidRDefault="003B3515" w:rsidP="00D10307">
      <w:pPr>
        <w:pStyle w:val="ListParagraph"/>
        <w:numPr>
          <w:ilvl w:val="2"/>
          <w:numId w:val="14"/>
        </w:numPr>
        <w:spacing w:after="240"/>
        <w:ind w:left="1418" w:hanging="709"/>
        <w:contextualSpacing w:val="0"/>
        <w:rPr>
          <w:rFonts w:asciiTheme="minorHAnsi" w:hAnsiTheme="minorHAnsi" w:cstheme="minorHAnsi"/>
          <w:sz w:val="24"/>
          <w:szCs w:val="24"/>
        </w:rPr>
      </w:pPr>
      <w:r w:rsidRPr="00AE1050">
        <w:rPr>
          <w:rFonts w:asciiTheme="minorHAnsi" w:hAnsiTheme="minorHAnsi" w:cstheme="minorHAnsi"/>
          <w:sz w:val="24"/>
          <w:szCs w:val="24"/>
        </w:rPr>
        <w:t xml:space="preserve">Broader </w:t>
      </w:r>
      <w:r w:rsidR="00BF40C9" w:rsidRPr="00AE1050">
        <w:rPr>
          <w:rFonts w:asciiTheme="minorHAnsi" w:hAnsiTheme="minorHAnsi" w:cstheme="minorHAnsi"/>
          <w:sz w:val="24"/>
          <w:szCs w:val="24"/>
        </w:rPr>
        <w:t xml:space="preserve">PBS </w:t>
      </w:r>
      <w:r w:rsidRPr="00AE1050">
        <w:rPr>
          <w:rFonts w:asciiTheme="minorHAnsi" w:hAnsiTheme="minorHAnsi" w:cstheme="minorHAnsi"/>
          <w:sz w:val="24"/>
          <w:szCs w:val="24"/>
        </w:rPr>
        <w:t>listing</w:t>
      </w:r>
      <w:r w:rsidR="004363E6" w:rsidRPr="00AE1050">
        <w:rPr>
          <w:rFonts w:asciiTheme="minorHAnsi" w:hAnsiTheme="minorHAnsi" w:cstheme="minorHAnsi"/>
          <w:sz w:val="24"/>
          <w:szCs w:val="24"/>
        </w:rPr>
        <w:t>s</w:t>
      </w:r>
      <w:r w:rsidRPr="00AE1050">
        <w:rPr>
          <w:rFonts w:asciiTheme="minorHAnsi" w:hAnsiTheme="minorHAnsi" w:cstheme="minorHAnsi"/>
          <w:sz w:val="24"/>
          <w:szCs w:val="24"/>
        </w:rPr>
        <w:t xml:space="preserve"> usually come </w:t>
      </w:r>
      <w:r w:rsidR="00BF40C9" w:rsidRPr="00AE1050">
        <w:rPr>
          <w:rFonts w:asciiTheme="minorHAnsi" w:hAnsiTheme="minorHAnsi" w:cstheme="minorHAnsi"/>
          <w:sz w:val="24"/>
          <w:szCs w:val="24"/>
        </w:rPr>
        <w:t>with</w:t>
      </w:r>
      <w:r w:rsidRPr="00AE1050">
        <w:rPr>
          <w:rFonts w:asciiTheme="minorHAnsi" w:hAnsiTheme="minorHAnsi" w:cstheme="minorHAnsi"/>
          <w:sz w:val="24"/>
          <w:szCs w:val="24"/>
        </w:rPr>
        <w:t xml:space="preserve"> increased uncertainty on </w:t>
      </w:r>
      <w:proofErr w:type="spellStart"/>
      <w:r w:rsidRPr="00AE1050">
        <w:rPr>
          <w:rFonts w:asciiTheme="minorHAnsi" w:hAnsiTheme="minorHAnsi" w:cstheme="minorHAnsi"/>
          <w:sz w:val="24"/>
          <w:szCs w:val="24"/>
        </w:rPr>
        <w:t>costeffectiveness</w:t>
      </w:r>
      <w:proofErr w:type="spellEnd"/>
      <w:r w:rsidR="004363E6" w:rsidRPr="00AE1050">
        <w:rPr>
          <w:rFonts w:asciiTheme="minorHAnsi" w:hAnsiTheme="minorHAnsi" w:cstheme="minorHAnsi"/>
          <w:sz w:val="24"/>
          <w:szCs w:val="24"/>
        </w:rPr>
        <w:t xml:space="preserve"> (value for money)</w:t>
      </w:r>
      <w:r w:rsidRPr="00AE1050">
        <w:rPr>
          <w:rFonts w:asciiTheme="minorHAnsi" w:hAnsiTheme="minorHAnsi" w:cstheme="minorHAnsi"/>
          <w:sz w:val="24"/>
          <w:szCs w:val="24"/>
        </w:rPr>
        <w:t xml:space="preserve"> and greater financial risk for government. </w:t>
      </w:r>
    </w:p>
    <w:p w:rsidR="004A37B0" w:rsidRPr="00AE1050" w:rsidRDefault="004A37B0" w:rsidP="00D10307">
      <w:pPr>
        <w:pStyle w:val="ListParagraph"/>
        <w:numPr>
          <w:ilvl w:val="2"/>
          <w:numId w:val="14"/>
        </w:numPr>
        <w:spacing w:after="240"/>
        <w:ind w:left="1418" w:hanging="709"/>
        <w:contextualSpacing w:val="0"/>
        <w:rPr>
          <w:rFonts w:asciiTheme="minorHAnsi" w:hAnsiTheme="minorHAnsi" w:cstheme="minorHAnsi"/>
          <w:sz w:val="24"/>
          <w:szCs w:val="24"/>
        </w:rPr>
      </w:pPr>
      <w:r>
        <w:rPr>
          <w:rFonts w:asciiTheme="minorHAnsi" w:hAnsiTheme="minorHAnsi" w:cstheme="minorHAnsi"/>
          <w:sz w:val="24"/>
          <w:szCs w:val="24"/>
        </w:rPr>
        <w:t>There continue to be areas of high and unmet clinical need including for treatments for less common or rare conditions</w:t>
      </w:r>
      <w:r w:rsidR="00C1023A">
        <w:rPr>
          <w:rFonts w:asciiTheme="minorHAnsi" w:hAnsiTheme="minorHAnsi" w:cstheme="minorHAnsi"/>
          <w:sz w:val="24"/>
          <w:szCs w:val="24"/>
        </w:rPr>
        <w:t xml:space="preserve">. </w:t>
      </w:r>
      <w:r>
        <w:rPr>
          <w:rFonts w:asciiTheme="minorHAnsi" w:hAnsiTheme="minorHAnsi" w:cstheme="minorHAnsi"/>
          <w:sz w:val="24"/>
          <w:szCs w:val="24"/>
        </w:rPr>
        <w:t xml:space="preserve"> </w:t>
      </w:r>
    </w:p>
    <w:p w:rsidR="003B3515" w:rsidRPr="00AE1050" w:rsidRDefault="003B3515" w:rsidP="00D10307">
      <w:pPr>
        <w:pStyle w:val="ListParagraph"/>
        <w:numPr>
          <w:ilvl w:val="2"/>
          <w:numId w:val="14"/>
        </w:numPr>
        <w:spacing w:after="240"/>
        <w:ind w:left="1418" w:hanging="709"/>
        <w:contextualSpacing w:val="0"/>
        <w:rPr>
          <w:rFonts w:asciiTheme="minorHAnsi" w:hAnsiTheme="minorHAnsi" w:cstheme="minorHAnsi"/>
          <w:sz w:val="24"/>
          <w:szCs w:val="24"/>
        </w:rPr>
      </w:pPr>
      <w:r w:rsidRPr="00AE1050">
        <w:rPr>
          <w:rFonts w:asciiTheme="minorHAnsi" w:hAnsiTheme="minorHAnsi" w:cstheme="minorHAnsi"/>
          <w:sz w:val="24"/>
          <w:szCs w:val="24"/>
        </w:rPr>
        <w:t>At the current prices for</w:t>
      </w:r>
      <w:r w:rsidR="00BF40C9" w:rsidRPr="00AE1050">
        <w:rPr>
          <w:rFonts w:asciiTheme="minorHAnsi" w:hAnsiTheme="minorHAnsi" w:cstheme="minorHAnsi"/>
          <w:sz w:val="24"/>
          <w:szCs w:val="24"/>
        </w:rPr>
        <w:t xml:space="preserve"> </w:t>
      </w:r>
      <w:r w:rsidR="006C361A" w:rsidRPr="00AE1050">
        <w:rPr>
          <w:rFonts w:asciiTheme="minorHAnsi" w:hAnsiTheme="minorHAnsi" w:cstheme="minorHAnsi"/>
          <w:sz w:val="24"/>
          <w:szCs w:val="24"/>
        </w:rPr>
        <w:t>PD</w:t>
      </w:r>
      <w:r w:rsidR="006C361A">
        <w:rPr>
          <w:rFonts w:asciiTheme="minorHAnsi" w:hAnsiTheme="minorHAnsi" w:cstheme="minorHAnsi"/>
          <w:sz w:val="24"/>
          <w:szCs w:val="24"/>
        </w:rPr>
        <w:t>-</w:t>
      </w:r>
      <w:r w:rsidR="006C361A" w:rsidRPr="00AE1050">
        <w:rPr>
          <w:rFonts w:asciiTheme="minorHAnsi" w:hAnsiTheme="minorHAnsi" w:cstheme="minorHAnsi"/>
          <w:sz w:val="24"/>
          <w:szCs w:val="24"/>
        </w:rPr>
        <w:t>(L</w:t>
      </w:r>
      <w:proofErr w:type="gramStart"/>
      <w:r w:rsidR="006C361A" w:rsidRPr="00AE1050">
        <w:rPr>
          <w:rFonts w:asciiTheme="minorHAnsi" w:hAnsiTheme="minorHAnsi" w:cstheme="minorHAnsi"/>
          <w:sz w:val="24"/>
          <w:szCs w:val="24"/>
        </w:rPr>
        <w:t>)1</w:t>
      </w:r>
      <w:proofErr w:type="gramEnd"/>
      <w:r w:rsidR="006C361A">
        <w:rPr>
          <w:rFonts w:asciiTheme="minorHAnsi" w:hAnsiTheme="minorHAnsi" w:cstheme="minorHAnsi"/>
          <w:sz w:val="24"/>
          <w:szCs w:val="24"/>
        </w:rPr>
        <w:t xml:space="preserve"> </w:t>
      </w:r>
      <w:r w:rsidRPr="00AE1050">
        <w:rPr>
          <w:rFonts w:asciiTheme="minorHAnsi" w:hAnsiTheme="minorHAnsi" w:cstheme="minorHAnsi"/>
          <w:sz w:val="24"/>
          <w:szCs w:val="24"/>
        </w:rPr>
        <w:t>checkpoint inhibitors, a broad</w:t>
      </w:r>
      <w:r w:rsidR="00BF40C9" w:rsidRPr="00AE1050">
        <w:rPr>
          <w:rFonts w:asciiTheme="minorHAnsi" w:hAnsiTheme="minorHAnsi" w:cstheme="minorHAnsi"/>
          <w:sz w:val="24"/>
          <w:szCs w:val="24"/>
        </w:rPr>
        <w:t xml:space="preserve"> PBS</w:t>
      </w:r>
      <w:r w:rsidRPr="00AE1050">
        <w:rPr>
          <w:rFonts w:asciiTheme="minorHAnsi" w:hAnsiTheme="minorHAnsi" w:cstheme="minorHAnsi"/>
          <w:sz w:val="24"/>
          <w:szCs w:val="24"/>
        </w:rPr>
        <w:t xml:space="preserve"> listing would be associated with a very high total cost </w:t>
      </w:r>
      <w:r w:rsidR="00BF40C9" w:rsidRPr="00AE1050">
        <w:rPr>
          <w:rFonts w:asciiTheme="minorHAnsi" w:hAnsiTheme="minorHAnsi" w:cstheme="minorHAnsi"/>
          <w:sz w:val="24"/>
          <w:szCs w:val="24"/>
        </w:rPr>
        <w:t xml:space="preserve">with </w:t>
      </w:r>
      <w:r w:rsidRPr="00AE1050">
        <w:rPr>
          <w:rFonts w:asciiTheme="minorHAnsi" w:hAnsiTheme="minorHAnsi" w:cstheme="minorHAnsi"/>
          <w:sz w:val="24"/>
          <w:szCs w:val="24"/>
        </w:rPr>
        <w:t>potential opportunity costs for other diseases.</w:t>
      </w:r>
    </w:p>
    <w:p w:rsidR="003B3515" w:rsidRPr="00AE1050" w:rsidRDefault="003B3515" w:rsidP="00D10307">
      <w:pPr>
        <w:pStyle w:val="ListParagraph"/>
        <w:numPr>
          <w:ilvl w:val="2"/>
          <w:numId w:val="14"/>
        </w:numPr>
        <w:spacing w:after="240"/>
        <w:ind w:left="1418" w:hanging="709"/>
        <w:contextualSpacing w:val="0"/>
        <w:rPr>
          <w:rFonts w:asciiTheme="minorHAnsi" w:hAnsiTheme="minorHAnsi" w:cstheme="minorHAnsi"/>
          <w:sz w:val="24"/>
          <w:szCs w:val="24"/>
        </w:rPr>
      </w:pPr>
      <w:r w:rsidRPr="00AE1050">
        <w:rPr>
          <w:rFonts w:asciiTheme="minorHAnsi" w:hAnsiTheme="minorHAnsi" w:cstheme="minorHAnsi"/>
          <w:sz w:val="24"/>
          <w:szCs w:val="24"/>
        </w:rPr>
        <w:t>Applicants seeking a broad</w:t>
      </w:r>
      <w:r w:rsidR="004363E6" w:rsidRPr="00AE1050">
        <w:rPr>
          <w:rFonts w:asciiTheme="minorHAnsi" w:hAnsiTheme="minorHAnsi" w:cstheme="minorHAnsi"/>
          <w:sz w:val="24"/>
          <w:szCs w:val="24"/>
        </w:rPr>
        <w:t xml:space="preserve"> PBS</w:t>
      </w:r>
      <w:r w:rsidRPr="00AE1050">
        <w:rPr>
          <w:rFonts w:asciiTheme="minorHAnsi" w:hAnsiTheme="minorHAnsi" w:cstheme="minorHAnsi"/>
          <w:sz w:val="24"/>
          <w:szCs w:val="24"/>
        </w:rPr>
        <w:t xml:space="preserve"> </w:t>
      </w:r>
      <w:r w:rsidR="00BF40C9" w:rsidRPr="00AE1050">
        <w:rPr>
          <w:rFonts w:asciiTheme="minorHAnsi" w:hAnsiTheme="minorHAnsi" w:cstheme="minorHAnsi"/>
          <w:sz w:val="24"/>
          <w:szCs w:val="24"/>
        </w:rPr>
        <w:t xml:space="preserve">subsidy </w:t>
      </w:r>
      <w:r w:rsidRPr="00AE1050">
        <w:rPr>
          <w:rFonts w:asciiTheme="minorHAnsi" w:hAnsiTheme="minorHAnsi" w:cstheme="minorHAnsi"/>
          <w:sz w:val="24"/>
          <w:szCs w:val="24"/>
        </w:rPr>
        <w:t>listing for a tumour group based on a biological marker</w:t>
      </w:r>
      <w:r w:rsidR="00BF40C9" w:rsidRPr="00AE1050">
        <w:rPr>
          <w:rFonts w:asciiTheme="minorHAnsi" w:hAnsiTheme="minorHAnsi" w:cstheme="minorHAnsi"/>
          <w:sz w:val="24"/>
          <w:szCs w:val="24"/>
        </w:rPr>
        <w:t xml:space="preserve"> or other disease feature</w:t>
      </w:r>
      <w:r w:rsidRPr="00AE1050">
        <w:rPr>
          <w:rFonts w:asciiTheme="minorHAnsi" w:hAnsiTheme="minorHAnsi" w:cstheme="minorHAnsi"/>
          <w:sz w:val="24"/>
          <w:szCs w:val="24"/>
        </w:rPr>
        <w:t xml:space="preserve"> can make </w:t>
      </w:r>
      <w:r w:rsidR="00BF40C9" w:rsidRPr="00AE1050">
        <w:rPr>
          <w:rFonts w:asciiTheme="minorHAnsi" w:hAnsiTheme="minorHAnsi" w:cstheme="minorHAnsi"/>
          <w:sz w:val="24"/>
          <w:szCs w:val="24"/>
        </w:rPr>
        <w:t xml:space="preserve">these </w:t>
      </w:r>
      <w:r w:rsidRPr="00AE1050">
        <w:rPr>
          <w:rFonts w:asciiTheme="minorHAnsi" w:hAnsiTheme="minorHAnsi" w:cstheme="minorHAnsi"/>
          <w:sz w:val="24"/>
          <w:szCs w:val="24"/>
        </w:rPr>
        <w:t>applications</w:t>
      </w:r>
      <w:r w:rsidR="00470655">
        <w:rPr>
          <w:rFonts w:asciiTheme="minorHAnsi" w:hAnsiTheme="minorHAnsi" w:cstheme="minorHAnsi"/>
          <w:sz w:val="24"/>
          <w:szCs w:val="24"/>
        </w:rPr>
        <w:t xml:space="preserve">, </w:t>
      </w:r>
      <w:r w:rsidRPr="00AE1050">
        <w:rPr>
          <w:rFonts w:asciiTheme="minorHAnsi" w:hAnsiTheme="minorHAnsi" w:cstheme="minorHAnsi"/>
          <w:sz w:val="24"/>
          <w:szCs w:val="24"/>
        </w:rPr>
        <w:t>providing the</w:t>
      </w:r>
      <w:r w:rsidR="00BF40C9" w:rsidRPr="00AE1050">
        <w:rPr>
          <w:rFonts w:asciiTheme="minorHAnsi" w:hAnsiTheme="minorHAnsi" w:cstheme="minorHAnsi"/>
          <w:sz w:val="24"/>
          <w:szCs w:val="24"/>
        </w:rPr>
        <w:t>re is</w:t>
      </w:r>
      <w:r w:rsidRPr="00AE1050">
        <w:rPr>
          <w:rFonts w:asciiTheme="minorHAnsi" w:hAnsiTheme="minorHAnsi" w:cstheme="minorHAnsi"/>
          <w:sz w:val="24"/>
          <w:szCs w:val="24"/>
        </w:rPr>
        <w:t xml:space="preserve"> some evidence to show effectiveness for th</w:t>
      </w:r>
      <w:r w:rsidR="00BF40C9" w:rsidRPr="00AE1050">
        <w:rPr>
          <w:rFonts w:asciiTheme="minorHAnsi" w:hAnsiTheme="minorHAnsi" w:cstheme="minorHAnsi"/>
          <w:sz w:val="24"/>
          <w:szCs w:val="24"/>
        </w:rPr>
        <w:t>e</w:t>
      </w:r>
      <w:r w:rsidRPr="00AE1050">
        <w:rPr>
          <w:rFonts w:asciiTheme="minorHAnsi" w:hAnsiTheme="minorHAnsi" w:cstheme="minorHAnsi"/>
          <w:sz w:val="24"/>
          <w:szCs w:val="24"/>
        </w:rPr>
        <w:t xml:space="preserve"> group of cancers. </w:t>
      </w:r>
    </w:p>
    <w:p w:rsidR="00AD53EF" w:rsidRDefault="00AD53EF" w:rsidP="00E01D7E">
      <w:pPr>
        <w:pStyle w:val="ListParagraph"/>
        <w:numPr>
          <w:ilvl w:val="2"/>
          <w:numId w:val="14"/>
        </w:numPr>
        <w:spacing w:after="240"/>
        <w:ind w:left="1418" w:hanging="709"/>
        <w:contextualSpacing w:val="0"/>
        <w:rPr>
          <w:rFonts w:asciiTheme="minorHAnsi" w:hAnsiTheme="minorHAnsi" w:cstheme="minorHAnsi"/>
          <w:sz w:val="24"/>
          <w:szCs w:val="24"/>
        </w:rPr>
      </w:pPr>
      <w:r w:rsidRPr="002E08DB">
        <w:rPr>
          <w:rFonts w:asciiTheme="minorHAnsi" w:hAnsiTheme="minorHAnsi" w:cstheme="minorHAnsi"/>
          <w:sz w:val="24"/>
          <w:szCs w:val="24"/>
        </w:rPr>
        <w:t>Broader listings are more</w:t>
      </w:r>
      <w:r>
        <w:rPr>
          <w:rFonts w:asciiTheme="minorHAnsi" w:hAnsiTheme="minorHAnsi" w:cstheme="minorHAnsi"/>
          <w:sz w:val="24"/>
          <w:szCs w:val="24"/>
        </w:rPr>
        <w:t xml:space="preserve"> possible</w:t>
      </w:r>
      <w:r w:rsidRPr="002E08DB">
        <w:rPr>
          <w:rFonts w:asciiTheme="minorHAnsi" w:hAnsiTheme="minorHAnsi" w:cstheme="minorHAnsi"/>
          <w:sz w:val="24"/>
          <w:szCs w:val="24"/>
        </w:rPr>
        <w:t xml:space="preserve"> when prices are lower</w:t>
      </w:r>
      <w:r>
        <w:rPr>
          <w:rFonts w:asciiTheme="minorHAnsi" w:hAnsiTheme="minorHAnsi" w:cstheme="minorHAnsi"/>
          <w:sz w:val="24"/>
          <w:szCs w:val="24"/>
        </w:rPr>
        <w:t xml:space="preserve"> as expansion of the patient population impacts on financial affordability</w:t>
      </w:r>
      <w:r w:rsidRPr="002E08DB">
        <w:rPr>
          <w:rFonts w:asciiTheme="minorHAnsi" w:hAnsiTheme="minorHAnsi" w:cstheme="minorHAnsi"/>
          <w:sz w:val="24"/>
          <w:szCs w:val="24"/>
        </w:rPr>
        <w:t>. For example, the PBAC has made recommendations for broader listings of medicines whose prices have fallen due to brand competition and where clinical practice has led to wider use</w:t>
      </w:r>
      <w:r w:rsidR="00470655">
        <w:rPr>
          <w:rFonts w:asciiTheme="minorHAnsi" w:hAnsiTheme="minorHAnsi" w:cstheme="minorHAnsi"/>
          <w:sz w:val="24"/>
          <w:szCs w:val="24"/>
        </w:rPr>
        <w:t>,</w:t>
      </w:r>
      <w:r w:rsidRPr="002E08DB">
        <w:rPr>
          <w:rFonts w:asciiTheme="minorHAnsi" w:hAnsiTheme="minorHAnsi" w:cstheme="minorHAnsi"/>
          <w:sz w:val="24"/>
          <w:szCs w:val="24"/>
        </w:rPr>
        <w:t xml:space="preserve"> even though the evidence may remain weak for effectiveness for some indications.</w:t>
      </w:r>
    </w:p>
    <w:p w:rsidR="00AD53EF" w:rsidRPr="002E08DB" w:rsidRDefault="00AD53EF" w:rsidP="00E01D7E">
      <w:pPr>
        <w:pStyle w:val="ListParagraph"/>
        <w:numPr>
          <w:ilvl w:val="2"/>
          <w:numId w:val="14"/>
        </w:numPr>
        <w:spacing w:after="240"/>
        <w:ind w:left="1418" w:hanging="709"/>
        <w:contextualSpacing w:val="0"/>
        <w:rPr>
          <w:rFonts w:asciiTheme="minorHAnsi" w:hAnsiTheme="minorHAnsi" w:cstheme="minorHAnsi"/>
          <w:sz w:val="24"/>
          <w:szCs w:val="24"/>
        </w:rPr>
      </w:pPr>
      <w:r>
        <w:rPr>
          <w:rFonts w:asciiTheme="minorHAnsi" w:hAnsiTheme="minorHAnsi" w:cstheme="minorHAnsi"/>
          <w:sz w:val="24"/>
          <w:szCs w:val="24"/>
        </w:rPr>
        <w:t xml:space="preserve">Implementing broader listings is </w:t>
      </w:r>
      <w:r w:rsidR="00246F57">
        <w:rPr>
          <w:rFonts w:asciiTheme="minorHAnsi" w:hAnsiTheme="minorHAnsi" w:cstheme="minorHAnsi"/>
          <w:sz w:val="24"/>
          <w:szCs w:val="24"/>
        </w:rPr>
        <w:t xml:space="preserve">often </w:t>
      </w:r>
      <w:r w:rsidR="00F2328E">
        <w:rPr>
          <w:rFonts w:asciiTheme="minorHAnsi" w:hAnsiTheme="minorHAnsi" w:cstheme="minorHAnsi"/>
          <w:sz w:val="24"/>
          <w:szCs w:val="24"/>
        </w:rPr>
        <w:t>constrained by TGA-</w:t>
      </w:r>
      <w:r>
        <w:rPr>
          <w:rFonts w:asciiTheme="minorHAnsi" w:hAnsiTheme="minorHAnsi" w:cstheme="minorHAnsi"/>
          <w:sz w:val="24"/>
          <w:szCs w:val="24"/>
        </w:rPr>
        <w:t>registered indications and the significant impediments to changing registration conditions.</w:t>
      </w:r>
    </w:p>
    <w:p w:rsidR="003B3515" w:rsidRPr="00AE1050" w:rsidRDefault="003B3515" w:rsidP="00D4160F">
      <w:pPr>
        <w:pStyle w:val="ListParagraph"/>
        <w:numPr>
          <w:ilvl w:val="2"/>
          <w:numId w:val="14"/>
        </w:numPr>
        <w:spacing w:after="240"/>
        <w:ind w:left="1418" w:hanging="709"/>
        <w:contextualSpacing w:val="0"/>
        <w:rPr>
          <w:rFonts w:asciiTheme="minorHAnsi" w:hAnsiTheme="minorHAnsi" w:cstheme="minorHAnsi"/>
          <w:sz w:val="24"/>
          <w:szCs w:val="24"/>
        </w:rPr>
      </w:pPr>
      <w:r w:rsidRPr="00AE1050">
        <w:rPr>
          <w:rFonts w:asciiTheme="minorHAnsi" w:hAnsiTheme="minorHAnsi" w:cstheme="minorHAnsi"/>
          <w:sz w:val="24"/>
          <w:szCs w:val="24"/>
        </w:rPr>
        <w:t>The Department of Health</w:t>
      </w:r>
      <w:r w:rsidR="00AE1050">
        <w:rPr>
          <w:rFonts w:asciiTheme="minorHAnsi" w:hAnsiTheme="minorHAnsi" w:cstheme="minorHAnsi"/>
          <w:sz w:val="24"/>
          <w:szCs w:val="24"/>
        </w:rPr>
        <w:t xml:space="preserve"> and sponsors</w:t>
      </w:r>
      <w:r w:rsidRPr="00AE1050">
        <w:rPr>
          <w:rFonts w:asciiTheme="minorHAnsi" w:hAnsiTheme="minorHAnsi" w:cstheme="minorHAnsi"/>
          <w:sz w:val="24"/>
          <w:szCs w:val="24"/>
        </w:rPr>
        <w:t xml:space="preserve"> can already negotiate a simplified pricing arrangement</w:t>
      </w:r>
      <w:r w:rsidR="003103A4">
        <w:rPr>
          <w:rFonts w:asciiTheme="minorHAnsi" w:hAnsiTheme="minorHAnsi" w:cstheme="minorHAnsi"/>
          <w:sz w:val="24"/>
          <w:szCs w:val="24"/>
        </w:rPr>
        <w:t xml:space="preserve"> (for example by pre-agreeing price or risk share parameters)</w:t>
      </w:r>
      <w:r w:rsidRPr="00AE1050">
        <w:rPr>
          <w:rFonts w:asciiTheme="minorHAnsi" w:hAnsiTheme="minorHAnsi" w:cstheme="minorHAnsi"/>
          <w:sz w:val="24"/>
          <w:szCs w:val="24"/>
        </w:rPr>
        <w:t xml:space="preserve"> to achieve faster listings</w:t>
      </w:r>
      <w:r w:rsidR="00BF40C9" w:rsidRPr="00AE1050">
        <w:rPr>
          <w:rFonts w:asciiTheme="minorHAnsi" w:hAnsiTheme="minorHAnsi" w:cstheme="minorHAnsi"/>
          <w:sz w:val="24"/>
          <w:szCs w:val="24"/>
        </w:rPr>
        <w:t xml:space="preserve"> subsequent to positive</w:t>
      </w:r>
      <w:r w:rsidR="004363E6" w:rsidRPr="00AE1050">
        <w:rPr>
          <w:rFonts w:asciiTheme="minorHAnsi" w:hAnsiTheme="minorHAnsi" w:cstheme="minorHAnsi"/>
          <w:sz w:val="24"/>
          <w:szCs w:val="24"/>
        </w:rPr>
        <w:t xml:space="preserve"> PBAC</w:t>
      </w:r>
      <w:r w:rsidR="00BF40C9" w:rsidRPr="00AE1050">
        <w:rPr>
          <w:rFonts w:asciiTheme="minorHAnsi" w:hAnsiTheme="minorHAnsi" w:cstheme="minorHAnsi"/>
          <w:sz w:val="24"/>
          <w:szCs w:val="24"/>
        </w:rPr>
        <w:t xml:space="preserve"> listing recommendations</w:t>
      </w:r>
      <w:r w:rsidRPr="00AE1050">
        <w:rPr>
          <w:rFonts w:asciiTheme="minorHAnsi" w:hAnsiTheme="minorHAnsi" w:cstheme="minorHAnsi"/>
          <w:sz w:val="24"/>
          <w:szCs w:val="24"/>
        </w:rPr>
        <w:t xml:space="preserve">. </w:t>
      </w:r>
    </w:p>
    <w:p w:rsidR="003B3515" w:rsidRPr="00CB0814" w:rsidRDefault="00BF40C9" w:rsidP="00D4160F">
      <w:pPr>
        <w:pStyle w:val="ListParagraph"/>
        <w:numPr>
          <w:ilvl w:val="2"/>
          <w:numId w:val="14"/>
        </w:numPr>
        <w:spacing w:after="240"/>
        <w:ind w:left="1418" w:hanging="709"/>
        <w:contextualSpacing w:val="0"/>
        <w:rPr>
          <w:rFonts w:asciiTheme="minorHAnsi" w:hAnsiTheme="minorHAnsi" w:cstheme="minorHAnsi"/>
          <w:sz w:val="24"/>
          <w:szCs w:val="24"/>
        </w:rPr>
      </w:pPr>
      <w:r w:rsidRPr="003F5931">
        <w:rPr>
          <w:rFonts w:asciiTheme="minorHAnsi" w:hAnsiTheme="minorHAnsi" w:cstheme="minorHAnsi"/>
          <w:sz w:val="24"/>
          <w:szCs w:val="24"/>
        </w:rPr>
        <w:t>T</w:t>
      </w:r>
      <w:r w:rsidR="003B3515" w:rsidRPr="003F5931">
        <w:rPr>
          <w:rFonts w:asciiTheme="minorHAnsi" w:hAnsiTheme="minorHAnsi" w:cstheme="minorHAnsi"/>
          <w:sz w:val="24"/>
          <w:szCs w:val="24"/>
        </w:rPr>
        <w:t xml:space="preserve">he arguments presented for supporting a </w:t>
      </w:r>
      <w:r w:rsidRPr="003F5931">
        <w:rPr>
          <w:rFonts w:asciiTheme="minorHAnsi" w:hAnsiTheme="minorHAnsi" w:cstheme="minorHAnsi"/>
          <w:sz w:val="24"/>
          <w:szCs w:val="24"/>
        </w:rPr>
        <w:t>multi-</w:t>
      </w:r>
      <w:r w:rsidR="003B3515" w:rsidRPr="003F5931">
        <w:rPr>
          <w:rFonts w:asciiTheme="minorHAnsi" w:hAnsiTheme="minorHAnsi" w:cstheme="minorHAnsi"/>
          <w:sz w:val="24"/>
          <w:szCs w:val="24"/>
        </w:rPr>
        <w:t xml:space="preserve">tumour approach for </w:t>
      </w:r>
      <w:r w:rsidR="006C361A" w:rsidRPr="00AE1050">
        <w:rPr>
          <w:rFonts w:asciiTheme="minorHAnsi" w:hAnsiTheme="minorHAnsi" w:cstheme="minorHAnsi"/>
          <w:sz w:val="24"/>
          <w:szCs w:val="24"/>
        </w:rPr>
        <w:t>PD</w:t>
      </w:r>
      <w:r w:rsidR="006C361A">
        <w:rPr>
          <w:rFonts w:asciiTheme="minorHAnsi" w:hAnsiTheme="minorHAnsi" w:cstheme="minorHAnsi"/>
          <w:sz w:val="24"/>
          <w:szCs w:val="24"/>
        </w:rPr>
        <w:t>-</w:t>
      </w:r>
      <w:r w:rsidR="006C361A" w:rsidRPr="00AE1050">
        <w:rPr>
          <w:rFonts w:asciiTheme="minorHAnsi" w:hAnsiTheme="minorHAnsi" w:cstheme="minorHAnsi"/>
          <w:sz w:val="24"/>
          <w:szCs w:val="24"/>
        </w:rPr>
        <w:t>(L)1</w:t>
      </w:r>
      <w:r w:rsidR="006C361A">
        <w:rPr>
          <w:rFonts w:asciiTheme="minorHAnsi" w:hAnsiTheme="minorHAnsi" w:cstheme="minorHAnsi"/>
          <w:sz w:val="24"/>
          <w:szCs w:val="24"/>
        </w:rPr>
        <w:t xml:space="preserve"> </w:t>
      </w:r>
      <w:r w:rsidR="003B3515" w:rsidRPr="00CB0814">
        <w:rPr>
          <w:rFonts w:asciiTheme="minorHAnsi" w:hAnsiTheme="minorHAnsi" w:cstheme="minorHAnsi"/>
          <w:sz w:val="24"/>
          <w:szCs w:val="24"/>
        </w:rPr>
        <w:t>checkpoint inhibitors could</w:t>
      </w:r>
      <w:r w:rsidRPr="00CB0814">
        <w:rPr>
          <w:rFonts w:asciiTheme="minorHAnsi" w:hAnsiTheme="minorHAnsi" w:cstheme="minorHAnsi"/>
          <w:sz w:val="24"/>
          <w:szCs w:val="24"/>
        </w:rPr>
        <w:t xml:space="preserve"> equally</w:t>
      </w:r>
      <w:r w:rsidR="003B3515" w:rsidRPr="00CB0814">
        <w:rPr>
          <w:rFonts w:asciiTheme="minorHAnsi" w:hAnsiTheme="minorHAnsi" w:cstheme="minorHAnsi"/>
          <w:sz w:val="24"/>
          <w:szCs w:val="24"/>
        </w:rPr>
        <w:t xml:space="preserve"> apply to other medicines in cancer and other medicines for non-cancer conditions where there is a common </w:t>
      </w:r>
      <w:r w:rsidR="003B3515" w:rsidRPr="00CB0814">
        <w:rPr>
          <w:rFonts w:asciiTheme="minorHAnsi" w:hAnsiTheme="minorHAnsi" w:cstheme="minorHAnsi"/>
          <w:sz w:val="24"/>
          <w:szCs w:val="24"/>
        </w:rPr>
        <w:lastRenderedPageBreak/>
        <w:t>underlying mechanism of disease.</w:t>
      </w:r>
    </w:p>
    <w:p w:rsidR="00733E37" w:rsidRDefault="00E9324A">
      <w:pPr>
        <w:pStyle w:val="ListParagraph"/>
        <w:numPr>
          <w:ilvl w:val="1"/>
          <w:numId w:val="14"/>
        </w:numPr>
        <w:spacing w:after="240"/>
        <w:rPr>
          <w:rFonts w:asciiTheme="minorHAnsi" w:hAnsiTheme="minorHAnsi" w:cstheme="minorHAnsi"/>
        </w:rPr>
      </w:pPr>
      <w:r>
        <w:rPr>
          <w:rFonts w:asciiTheme="minorHAnsi" w:hAnsiTheme="minorHAnsi" w:cstheme="minorHAnsi"/>
          <w:sz w:val="24"/>
          <w:szCs w:val="24"/>
        </w:rPr>
        <w:t>With regard to PD</w:t>
      </w:r>
      <w:r w:rsidR="00470655">
        <w:rPr>
          <w:rFonts w:asciiTheme="minorHAnsi" w:hAnsiTheme="minorHAnsi" w:cstheme="minorHAnsi"/>
          <w:sz w:val="24"/>
          <w:szCs w:val="24"/>
        </w:rPr>
        <w:t>-</w:t>
      </w:r>
      <w:r>
        <w:rPr>
          <w:rFonts w:asciiTheme="minorHAnsi" w:hAnsiTheme="minorHAnsi" w:cstheme="minorHAnsi"/>
          <w:sz w:val="24"/>
          <w:szCs w:val="24"/>
        </w:rPr>
        <w:t xml:space="preserve">L(1) checkpoint inhibitors </w:t>
      </w:r>
      <w:r w:rsidR="003D00E9">
        <w:rPr>
          <w:rFonts w:asciiTheme="minorHAnsi" w:hAnsiTheme="minorHAnsi" w:cstheme="minorHAnsi"/>
          <w:sz w:val="24"/>
          <w:szCs w:val="24"/>
        </w:rPr>
        <w:t xml:space="preserve">and pan-tumour listings </w:t>
      </w:r>
      <w:r>
        <w:rPr>
          <w:rFonts w:asciiTheme="minorHAnsi" w:hAnsiTheme="minorHAnsi" w:cstheme="minorHAnsi"/>
          <w:sz w:val="24"/>
          <w:szCs w:val="24"/>
        </w:rPr>
        <w:t>t</w:t>
      </w:r>
      <w:r w:rsidR="00A912AF" w:rsidRPr="00CB0814">
        <w:rPr>
          <w:rFonts w:asciiTheme="minorHAnsi" w:hAnsiTheme="minorHAnsi" w:cstheme="minorHAnsi"/>
          <w:sz w:val="24"/>
          <w:szCs w:val="24"/>
        </w:rPr>
        <w:t>he PBAC</w:t>
      </w:r>
      <w:r w:rsidR="00733E37" w:rsidRPr="00CB0814">
        <w:rPr>
          <w:rFonts w:asciiTheme="minorHAnsi" w:hAnsiTheme="minorHAnsi" w:cstheme="minorHAnsi"/>
          <w:sz w:val="24"/>
          <w:szCs w:val="24"/>
        </w:rPr>
        <w:t xml:space="preserve"> recommends the Minister </w:t>
      </w:r>
      <w:r w:rsidR="00AB73FF">
        <w:rPr>
          <w:rFonts w:asciiTheme="minorHAnsi" w:hAnsiTheme="minorHAnsi" w:cstheme="minorHAnsi"/>
          <w:sz w:val="24"/>
          <w:szCs w:val="24"/>
        </w:rPr>
        <w:t>request additional advice on</w:t>
      </w:r>
      <w:r w:rsidR="00733E37" w:rsidRPr="00CB0814">
        <w:rPr>
          <w:rFonts w:asciiTheme="minorHAnsi" w:hAnsiTheme="minorHAnsi" w:cstheme="minorHAnsi"/>
          <w:sz w:val="24"/>
          <w:szCs w:val="24"/>
        </w:rPr>
        <w:t>:</w:t>
      </w:r>
      <w:r w:rsidR="00733E37" w:rsidRPr="008D50F8">
        <w:rPr>
          <w:rFonts w:asciiTheme="minorHAnsi" w:hAnsiTheme="minorHAnsi" w:cstheme="minorHAnsi"/>
        </w:rPr>
        <w:t xml:space="preserve"> </w:t>
      </w:r>
    </w:p>
    <w:p w:rsidR="00E9324A" w:rsidRPr="008D50F8" w:rsidRDefault="00E9324A" w:rsidP="00605E2D">
      <w:pPr>
        <w:pStyle w:val="ListParagraph"/>
        <w:spacing w:after="240"/>
        <w:rPr>
          <w:rFonts w:asciiTheme="minorHAnsi" w:hAnsiTheme="minorHAnsi" w:cstheme="minorHAnsi"/>
        </w:rPr>
      </w:pPr>
    </w:p>
    <w:p w:rsidR="00E9324A" w:rsidRPr="00605E2D" w:rsidRDefault="00E9324A" w:rsidP="00605E2D">
      <w:pPr>
        <w:pStyle w:val="ListParagraph"/>
        <w:numPr>
          <w:ilvl w:val="2"/>
          <w:numId w:val="14"/>
        </w:numPr>
        <w:tabs>
          <w:tab w:val="left" w:pos="1418"/>
        </w:tabs>
        <w:spacing w:after="240"/>
        <w:ind w:left="1418" w:hanging="709"/>
        <w:contextualSpacing w:val="0"/>
        <w:rPr>
          <w:rFonts w:asciiTheme="minorHAnsi" w:hAnsiTheme="minorHAnsi" w:cstheme="minorHAnsi"/>
          <w:sz w:val="24"/>
          <w:szCs w:val="24"/>
        </w:rPr>
      </w:pPr>
      <w:r w:rsidRPr="00AE1050">
        <w:rPr>
          <w:rFonts w:asciiTheme="minorHAnsi" w:hAnsiTheme="minorHAnsi" w:cstheme="minorHAnsi"/>
          <w:sz w:val="24"/>
          <w:szCs w:val="24"/>
        </w:rPr>
        <w:t xml:space="preserve">Options for a broad PBS subsidy listing for </w:t>
      </w:r>
      <w:r w:rsidR="006C361A" w:rsidRPr="00AE1050">
        <w:rPr>
          <w:rFonts w:asciiTheme="minorHAnsi" w:hAnsiTheme="minorHAnsi" w:cstheme="minorHAnsi"/>
          <w:sz w:val="24"/>
          <w:szCs w:val="24"/>
        </w:rPr>
        <w:t>PD</w:t>
      </w:r>
      <w:r w:rsidR="006C361A">
        <w:rPr>
          <w:rFonts w:asciiTheme="minorHAnsi" w:hAnsiTheme="minorHAnsi" w:cstheme="minorHAnsi"/>
          <w:sz w:val="24"/>
          <w:szCs w:val="24"/>
        </w:rPr>
        <w:t>-</w:t>
      </w:r>
      <w:r w:rsidR="006C361A" w:rsidRPr="00AE1050">
        <w:rPr>
          <w:rFonts w:asciiTheme="minorHAnsi" w:hAnsiTheme="minorHAnsi" w:cstheme="minorHAnsi"/>
          <w:sz w:val="24"/>
          <w:szCs w:val="24"/>
        </w:rPr>
        <w:t>(L</w:t>
      </w:r>
      <w:proofErr w:type="gramStart"/>
      <w:r w:rsidR="006C361A" w:rsidRPr="00AE1050">
        <w:rPr>
          <w:rFonts w:asciiTheme="minorHAnsi" w:hAnsiTheme="minorHAnsi" w:cstheme="minorHAnsi"/>
          <w:sz w:val="24"/>
          <w:szCs w:val="24"/>
        </w:rPr>
        <w:t>)1</w:t>
      </w:r>
      <w:proofErr w:type="gramEnd"/>
      <w:r w:rsidR="006C361A">
        <w:rPr>
          <w:rFonts w:asciiTheme="minorHAnsi" w:hAnsiTheme="minorHAnsi" w:cstheme="minorHAnsi"/>
          <w:sz w:val="24"/>
          <w:szCs w:val="24"/>
        </w:rPr>
        <w:t xml:space="preserve"> </w:t>
      </w:r>
      <w:r w:rsidRPr="00AE1050">
        <w:rPr>
          <w:rFonts w:asciiTheme="minorHAnsi" w:hAnsiTheme="minorHAnsi" w:cstheme="minorHAnsi"/>
          <w:sz w:val="24"/>
          <w:szCs w:val="24"/>
        </w:rPr>
        <w:t>checkpoint inhibitors for lung cancer, as substantial evidence and experience is now available for these medicines in this setting.</w:t>
      </w:r>
    </w:p>
    <w:p w:rsidR="00733E37" w:rsidRPr="00605E2D" w:rsidRDefault="00E9324A" w:rsidP="00605E2D">
      <w:pPr>
        <w:pStyle w:val="ListParagraph"/>
        <w:numPr>
          <w:ilvl w:val="2"/>
          <w:numId w:val="14"/>
        </w:numPr>
        <w:tabs>
          <w:tab w:val="left" w:pos="1418"/>
        </w:tabs>
        <w:spacing w:after="240"/>
        <w:ind w:left="1418" w:hanging="709"/>
        <w:contextualSpacing w:val="0"/>
        <w:rPr>
          <w:rFonts w:asciiTheme="minorHAnsi" w:hAnsiTheme="minorHAnsi" w:cstheme="minorHAnsi"/>
          <w:sz w:val="24"/>
          <w:szCs w:val="24"/>
        </w:rPr>
      </w:pPr>
      <w:r w:rsidRPr="00605E2D">
        <w:rPr>
          <w:rFonts w:asciiTheme="minorHAnsi" w:hAnsiTheme="minorHAnsi" w:cstheme="minorHAnsi"/>
          <w:sz w:val="24"/>
          <w:szCs w:val="24"/>
        </w:rPr>
        <w:t xml:space="preserve">Options for a standardised tiered pricing arrangement for </w:t>
      </w:r>
      <w:r w:rsidR="006C361A" w:rsidRPr="00AE1050">
        <w:rPr>
          <w:rFonts w:asciiTheme="minorHAnsi" w:hAnsiTheme="minorHAnsi" w:cstheme="minorHAnsi"/>
          <w:sz w:val="24"/>
          <w:szCs w:val="24"/>
        </w:rPr>
        <w:t>PD</w:t>
      </w:r>
      <w:r w:rsidR="006C361A">
        <w:rPr>
          <w:rFonts w:asciiTheme="minorHAnsi" w:hAnsiTheme="minorHAnsi" w:cstheme="minorHAnsi"/>
          <w:sz w:val="24"/>
          <w:szCs w:val="24"/>
        </w:rPr>
        <w:t>-</w:t>
      </w:r>
      <w:r w:rsidR="006C361A" w:rsidRPr="00AE1050">
        <w:rPr>
          <w:rFonts w:asciiTheme="minorHAnsi" w:hAnsiTheme="minorHAnsi" w:cstheme="minorHAnsi"/>
          <w:sz w:val="24"/>
          <w:szCs w:val="24"/>
        </w:rPr>
        <w:t>(L)1</w:t>
      </w:r>
      <w:r w:rsidR="006C361A">
        <w:rPr>
          <w:rFonts w:asciiTheme="minorHAnsi" w:hAnsiTheme="minorHAnsi" w:cstheme="minorHAnsi"/>
          <w:sz w:val="24"/>
          <w:szCs w:val="24"/>
        </w:rPr>
        <w:t xml:space="preserve"> </w:t>
      </w:r>
      <w:r w:rsidRPr="00605E2D">
        <w:rPr>
          <w:rFonts w:asciiTheme="minorHAnsi" w:hAnsiTheme="minorHAnsi" w:cstheme="minorHAnsi"/>
          <w:sz w:val="24"/>
          <w:szCs w:val="24"/>
        </w:rPr>
        <w:t>inhibitors that would apply once</w:t>
      </w:r>
      <w:r w:rsidR="00470655">
        <w:rPr>
          <w:rFonts w:asciiTheme="minorHAnsi" w:hAnsiTheme="minorHAnsi" w:cstheme="minorHAnsi"/>
          <w:sz w:val="24"/>
          <w:szCs w:val="24"/>
        </w:rPr>
        <w:t xml:space="preserve"> the</w:t>
      </w:r>
      <w:r w:rsidRPr="00605E2D">
        <w:rPr>
          <w:rFonts w:asciiTheme="minorHAnsi" w:hAnsiTheme="minorHAnsi" w:cstheme="minorHAnsi"/>
          <w:sz w:val="24"/>
          <w:szCs w:val="24"/>
        </w:rPr>
        <w:t xml:space="preserve"> PBAC has recommended subsidy for a particular use and that would account for issues beyond PBAC’s scope including economies of scale and affordability considerations.</w:t>
      </w:r>
    </w:p>
    <w:p w:rsidR="00E9324A" w:rsidRPr="00AE1050" w:rsidRDefault="00E9324A" w:rsidP="00E9324A">
      <w:pPr>
        <w:pStyle w:val="ListParagraph"/>
        <w:spacing w:after="240"/>
        <w:ind w:hanging="11"/>
        <w:rPr>
          <w:rFonts w:asciiTheme="minorHAnsi" w:hAnsiTheme="minorHAnsi" w:cstheme="minorHAnsi"/>
          <w:sz w:val="24"/>
          <w:szCs w:val="24"/>
        </w:rPr>
      </w:pPr>
    </w:p>
    <w:p w:rsidR="00E9324A" w:rsidRDefault="00E9324A" w:rsidP="00E9324A">
      <w:pPr>
        <w:pStyle w:val="ListParagraph"/>
        <w:numPr>
          <w:ilvl w:val="1"/>
          <w:numId w:val="14"/>
        </w:numPr>
        <w:spacing w:after="240"/>
        <w:rPr>
          <w:rFonts w:asciiTheme="minorHAnsi" w:hAnsiTheme="minorHAnsi" w:cstheme="minorHAnsi"/>
        </w:rPr>
      </w:pPr>
      <w:r>
        <w:rPr>
          <w:rFonts w:asciiTheme="minorHAnsi" w:hAnsiTheme="minorHAnsi" w:cstheme="minorHAnsi"/>
          <w:sz w:val="24"/>
          <w:szCs w:val="24"/>
        </w:rPr>
        <w:t>With regard to more gen</w:t>
      </w:r>
      <w:r w:rsidR="003D00E9">
        <w:rPr>
          <w:rFonts w:asciiTheme="minorHAnsi" w:hAnsiTheme="minorHAnsi" w:cstheme="minorHAnsi"/>
          <w:sz w:val="24"/>
          <w:szCs w:val="24"/>
        </w:rPr>
        <w:t>eral issues raised</w:t>
      </w:r>
      <w:r>
        <w:rPr>
          <w:rFonts w:asciiTheme="minorHAnsi" w:hAnsiTheme="minorHAnsi" w:cstheme="minorHAnsi"/>
          <w:sz w:val="24"/>
          <w:szCs w:val="24"/>
        </w:rPr>
        <w:t>, t</w:t>
      </w:r>
      <w:r w:rsidRPr="00CB0814">
        <w:rPr>
          <w:rFonts w:asciiTheme="minorHAnsi" w:hAnsiTheme="minorHAnsi" w:cstheme="minorHAnsi"/>
          <w:sz w:val="24"/>
          <w:szCs w:val="24"/>
        </w:rPr>
        <w:t xml:space="preserve">he PBAC recommends the Minister </w:t>
      </w:r>
      <w:r>
        <w:rPr>
          <w:rFonts w:asciiTheme="minorHAnsi" w:hAnsiTheme="minorHAnsi" w:cstheme="minorHAnsi"/>
          <w:sz w:val="24"/>
          <w:szCs w:val="24"/>
        </w:rPr>
        <w:t>request additional advice on</w:t>
      </w:r>
      <w:r w:rsidRPr="00CB0814">
        <w:rPr>
          <w:rFonts w:asciiTheme="minorHAnsi" w:hAnsiTheme="minorHAnsi" w:cstheme="minorHAnsi"/>
          <w:sz w:val="24"/>
          <w:szCs w:val="24"/>
        </w:rPr>
        <w:t>:</w:t>
      </w:r>
      <w:r w:rsidRPr="008D50F8">
        <w:rPr>
          <w:rFonts w:asciiTheme="minorHAnsi" w:hAnsiTheme="minorHAnsi" w:cstheme="minorHAnsi"/>
        </w:rPr>
        <w:t xml:space="preserve"> </w:t>
      </w:r>
    </w:p>
    <w:p w:rsidR="00605E2D" w:rsidRDefault="00605E2D" w:rsidP="00605E2D">
      <w:pPr>
        <w:pStyle w:val="ListParagraph"/>
        <w:spacing w:after="240"/>
        <w:rPr>
          <w:rFonts w:asciiTheme="minorHAnsi" w:hAnsiTheme="minorHAnsi" w:cstheme="minorHAnsi"/>
        </w:rPr>
      </w:pPr>
    </w:p>
    <w:p w:rsidR="00E9324A" w:rsidRPr="00605E2D" w:rsidRDefault="00E9324A" w:rsidP="00605E2D">
      <w:pPr>
        <w:pStyle w:val="ListParagraph"/>
        <w:numPr>
          <w:ilvl w:val="2"/>
          <w:numId w:val="14"/>
        </w:numPr>
        <w:tabs>
          <w:tab w:val="left" w:pos="1418"/>
        </w:tabs>
        <w:spacing w:after="240"/>
        <w:ind w:left="1418" w:hanging="709"/>
        <w:contextualSpacing w:val="0"/>
        <w:rPr>
          <w:rFonts w:asciiTheme="minorHAnsi" w:hAnsiTheme="minorHAnsi" w:cstheme="minorHAnsi"/>
          <w:sz w:val="24"/>
          <w:szCs w:val="24"/>
        </w:rPr>
      </w:pPr>
      <w:r w:rsidRPr="00AE1050">
        <w:rPr>
          <w:rFonts w:asciiTheme="minorHAnsi" w:hAnsiTheme="minorHAnsi" w:cstheme="minorHAnsi"/>
          <w:sz w:val="24"/>
          <w:szCs w:val="24"/>
        </w:rPr>
        <w:t xml:space="preserve">The development of an Appendix to the Guidelines for Submissions to the PBAC that provides information on possible approaches to multi-indication submissions. </w:t>
      </w:r>
    </w:p>
    <w:p w:rsidR="00C3496E" w:rsidRPr="00AE1050" w:rsidRDefault="003D00E9" w:rsidP="008D50F8">
      <w:pPr>
        <w:pStyle w:val="ListParagraph"/>
        <w:numPr>
          <w:ilvl w:val="2"/>
          <w:numId w:val="14"/>
        </w:numPr>
        <w:tabs>
          <w:tab w:val="left" w:pos="1418"/>
        </w:tabs>
        <w:spacing w:after="240"/>
        <w:ind w:left="1418" w:hanging="709"/>
        <w:contextualSpacing w:val="0"/>
        <w:rPr>
          <w:rFonts w:asciiTheme="minorHAnsi" w:hAnsiTheme="minorHAnsi" w:cstheme="minorHAnsi"/>
          <w:sz w:val="24"/>
          <w:szCs w:val="24"/>
        </w:rPr>
      </w:pPr>
      <w:r>
        <w:rPr>
          <w:rFonts w:asciiTheme="minorHAnsi" w:hAnsiTheme="minorHAnsi" w:cstheme="minorHAnsi"/>
          <w:sz w:val="24"/>
          <w:szCs w:val="24"/>
        </w:rPr>
        <w:t xml:space="preserve">Clarification of the status of </w:t>
      </w:r>
      <w:r w:rsidR="00733E37" w:rsidRPr="00AE1050">
        <w:rPr>
          <w:rFonts w:asciiTheme="minorHAnsi" w:hAnsiTheme="minorHAnsi" w:cstheme="minorHAnsi"/>
          <w:sz w:val="24"/>
          <w:szCs w:val="24"/>
        </w:rPr>
        <w:t xml:space="preserve">conditional funding arrangements that would complement the TGA provisional registration pathway.  These </w:t>
      </w:r>
      <w:r>
        <w:rPr>
          <w:rFonts w:asciiTheme="minorHAnsi" w:hAnsiTheme="minorHAnsi" w:cstheme="minorHAnsi"/>
          <w:sz w:val="24"/>
          <w:szCs w:val="24"/>
        </w:rPr>
        <w:t>w</w:t>
      </w:r>
      <w:r w:rsidR="00733E37" w:rsidRPr="00AE1050">
        <w:rPr>
          <w:rFonts w:asciiTheme="minorHAnsi" w:hAnsiTheme="minorHAnsi" w:cstheme="minorHAnsi"/>
          <w:sz w:val="24"/>
          <w:szCs w:val="24"/>
        </w:rPr>
        <w:t>ould utilise the established Managed Access Program arrangements and establish transparent</w:t>
      </w:r>
      <w:r w:rsidR="00C3496E" w:rsidRPr="00AE1050">
        <w:rPr>
          <w:rFonts w:asciiTheme="minorHAnsi" w:hAnsiTheme="minorHAnsi" w:cstheme="minorHAnsi"/>
          <w:sz w:val="24"/>
          <w:szCs w:val="24"/>
        </w:rPr>
        <w:t>,</w:t>
      </w:r>
      <w:r w:rsidR="00733E37" w:rsidRPr="00AE1050">
        <w:rPr>
          <w:rFonts w:asciiTheme="minorHAnsi" w:hAnsiTheme="minorHAnsi" w:cstheme="minorHAnsi"/>
          <w:sz w:val="24"/>
          <w:szCs w:val="24"/>
        </w:rPr>
        <w:t xml:space="preserve"> robust </w:t>
      </w:r>
      <w:r w:rsidR="00C3496E" w:rsidRPr="00AE1050">
        <w:rPr>
          <w:rFonts w:asciiTheme="minorHAnsi" w:hAnsiTheme="minorHAnsi" w:cstheme="minorHAnsi"/>
          <w:sz w:val="24"/>
          <w:szCs w:val="24"/>
        </w:rPr>
        <w:t xml:space="preserve">and enforceable </w:t>
      </w:r>
      <w:r w:rsidR="00733E37" w:rsidRPr="00AE1050">
        <w:rPr>
          <w:rFonts w:asciiTheme="minorHAnsi" w:hAnsiTheme="minorHAnsi" w:cstheme="minorHAnsi"/>
          <w:sz w:val="24"/>
          <w:szCs w:val="24"/>
        </w:rPr>
        <w:t>cr</w:t>
      </w:r>
      <w:r w:rsidR="00C3496E" w:rsidRPr="00AE1050">
        <w:rPr>
          <w:rFonts w:asciiTheme="minorHAnsi" w:hAnsiTheme="minorHAnsi" w:cstheme="minorHAnsi"/>
          <w:sz w:val="24"/>
          <w:szCs w:val="24"/>
        </w:rPr>
        <w:t>iteria for reviewing existing</w:t>
      </w:r>
      <w:r w:rsidR="00733E37" w:rsidRPr="00AE1050">
        <w:rPr>
          <w:rFonts w:asciiTheme="minorHAnsi" w:hAnsiTheme="minorHAnsi" w:cstheme="minorHAnsi"/>
          <w:sz w:val="24"/>
          <w:szCs w:val="24"/>
        </w:rPr>
        <w:t xml:space="preserve"> funding arrangements </w:t>
      </w:r>
      <w:r w:rsidR="00C3496E" w:rsidRPr="00AE1050">
        <w:rPr>
          <w:rFonts w:asciiTheme="minorHAnsi" w:hAnsiTheme="minorHAnsi" w:cstheme="minorHAnsi"/>
          <w:sz w:val="24"/>
          <w:szCs w:val="24"/>
        </w:rPr>
        <w:t xml:space="preserve">for medicines </w:t>
      </w:r>
      <w:r w:rsidR="00733E37" w:rsidRPr="00AE1050">
        <w:rPr>
          <w:rFonts w:asciiTheme="minorHAnsi" w:hAnsiTheme="minorHAnsi" w:cstheme="minorHAnsi"/>
          <w:sz w:val="24"/>
          <w:szCs w:val="24"/>
        </w:rPr>
        <w:t xml:space="preserve">and </w:t>
      </w:r>
      <w:r w:rsidR="004363E6" w:rsidRPr="00AE1050">
        <w:rPr>
          <w:rFonts w:asciiTheme="minorHAnsi" w:hAnsiTheme="minorHAnsi" w:cstheme="minorHAnsi"/>
          <w:sz w:val="24"/>
          <w:szCs w:val="24"/>
        </w:rPr>
        <w:t>for managing exit from subsidy</w:t>
      </w:r>
      <w:r w:rsidR="00CB0814">
        <w:rPr>
          <w:rFonts w:asciiTheme="minorHAnsi" w:hAnsiTheme="minorHAnsi" w:cstheme="minorHAnsi"/>
          <w:sz w:val="24"/>
          <w:szCs w:val="24"/>
        </w:rPr>
        <w:t>. The PBAC acknowledged that the introduction of such arrangements would require legislative change</w:t>
      </w:r>
      <w:r w:rsidR="005205F3">
        <w:rPr>
          <w:rFonts w:asciiTheme="minorHAnsi" w:hAnsiTheme="minorHAnsi" w:cstheme="minorHAnsi"/>
          <w:sz w:val="24"/>
          <w:szCs w:val="24"/>
        </w:rPr>
        <w:t>.</w:t>
      </w:r>
    </w:p>
    <w:p w:rsidR="00AD53EF" w:rsidRPr="002E08DB" w:rsidRDefault="00AD53EF" w:rsidP="00E01D7E">
      <w:pPr>
        <w:pStyle w:val="ListParagraph"/>
        <w:numPr>
          <w:ilvl w:val="2"/>
          <w:numId w:val="14"/>
        </w:numPr>
        <w:spacing w:after="240"/>
        <w:ind w:left="1418" w:hanging="709"/>
        <w:contextualSpacing w:val="0"/>
        <w:rPr>
          <w:rFonts w:asciiTheme="minorHAnsi" w:hAnsiTheme="minorHAnsi" w:cstheme="minorHAnsi"/>
          <w:sz w:val="24"/>
          <w:szCs w:val="24"/>
        </w:rPr>
      </w:pPr>
      <w:r>
        <w:rPr>
          <w:rFonts w:asciiTheme="minorHAnsi" w:hAnsiTheme="minorHAnsi" w:cstheme="minorHAnsi"/>
          <w:sz w:val="24"/>
          <w:szCs w:val="24"/>
        </w:rPr>
        <w:t xml:space="preserve">Options for eliminating </w:t>
      </w:r>
      <w:r w:rsidR="00246F57">
        <w:rPr>
          <w:rFonts w:asciiTheme="minorHAnsi" w:hAnsiTheme="minorHAnsi" w:cstheme="minorHAnsi"/>
          <w:sz w:val="24"/>
          <w:szCs w:val="24"/>
        </w:rPr>
        <w:t xml:space="preserve">or </w:t>
      </w:r>
      <w:r w:rsidR="009062D7">
        <w:rPr>
          <w:rFonts w:asciiTheme="minorHAnsi" w:hAnsiTheme="minorHAnsi" w:cstheme="minorHAnsi"/>
          <w:sz w:val="24"/>
          <w:szCs w:val="24"/>
        </w:rPr>
        <w:t>reducing</w:t>
      </w:r>
      <w:r w:rsidR="00246F57">
        <w:rPr>
          <w:rFonts w:asciiTheme="minorHAnsi" w:hAnsiTheme="minorHAnsi" w:cstheme="minorHAnsi"/>
          <w:sz w:val="24"/>
          <w:szCs w:val="24"/>
        </w:rPr>
        <w:t xml:space="preserve"> </w:t>
      </w:r>
      <w:r>
        <w:rPr>
          <w:rFonts w:asciiTheme="minorHAnsi" w:hAnsiTheme="minorHAnsi" w:cstheme="minorHAnsi"/>
          <w:sz w:val="24"/>
          <w:szCs w:val="24"/>
        </w:rPr>
        <w:t xml:space="preserve">the barriers to TGA registration for rare conditions – particularly where the medicine is registered for a range of other conditions, the safety profile of the drug is well known and there is a high unmet clinical need. </w:t>
      </w:r>
      <w:r w:rsidR="0029466D">
        <w:rPr>
          <w:rFonts w:asciiTheme="minorHAnsi" w:hAnsiTheme="minorHAnsi" w:cstheme="minorHAnsi"/>
          <w:sz w:val="24"/>
          <w:szCs w:val="24"/>
        </w:rPr>
        <w:t xml:space="preserve"> This is not limited to cancer medicines, but encompasses all medicines, and both existing and new medicines.</w:t>
      </w:r>
    </w:p>
    <w:p w:rsidR="003F5931" w:rsidRDefault="003F5931" w:rsidP="00695F7B">
      <w:pPr>
        <w:pStyle w:val="ListParagraph"/>
        <w:numPr>
          <w:ilvl w:val="2"/>
          <w:numId w:val="14"/>
        </w:numPr>
        <w:tabs>
          <w:tab w:val="left" w:pos="1418"/>
        </w:tabs>
        <w:spacing w:after="240"/>
        <w:ind w:left="1418" w:hanging="709"/>
        <w:contextualSpacing w:val="0"/>
        <w:rPr>
          <w:rFonts w:asciiTheme="minorHAnsi" w:hAnsiTheme="minorHAnsi" w:cstheme="minorHAnsi"/>
          <w:sz w:val="24"/>
          <w:szCs w:val="24"/>
        </w:rPr>
      </w:pPr>
      <w:r>
        <w:rPr>
          <w:rFonts w:asciiTheme="minorHAnsi" w:hAnsiTheme="minorHAnsi" w:cstheme="minorHAnsi"/>
          <w:sz w:val="24"/>
          <w:szCs w:val="24"/>
        </w:rPr>
        <w:t xml:space="preserve">Options for </w:t>
      </w:r>
      <w:r w:rsidR="003D00E9">
        <w:rPr>
          <w:rFonts w:asciiTheme="minorHAnsi" w:hAnsiTheme="minorHAnsi" w:cstheme="minorHAnsi"/>
          <w:sz w:val="24"/>
          <w:szCs w:val="24"/>
        </w:rPr>
        <w:t xml:space="preserve">supporting subsidy of medicines </w:t>
      </w:r>
      <w:r w:rsidR="004A37B0">
        <w:rPr>
          <w:rFonts w:asciiTheme="minorHAnsi" w:hAnsiTheme="minorHAnsi" w:cstheme="minorHAnsi"/>
          <w:sz w:val="24"/>
          <w:szCs w:val="24"/>
        </w:rPr>
        <w:t>outside the PBS for diseases where th</w:t>
      </w:r>
      <w:r w:rsidR="00CB0814">
        <w:rPr>
          <w:rFonts w:asciiTheme="minorHAnsi" w:hAnsiTheme="minorHAnsi" w:cstheme="minorHAnsi"/>
          <w:sz w:val="24"/>
          <w:szCs w:val="24"/>
        </w:rPr>
        <w:t>ere</w:t>
      </w:r>
      <w:r w:rsidR="004A37B0">
        <w:rPr>
          <w:rFonts w:asciiTheme="minorHAnsi" w:hAnsiTheme="minorHAnsi" w:cstheme="minorHAnsi"/>
          <w:sz w:val="24"/>
          <w:szCs w:val="24"/>
        </w:rPr>
        <w:t xml:space="preserve"> is a high and unmet need</w:t>
      </w:r>
      <w:r w:rsidR="00661DC4">
        <w:rPr>
          <w:rFonts w:asciiTheme="minorHAnsi" w:hAnsiTheme="minorHAnsi" w:cstheme="minorHAnsi"/>
          <w:sz w:val="24"/>
          <w:szCs w:val="24"/>
        </w:rPr>
        <w:t xml:space="preserve"> and where </w:t>
      </w:r>
      <w:r w:rsidR="004A37B0">
        <w:rPr>
          <w:rFonts w:asciiTheme="minorHAnsi" w:hAnsiTheme="minorHAnsi" w:cstheme="minorHAnsi"/>
          <w:sz w:val="24"/>
          <w:szCs w:val="24"/>
        </w:rPr>
        <w:t xml:space="preserve">the evidence base is limited. </w:t>
      </w:r>
      <w:r w:rsidR="00661DC4">
        <w:rPr>
          <w:rFonts w:asciiTheme="minorHAnsi" w:hAnsiTheme="minorHAnsi" w:cstheme="minorHAnsi"/>
          <w:sz w:val="24"/>
          <w:szCs w:val="24"/>
        </w:rPr>
        <w:t xml:space="preserve">The PBAC’s preferred approach is that such access should be within the context of a clinical trial. </w:t>
      </w:r>
      <w:r w:rsidR="00A60D6F">
        <w:rPr>
          <w:rFonts w:asciiTheme="minorHAnsi" w:hAnsiTheme="minorHAnsi" w:cstheme="minorHAnsi"/>
          <w:sz w:val="24"/>
          <w:szCs w:val="24"/>
        </w:rPr>
        <w:t>Th</w:t>
      </w:r>
      <w:r w:rsidR="00D938EE">
        <w:rPr>
          <w:rFonts w:asciiTheme="minorHAnsi" w:hAnsiTheme="minorHAnsi" w:cstheme="minorHAnsi"/>
          <w:sz w:val="24"/>
          <w:szCs w:val="24"/>
        </w:rPr>
        <w:t>e PBAC noted the Government’s commitment to expanding clinical trial capa</w:t>
      </w:r>
      <w:r w:rsidR="006B54B0">
        <w:rPr>
          <w:rFonts w:asciiTheme="minorHAnsi" w:hAnsiTheme="minorHAnsi" w:cstheme="minorHAnsi"/>
          <w:sz w:val="24"/>
          <w:szCs w:val="24"/>
        </w:rPr>
        <w:t xml:space="preserve">bility in Australia especially in the area of rare diseases and cancers providing </w:t>
      </w:r>
      <w:r w:rsidR="00D95F57">
        <w:rPr>
          <w:rFonts w:asciiTheme="minorHAnsi" w:hAnsiTheme="minorHAnsi" w:cstheme="minorHAnsi"/>
          <w:sz w:val="24"/>
          <w:szCs w:val="24"/>
        </w:rPr>
        <w:t>opportunities</w:t>
      </w:r>
      <w:r w:rsidR="006B54B0">
        <w:rPr>
          <w:rFonts w:asciiTheme="minorHAnsi" w:hAnsiTheme="minorHAnsi" w:cstheme="minorHAnsi"/>
          <w:sz w:val="24"/>
          <w:szCs w:val="24"/>
        </w:rPr>
        <w:t xml:space="preserve"> for</w:t>
      </w:r>
      <w:r w:rsidR="00A60D6F">
        <w:rPr>
          <w:rFonts w:asciiTheme="minorHAnsi" w:hAnsiTheme="minorHAnsi" w:cstheme="minorHAnsi"/>
          <w:sz w:val="24"/>
          <w:szCs w:val="24"/>
        </w:rPr>
        <w:t xml:space="preserve"> generating / collecting evidence in these rare condition populations.</w:t>
      </w:r>
    </w:p>
    <w:p w:rsidR="00AD53EF" w:rsidRDefault="00AD53EF" w:rsidP="00AD53EF">
      <w:pPr>
        <w:pStyle w:val="ListParagraph"/>
        <w:numPr>
          <w:ilvl w:val="2"/>
          <w:numId w:val="14"/>
        </w:numPr>
        <w:tabs>
          <w:tab w:val="left" w:pos="1418"/>
        </w:tabs>
        <w:spacing w:after="240"/>
        <w:ind w:left="1418" w:hanging="709"/>
        <w:contextualSpacing w:val="0"/>
        <w:rPr>
          <w:rFonts w:asciiTheme="minorHAnsi" w:hAnsiTheme="minorHAnsi" w:cstheme="minorHAnsi"/>
          <w:sz w:val="24"/>
          <w:szCs w:val="24"/>
        </w:rPr>
      </w:pPr>
      <w:r w:rsidRPr="00AE1050">
        <w:rPr>
          <w:rFonts w:asciiTheme="minorHAnsi" w:hAnsiTheme="minorHAnsi" w:cstheme="minorHAnsi"/>
          <w:sz w:val="24"/>
          <w:szCs w:val="24"/>
        </w:rPr>
        <w:lastRenderedPageBreak/>
        <w:t xml:space="preserve">Options for providing subsidised access to medicines considered by the PBAC to meet a high and unmet need, while an application is </w:t>
      </w:r>
      <w:r w:rsidR="00D95F57">
        <w:rPr>
          <w:rFonts w:asciiTheme="minorHAnsi" w:hAnsiTheme="minorHAnsi" w:cstheme="minorHAnsi"/>
          <w:sz w:val="24"/>
          <w:szCs w:val="24"/>
        </w:rPr>
        <w:t>under</w:t>
      </w:r>
      <w:r w:rsidR="00D95F57" w:rsidRPr="00AE1050">
        <w:rPr>
          <w:rFonts w:asciiTheme="minorHAnsi" w:hAnsiTheme="minorHAnsi" w:cstheme="minorHAnsi"/>
          <w:sz w:val="24"/>
          <w:szCs w:val="24"/>
        </w:rPr>
        <w:t xml:space="preserve"> </w:t>
      </w:r>
      <w:r w:rsidRPr="00AE1050">
        <w:rPr>
          <w:rFonts w:asciiTheme="minorHAnsi" w:hAnsiTheme="minorHAnsi" w:cstheme="minorHAnsi"/>
          <w:sz w:val="24"/>
          <w:szCs w:val="24"/>
        </w:rPr>
        <w:t>consider</w:t>
      </w:r>
      <w:r w:rsidR="00D95F57">
        <w:rPr>
          <w:rFonts w:asciiTheme="minorHAnsi" w:hAnsiTheme="minorHAnsi" w:cstheme="minorHAnsi"/>
          <w:sz w:val="24"/>
          <w:szCs w:val="24"/>
        </w:rPr>
        <w:t>ation</w:t>
      </w:r>
      <w:r w:rsidRPr="00AE1050">
        <w:rPr>
          <w:rFonts w:asciiTheme="minorHAnsi" w:hAnsiTheme="minorHAnsi" w:cstheme="minorHAnsi"/>
          <w:sz w:val="24"/>
          <w:szCs w:val="24"/>
        </w:rPr>
        <w:t xml:space="preserve">.  The PBAC considered </w:t>
      </w:r>
      <w:r w:rsidR="00246F57">
        <w:rPr>
          <w:rFonts w:asciiTheme="minorHAnsi" w:hAnsiTheme="minorHAnsi" w:cstheme="minorHAnsi"/>
          <w:sz w:val="24"/>
          <w:szCs w:val="24"/>
        </w:rPr>
        <w:t xml:space="preserve">that </w:t>
      </w:r>
      <w:r w:rsidRPr="00AE1050">
        <w:rPr>
          <w:rFonts w:asciiTheme="minorHAnsi" w:hAnsiTheme="minorHAnsi" w:cstheme="minorHAnsi"/>
          <w:sz w:val="24"/>
          <w:szCs w:val="24"/>
        </w:rPr>
        <w:t>any such scheme would need a tight definition of high and unmet need and defined parameters to limit the period of special funding, as well as other potential measures (e</w:t>
      </w:r>
      <w:r w:rsidR="00176DB8">
        <w:rPr>
          <w:rFonts w:asciiTheme="minorHAnsi" w:hAnsiTheme="minorHAnsi" w:cstheme="minorHAnsi"/>
          <w:sz w:val="24"/>
          <w:szCs w:val="24"/>
        </w:rPr>
        <w:t>.</w:t>
      </w:r>
      <w:r w:rsidRPr="00AE1050">
        <w:rPr>
          <w:rFonts w:asciiTheme="minorHAnsi" w:hAnsiTheme="minorHAnsi" w:cstheme="minorHAnsi"/>
          <w:sz w:val="24"/>
          <w:szCs w:val="24"/>
        </w:rPr>
        <w:t>g. risk share arrangements) to mitigate the risks inherent in such an approach.</w:t>
      </w:r>
      <w:r>
        <w:rPr>
          <w:rFonts w:asciiTheme="minorHAnsi" w:hAnsiTheme="minorHAnsi" w:cstheme="minorHAnsi"/>
          <w:sz w:val="24"/>
          <w:szCs w:val="24"/>
        </w:rPr>
        <w:t xml:space="preserve"> The PBAC acknowledged that the introduction of such arrangements would require legislative change</w:t>
      </w:r>
      <w:r w:rsidR="00614C24">
        <w:rPr>
          <w:rFonts w:asciiTheme="minorHAnsi" w:hAnsiTheme="minorHAnsi" w:cstheme="minorHAnsi"/>
          <w:sz w:val="24"/>
          <w:szCs w:val="24"/>
        </w:rPr>
        <w:t>.</w:t>
      </w:r>
    </w:p>
    <w:p w:rsidR="004E7CF0" w:rsidRPr="00FF57C3" w:rsidRDefault="004E7CF0" w:rsidP="00FD1B15">
      <w:pPr>
        <w:pStyle w:val="Heading2"/>
        <w:numPr>
          <w:ilvl w:val="0"/>
          <w:numId w:val="0"/>
        </w:numPr>
        <w:ind w:left="709"/>
        <w:rPr>
          <w:i/>
        </w:rPr>
      </w:pPr>
      <w:r w:rsidRPr="00FF57C3">
        <w:t>Attachment:</w:t>
      </w:r>
    </w:p>
    <w:p w:rsidR="004E7CF0" w:rsidRPr="00AE1050" w:rsidRDefault="004E7CF0" w:rsidP="004E7CF0">
      <w:pPr>
        <w:widowControl w:val="0"/>
        <w:jc w:val="both"/>
        <w:rPr>
          <w:rFonts w:asciiTheme="minorHAnsi" w:hAnsiTheme="minorHAnsi" w:cstheme="minorHAnsi"/>
          <w:snapToGrid w:val="0"/>
          <w:sz w:val="22"/>
          <w:szCs w:val="20"/>
          <w:lang w:eastAsia="en-US"/>
        </w:rPr>
      </w:pPr>
    </w:p>
    <w:p w:rsidR="00D20EED" w:rsidRPr="00AE1050" w:rsidRDefault="00932C06" w:rsidP="00AE1050">
      <w:pPr>
        <w:widowControl w:val="0"/>
        <w:numPr>
          <w:ilvl w:val="0"/>
          <w:numId w:val="21"/>
        </w:numPr>
        <w:spacing w:after="240"/>
        <w:ind w:left="567" w:hanging="425"/>
        <w:rPr>
          <w:rFonts w:asciiTheme="minorHAnsi" w:hAnsiTheme="minorHAnsi" w:cstheme="minorHAnsi"/>
          <w:lang w:eastAsia="en-US"/>
        </w:rPr>
      </w:pPr>
      <w:r>
        <w:rPr>
          <w:rFonts w:asciiTheme="minorHAnsi" w:eastAsiaTheme="minorHAnsi" w:hAnsiTheme="minorHAnsi" w:cstheme="minorHAnsi"/>
          <w:snapToGrid w:val="0"/>
          <w:lang w:eastAsia="en-US"/>
        </w:rPr>
        <w:t xml:space="preserve">List of </w:t>
      </w:r>
      <w:r w:rsidR="006C361A" w:rsidRPr="00AE1050">
        <w:rPr>
          <w:rFonts w:asciiTheme="minorHAnsi" w:hAnsiTheme="minorHAnsi" w:cstheme="minorHAnsi"/>
        </w:rPr>
        <w:t>PD</w:t>
      </w:r>
      <w:r w:rsidR="006C361A">
        <w:rPr>
          <w:rFonts w:asciiTheme="minorHAnsi" w:hAnsiTheme="minorHAnsi" w:cstheme="minorHAnsi"/>
        </w:rPr>
        <w:t>-</w:t>
      </w:r>
      <w:r w:rsidR="006C361A" w:rsidRPr="00AE1050">
        <w:rPr>
          <w:rFonts w:asciiTheme="minorHAnsi" w:hAnsiTheme="minorHAnsi" w:cstheme="minorHAnsi"/>
        </w:rPr>
        <w:t>(L</w:t>
      </w:r>
      <w:proofErr w:type="gramStart"/>
      <w:r w:rsidR="006C361A" w:rsidRPr="00AE1050">
        <w:rPr>
          <w:rFonts w:asciiTheme="minorHAnsi" w:hAnsiTheme="minorHAnsi" w:cstheme="minorHAnsi"/>
        </w:rPr>
        <w:t>)1</w:t>
      </w:r>
      <w:proofErr w:type="gramEnd"/>
      <w:r w:rsidR="006C361A">
        <w:rPr>
          <w:rFonts w:asciiTheme="minorHAnsi" w:hAnsiTheme="minorHAnsi" w:cstheme="minorHAnsi"/>
        </w:rPr>
        <w:t xml:space="preserve"> </w:t>
      </w:r>
      <w:r w:rsidR="00906F0C" w:rsidRPr="00AE1050">
        <w:rPr>
          <w:rFonts w:asciiTheme="minorHAnsi" w:eastAsiaTheme="minorHAnsi" w:hAnsiTheme="minorHAnsi" w:cstheme="minorHAnsi"/>
          <w:snapToGrid w:val="0"/>
          <w:lang w:eastAsia="en-US"/>
        </w:rPr>
        <w:t>checkpoint inhibitor applications to PBAC  between 2015 and July 2018, inclusive</w:t>
      </w:r>
      <w:r w:rsidR="00906F0C" w:rsidRPr="00AE1050">
        <w:rPr>
          <w:rFonts w:asciiTheme="minorHAnsi" w:hAnsiTheme="minorHAnsi" w:cstheme="minorHAnsi"/>
          <w:lang w:eastAsia="en-US"/>
        </w:rPr>
        <w:t>.</w:t>
      </w:r>
    </w:p>
    <w:sectPr w:rsidR="00D20EED" w:rsidRPr="00AE1050"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E796BE" w16cid:durableId="1FB0B492"/>
  <w16cid:commentId w16cid:paraId="718EAAB9" w16cid:durableId="1FB0B493"/>
  <w16cid:commentId w16cid:paraId="14926095" w16cid:durableId="1FB0B494"/>
  <w16cid:commentId w16cid:paraId="4E8FF132" w16cid:durableId="1FB0B495"/>
  <w16cid:commentId w16cid:paraId="429F5737" w16cid:durableId="1FB0B68D"/>
  <w16cid:commentId w16cid:paraId="0324E66E" w16cid:durableId="1FB0B496"/>
  <w16cid:commentId w16cid:paraId="39A8C694" w16cid:durableId="1FB0B497"/>
  <w16cid:commentId w16cid:paraId="1AD6F396" w16cid:durableId="1FB0B498"/>
  <w16cid:commentId w16cid:paraId="163F2A5A" w16cid:durableId="1FB0B8A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068" w:rsidRDefault="00925068">
      <w:r>
        <w:separator/>
      </w:r>
    </w:p>
    <w:p w:rsidR="00925068" w:rsidRDefault="00925068"/>
  </w:endnote>
  <w:endnote w:type="continuationSeparator" w:id="0">
    <w:p w:rsidR="00925068" w:rsidRDefault="00925068">
      <w:r>
        <w:continuationSeparator/>
      </w:r>
    </w:p>
    <w:p w:rsidR="00925068" w:rsidRDefault="009250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roman"/>
    <w:pitch w:val="variable"/>
    <w:sig w:usb0="00000000" w:usb1="28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733E37" w:rsidTr="005A3173">
      <w:trPr>
        <w:trHeight w:val="151"/>
      </w:trPr>
      <w:tc>
        <w:tcPr>
          <w:tcW w:w="2250" w:type="pct"/>
          <w:tcBorders>
            <w:top w:val="nil"/>
            <w:left w:val="nil"/>
            <w:bottom w:val="single" w:sz="4" w:space="0" w:color="4F81BD"/>
            <w:right w:val="nil"/>
          </w:tcBorders>
        </w:tcPr>
        <w:p w:rsidR="00733E37" w:rsidRPr="005A3173" w:rsidRDefault="00733E3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733E37" w:rsidRPr="005A3173" w:rsidRDefault="00733E3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733E37" w:rsidRPr="005A3173" w:rsidRDefault="00733E37" w:rsidP="005A3173">
          <w:pPr>
            <w:pStyle w:val="Header"/>
            <w:spacing w:line="276" w:lineRule="auto"/>
            <w:rPr>
              <w:rFonts w:ascii="Calibri" w:eastAsia="MS Gothic" w:hAnsi="Calibri"/>
              <w:b/>
              <w:bCs/>
              <w:color w:val="4F81BD"/>
            </w:rPr>
          </w:pPr>
        </w:p>
      </w:tc>
    </w:tr>
    <w:tr w:rsidR="00733E37" w:rsidTr="005A3173">
      <w:trPr>
        <w:trHeight w:val="150"/>
      </w:trPr>
      <w:tc>
        <w:tcPr>
          <w:tcW w:w="2250" w:type="pct"/>
          <w:tcBorders>
            <w:top w:val="single" w:sz="4" w:space="0" w:color="4F81BD"/>
            <w:left w:val="nil"/>
            <w:bottom w:val="nil"/>
            <w:right w:val="nil"/>
          </w:tcBorders>
        </w:tcPr>
        <w:p w:rsidR="00733E37" w:rsidRPr="005A3173" w:rsidRDefault="00733E37" w:rsidP="005A3173">
          <w:pPr>
            <w:pStyle w:val="Header"/>
            <w:spacing w:line="276" w:lineRule="auto"/>
            <w:rPr>
              <w:rFonts w:ascii="Calibri" w:eastAsia="MS Gothic" w:hAnsi="Calibri"/>
              <w:b/>
              <w:bCs/>
              <w:color w:val="4F81BD"/>
            </w:rPr>
          </w:pPr>
        </w:p>
      </w:tc>
      <w:tc>
        <w:tcPr>
          <w:tcW w:w="0" w:type="auto"/>
          <w:vMerge/>
          <w:vAlign w:val="center"/>
          <w:hideMark/>
        </w:tcPr>
        <w:p w:rsidR="00733E37" w:rsidRPr="005A3173" w:rsidRDefault="00733E37" w:rsidP="005A3173">
          <w:pPr>
            <w:rPr>
              <w:rFonts w:ascii="Calibri" w:hAnsi="Calibri"/>
              <w:color w:val="365F91"/>
              <w:sz w:val="22"/>
              <w:szCs w:val="22"/>
            </w:rPr>
          </w:pPr>
        </w:p>
      </w:tc>
      <w:tc>
        <w:tcPr>
          <w:tcW w:w="2250" w:type="pct"/>
          <w:tcBorders>
            <w:top w:val="single" w:sz="4" w:space="0" w:color="4F81BD"/>
            <w:left w:val="nil"/>
            <w:bottom w:val="nil"/>
            <w:right w:val="nil"/>
          </w:tcBorders>
        </w:tcPr>
        <w:p w:rsidR="00733E37" w:rsidRPr="005A3173" w:rsidRDefault="00733E37" w:rsidP="005A3173">
          <w:pPr>
            <w:pStyle w:val="Header"/>
            <w:spacing w:line="276" w:lineRule="auto"/>
            <w:rPr>
              <w:rFonts w:ascii="Calibri" w:eastAsia="MS Gothic" w:hAnsi="Calibri"/>
              <w:b/>
              <w:bCs/>
              <w:color w:val="4F81BD"/>
            </w:rPr>
          </w:pPr>
        </w:p>
      </w:tc>
    </w:tr>
  </w:tbl>
  <w:p w:rsidR="00733E37" w:rsidRDefault="00733E37"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3E37" w:rsidRDefault="00733E37">
    <w:pPr>
      <w:pStyle w:val="Footer"/>
    </w:pPr>
  </w:p>
  <w:p w:rsidR="00733E37" w:rsidRDefault="00733E3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E37" w:rsidRDefault="00733E37" w:rsidP="00EF44A0">
    <w:pPr>
      <w:pStyle w:val="Footer"/>
      <w:jc w:val="center"/>
      <w:rPr>
        <w:rFonts w:ascii="Arial" w:hAnsi="Arial" w:cs="Arial"/>
        <w:b/>
        <w:sz w:val="20"/>
        <w:szCs w:val="20"/>
      </w:rPr>
    </w:pPr>
  </w:p>
  <w:p w:rsidR="00733E37" w:rsidRPr="00BE5D45" w:rsidRDefault="00E53E21" w:rsidP="00EF44A0">
    <w:pPr>
      <w:pStyle w:val="Footer"/>
      <w:jc w:val="center"/>
      <w:rPr>
        <w:rFonts w:asciiTheme="minorHAnsi" w:hAnsiTheme="minorHAnsi" w:cs="Arial"/>
        <w:color w:val="808080" w:themeColor="background1" w:themeShade="80"/>
        <w:szCs w:val="20"/>
      </w:rPr>
    </w:pPr>
    <w:r w:rsidRPr="00BE5D45">
      <w:rPr>
        <w:rFonts w:asciiTheme="minorHAnsi" w:hAnsiTheme="minorHAnsi" w:cs="Arial"/>
        <w:color w:val="808080" w:themeColor="background1" w:themeShade="80"/>
        <w:szCs w:val="20"/>
      </w:rPr>
      <w:t xml:space="preserve">PBAC: </w:t>
    </w:r>
    <w:r w:rsidR="00733E37" w:rsidRPr="00BE5D45">
      <w:rPr>
        <w:rFonts w:asciiTheme="minorHAnsi" w:hAnsiTheme="minorHAnsi" w:cs="Arial"/>
        <w:color w:val="808080" w:themeColor="background1" w:themeShade="80"/>
        <w:szCs w:val="20"/>
      </w:rPr>
      <w:t>Comm</w:t>
    </w:r>
    <w:r w:rsidRPr="00BE5D45">
      <w:rPr>
        <w:rFonts w:asciiTheme="minorHAnsi" w:hAnsiTheme="minorHAnsi" w:cs="Arial"/>
        <w:color w:val="808080" w:themeColor="background1" w:themeShade="80"/>
        <w:szCs w:val="20"/>
      </w:rPr>
      <w:t>ittee</w:t>
    </w:r>
    <w:r w:rsidR="00733E37" w:rsidRPr="00BE5D45">
      <w:rPr>
        <w:rFonts w:asciiTheme="minorHAnsi" w:hAnsiTheme="minorHAnsi" w:cs="Arial"/>
        <w:color w:val="808080" w:themeColor="background1" w:themeShade="80"/>
        <w:szCs w:val="20"/>
      </w:rPr>
      <w:t>-in-Confidence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733E37" w:rsidTr="005A3173">
      <w:trPr>
        <w:trHeight w:val="151"/>
      </w:trPr>
      <w:tc>
        <w:tcPr>
          <w:tcW w:w="2250" w:type="pct"/>
          <w:tcBorders>
            <w:top w:val="nil"/>
            <w:left w:val="nil"/>
            <w:bottom w:val="single" w:sz="4" w:space="0" w:color="4F81BD"/>
            <w:right w:val="nil"/>
          </w:tcBorders>
        </w:tcPr>
        <w:p w:rsidR="00733E37" w:rsidRPr="005A3173" w:rsidRDefault="00733E3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733E37" w:rsidRPr="005A3173" w:rsidRDefault="00733E3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733E37" w:rsidRPr="005A3173" w:rsidRDefault="00733E37" w:rsidP="005A3173">
          <w:pPr>
            <w:pStyle w:val="Header"/>
            <w:spacing w:line="276" w:lineRule="auto"/>
            <w:rPr>
              <w:rFonts w:ascii="Calibri" w:eastAsia="MS Gothic" w:hAnsi="Calibri"/>
              <w:b/>
              <w:bCs/>
              <w:color w:val="4F81BD"/>
            </w:rPr>
          </w:pPr>
        </w:p>
      </w:tc>
    </w:tr>
    <w:tr w:rsidR="00733E37" w:rsidTr="005A3173">
      <w:trPr>
        <w:trHeight w:val="150"/>
      </w:trPr>
      <w:tc>
        <w:tcPr>
          <w:tcW w:w="2250" w:type="pct"/>
          <w:tcBorders>
            <w:top w:val="single" w:sz="4" w:space="0" w:color="4F81BD"/>
            <w:left w:val="nil"/>
            <w:bottom w:val="nil"/>
            <w:right w:val="nil"/>
          </w:tcBorders>
        </w:tcPr>
        <w:p w:rsidR="00733E37" w:rsidRPr="005A3173" w:rsidRDefault="00733E37" w:rsidP="005A3173">
          <w:pPr>
            <w:pStyle w:val="Header"/>
            <w:spacing w:line="276" w:lineRule="auto"/>
            <w:rPr>
              <w:rFonts w:ascii="Calibri" w:eastAsia="MS Gothic" w:hAnsi="Calibri"/>
              <w:b/>
              <w:bCs/>
              <w:color w:val="4F81BD"/>
            </w:rPr>
          </w:pPr>
        </w:p>
      </w:tc>
      <w:tc>
        <w:tcPr>
          <w:tcW w:w="0" w:type="auto"/>
          <w:vMerge/>
          <w:vAlign w:val="center"/>
          <w:hideMark/>
        </w:tcPr>
        <w:p w:rsidR="00733E37" w:rsidRPr="005A3173" w:rsidRDefault="00733E37" w:rsidP="005A3173">
          <w:pPr>
            <w:rPr>
              <w:rFonts w:ascii="Calibri" w:hAnsi="Calibri"/>
              <w:color w:val="365F91"/>
              <w:sz w:val="22"/>
              <w:szCs w:val="22"/>
            </w:rPr>
          </w:pPr>
        </w:p>
      </w:tc>
      <w:tc>
        <w:tcPr>
          <w:tcW w:w="2250" w:type="pct"/>
          <w:tcBorders>
            <w:top w:val="single" w:sz="4" w:space="0" w:color="4F81BD"/>
            <w:left w:val="nil"/>
            <w:bottom w:val="nil"/>
            <w:right w:val="nil"/>
          </w:tcBorders>
        </w:tcPr>
        <w:p w:rsidR="00733E37" w:rsidRPr="005A3173" w:rsidRDefault="00733E37"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733E37" w:rsidTr="005A3173">
      <w:trPr>
        <w:trHeight w:val="151"/>
      </w:trPr>
      <w:tc>
        <w:tcPr>
          <w:tcW w:w="2250" w:type="pct"/>
          <w:tcBorders>
            <w:top w:val="nil"/>
            <w:left w:val="nil"/>
            <w:bottom w:val="single" w:sz="4" w:space="0" w:color="4F81BD"/>
            <w:right w:val="nil"/>
          </w:tcBorders>
        </w:tcPr>
        <w:p w:rsidR="00733E37" w:rsidRPr="005A3173" w:rsidRDefault="00733E3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733E37" w:rsidRPr="005A3173" w:rsidRDefault="00733E3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733E37" w:rsidRPr="005A3173" w:rsidRDefault="00733E37" w:rsidP="005A3173">
          <w:pPr>
            <w:pStyle w:val="Header"/>
            <w:spacing w:line="276" w:lineRule="auto"/>
            <w:rPr>
              <w:rFonts w:ascii="Calibri" w:eastAsia="MS Gothic" w:hAnsi="Calibri"/>
              <w:b/>
              <w:bCs/>
              <w:color w:val="4F81BD"/>
            </w:rPr>
          </w:pPr>
        </w:p>
      </w:tc>
    </w:tr>
    <w:tr w:rsidR="00733E37" w:rsidTr="005A3173">
      <w:trPr>
        <w:trHeight w:val="150"/>
      </w:trPr>
      <w:tc>
        <w:tcPr>
          <w:tcW w:w="2250" w:type="pct"/>
          <w:tcBorders>
            <w:top w:val="single" w:sz="4" w:space="0" w:color="4F81BD"/>
            <w:left w:val="nil"/>
            <w:bottom w:val="nil"/>
            <w:right w:val="nil"/>
          </w:tcBorders>
        </w:tcPr>
        <w:p w:rsidR="00733E37" w:rsidRPr="005A3173" w:rsidRDefault="00733E37" w:rsidP="005A3173">
          <w:pPr>
            <w:pStyle w:val="Header"/>
            <w:spacing w:line="276" w:lineRule="auto"/>
            <w:rPr>
              <w:rFonts w:ascii="Calibri" w:eastAsia="MS Gothic" w:hAnsi="Calibri"/>
              <w:b/>
              <w:bCs/>
              <w:color w:val="4F81BD"/>
            </w:rPr>
          </w:pPr>
        </w:p>
      </w:tc>
      <w:tc>
        <w:tcPr>
          <w:tcW w:w="0" w:type="auto"/>
          <w:vMerge/>
          <w:vAlign w:val="center"/>
          <w:hideMark/>
        </w:tcPr>
        <w:p w:rsidR="00733E37" w:rsidRPr="005A3173" w:rsidRDefault="00733E37" w:rsidP="005A3173">
          <w:pPr>
            <w:rPr>
              <w:rFonts w:ascii="Calibri" w:hAnsi="Calibri"/>
              <w:color w:val="365F91"/>
              <w:sz w:val="22"/>
              <w:szCs w:val="22"/>
            </w:rPr>
          </w:pPr>
        </w:p>
      </w:tc>
      <w:tc>
        <w:tcPr>
          <w:tcW w:w="2250" w:type="pct"/>
          <w:tcBorders>
            <w:top w:val="single" w:sz="4" w:space="0" w:color="4F81BD"/>
            <w:left w:val="nil"/>
            <w:bottom w:val="nil"/>
            <w:right w:val="nil"/>
          </w:tcBorders>
        </w:tcPr>
        <w:p w:rsidR="00733E37" w:rsidRPr="005A3173" w:rsidRDefault="00733E37" w:rsidP="005A3173">
          <w:pPr>
            <w:pStyle w:val="Header"/>
            <w:spacing w:line="276" w:lineRule="auto"/>
            <w:rPr>
              <w:rFonts w:ascii="Calibri" w:eastAsia="MS Gothic" w:hAnsi="Calibri"/>
              <w:b/>
              <w:bCs/>
              <w:color w:val="4F81BD"/>
            </w:rPr>
          </w:pPr>
        </w:p>
      </w:tc>
    </w:tr>
  </w:tbl>
  <w:p w:rsidR="00733E37" w:rsidRPr="007C0F57" w:rsidRDefault="00733E37"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733E37" w:rsidRPr="007C0F57" w:rsidRDefault="00733E37" w:rsidP="007C0F57">
    <w:pPr>
      <w:pStyle w:val="Footer"/>
      <w:jc w:val="center"/>
      <w:rPr>
        <w:b/>
        <w:i/>
        <w:sz w:val="20"/>
        <w:szCs w:val="20"/>
      </w:rPr>
    </w:pPr>
    <w:r w:rsidRPr="007C0F57">
      <w:rPr>
        <w:b/>
        <w:i/>
        <w:sz w:val="20"/>
        <w:szCs w:val="20"/>
      </w:rPr>
      <w:t>Commercial-in-Confidence</w:t>
    </w:r>
  </w:p>
  <w:p w:rsidR="00733E37" w:rsidRDefault="00733E3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068" w:rsidRDefault="00925068">
      <w:r>
        <w:separator/>
      </w:r>
    </w:p>
    <w:p w:rsidR="00925068" w:rsidRDefault="00925068"/>
  </w:footnote>
  <w:footnote w:type="continuationSeparator" w:id="0">
    <w:p w:rsidR="00925068" w:rsidRDefault="00925068">
      <w:r>
        <w:continuationSeparator/>
      </w:r>
    </w:p>
    <w:p w:rsidR="00925068" w:rsidRDefault="00925068"/>
  </w:footnote>
  <w:footnote w:id="1">
    <w:p w:rsidR="00433B7F" w:rsidRPr="00433B7F" w:rsidRDefault="00433B7F">
      <w:pPr>
        <w:pStyle w:val="FootnoteText"/>
        <w:rPr>
          <w:rFonts w:asciiTheme="minorHAnsi" w:hAnsiTheme="minorHAnsi" w:cstheme="minorHAnsi"/>
        </w:rPr>
      </w:pPr>
      <w:r w:rsidRPr="00433B7F">
        <w:rPr>
          <w:rStyle w:val="FootnoteReference"/>
          <w:rFonts w:asciiTheme="minorHAnsi" w:hAnsiTheme="minorHAnsi" w:cstheme="minorHAnsi"/>
        </w:rPr>
        <w:footnoteRef/>
      </w:r>
      <w:r w:rsidRPr="00433B7F">
        <w:rPr>
          <w:rFonts w:asciiTheme="minorHAnsi" w:hAnsiTheme="minorHAnsi" w:cstheme="minorHAnsi"/>
        </w:rPr>
        <w:t xml:space="preserve"> </w:t>
      </w:r>
      <w:hyperlink r:id="rId1" w:history="1">
        <w:r w:rsidRPr="00433B7F">
          <w:rPr>
            <w:rStyle w:val="Hyperlink"/>
            <w:rFonts w:asciiTheme="minorHAnsi" w:hAnsiTheme="minorHAnsi" w:cstheme="minorHAnsi"/>
          </w:rPr>
          <w:t>https://www.fda.gov/ForPatients/Approvals/Fast/ucm405397.htm</w:t>
        </w:r>
      </w:hyperlink>
    </w:p>
  </w:footnote>
  <w:footnote w:id="2">
    <w:p w:rsidR="00733E37" w:rsidRPr="0085245F" w:rsidRDefault="00733E37">
      <w:pPr>
        <w:pStyle w:val="FootnoteText"/>
        <w:rPr>
          <w:rFonts w:asciiTheme="minorHAnsi" w:hAnsiTheme="minorHAnsi" w:cstheme="minorHAnsi"/>
        </w:rPr>
      </w:pPr>
      <w:r>
        <w:rPr>
          <w:rStyle w:val="FootnoteReference"/>
        </w:rPr>
        <w:footnoteRef/>
      </w:r>
      <w:r>
        <w:t xml:space="preserve"> </w:t>
      </w:r>
      <w:r w:rsidRPr="0085245F">
        <w:rPr>
          <w:rFonts w:asciiTheme="minorHAnsi" w:hAnsiTheme="minorHAnsi" w:cstheme="minorHAnsi"/>
        </w:rPr>
        <w:t xml:space="preserve">Assuming the July 2018 positive </w:t>
      </w:r>
      <w:r>
        <w:rPr>
          <w:rFonts w:asciiTheme="minorHAnsi" w:hAnsiTheme="minorHAnsi" w:cstheme="minorHAnsi"/>
        </w:rPr>
        <w:t xml:space="preserve">PBAC </w:t>
      </w:r>
      <w:r w:rsidRPr="0085245F">
        <w:rPr>
          <w:rFonts w:asciiTheme="minorHAnsi" w:hAnsiTheme="minorHAnsi" w:cstheme="minorHAnsi"/>
        </w:rPr>
        <w:t xml:space="preserve">recommendation for </w:t>
      </w:r>
      <w:proofErr w:type="spellStart"/>
      <w:r w:rsidRPr="0085245F">
        <w:rPr>
          <w:rFonts w:asciiTheme="minorHAnsi" w:hAnsiTheme="minorHAnsi" w:cstheme="minorHAnsi"/>
        </w:rPr>
        <w:t>nivolumab</w:t>
      </w:r>
      <w:proofErr w:type="spellEnd"/>
      <w:r w:rsidRPr="0085245F">
        <w:rPr>
          <w:rFonts w:asciiTheme="minorHAnsi" w:hAnsiTheme="minorHAnsi" w:cstheme="minorHAnsi"/>
        </w:rPr>
        <w:t xml:space="preserve"> in combination with </w:t>
      </w:r>
      <w:proofErr w:type="spellStart"/>
      <w:r w:rsidRPr="0085245F">
        <w:rPr>
          <w:rFonts w:asciiTheme="minorHAnsi" w:hAnsiTheme="minorHAnsi" w:cstheme="minorHAnsi"/>
        </w:rPr>
        <w:t>ipilimumab</w:t>
      </w:r>
      <w:proofErr w:type="spellEnd"/>
      <w:r w:rsidRPr="0085245F">
        <w:rPr>
          <w:rFonts w:asciiTheme="minorHAnsi" w:hAnsiTheme="minorHAnsi" w:cstheme="minorHAnsi"/>
        </w:rPr>
        <w:t xml:space="preserve"> in melanoma leads to a 1 December 2018 PBS listing</w:t>
      </w:r>
      <w:r w:rsidR="00E53E21">
        <w:rPr>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733E37" w:rsidRPr="008E0D90" w:rsidTr="00A06225">
      <w:trPr>
        <w:trHeight w:val="151"/>
      </w:trPr>
      <w:tc>
        <w:tcPr>
          <w:tcW w:w="2389" w:type="pct"/>
          <w:tcBorders>
            <w:top w:val="nil"/>
            <w:left w:val="nil"/>
            <w:bottom w:val="single" w:sz="4" w:space="0" w:color="4F81BD"/>
            <w:right w:val="nil"/>
          </w:tcBorders>
        </w:tcPr>
        <w:p w:rsidR="00733E37" w:rsidRPr="00A06225" w:rsidRDefault="00733E37">
          <w:pPr>
            <w:pStyle w:val="Header"/>
            <w:spacing w:line="276" w:lineRule="auto"/>
            <w:rPr>
              <w:rFonts w:ascii="Cambria" w:eastAsia="MS Gothic" w:hAnsi="Cambria"/>
              <w:b/>
              <w:bCs/>
              <w:color w:val="4F81BD"/>
            </w:rPr>
          </w:pPr>
        </w:p>
      </w:tc>
      <w:tc>
        <w:tcPr>
          <w:tcW w:w="333" w:type="pct"/>
          <w:vMerge w:val="restart"/>
          <w:noWrap/>
          <w:vAlign w:val="center"/>
          <w:hideMark/>
        </w:tcPr>
        <w:p w:rsidR="00733E37" w:rsidRPr="00A06225" w:rsidRDefault="00733E37"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733E37" w:rsidRPr="00A06225" w:rsidRDefault="00733E37">
          <w:pPr>
            <w:pStyle w:val="Header"/>
            <w:spacing w:line="276" w:lineRule="auto"/>
            <w:rPr>
              <w:rFonts w:ascii="Cambria" w:eastAsia="MS Gothic" w:hAnsi="Cambria"/>
              <w:b/>
              <w:bCs/>
              <w:color w:val="4F81BD"/>
            </w:rPr>
          </w:pPr>
        </w:p>
      </w:tc>
    </w:tr>
    <w:tr w:rsidR="00733E37" w:rsidRPr="008E0D90" w:rsidTr="00A06225">
      <w:trPr>
        <w:trHeight w:val="150"/>
      </w:trPr>
      <w:tc>
        <w:tcPr>
          <w:tcW w:w="2389" w:type="pct"/>
          <w:tcBorders>
            <w:top w:val="single" w:sz="4" w:space="0" w:color="4F81BD"/>
            <w:left w:val="nil"/>
            <w:bottom w:val="nil"/>
            <w:right w:val="nil"/>
          </w:tcBorders>
        </w:tcPr>
        <w:p w:rsidR="00733E37" w:rsidRPr="00A06225" w:rsidRDefault="00733E37">
          <w:pPr>
            <w:pStyle w:val="Header"/>
            <w:spacing w:line="276" w:lineRule="auto"/>
            <w:rPr>
              <w:rFonts w:ascii="Cambria" w:eastAsia="MS Gothic" w:hAnsi="Cambria"/>
              <w:b/>
              <w:bCs/>
              <w:color w:val="4F81BD"/>
            </w:rPr>
          </w:pPr>
        </w:p>
      </w:tc>
      <w:tc>
        <w:tcPr>
          <w:tcW w:w="0" w:type="auto"/>
          <w:vMerge/>
          <w:vAlign w:val="center"/>
          <w:hideMark/>
        </w:tcPr>
        <w:p w:rsidR="00733E37" w:rsidRPr="00A06225" w:rsidRDefault="00733E37">
          <w:pPr>
            <w:rPr>
              <w:rFonts w:ascii="Cambria" w:hAnsi="Cambria"/>
              <w:color w:val="4F81BD"/>
              <w:sz w:val="22"/>
              <w:szCs w:val="22"/>
            </w:rPr>
          </w:pPr>
        </w:p>
      </w:tc>
      <w:tc>
        <w:tcPr>
          <w:tcW w:w="2278" w:type="pct"/>
          <w:tcBorders>
            <w:top w:val="single" w:sz="4" w:space="0" w:color="4F81BD"/>
            <w:left w:val="nil"/>
            <w:bottom w:val="nil"/>
            <w:right w:val="nil"/>
          </w:tcBorders>
        </w:tcPr>
        <w:p w:rsidR="00733E37" w:rsidRPr="00A06225" w:rsidRDefault="00733E37">
          <w:pPr>
            <w:pStyle w:val="Header"/>
            <w:spacing w:line="276" w:lineRule="auto"/>
            <w:rPr>
              <w:rFonts w:ascii="Cambria" w:eastAsia="MS Gothic" w:hAnsi="Cambria"/>
              <w:b/>
              <w:bCs/>
              <w:color w:val="4F81BD"/>
            </w:rPr>
          </w:pPr>
        </w:p>
      </w:tc>
    </w:tr>
  </w:tbl>
  <w:p w:rsidR="00733E37" w:rsidRDefault="00733E37">
    <w:pPr>
      <w:pStyle w:val="Header"/>
    </w:pPr>
  </w:p>
  <w:p w:rsidR="00733E37" w:rsidRDefault="00733E3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E37" w:rsidRPr="00CE2964" w:rsidRDefault="00733E37" w:rsidP="003E4A42">
    <w:pPr>
      <w:pStyle w:val="Header"/>
      <w:tabs>
        <w:tab w:val="clear" w:pos="8306"/>
      </w:tabs>
      <w:ind w:left="5387"/>
      <w:rPr>
        <w:rFonts w:asciiTheme="minorHAnsi" w:hAnsiTheme="minorHAnsi" w:cs="Arial"/>
        <w:noProof/>
        <w:color w:val="808080" w:themeColor="background1" w:themeShade="80"/>
        <w:sz w:val="20"/>
        <w:szCs w:val="20"/>
      </w:rPr>
    </w:pPr>
    <w:r w:rsidRPr="00CE2964">
      <w:rPr>
        <w:rFonts w:asciiTheme="minorHAnsi" w:hAnsiTheme="minorHAnsi" w:cs="Arial"/>
        <w:color w:val="808080" w:themeColor="background1" w:themeShade="80"/>
        <w:sz w:val="20"/>
        <w:szCs w:val="20"/>
      </w:rPr>
      <w:t xml:space="preserve">PBAC </w:t>
    </w:r>
    <w:r w:rsidR="003E4A42" w:rsidRPr="00CE2964">
      <w:rPr>
        <w:rFonts w:asciiTheme="minorHAnsi" w:hAnsiTheme="minorHAnsi" w:cs="Arial"/>
        <w:color w:val="808080" w:themeColor="background1" w:themeShade="80"/>
        <w:sz w:val="20"/>
        <w:szCs w:val="20"/>
      </w:rPr>
      <w:t>Advice to the Minister on PD</w:t>
    </w:r>
    <w:r w:rsidR="006C361A">
      <w:rPr>
        <w:rFonts w:asciiTheme="minorHAnsi" w:hAnsiTheme="minorHAnsi" w:cs="Arial"/>
        <w:color w:val="808080" w:themeColor="background1" w:themeShade="80"/>
        <w:sz w:val="20"/>
        <w:szCs w:val="20"/>
      </w:rPr>
      <w:t>-(L</w:t>
    </w:r>
    <w:proofErr w:type="gramStart"/>
    <w:r w:rsidR="006C361A">
      <w:rPr>
        <w:rFonts w:asciiTheme="minorHAnsi" w:hAnsiTheme="minorHAnsi" w:cs="Arial"/>
        <w:color w:val="808080" w:themeColor="background1" w:themeShade="80"/>
        <w:sz w:val="20"/>
        <w:szCs w:val="20"/>
      </w:rPr>
      <w:t>)</w:t>
    </w:r>
    <w:r w:rsidR="003E4A42" w:rsidRPr="00CE2964">
      <w:rPr>
        <w:rFonts w:asciiTheme="minorHAnsi" w:hAnsiTheme="minorHAnsi" w:cs="Arial"/>
        <w:color w:val="808080" w:themeColor="background1" w:themeShade="80"/>
        <w:sz w:val="20"/>
        <w:szCs w:val="20"/>
      </w:rPr>
      <w:t>1</w:t>
    </w:r>
    <w:proofErr w:type="gramEnd"/>
    <w:r w:rsidR="003E4A42" w:rsidRPr="00CE2964">
      <w:rPr>
        <w:rFonts w:asciiTheme="minorHAnsi" w:hAnsiTheme="minorHAnsi" w:cs="Arial"/>
        <w:color w:val="808080" w:themeColor="background1" w:themeShade="80"/>
        <w:sz w:val="20"/>
        <w:szCs w:val="20"/>
      </w:rPr>
      <w:t xml:space="preserve"> Inhibitors, </w:t>
    </w:r>
    <w:r w:rsidR="00C81905">
      <w:rPr>
        <w:rFonts w:asciiTheme="minorHAnsi" w:hAnsiTheme="minorHAnsi" w:cs="Arial"/>
        <w:color w:val="808080" w:themeColor="background1" w:themeShade="80"/>
        <w:sz w:val="20"/>
        <w:szCs w:val="20"/>
      </w:rPr>
      <w:t>December</w:t>
    </w:r>
    <w:r w:rsidR="00E53E21" w:rsidRPr="00CE2964">
      <w:rPr>
        <w:rFonts w:asciiTheme="minorHAnsi" w:hAnsiTheme="minorHAnsi" w:cs="Arial"/>
        <w:color w:val="808080" w:themeColor="background1" w:themeShade="80"/>
        <w:sz w:val="20"/>
        <w:szCs w:val="20"/>
      </w:rPr>
      <w:t xml:space="preserve"> </w:t>
    </w:r>
    <w:r w:rsidRPr="00CE2964">
      <w:rPr>
        <w:rFonts w:asciiTheme="minorHAnsi" w:hAnsiTheme="minorHAnsi" w:cs="Arial"/>
        <w:color w:val="808080" w:themeColor="background1" w:themeShade="80"/>
        <w:sz w:val="20"/>
        <w:szCs w:val="20"/>
      </w:rPr>
      <w:t>2018</w:t>
    </w:r>
    <w:r w:rsidR="00E53E21" w:rsidRPr="00CE2964">
      <w:rPr>
        <w:rFonts w:asciiTheme="minorHAnsi" w:hAnsiTheme="minorHAnsi" w:cs="Arial"/>
        <w:color w:val="808080" w:themeColor="background1" w:themeShade="80"/>
        <w:sz w:val="20"/>
        <w:szCs w:val="20"/>
      </w:rPr>
      <w:t>,</w:t>
    </w:r>
    <w:r w:rsidR="00906F0C" w:rsidRPr="00CE2964">
      <w:rPr>
        <w:rFonts w:asciiTheme="minorHAnsi" w:hAnsiTheme="minorHAnsi" w:cs="Arial"/>
        <w:color w:val="808080" w:themeColor="background1" w:themeShade="80"/>
        <w:sz w:val="20"/>
        <w:szCs w:val="20"/>
      </w:rPr>
      <w:t xml:space="preserve"> </w:t>
    </w:r>
    <w:r w:rsidRPr="00CE2964">
      <w:rPr>
        <w:rFonts w:asciiTheme="minorHAnsi" w:hAnsiTheme="minorHAnsi" w:cs="Arial"/>
        <w:color w:val="808080" w:themeColor="background1" w:themeShade="80"/>
        <w:sz w:val="20"/>
        <w:szCs w:val="20"/>
      </w:rPr>
      <w:t xml:space="preserve">page </w:t>
    </w:r>
    <w:r w:rsidRPr="00CE2964">
      <w:rPr>
        <w:rFonts w:asciiTheme="minorHAnsi" w:hAnsiTheme="minorHAnsi" w:cs="Arial"/>
        <w:color w:val="808080" w:themeColor="background1" w:themeShade="80"/>
        <w:sz w:val="20"/>
        <w:szCs w:val="20"/>
      </w:rPr>
      <w:fldChar w:fldCharType="begin"/>
    </w:r>
    <w:r w:rsidRPr="00CE2964">
      <w:rPr>
        <w:rFonts w:asciiTheme="minorHAnsi" w:hAnsiTheme="minorHAnsi" w:cs="Arial"/>
        <w:color w:val="808080" w:themeColor="background1" w:themeShade="80"/>
        <w:sz w:val="20"/>
        <w:szCs w:val="20"/>
      </w:rPr>
      <w:instrText xml:space="preserve"> PAGE   \* MERGEFORMAT </w:instrText>
    </w:r>
    <w:r w:rsidRPr="00CE2964">
      <w:rPr>
        <w:rFonts w:asciiTheme="minorHAnsi" w:hAnsiTheme="minorHAnsi" w:cs="Arial"/>
        <w:color w:val="808080" w:themeColor="background1" w:themeShade="80"/>
        <w:sz w:val="20"/>
        <w:szCs w:val="20"/>
      </w:rPr>
      <w:fldChar w:fldCharType="separate"/>
    </w:r>
    <w:r w:rsidR="006F6CFA">
      <w:rPr>
        <w:rFonts w:asciiTheme="minorHAnsi" w:hAnsiTheme="minorHAnsi" w:cs="Arial"/>
        <w:noProof/>
        <w:color w:val="808080" w:themeColor="background1" w:themeShade="80"/>
        <w:sz w:val="20"/>
        <w:szCs w:val="20"/>
      </w:rPr>
      <w:t>15</w:t>
    </w:r>
    <w:r w:rsidRPr="00CE2964">
      <w:rPr>
        <w:rFonts w:asciiTheme="minorHAnsi" w:hAnsiTheme="minorHAnsi" w:cs="Arial"/>
        <w:noProof/>
        <w:color w:val="808080" w:themeColor="background1" w:themeShade="80"/>
        <w:sz w:val="20"/>
        <w:szCs w:val="20"/>
      </w:rPr>
      <w:fldChar w:fldCharType="end"/>
    </w:r>
  </w:p>
  <w:p w:rsidR="00733E37" w:rsidRDefault="00733E37"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854" w:rsidRDefault="008B3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7807106"/>
    <w:multiLevelType w:val="hybridMultilevel"/>
    <w:tmpl w:val="EFFC2182"/>
    <w:lvl w:ilvl="0" w:tplc="C49C3DCA">
      <w:start w:val="1"/>
      <w:numFmt w:val="decimal"/>
      <w:lvlText w:val="%1-"/>
      <w:lvlJc w:val="left"/>
      <w:pPr>
        <w:ind w:left="7950" w:hanging="360"/>
      </w:pPr>
      <w:rPr>
        <w:rFonts w:hint="default"/>
      </w:rPr>
    </w:lvl>
    <w:lvl w:ilvl="1" w:tplc="0C090019" w:tentative="1">
      <w:start w:val="1"/>
      <w:numFmt w:val="lowerLetter"/>
      <w:lvlText w:val="%2."/>
      <w:lvlJc w:val="left"/>
      <w:pPr>
        <w:ind w:left="8670" w:hanging="360"/>
      </w:pPr>
    </w:lvl>
    <w:lvl w:ilvl="2" w:tplc="0C09001B" w:tentative="1">
      <w:start w:val="1"/>
      <w:numFmt w:val="lowerRoman"/>
      <w:lvlText w:val="%3."/>
      <w:lvlJc w:val="right"/>
      <w:pPr>
        <w:ind w:left="9390" w:hanging="180"/>
      </w:pPr>
    </w:lvl>
    <w:lvl w:ilvl="3" w:tplc="0C09000F" w:tentative="1">
      <w:start w:val="1"/>
      <w:numFmt w:val="decimal"/>
      <w:lvlText w:val="%4."/>
      <w:lvlJc w:val="left"/>
      <w:pPr>
        <w:ind w:left="10110" w:hanging="360"/>
      </w:pPr>
    </w:lvl>
    <w:lvl w:ilvl="4" w:tplc="0C090019" w:tentative="1">
      <w:start w:val="1"/>
      <w:numFmt w:val="lowerLetter"/>
      <w:lvlText w:val="%5."/>
      <w:lvlJc w:val="left"/>
      <w:pPr>
        <w:ind w:left="10830" w:hanging="360"/>
      </w:pPr>
    </w:lvl>
    <w:lvl w:ilvl="5" w:tplc="0C09001B" w:tentative="1">
      <w:start w:val="1"/>
      <w:numFmt w:val="lowerRoman"/>
      <w:lvlText w:val="%6."/>
      <w:lvlJc w:val="right"/>
      <w:pPr>
        <w:ind w:left="11550" w:hanging="180"/>
      </w:pPr>
    </w:lvl>
    <w:lvl w:ilvl="6" w:tplc="0C09000F" w:tentative="1">
      <w:start w:val="1"/>
      <w:numFmt w:val="decimal"/>
      <w:lvlText w:val="%7."/>
      <w:lvlJc w:val="left"/>
      <w:pPr>
        <w:ind w:left="12270" w:hanging="360"/>
      </w:pPr>
    </w:lvl>
    <w:lvl w:ilvl="7" w:tplc="0C090019" w:tentative="1">
      <w:start w:val="1"/>
      <w:numFmt w:val="lowerLetter"/>
      <w:lvlText w:val="%8."/>
      <w:lvlJc w:val="left"/>
      <w:pPr>
        <w:ind w:left="12990" w:hanging="360"/>
      </w:pPr>
    </w:lvl>
    <w:lvl w:ilvl="8" w:tplc="0C09001B" w:tentative="1">
      <w:start w:val="1"/>
      <w:numFmt w:val="lowerRoman"/>
      <w:lvlText w:val="%9."/>
      <w:lvlJc w:val="right"/>
      <w:pPr>
        <w:ind w:left="13710" w:hanging="180"/>
      </w:pPr>
    </w:lvl>
  </w:abstractNum>
  <w:abstractNum w:abstractNumId="5" w15:restartNumberingAfterBreak="0">
    <w:nsid w:val="07C3712D"/>
    <w:multiLevelType w:val="hybridMultilevel"/>
    <w:tmpl w:val="20DCE8E8"/>
    <w:lvl w:ilvl="0" w:tplc="89CE2970">
      <w:start w:val="1"/>
      <w:numFmt w:val="decimal"/>
      <w:lvlText w:val="%1."/>
      <w:lvlJc w:val="left"/>
      <w:pPr>
        <w:ind w:left="7230" w:hanging="360"/>
      </w:pPr>
      <w:rPr>
        <w:rFonts w:hint="default"/>
      </w:rPr>
    </w:lvl>
    <w:lvl w:ilvl="1" w:tplc="0C090019" w:tentative="1">
      <w:start w:val="1"/>
      <w:numFmt w:val="lowerLetter"/>
      <w:lvlText w:val="%2."/>
      <w:lvlJc w:val="left"/>
      <w:pPr>
        <w:ind w:left="7950" w:hanging="360"/>
      </w:pPr>
    </w:lvl>
    <w:lvl w:ilvl="2" w:tplc="0C09001B" w:tentative="1">
      <w:start w:val="1"/>
      <w:numFmt w:val="lowerRoman"/>
      <w:lvlText w:val="%3."/>
      <w:lvlJc w:val="right"/>
      <w:pPr>
        <w:ind w:left="8670" w:hanging="180"/>
      </w:pPr>
    </w:lvl>
    <w:lvl w:ilvl="3" w:tplc="0C09000F" w:tentative="1">
      <w:start w:val="1"/>
      <w:numFmt w:val="decimal"/>
      <w:lvlText w:val="%4."/>
      <w:lvlJc w:val="left"/>
      <w:pPr>
        <w:ind w:left="9390" w:hanging="360"/>
      </w:pPr>
    </w:lvl>
    <w:lvl w:ilvl="4" w:tplc="0C090019" w:tentative="1">
      <w:start w:val="1"/>
      <w:numFmt w:val="lowerLetter"/>
      <w:lvlText w:val="%5."/>
      <w:lvlJc w:val="left"/>
      <w:pPr>
        <w:ind w:left="10110" w:hanging="360"/>
      </w:pPr>
    </w:lvl>
    <w:lvl w:ilvl="5" w:tplc="0C09001B" w:tentative="1">
      <w:start w:val="1"/>
      <w:numFmt w:val="lowerRoman"/>
      <w:lvlText w:val="%6."/>
      <w:lvlJc w:val="right"/>
      <w:pPr>
        <w:ind w:left="10830" w:hanging="180"/>
      </w:pPr>
    </w:lvl>
    <w:lvl w:ilvl="6" w:tplc="0C09000F" w:tentative="1">
      <w:start w:val="1"/>
      <w:numFmt w:val="decimal"/>
      <w:lvlText w:val="%7."/>
      <w:lvlJc w:val="left"/>
      <w:pPr>
        <w:ind w:left="11550" w:hanging="360"/>
      </w:pPr>
    </w:lvl>
    <w:lvl w:ilvl="7" w:tplc="0C090019" w:tentative="1">
      <w:start w:val="1"/>
      <w:numFmt w:val="lowerLetter"/>
      <w:lvlText w:val="%8."/>
      <w:lvlJc w:val="left"/>
      <w:pPr>
        <w:ind w:left="12270" w:hanging="360"/>
      </w:pPr>
    </w:lvl>
    <w:lvl w:ilvl="8" w:tplc="0C09001B" w:tentative="1">
      <w:start w:val="1"/>
      <w:numFmt w:val="lowerRoman"/>
      <w:lvlText w:val="%9."/>
      <w:lvlJc w:val="right"/>
      <w:pPr>
        <w:ind w:left="12990" w:hanging="180"/>
      </w:pPr>
    </w:lvl>
  </w:abstractNum>
  <w:abstractNum w:abstractNumId="6" w15:restartNumberingAfterBreak="0">
    <w:nsid w:val="0B5729F5"/>
    <w:multiLevelType w:val="multilevel"/>
    <w:tmpl w:val="AE6C05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E57418"/>
    <w:multiLevelType w:val="hybridMultilevel"/>
    <w:tmpl w:val="CB7833A6"/>
    <w:lvl w:ilvl="0" w:tplc="3782F35C">
      <w:start w:val="3"/>
      <w:numFmt w:val="bullet"/>
      <w:lvlText w:val="-"/>
      <w:lvlJc w:val="left"/>
      <w:pPr>
        <w:ind w:left="1800" w:hanging="360"/>
      </w:pPr>
      <w:rPr>
        <w:rFonts w:ascii="Calibri" w:eastAsia="Times New Roman" w:hAnsi="Calibri" w:cs="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D45B8D"/>
    <w:multiLevelType w:val="hybridMultilevel"/>
    <w:tmpl w:val="CBCE4FF8"/>
    <w:lvl w:ilvl="0" w:tplc="3B7C7B96">
      <w:start w:val="1"/>
      <w:numFmt w:val="decimal"/>
      <w:lvlText w:val="%1."/>
      <w:lvlJc w:val="left"/>
      <w:pPr>
        <w:ind w:left="7873" w:hanging="360"/>
      </w:pPr>
      <w:rPr>
        <w:rFonts w:hint="default"/>
      </w:rPr>
    </w:lvl>
    <w:lvl w:ilvl="1" w:tplc="0C090019" w:tentative="1">
      <w:start w:val="1"/>
      <w:numFmt w:val="lowerLetter"/>
      <w:lvlText w:val="%2."/>
      <w:lvlJc w:val="left"/>
      <w:pPr>
        <w:ind w:left="8593" w:hanging="360"/>
      </w:pPr>
    </w:lvl>
    <w:lvl w:ilvl="2" w:tplc="0C09001B" w:tentative="1">
      <w:start w:val="1"/>
      <w:numFmt w:val="lowerRoman"/>
      <w:lvlText w:val="%3."/>
      <w:lvlJc w:val="right"/>
      <w:pPr>
        <w:ind w:left="9313" w:hanging="180"/>
      </w:pPr>
    </w:lvl>
    <w:lvl w:ilvl="3" w:tplc="0C09000F" w:tentative="1">
      <w:start w:val="1"/>
      <w:numFmt w:val="decimal"/>
      <w:lvlText w:val="%4."/>
      <w:lvlJc w:val="left"/>
      <w:pPr>
        <w:ind w:left="10033" w:hanging="360"/>
      </w:pPr>
    </w:lvl>
    <w:lvl w:ilvl="4" w:tplc="0C090019" w:tentative="1">
      <w:start w:val="1"/>
      <w:numFmt w:val="lowerLetter"/>
      <w:lvlText w:val="%5."/>
      <w:lvlJc w:val="left"/>
      <w:pPr>
        <w:ind w:left="10753" w:hanging="360"/>
      </w:pPr>
    </w:lvl>
    <w:lvl w:ilvl="5" w:tplc="0C09001B" w:tentative="1">
      <w:start w:val="1"/>
      <w:numFmt w:val="lowerRoman"/>
      <w:lvlText w:val="%6."/>
      <w:lvlJc w:val="right"/>
      <w:pPr>
        <w:ind w:left="11473" w:hanging="180"/>
      </w:pPr>
    </w:lvl>
    <w:lvl w:ilvl="6" w:tplc="0C09000F" w:tentative="1">
      <w:start w:val="1"/>
      <w:numFmt w:val="decimal"/>
      <w:lvlText w:val="%7."/>
      <w:lvlJc w:val="left"/>
      <w:pPr>
        <w:ind w:left="12193" w:hanging="360"/>
      </w:pPr>
    </w:lvl>
    <w:lvl w:ilvl="7" w:tplc="0C090019" w:tentative="1">
      <w:start w:val="1"/>
      <w:numFmt w:val="lowerLetter"/>
      <w:lvlText w:val="%8."/>
      <w:lvlJc w:val="left"/>
      <w:pPr>
        <w:ind w:left="12913" w:hanging="360"/>
      </w:pPr>
    </w:lvl>
    <w:lvl w:ilvl="8" w:tplc="0C09001B" w:tentative="1">
      <w:start w:val="1"/>
      <w:numFmt w:val="lowerRoman"/>
      <w:lvlText w:val="%9."/>
      <w:lvlJc w:val="right"/>
      <w:pPr>
        <w:ind w:left="13633" w:hanging="180"/>
      </w:pPr>
    </w:lvl>
  </w:abstractNum>
  <w:abstractNum w:abstractNumId="12"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F126A3"/>
    <w:multiLevelType w:val="hybridMultilevel"/>
    <w:tmpl w:val="0BD64CFE"/>
    <w:lvl w:ilvl="0" w:tplc="0C09000F">
      <w:start w:val="1"/>
      <w:numFmt w:val="decimal"/>
      <w:lvlText w:val="%1."/>
      <w:lvlJc w:val="left"/>
      <w:pPr>
        <w:ind w:left="1156" w:hanging="360"/>
      </w:pPr>
    </w:lvl>
    <w:lvl w:ilvl="1" w:tplc="0C090019" w:tentative="1">
      <w:start w:val="1"/>
      <w:numFmt w:val="lowerLetter"/>
      <w:lvlText w:val="%2."/>
      <w:lvlJc w:val="left"/>
      <w:pPr>
        <w:ind w:left="1876" w:hanging="360"/>
      </w:pPr>
    </w:lvl>
    <w:lvl w:ilvl="2" w:tplc="0C09001B" w:tentative="1">
      <w:start w:val="1"/>
      <w:numFmt w:val="lowerRoman"/>
      <w:lvlText w:val="%3."/>
      <w:lvlJc w:val="right"/>
      <w:pPr>
        <w:ind w:left="2596" w:hanging="180"/>
      </w:pPr>
    </w:lvl>
    <w:lvl w:ilvl="3" w:tplc="0C09000F" w:tentative="1">
      <w:start w:val="1"/>
      <w:numFmt w:val="decimal"/>
      <w:lvlText w:val="%4."/>
      <w:lvlJc w:val="left"/>
      <w:pPr>
        <w:ind w:left="3316" w:hanging="360"/>
      </w:pPr>
    </w:lvl>
    <w:lvl w:ilvl="4" w:tplc="0C090019" w:tentative="1">
      <w:start w:val="1"/>
      <w:numFmt w:val="lowerLetter"/>
      <w:lvlText w:val="%5."/>
      <w:lvlJc w:val="left"/>
      <w:pPr>
        <w:ind w:left="4036" w:hanging="360"/>
      </w:pPr>
    </w:lvl>
    <w:lvl w:ilvl="5" w:tplc="0C09001B" w:tentative="1">
      <w:start w:val="1"/>
      <w:numFmt w:val="lowerRoman"/>
      <w:lvlText w:val="%6."/>
      <w:lvlJc w:val="right"/>
      <w:pPr>
        <w:ind w:left="4756" w:hanging="180"/>
      </w:pPr>
    </w:lvl>
    <w:lvl w:ilvl="6" w:tplc="0C09000F" w:tentative="1">
      <w:start w:val="1"/>
      <w:numFmt w:val="decimal"/>
      <w:lvlText w:val="%7."/>
      <w:lvlJc w:val="left"/>
      <w:pPr>
        <w:ind w:left="5476" w:hanging="360"/>
      </w:pPr>
    </w:lvl>
    <w:lvl w:ilvl="7" w:tplc="0C090019" w:tentative="1">
      <w:start w:val="1"/>
      <w:numFmt w:val="lowerLetter"/>
      <w:lvlText w:val="%8."/>
      <w:lvlJc w:val="left"/>
      <w:pPr>
        <w:ind w:left="6196" w:hanging="360"/>
      </w:pPr>
    </w:lvl>
    <w:lvl w:ilvl="8" w:tplc="0C09001B" w:tentative="1">
      <w:start w:val="1"/>
      <w:numFmt w:val="lowerRoman"/>
      <w:lvlText w:val="%9."/>
      <w:lvlJc w:val="right"/>
      <w:pPr>
        <w:ind w:left="6916" w:hanging="180"/>
      </w:pPr>
    </w:lvl>
  </w:abstractNum>
  <w:abstractNum w:abstractNumId="17" w15:restartNumberingAfterBreak="0">
    <w:nsid w:val="3CAA078A"/>
    <w:multiLevelType w:val="hybridMultilevel"/>
    <w:tmpl w:val="E4309D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E806418"/>
    <w:multiLevelType w:val="hybridMultilevel"/>
    <w:tmpl w:val="21B2F32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F027046"/>
    <w:multiLevelType w:val="hybridMultilevel"/>
    <w:tmpl w:val="2BDE5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EF00B6"/>
    <w:multiLevelType w:val="hybridMultilevel"/>
    <w:tmpl w:val="DAC68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C7300E"/>
    <w:multiLevelType w:val="hybridMultilevel"/>
    <w:tmpl w:val="D47E6DA4"/>
    <w:lvl w:ilvl="0" w:tplc="CE8EDDD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1DB7952"/>
    <w:multiLevelType w:val="hybridMultilevel"/>
    <w:tmpl w:val="DEBEB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5711E1"/>
    <w:multiLevelType w:val="hybridMultilevel"/>
    <w:tmpl w:val="2A485540"/>
    <w:lvl w:ilvl="0" w:tplc="04090003">
      <w:start w:val="1"/>
      <w:numFmt w:val="bullet"/>
      <w:lvlText w:val="o"/>
      <w:lvlJc w:val="left"/>
      <w:pPr>
        <w:ind w:left="1069" w:hanging="360"/>
      </w:pPr>
      <w:rPr>
        <w:rFonts w:ascii="Courier New" w:hAnsi="Courier New" w:cs="Courier New"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5" w15:restartNumberingAfterBreak="0">
    <w:nsid w:val="61694BB4"/>
    <w:multiLevelType w:val="hybridMultilevel"/>
    <w:tmpl w:val="15D6FF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6BD2F53"/>
    <w:multiLevelType w:val="hybridMultilevel"/>
    <w:tmpl w:val="48CE98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D75322"/>
    <w:multiLevelType w:val="hybridMultilevel"/>
    <w:tmpl w:val="5394A77E"/>
    <w:lvl w:ilvl="0" w:tplc="C948429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0F49B7"/>
    <w:multiLevelType w:val="hybridMultilevel"/>
    <w:tmpl w:val="480459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3FD06E0"/>
    <w:multiLevelType w:val="hybridMultilevel"/>
    <w:tmpl w:val="DFF0B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4D033C"/>
    <w:multiLevelType w:val="multilevel"/>
    <w:tmpl w:val="3162C4C2"/>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bullet"/>
      <w:lvlText w:val=""/>
      <w:lvlJc w:val="left"/>
      <w:pPr>
        <w:ind w:left="1429"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B3B65FC"/>
    <w:multiLevelType w:val="hybridMultilevel"/>
    <w:tmpl w:val="E28483E0"/>
    <w:lvl w:ilvl="0" w:tplc="FF88B86E">
      <w:start w:val="1"/>
      <w:numFmt w:val="decimal"/>
      <w:lvlText w:val="%1"/>
      <w:lvlJc w:val="left"/>
      <w:pPr>
        <w:ind w:left="7590" w:hanging="360"/>
      </w:pPr>
      <w:rPr>
        <w:rFonts w:hint="default"/>
      </w:rPr>
    </w:lvl>
    <w:lvl w:ilvl="1" w:tplc="0C090019" w:tentative="1">
      <w:start w:val="1"/>
      <w:numFmt w:val="lowerLetter"/>
      <w:lvlText w:val="%2."/>
      <w:lvlJc w:val="left"/>
      <w:pPr>
        <w:ind w:left="8310" w:hanging="360"/>
      </w:pPr>
    </w:lvl>
    <w:lvl w:ilvl="2" w:tplc="0C09001B" w:tentative="1">
      <w:start w:val="1"/>
      <w:numFmt w:val="lowerRoman"/>
      <w:lvlText w:val="%3."/>
      <w:lvlJc w:val="right"/>
      <w:pPr>
        <w:ind w:left="9030" w:hanging="180"/>
      </w:pPr>
    </w:lvl>
    <w:lvl w:ilvl="3" w:tplc="0C09000F" w:tentative="1">
      <w:start w:val="1"/>
      <w:numFmt w:val="decimal"/>
      <w:lvlText w:val="%4."/>
      <w:lvlJc w:val="left"/>
      <w:pPr>
        <w:ind w:left="9750" w:hanging="360"/>
      </w:pPr>
    </w:lvl>
    <w:lvl w:ilvl="4" w:tplc="0C090019" w:tentative="1">
      <w:start w:val="1"/>
      <w:numFmt w:val="lowerLetter"/>
      <w:lvlText w:val="%5."/>
      <w:lvlJc w:val="left"/>
      <w:pPr>
        <w:ind w:left="10470" w:hanging="360"/>
      </w:pPr>
    </w:lvl>
    <w:lvl w:ilvl="5" w:tplc="0C09001B" w:tentative="1">
      <w:start w:val="1"/>
      <w:numFmt w:val="lowerRoman"/>
      <w:lvlText w:val="%6."/>
      <w:lvlJc w:val="right"/>
      <w:pPr>
        <w:ind w:left="11190" w:hanging="180"/>
      </w:pPr>
    </w:lvl>
    <w:lvl w:ilvl="6" w:tplc="0C09000F" w:tentative="1">
      <w:start w:val="1"/>
      <w:numFmt w:val="decimal"/>
      <w:lvlText w:val="%7."/>
      <w:lvlJc w:val="left"/>
      <w:pPr>
        <w:ind w:left="11910" w:hanging="360"/>
      </w:pPr>
    </w:lvl>
    <w:lvl w:ilvl="7" w:tplc="0C090019" w:tentative="1">
      <w:start w:val="1"/>
      <w:numFmt w:val="lowerLetter"/>
      <w:lvlText w:val="%8."/>
      <w:lvlJc w:val="left"/>
      <w:pPr>
        <w:ind w:left="12630" w:hanging="360"/>
      </w:pPr>
    </w:lvl>
    <w:lvl w:ilvl="8" w:tplc="0C09001B" w:tentative="1">
      <w:start w:val="1"/>
      <w:numFmt w:val="lowerRoman"/>
      <w:lvlText w:val="%9."/>
      <w:lvlJc w:val="right"/>
      <w:pPr>
        <w:ind w:left="13350" w:hanging="180"/>
      </w:pPr>
    </w:lvl>
  </w:abstractNum>
  <w:abstractNum w:abstractNumId="32" w15:restartNumberingAfterBreak="0">
    <w:nsid w:val="7DE87303"/>
    <w:multiLevelType w:val="hybridMultilevel"/>
    <w:tmpl w:val="DC80B496"/>
    <w:lvl w:ilvl="0" w:tplc="241E09CA">
      <w:start w:val="3"/>
      <w:numFmt w:val="bullet"/>
      <w:lvlText w:val="–"/>
      <w:lvlJc w:val="left"/>
      <w:pPr>
        <w:ind w:left="1800" w:hanging="360"/>
      </w:pPr>
      <w:rPr>
        <w:rFonts w:ascii="Calibri" w:eastAsia="Times New Roman" w:hAnsi="Calibri" w:cs="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3" w15:restartNumberingAfterBreak="0">
    <w:nsid w:val="7E3224C8"/>
    <w:multiLevelType w:val="hybridMultilevel"/>
    <w:tmpl w:val="16622D24"/>
    <w:lvl w:ilvl="0" w:tplc="C0980DA6">
      <w:start w:val="1"/>
      <w:numFmt w:val="decimal"/>
      <w:lvlText w:val="%1."/>
      <w:lvlJc w:val="left"/>
      <w:pPr>
        <w:ind w:left="7165" w:hanging="360"/>
      </w:pPr>
      <w:rPr>
        <w:rFonts w:hint="default"/>
      </w:rPr>
    </w:lvl>
    <w:lvl w:ilvl="1" w:tplc="0C090019" w:tentative="1">
      <w:start w:val="1"/>
      <w:numFmt w:val="lowerLetter"/>
      <w:lvlText w:val="%2."/>
      <w:lvlJc w:val="left"/>
      <w:pPr>
        <w:ind w:left="7885" w:hanging="360"/>
      </w:pPr>
    </w:lvl>
    <w:lvl w:ilvl="2" w:tplc="0C09001B" w:tentative="1">
      <w:start w:val="1"/>
      <w:numFmt w:val="lowerRoman"/>
      <w:lvlText w:val="%3."/>
      <w:lvlJc w:val="right"/>
      <w:pPr>
        <w:ind w:left="8605" w:hanging="180"/>
      </w:pPr>
    </w:lvl>
    <w:lvl w:ilvl="3" w:tplc="0C09000F" w:tentative="1">
      <w:start w:val="1"/>
      <w:numFmt w:val="decimal"/>
      <w:lvlText w:val="%4."/>
      <w:lvlJc w:val="left"/>
      <w:pPr>
        <w:ind w:left="9325" w:hanging="360"/>
      </w:pPr>
    </w:lvl>
    <w:lvl w:ilvl="4" w:tplc="0C090019" w:tentative="1">
      <w:start w:val="1"/>
      <w:numFmt w:val="lowerLetter"/>
      <w:lvlText w:val="%5."/>
      <w:lvlJc w:val="left"/>
      <w:pPr>
        <w:ind w:left="10045" w:hanging="360"/>
      </w:pPr>
    </w:lvl>
    <w:lvl w:ilvl="5" w:tplc="0C09001B" w:tentative="1">
      <w:start w:val="1"/>
      <w:numFmt w:val="lowerRoman"/>
      <w:lvlText w:val="%6."/>
      <w:lvlJc w:val="right"/>
      <w:pPr>
        <w:ind w:left="10765" w:hanging="180"/>
      </w:pPr>
    </w:lvl>
    <w:lvl w:ilvl="6" w:tplc="0C09000F" w:tentative="1">
      <w:start w:val="1"/>
      <w:numFmt w:val="decimal"/>
      <w:lvlText w:val="%7."/>
      <w:lvlJc w:val="left"/>
      <w:pPr>
        <w:ind w:left="11485" w:hanging="360"/>
      </w:pPr>
    </w:lvl>
    <w:lvl w:ilvl="7" w:tplc="0C090019" w:tentative="1">
      <w:start w:val="1"/>
      <w:numFmt w:val="lowerLetter"/>
      <w:lvlText w:val="%8."/>
      <w:lvlJc w:val="left"/>
      <w:pPr>
        <w:ind w:left="12205" w:hanging="360"/>
      </w:pPr>
    </w:lvl>
    <w:lvl w:ilvl="8" w:tplc="0C09001B" w:tentative="1">
      <w:start w:val="1"/>
      <w:numFmt w:val="lowerRoman"/>
      <w:lvlText w:val="%9."/>
      <w:lvlJc w:val="right"/>
      <w:pPr>
        <w:ind w:left="12925" w:hanging="180"/>
      </w:pPr>
    </w:lvl>
  </w:abstractNum>
  <w:num w:numId="1">
    <w:abstractNumId w:val="10"/>
  </w:num>
  <w:num w:numId="2">
    <w:abstractNumId w:val="2"/>
  </w:num>
  <w:num w:numId="3">
    <w:abstractNumId w:val="7"/>
  </w:num>
  <w:num w:numId="4">
    <w:abstractNumId w:val="20"/>
  </w:num>
  <w:num w:numId="5">
    <w:abstractNumId w:val="30"/>
  </w:num>
  <w:num w:numId="6">
    <w:abstractNumId w:val="9"/>
  </w:num>
  <w:num w:numId="7">
    <w:abstractNumId w:val="15"/>
  </w:num>
  <w:num w:numId="8">
    <w:abstractNumId w:val="3"/>
  </w:num>
  <w:num w:numId="9">
    <w:abstractNumId w:val="14"/>
  </w:num>
  <w:num w:numId="10">
    <w:abstractNumId w:val="13"/>
  </w:num>
  <w:num w:numId="11">
    <w:abstractNumId w:val="12"/>
  </w:num>
  <w:num w:numId="12">
    <w:abstractNumId w:val="1"/>
  </w:num>
  <w:num w:numId="13">
    <w:abstractNumId w:val="0"/>
  </w:num>
  <w:num w:numId="14">
    <w:abstractNumId w:val="30"/>
  </w:num>
  <w:num w:numId="15">
    <w:abstractNumId w:val="22"/>
  </w:num>
  <w:num w:numId="16">
    <w:abstractNumId w:val="5"/>
  </w:num>
  <w:num w:numId="17">
    <w:abstractNumId w:val="31"/>
  </w:num>
  <w:num w:numId="18">
    <w:abstractNumId w:val="4"/>
  </w:num>
  <w:num w:numId="19">
    <w:abstractNumId w:val="33"/>
  </w:num>
  <w:num w:numId="20">
    <w:abstractNumId w:val="11"/>
  </w:num>
  <w:num w:numId="21">
    <w:abstractNumId w:val="18"/>
  </w:num>
  <w:num w:numId="22">
    <w:abstractNumId w:val="17"/>
  </w:num>
  <w:num w:numId="23">
    <w:abstractNumId w:val="27"/>
  </w:num>
  <w:num w:numId="24">
    <w:abstractNumId w:val="19"/>
  </w:num>
  <w:num w:numId="25">
    <w:abstractNumId w:val="30"/>
  </w:num>
  <w:num w:numId="26">
    <w:abstractNumId w:val="30"/>
  </w:num>
  <w:num w:numId="27">
    <w:abstractNumId w:val="21"/>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9"/>
  </w:num>
  <w:num w:numId="31">
    <w:abstractNumId w:val="6"/>
  </w:num>
  <w:num w:numId="32">
    <w:abstractNumId w:val="28"/>
  </w:num>
  <w:num w:numId="33">
    <w:abstractNumId w:val="25"/>
  </w:num>
  <w:num w:numId="34">
    <w:abstractNumId w:val="26"/>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lvl w:ilvl="0">
        <w:start w:val="1"/>
        <w:numFmt w:val="decimal"/>
        <w:pStyle w:val="PBACHeading1"/>
        <w:lvlText w:val="%1"/>
        <w:lvlJc w:val="left"/>
        <w:pPr>
          <w:ind w:left="720" w:hanging="720"/>
        </w:pPr>
        <w:rPr>
          <w:rFonts w:hint="default"/>
          <w:b/>
        </w:rPr>
      </w:lvl>
    </w:lvlOverride>
    <w:lvlOverride w:ilvl="1">
      <w:lvl w:ilvl="1">
        <w:start w:val="1"/>
        <w:numFmt w:val="decimal"/>
        <w:lvlText w:val="%1.%2"/>
        <w:lvlJc w:val="left"/>
        <w:pPr>
          <w:ind w:left="720" w:hanging="720"/>
        </w:pPr>
        <w:rPr>
          <w:rFonts w:hint="default"/>
          <w:i w:val="0"/>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37">
    <w:abstractNumId w:val="16"/>
  </w:num>
  <w:num w:numId="38">
    <w:abstractNumId w:val="24"/>
  </w:num>
  <w:num w:numId="39">
    <w:abstractNumId w:val="32"/>
  </w:num>
  <w:num w:numId="40">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0E"/>
    <w:rsid w:val="000025AD"/>
    <w:rsid w:val="0000335D"/>
    <w:rsid w:val="0000524D"/>
    <w:rsid w:val="00010B00"/>
    <w:rsid w:val="000111A5"/>
    <w:rsid w:val="00023174"/>
    <w:rsid w:val="0002464A"/>
    <w:rsid w:val="0003106B"/>
    <w:rsid w:val="000412F6"/>
    <w:rsid w:val="000421A1"/>
    <w:rsid w:val="0004240E"/>
    <w:rsid w:val="00043616"/>
    <w:rsid w:val="00045E26"/>
    <w:rsid w:val="000514B5"/>
    <w:rsid w:val="00060B4F"/>
    <w:rsid w:val="00060E64"/>
    <w:rsid w:val="00063204"/>
    <w:rsid w:val="00066755"/>
    <w:rsid w:val="00077143"/>
    <w:rsid w:val="00082169"/>
    <w:rsid w:val="00082E87"/>
    <w:rsid w:val="000969AD"/>
    <w:rsid w:val="000A3872"/>
    <w:rsid w:val="000B558D"/>
    <w:rsid w:val="000B704A"/>
    <w:rsid w:val="000C6996"/>
    <w:rsid w:val="000D23BA"/>
    <w:rsid w:val="000E187A"/>
    <w:rsid w:val="000E681E"/>
    <w:rsid w:val="000F0003"/>
    <w:rsid w:val="000F4E6A"/>
    <w:rsid w:val="00104227"/>
    <w:rsid w:val="00106CA9"/>
    <w:rsid w:val="00107CA7"/>
    <w:rsid w:val="001107BF"/>
    <w:rsid w:val="001153EB"/>
    <w:rsid w:val="001157FE"/>
    <w:rsid w:val="0012400D"/>
    <w:rsid w:val="0012417C"/>
    <w:rsid w:val="0013297D"/>
    <w:rsid w:val="0013691A"/>
    <w:rsid w:val="00137636"/>
    <w:rsid w:val="00142395"/>
    <w:rsid w:val="00142714"/>
    <w:rsid w:val="001452ED"/>
    <w:rsid w:val="00163329"/>
    <w:rsid w:val="00164623"/>
    <w:rsid w:val="00165B64"/>
    <w:rsid w:val="0017520B"/>
    <w:rsid w:val="00176DB8"/>
    <w:rsid w:val="00180D6B"/>
    <w:rsid w:val="001830CE"/>
    <w:rsid w:val="0018643B"/>
    <w:rsid w:val="00193892"/>
    <w:rsid w:val="00196307"/>
    <w:rsid w:val="001A2196"/>
    <w:rsid w:val="001A33EA"/>
    <w:rsid w:val="001B017F"/>
    <w:rsid w:val="001B1C14"/>
    <w:rsid w:val="001B2BBC"/>
    <w:rsid w:val="001B5129"/>
    <w:rsid w:val="001C1195"/>
    <w:rsid w:val="001C2E46"/>
    <w:rsid w:val="001C7662"/>
    <w:rsid w:val="001D14D2"/>
    <w:rsid w:val="001D15AB"/>
    <w:rsid w:val="001F1850"/>
    <w:rsid w:val="00203FAC"/>
    <w:rsid w:val="00210047"/>
    <w:rsid w:val="00213CFB"/>
    <w:rsid w:val="00213F1D"/>
    <w:rsid w:val="0021739F"/>
    <w:rsid w:val="00217BE1"/>
    <w:rsid w:val="00220A65"/>
    <w:rsid w:val="00222237"/>
    <w:rsid w:val="00222DF0"/>
    <w:rsid w:val="0022388A"/>
    <w:rsid w:val="00227C66"/>
    <w:rsid w:val="00233072"/>
    <w:rsid w:val="002375BF"/>
    <w:rsid w:val="00246F57"/>
    <w:rsid w:val="002513DC"/>
    <w:rsid w:val="00252CE2"/>
    <w:rsid w:val="00271BA1"/>
    <w:rsid w:val="002762FA"/>
    <w:rsid w:val="00277505"/>
    <w:rsid w:val="00281933"/>
    <w:rsid w:val="00284675"/>
    <w:rsid w:val="00287F1D"/>
    <w:rsid w:val="00291613"/>
    <w:rsid w:val="0029458F"/>
    <w:rsid w:val="0029466D"/>
    <w:rsid w:val="002A104C"/>
    <w:rsid w:val="002A31C8"/>
    <w:rsid w:val="002A4960"/>
    <w:rsid w:val="002B1AE6"/>
    <w:rsid w:val="002B2DE8"/>
    <w:rsid w:val="002B30F8"/>
    <w:rsid w:val="002B5596"/>
    <w:rsid w:val="002B7395"/>
    <w:rsid w:val="002C212F"/>
    <w:rsid w:val="002D4543"/>
    <w:rsid w:val="002E30FA"/>
    <w:rsid w:val="002E3153"/>
    <w:rsid w:val="002E6144"/>
    <w:rsid w:val="002E72CA"/>
    <w:rsid w:val="002F57D7"/>
    <w:rsid w:val="002F58AD"/>
    <w:rsid w:val="003006B0"/>
    <w:rsid w:val="00300744"/>
    <w:rsid w:val="00300AD6"/>
    <w:rsid w:val="00304EEE"/>
    <w:rsid w:val="003103A4"/>
    <w:rsid w:val="00317C6C"/>
    <w:rsid w:val="00326E79"/>
    <w:rsid w:val="003314DF"/>
    <w:rsid w:val="0033361E"/>
    <w:rsid w:val="0033518A"/>
    <w:rsid w:val="003367EF"/>
    <w:rsid w:val="003374D8"/>
    <w:rsid w:val="00341AE4"/>
    <w:rsid w:val="003606B8"/>
    <w:rsid w:val="003621C5"/>
    <w:rsid w:val="00373ABD"/>
    <w:rsid w:val="00375E48"/>
    <w:rsid w:val="003872CF"/>
    <w:rsid w:val="00391696"/>
    <w:rsid w:val="00396CA3"/>
    <w:rsid w:val="0039782C"/>
    <w:rsid w:val="003A22FC"/>
    <w:rsid w:val="003A5B4A"/>
    <w:rsid w:val="003B0539"/>
    <w:rsid w:val="003B23C5"/>
    <w:rsid w:val="003B2A75"/>
    <w:rsid w:val="003B3515"/>
    <w:rsid w:val="003B6124"/>
    <w:rsid w:val="003B6A37"/>
    <w:rsid w:val="003C2FB5"/>
    <w:rsid w:val="003D0031"/>
    <w:rsid w:val="003D00E9"/>
    <w:rsid w:val="003D422A"/>
    <w:rsid w:val="003D4AC4"/>
    <w:rsid w:val="003D63B7"/>
    <w:rsid w:val="003E0542"/>
    <w:rsid w:val="003E468B"/>
    <w:rsid w:val="003E4A42"/>
    <w:rsid w:val="003E771B"/>
    <w:rsid w:val="003F0306"/>
    <w:rsid w:val="003F3228"/>
    <w:rsid w:val="003F5931"/>
    <w:rsid w:val="003F5C8C"/>
    <w:rsid w:val="0041363B"/>
    <w:rsid w:val="00413C2D"/>
    <w:rsid w:val="004252EC"/>
    <w:rsid w:val="00427250"/>
    <w:rsid w:val="00427A90"/>
    <w:rsid w:val="00431E8D"/>
    <w:rsid w:val="00433B7F"/>
    <w:rsid w:val="004363E6"/>
    <w:rsid w:val="004465BD"/>
    <w:rsid w:val="00455D21"/>
    <w:rsid w:val="00457A2C"/>
    <w:rsid w:val="00461325"/>
    <w:rsid w:val="00463821"/>
    <w:rsid w:val="00466ADA"/>
    <w:rsid w:val="00470655"/>
    <w:rsid w:val="00473CC0"/>
    <w:rsid w:val="00476245"/>
    <w:rsid w:val="00483035"/>
    <w:rsid w:val="004847B5"/>
    <w:rsid w:val="00485940"/>
    <w:rsid w:val="004A2484"/>
    <w:rsid w:val="004A2E29"/>
    <w:rsid w:val="004A37B0"/>
    <w:rsid w:val="004A5A85"/>
    <w:rsid w:val="004A71D1"/>
    <w:rsid w:val="004B17A3"/>
    <w:rsid w:val="004B5640"/>
    <w:rsid w:val="004B6E4A"/>
    <w:rsid w:val="004C1BD7"/>
    <w:rsid w:val="004C31FE"/>
    <w:rsid w:val="004C4A0B"/>
    <w:rsid w:val="004C691D"/>
    <w:rsid w:val="004C6C07"/>
    <w:rsid w:val="004D60BE"/>
    <w:rsid w:val="004E692D"/>
    <w:rsid w:val="004E7CF0"/>
    <w:rsid w:val="004F0146"/>
    <w:rsid w:val="004F3089"/>
    <w:rsid w:val="00501554"/>
    <w:rsid w:val="0051066E"/>
    <w:rsid w:val="00514CD7"/>
    <w:rsid w:val="005205F3"/>
    <w:rsid w:val="00521844"/>
    <w:rsid w:val="005319B2"/>
    <w:rsid w:val="00532402"/>
    <w:rsid w:val="00532C74"/>
    <w:rsid w:val="00534E2E"/>
    <w:rsid w:val="00544552"/>
    <w:rsid w:val="00557CF3"/>
    <w:rsid w:val="00566E59"/>
    <w:rsid w:val="00574EC2"/>
    <w:rsid w:val="00577C4D"/>
    <w:rsid w:val="00581878"/>
    <w:rsid w:val="00581932"/>
    <w:rsid w:val="005904CD"/>
    <w:rsid w:val="0059350C"/>
    <w:rsid w:val="0059515D"/>
    <w:rsid w:val="005963BB"/>
    <w:rsid w:val="005A200D"/>
    <w:rsid w:val="005A3173"/>
    <w:rsid w:val="005A3223"/>
    <w:rsid w:val="005A3DA3"/>
    <w:rsid w:val="005A52C4"/>
    <w:rsid w:val="005C55B7"/>
    <w:rsid w:val="005D018F"/>
    <w:rsid w:val="005D03AB"/>
    <w:rsid w:val="005D0B22"/>
    <w:rsid w:val="005D5017"/>
    <w:rsid w:val="005E0045"/>
    <w:rsid w:val="005E0F7D"/>
    <w:rsid w:val="005E1333"/>
    <w:rsid w:val="005E1BB4"/>
    <w:rsid w:val="005E6AF4"/>
    <w:rsid w:val="005F1D47"/>
    <w:rsid w:val="00601A91"/>
    <w:rsid w:val="00602BA3"/>
    <w:rsid w:val="00605E2D"/>
    <w:rsid w:val="00612E34"/>
    <w:rsid w:val="00614159"/>
    <w:rsid w:val="00614C24"/>
    <w:rsid w:val="00617C00"/>
    <w:rsid w:val="006263BF"/>
    <w:rsid w:val="0062748A"/>
    <w:rsid w:val="00630A2C"/>
    <w:rsid w:val="00632A8C"/>
    <w:rsid w:val="006350C0"/>
    <w:rsid w:val="0063682E"/>
    <w:rsid w:val="00636B8E"/>
    <w:rsid w:val="006406B3"/>
    <w:rsid w:val="006436CD"/>
    <w:rsid w:val="00646199"/>
    <w:rsid w:val="00651169"/>
    <w:rsid w:val="00653D69"/>
    <w:rsid w:val="006554B8"/>
    <w:rsid w:val="00661DC4"/>
    <w:rsid w:val="0066622B"/>
    <w:rsid w:val="006670BE"/>
    <w:rsid w:val="00670A76"/>
    <w:rsid w:val="006711AA"/>
    <w:rsid w:val="00672B57"/>
    <w:rsid w:val="006744D9"/>
    <w:rsid w:val="00675151"/>
    <w:rsid w:val="00675622"/>
    <w:rsid w:val="00675F06"/>
    <w:rsid w:val="00684F1E"/>
    <w:rsid w:val="00685F2A"/>
    <w:rsid w:val="006906DB"/>
    <w:rsid w:val="00691E6C"/>
    <w:rsid w:val="00695F7B"/>
    <w:rsid w:val="00696129"/>
    <w:rsid w:val="00697CF2"/>
    <w:rsid w:val="006A12A5"/>
    <w:rsid w:val="006A24A8"/>
    <w:rsid w:val="006B0D94"/>
    <w:rsid w:val="006B485D"/>
    <w:rsid w:val="006B54B0"/>
    <w:rsid w:val="006C028E"/>
    <w:rsid w:val="006C3286"/>
    <w:rsid w:val="006C361A"/>
    <w:rsid w:val="006C708E"/>
    <w:rsid w:val="006D6EC7"/>
    <w:rsid w:val="006E26FB"/>
    <w:rsid w:val="006E6D3F"/>
    <w:rsid w:val="006F5125"/>
    <w:rsid w:val="006F58CD"/>
    <w:rsid w:val="006F6CFA"/>
    <w:rsid w:val="007027BD"/>
    <w:rsid w:val="00702B6F"/>
    <w:rsid w:val="007055F0"/>
    <w:rsid w:val="0071340B"/>
    <w:rsid w:val="007139DF"/>
    <w:rsid w:val="007174BB"/>
    <w:rsid w:val="0072025D"/>
    <w:rsid w:val="007230BB"/>
    <w:rsid w:val="00733E37"/>
    <w:rsid w:val="007353D3"/>
    <w:rsid w:val="00756210"/>
    <w:rsid w:val="0076420C"/>
    <w:rsid w:val="007753C2"/>
    <w:rsid w:val="00775597"/>
    <w:rsid w:val="00780268"/>
    <w:rsid w:val="007827EA"/>
    <w:rsid w:val="007838B8"/>
    <w:rsid w:val="00797148"/>
    <w:rsid w:val="007A2842"/>
    <w:rsid w:val="007C0F57"/>
    <w:rsid w:val="007C40B6"/>
    <w:rsid w:val="007C729F"/>
    <w:rsid w:val="007D40E6"/>
    <w:rsid w:val="007E1D28"/>
    <w:rsid w:val="007E289D"/>
    <w:rsid w:val="007F2641"/>
    <w:rsid w:val="007F7C36"/>
    <w:rsid w:val="00802E36"/>
    <w:rsid w:val="00806796"/>
    <w:rsid w:val="00810E3D"/>
    <w:rsid w:val="008151D6"/>
    <w:rsid w:val="00826F6D"/>
    <w:rsid w:val="008306F3"/>
    <w:rsid w:val="00846B26"/>
    <w:rsid w:val="0085245F"/>
    <w:rsid w:val="008553A4"/>
    <w:rsid w:val="00856DDD"/>
    <w:rsid w:val="00863E68"/>
    <w:rsid w:val="008817FD"/>
    <w:rsid w:val="00882085"/>
    <w:rsid w:val="00883188"/>
    <w:rsid w:val="00884663"/>
    <w:rsid w:val="0088732A"/>
    <w:rsid w:val="00891272"/>
    <w:rsid w:val="00891591"/>
    <w:rsid w:val="00897D58"/>
    <w:rsid w:val="00897F22"/>
    <w:rsid w:val="008A1956"/>
    <w:rsid w:val="008A27C0"/>
    <w:rsid w:val="008A4937"/>
    <w:rsid w:val="008A50F1"/>
    <w:rsid w:val="008B328C"/>
    <w:rsid w:val="008B3854"/>
    <w:rsid w:val="008D022B"/>
    <w:rsid w:val="008D1B5C"/>
    <w:rsid w:val="008D3C82"/>
    <w:rsid w:val="008D447E"/>
    <w:rsid w:val="008D50F8"/>
    <w:rsid w:val="008D7A41"/>
    <w:rsid w:val="008E3680"/>
    <w:rsid w:val="008E5870"/>
    <w:rsid w:val="008E7BCE"/>
    <w:rsid w:val="008F1434"/>
    <w:rsid w:val="008F7355"/>
    <w:rsid w:val="008F76F5"/>
    <w:rsid w:val="0090218B"/>
    <w:rsid w:val="009062D7"/>
    <w:rsid w:val="009067B7"/>
    <w:rsid w:val="00906F0C"/>
    <w:rsid w:val="009148EC"/>
    <w:rsid w:val="009179DA"/>
    <w:rsid w:val="00925068"/>
    <w:rsid w:val="0092595A"/>
    <w:rsid w:val="00930937"/>
    <w:rsid w:val="00932C06"/>
    <w:rsid w:val="00933E6C"/>
    <w:rsid w:val="00937958"/>
    <w:rsid w:val="009415FC"/>
    <w:rsid w:val="00942160"/>
    <w:rsid w:val="009446FA"/>
    <w:rsid w:val="00950A55"/>
    <w:rsid w:val="0095146F"/>
    <w:rsid w:val="009602C5"/>
    <w:rsid w:val="00962223"/>
    <w:rsid w:val="00966D0D"/>
    <w:rsid w:val="0097229E"/>
    <w:rsid w:val="00974C21"/>
    <w:rsid w:val="00984D3E"/>
    <w:rsid w:val="009B0F67"/>
    <w:rsid w:val="009C703C"/>
    <w:rsid w:val="009D3CAA"/>
    <w:rsid w:val="009D467F"/>
    <w:rsid w:val="009E126C"/>
    <w:rsid w:val="009E2E4F"/>
    <w:rsid w:val="009F162B"/>
    <w:rsid w:val="009F4E46"/>
    <w:rsid w:val="009F5B65"/>
    <w:rsid w:val="009F5F2E"/>
    <w:rsid w:val="00A06225"/>
    <w:rsid w:val="00A128E6"/>
    <w:rsid w:val="00A14CAA"/>
    <w:rsid w:val="00A17028"/>
    <w:rsid w:val="00A209DA"/>
    <w:rsid w:val="00A21FE0"/>
    <w:rsid w:val="00A3461D"/>
    <w:rsid w:val="00A34E6C"/>
    <w:rsid w:val="00A37C8D"/>
    <w:rsid w:val="00A411EB"/>
    <w:rsid w:val="00A42EC9"/>
    <w:rsid w:val="00A4456F"/>
    <w:rsid w:val="00A449DD"/>
    <w:rsid w:val="00A44CF9"/>
    <w:rsid w:val="00A5273B"/>
    <w:rsid w:val="00A53A9D"/>
    <w:rsid w:val="00A55FEE"/>
    <w:rsid w:val="00A60D6F"/>
    <w:rsid w:val="00A62C1A"/>
    <w:rsid w:val="00A6426D"/>
    <w:rsid w:val="00A647A0"/>
    <w:rsid w:val="00A665C1"/>
    <w:rsid w:val="00A70622"/>
    <w:rsid w:val="00A70977"/>
    <w:rsid w:val="00A77613"/>
    <w:rsid w:val="00A8390C"/>
    <w:rsid w:val="00A86308"/>
    <w:rsid w:val="00A8668B"/>
    <w:rsid w:val="00A912AF"/>
    <w:rsid w:val="00A928BD"/>
    <w:rsid w:val="00AA4D1C"/>
    <w:rsid w:val="00AA74EE"/>
    <w:rsid w:val="00AB022D"/>
    <w:rsid w:val="00AB73FF"/>
    <w:rsid w:val="00AC193C"/>
    <w:rsid w:val="00AC2B90"/>
    <w:rsid w:val="00AC5206"/>
    <w:rsid w:val="00AD3440"/>
    <w:rsid w:val="00AD53EF"/>
    <w:rsid w:val="00AE1050"/>
    <w:rsid w:val="00AE11A5"/>
    <w:rsid w:val="00AE13E2"/>
    <w:rsid w:val="00AE22D3"/>
    <w:rsid w:val="00AE605A"/>
    <w:rsid w:val="00AF62DF"/>
    <w:rsid w:val="00AF68CC"/>
    <w:rsid w:val="00B02751"/>
    <w:rsid w:val="00B1059E"/>
    <w:rsid w:val="00B1113F"/>
    <w:rsid w:val="00B12F98"/>
    <w:rsid w:val="00B16276"/>
    <w:rsid w:val="00B176C8"/>
    <w:rsid w:val="00B205AA"/>
    <w:rsid w:val="00B22E84"/>
    <w:rsid w:val="00B25F75"/>
    <w:rsid w:val="00B26B3F"/>
    <w:rsid w:val="00B31551"/>
    <w:rsid w:val="00B31559"/>
    <w:rsid w:val="00B43E90"/>
    <w:rsid w:val="00B467DC"/>
    <w:rsid w:val="00B56118"/>
    <w:rsid w:val="00B610CA"/>
    <w:rsid w:val="00B6773F"/>
    <w:rsid w:val="00B70A7E"/>
    <w:rsid w:val="00B801BA"/>
    <w:rsid w:val="00B84D5C"/>
    <w:rsid w:val="00BA1786"/>
    <w:rsid w:val="00BB69F5"/>
    <w:rsid w:val="00BB7EC3"/>
    <w:rsid w:val="00BC2C1C"/>
    <w:rsid w:val="00BC3A9A"/>
    <w:rsid w:val="00BC4B9A"/>
    <w:rsid w:val="00BD2659"/>
    <w:rsid w:val="00BD5D61"/>
    <w:rsid w:val="00BD784C"/>
    <w:rsid w:val="00BE16C4"/>
    <w:rsid w:val="00BE31D0"/>
    <w:rsid w:val="00BE5D45"/>
    <w:rsid w:val="00BF40C9"/>
    <w:rsid w:val="00BF4CB6"/>
    <w:rsid w:val="00C00DA7"/>
    <w:rsid w:val="00C040FF"/>
    <w:rsid w:val="00C058DB"/>
    <w:rsid w:val="00C1023A"/>
    <w:rsid w:val="00C12768"/>
    <w:rsid w:val="00C17DFF"/>
    <w:rsid w:val="00C27B58"/>
    <w:rsid w:val="00C3496E"/>
    <w:rsid w:val="00C35996"/>
    <w:rsid w:val="00C4747E"/>
    <w:rsid w:val="00C475B9"/>
    <w:rsid w:val="00C5342C"/>
    <w:rsid w:val="00C57CF6"/>
    <w:rsid w:val="00C603D4"/>
    <w:rsid w:val="00C6256A"/>
    <w:rsid w:val="00C77891"/>
    <w:rsid w:val="00C81905"/>
    <w:rsid w:val="00C91449"/>
    <w:rsid w:val="00C92D10"/>
    <w:rsid w:val="00CA3E7B"/>
    <w:rsid w:val="00CB0814"/>
    <w:rsid w:val="00CD4E4F"/>
    <w:rsid w:val="00CD5D5C"/>
    <w:rsid w:val="00CD6A37"/>
    <w:rsid w:val="00CE10C4"/>
    <w:rsid w:val="00CE27B5"/>
    <w:rsid w:val="00CE2964"/>
    <w:rsid w:val="00CE4860"/>
    <w:rsid w:val="00CE6AEF"/>
    <w:rsid w:val="00CF2982"/>
    <w:rsid w:val="00CF6C77"/>
    <w:rsid w:val="00D0321E"/>
    <w:rsid w:val="00D04EE1"/>
    <w:rsid w:val="00D10307"/>
    <w:rsid w:val="00D125B3"/>
    <w:rsid w:val="00D1455A"/>
    <w:rsid w:val="00D160D2"/>
    <w:rsid w:val="00D1758A"/>
    <w:rsid w:val="00D20EED"/>
    <w:rsid w:val="00D253BA"/>
    <w:rsid w:val="00D31150"/>
    <w:rsid w:val="00D3138B"/>
    <w:rsid w:val="00D3280C"/>
    <w:rsid w:val="00D3406A"/>
    <w:rsid w:val="00D40D39"/>
    <w:rsid w:val="00D411EA"/>
    <w:rsid w:val="00D4160F"/>
    <w:rsid w:val="00D41D69"/>
    <w:rsid w:val="00D4572C"/>
    <w:rsid w:val="00D469B2"/>
    <w:rsid w:val="00D46B5B"/>
    <w:rsid w:val="00D533A6"/>
    <w:rsid w:val="00D65EC4"/>
    <w:rsid w:val="00D66575"/>
    <w:rsid w:val="00D741EB"/>
    <w:rsid w:val="00D83605"/>
    <w:rsid w:val="00D83FD2"/>
    <w:rsid w:val="00D84934"/>
    <w:rsid w:val="00D85084"/>
    <w:rsid w:val="00D87DAC"/>
    <w:rsid w:val="00D91271"/>
    <w:rsid w:val="00D938EE"/>
    <w:rsid w:val="00D95F57"/>
    <w:rsid w:val="00D979A9"/>
    <w:rsid w:val="00DA2CB5"/>
    <w:rsid w:val="00DA4BAC"/>
    <w:rsid w:val="00DB1D7D"/>
    <w:rsid w:val="00DD38F4"/>
    <w:rsid w:val="00DD402C"/>
    <w:rsid w:val="00DE6D27"/>
    <w:rsid w:val="00DF217D"/>
    <w:rsid w:val="00DF26A7"/>
    <w:rsid w:val="00E01D7E"/>
    <w:rsid w:val="00E05FAD"/>
    <w:rsid w:val="00E07A8E"/>
    <w:rsid w:val="00E07CEA"/>
    <w:rsid w:val="00E15627"/>
    <w:rsid w:val="00E164B3"/>
    <w:rsid w:val="00E16910"/>
    <w:rsid w:val="00E31D4B"/>
    <w:rsid w:val="00E32161"/>
    <w:rsid w:val="00E37E9A"/>
    <w:rsid w:val="00E40040"/>
    <w:rsid w:val="00E42BDB"/>
    <w:rsid w:val="00E5209F"/>
    <w:rsid w:val="00E53E21"/>
    <w:rsid w:val="00E57EEB"/>
    <w:rsid w:val="00E62D94"/>
    <w:rsid w:val="00E65E54"/>
    <w:rsid w:val="00E80155"/>
    <w:rsid w:val="00E81A2B"/>
    <w:rsid w:val="00E848C0"/>
    <w:rsid w:val="00E91B96"/>
    <w:rsid w:val="00E9324A"/>
    <w:rsid w:val="00E941A1"/>
    <w:rsid w:val="00E95CE3"/>
    <w:rsid w:val="00EA042D"/>
    <w:rsid w:val="00EA2339"/>
    <w:rsid w:val="00EA2825"/>
    <w:rsid w:val="00EA3640"/>
    <w:rsid w:val="00EB0B63"/>
    <w:rsid w:val="00EB44C6"/>
    <w:rsid w:val="00EB4D03"/>
    <w:rsid w:val="00EB5088"/>
    <w:rsid w:val="00ED1644"/>
    <w:rsid w:val="00ED2593"/>
    <w:rsid w:val="00ED7D9C"/>
    <w:rsid w:val="00EE5660"/>
    <w:rsid w:val="00EF44A0"/>
    <w:rsid w:val="00EF4FED"/>
    <w:rsid w:val="00EF5E52"/>
    <w:rsid w:val="00F050BD"/>
    <w:rsid w:val="00F05657"/>
    <w:rsid w:val="00F1006C"/>
    <w:rsid w:val="00F2328E"/>
    <w:rsid w:val="00F25578"/>
    <w:rsid w:val="00F258E5"/>
    <w:rsid w:val="00F300BC"/>
    <w:rsid w:val="00F3334E"/>
    <w:rsid w:val="00F35F43"/>
    <w:rsid w:val="00F36CCB"/>
    <w:rsid w:val="00F374E5"/>
    <w:rsid w:val="00F40147"/>
    <w:rsid w:val="00F43AF2"/>
    <w:rsid w:val="00F50EC4"/>
    <w:rsid w:val="00F550CF"/>
    <w:rsid w:val="00F5639C"/>
    <w:rsid w:val="00F56DDA"/>
    <w:rsid w:val="00F57A6D"/>
    <w:rsid w:val="00F638CC"/>
    <w:rsid w:val="00F64CC1"/>
    <w:rsid w:val="00F6619E"/>
    <w:rsid w:val="00F72317"/>
    <w:rsid w:val="00F74349"/>
    <w:rsid w:val="00F80475"/>
    <w:rsid w:val="00F8247A"/>
    <w:rsid w:val="00F874E7"/>
    <w:rsid w:val="00F90B87"/>
    <w:rsid w:val="00F91578"/>
    <w:rsid w:val="00F9629A"/>
    <w:rsid w:val="00F97EFC"/>
    <w:rsid w:val="00FA1392"/>
    <w:rsid w:val="00FA3BB4"/>
    <w:rsid w:val="00FA5883"/>
    <w:rsid w:val="00FA6055"/>
    <w:rsid w:val="00FB322F"/>
    <w:rsid w:val="00FB442F"/>
    <w:rsid w:val="00FB7D0D"/>
    <w:rsid w:val="00FC0036"/>
    <w:rsid w:val="00FC1929"/>
    <w:rsid w:val="00FC4E95"/>
    <w:rsid w:val="00FC5B46"/>
    <w:rsid w:val="00FC696D"/>
    <w:rsid w:val="00FC78B0"/>
    <w:rsid w:val="00FD1B15"/>
    <w:rsid w:val="00FD3BFC"/>
    <w:rsid w:val="00FD6D8E"/>
    <w:rsid w:val="00FE0E94"/>
    <w:rsid w:val="00FE4759"/>
    <w:rsid w:val="00FE54D4"/>
    <w:rsid w:val="00FE69BA"/>
    <w:rsid w:val="00FF00BD"/>
    <w:rsid w:val="00FF1ED4"/>
    <w:rsid w:val="00FF2801"/>
    <w:rsid w:val="00FF57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EC64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PBACHeading1"/>
    <w:next w:val="Normal"/>
    <w:link w:val="Heading2Char"/>
    <w:uiPriority w:val="1"/>
    <w:qFormat/>
    <w:rsid w:val="00FD1B15"/>
    <w:pPr>
      <w:spacing w:before="240" w:after="120"/>
      <w:ind w:left="709" w:hanging="709"/>
      <w:outlineLvl w:val="1"/>
    </w:pPr>
    <w:rPr>
      <w:rFonts w:asciiTheme="minorHAnsi" w:hAnsiTheme="minorHAnsi" w:cstheme="minorHAnsi"/>
      <w:sz w:val="32"/>
      <w:szCs w:val="3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PBACHeading1"/>
    <w:next w:val="Normal"/>
    <w:qFormat/>
    <w:rsid w:val="00FD1B15"/>
    <w:pPr>
      <w:numPr>
        <w:numId w:val="0"/>
      </w:numPr>
      <w:spacing w:before="240" w:after="120"/>
      <w:outlineLvl w:val="4"/>
    </w:pPr>
    <w:rPr>
      <w:rFonts w:asciiTheme="minorHAnsi" w:hAnsiTheme="minorHAnsi" w:cstheme="minorHAnsi"/>
      <w:sz w:val="28"/>
      <w:szCs w:val="28"/>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Bullet point,List Paragraph1,List Paragraph11,Recommendation,Footnote,Numbered para,ES Paragraph,PBAC ES Paragraph,PBAC normal points,Bullets,CV text,Dot pt,F5 List Paragraph,FooterText,L,List Paragraph111,List Paragraph2,列"/>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Bullet point Char,List Paragraph1 Char,List Paragraph11 Char,Recommendation Char,Footnote Char,Numbered para Char,ES Paragraph Char,PBAC ES Paragraph Char,PBAC normal points Char,Bullets Char,CV text Char,L Char"/>
    <w:basedOn w:val="DefaultParagraphFont"/>
    <w:link w:val="ListParagraph"/>
    <w:uiPriority w:val="34"/>
    <w:qFormat/>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FD1B15"/>
    <w:rPr>
      <w:rFonts w:asciiTheme="minorHAnsi" w:hAnsiTheme="minorHAnsi" w:cstheme="minorHAnsi"/>
      <w:b/>
      <w:snapToGrid w:val="0"/>
      <w:sz w:val="32"/>
      <w:szCs w:val="32"/>
      <w:lang w:eastAsia="en-US"/>
    </w:rPr>
  </w:style>
  <w:style w:type="paragraph" w:styleId="Revision">
    <w:name w:val="Revision"/>
    <w:hidden/>
    <w:uiPriority w:val="71"/>
    <w:rsid w:val="00461325"/>
    <w:rPr>
      <w:sz w:val="24"/>
      <w:szCs w:val="24"/>
    </w:rPr>
  </w:style>
  <w:style w:type="paragraph" w:customStyle="1" w:styleId="Sectionheading">
    <w:name w:val="Section heading"/>
    <w:basedOn w:val="PBACHeading1"/>
    <w:qFormat/>
    <w:rsid w:val="00F56DDA"/>
    <w:pPr>
      <w:numPr>
        <w:numId w:val="0"/>
      </w:numPr>
      <w:ind w:left="720" w:hanging="720"/>
    </w:pPr>
    <w:rPr>
      <w:rFonts w:asciiTheme="minorHAnsi" w:hAnsiTheme="minorHAnsi" w:cstheme="minorHAnsi"/>
    </w:rPr>
  </w:style>
  <w:style w:type="paragraph" w:styleId="FootnoteText">
    <w:name w:val="footnote text"/>
    <w:basedOn w:val="Normal"/>
    <w:link w:val="FootnoteTextChar"/>
    <w:rsid w:val="00455D21"/>
    <w:rPr>
      <w:sz w:val="20"/>
      <w:szCs w:val="20"/>
    </w:rPr>
  </w:style>
  <w:style w:type="character" w:customStyle="1" w:styleId="FootnoteTextChar">
    <w:name w:val="Footnote Text Char"/>
    <w:basedOn w:val="DefaultParagraphFont"/>
    <w:link w:val="FootnoteText"/>
    <w:rsid w:val="00455D21"/>
  </w:style>
  <w:style w:type="character" w:styleId="FootnoteReference">
    <w:name w:val="footnote reference"/>
    <w:basedOn w:val="DefaultParagraphFont"/>
    <w:rsid w:val="00455D21"/>
    <w:rPr>
      <w:vertAlign w:val="superscript"/>
    </w:rPr>
  </w:style>
  <w:style w:type="paragraph" w:styleId="Caption">
    <w:name w:val="caption"/>
    <w:basedOn w:val="Normal"/>
    <w:next w:val="Normal"/>
    <w:semiHidden/>
    <w:unhideWhenUsed/>
    <w:qFormat/>
    <w:rsid w:val="007A2842"/>
    <w:pPr>
      <w:spacing w:after="200"/>
    </w:pPr>
    <w:rPr>
      <w:i/>
      <w:iCs/>
      <w:color w:val="1F497D" w:themeColor="text2"/>
      <w:sz w:val="18"/>
      <w:szCs w:val="18"/>
    </w:rPr>
  </w:style>
  <w:style w:type="character" w:styleId="FollowedHyperlink">
    <w:name w:val="FollowedHyperlink"/>
    <w:basedOn w:val="DefaultParagraphFont"/>
    <w:semiHidden/>
    <w:unhideWhenUsed/>
    <w:rsid w:val="003F03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368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1705850">
      <w:bodyDiv w:val="1"/>
      <w:marLeft w:val="0"/>
      <w:marRight w:val="0"/>
      <w:marTop w:val="0"/>
      <w:marBottom w:val="0"/>
      <w:divBdr>
        <w:top w:val="none" w:sz="0" w:space="0" w:color="auto"/>
        <w:left w:val="none" w:sz="0" w:space="0" w:color="auto"/>
        <w:bottom w:val="none" w:sz="0" w:space="0" w:color="auto"/>
        <w:right w:val="none" w:sz="0" w:space="0" w:color="auto"/>
      </w:divBdr>
    </w:div>
    <w:div w:id="292519808">
      <w:bodyDiv w:val="1"/>
      <w:marLeft w:val="0"/>
      <w:marRight w:val="0"/>
      <w:marTop w:val="0"/>
      <w:marBottom w:val="0"/>
      <w:divBdr>
        <w:top w:val="none" w:sz="0" w:space="0" w:color="auto"/>
        <w:left w:val="none" w:sz="0" w:space="0" w:color="auto"/>
        <w:bottom w:val="none" w:sz="0" w:space="0" w:color="auto"/>
        <w:right w:val="none" w:sz="0" w:space="0" w:color="auto"/>
      </w:divBdr>
    </w:div>
    <w:div w:id="410809209">
      <w:bodyDiv w:val="1"/>
      <w:marLeft w:val="0"/>
      <w:marRight w:val="0"/>
      <w:marTop w:val="0"/>
      <w:marBottom w:val="0"/>
      <w:divBdr>
        <w:top w:val="none" w:sz="0" w:space="0" w:color="auto"/>
        <w:left w:val="none" w:sz="0" w:space="0" w:color="auto"/>
        <w:bottom w:val="none" w:sz="0" w:space="0" w:color="auto"/>
        <w:right w:val="none" w:sz="0" w:space="0" w:color="auto"/>
      </w:divBdr>
    </w:div>
    <w:div w:id="767895274">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49316209">
      <w:bodyDiv w:val="1"/>
      <w:marLeft w:val="0"/>
      <w:marRight w:val="0"/>
      <w:marTop w:val="0"/>
      <w:marBottom w:val="0"/>
      <w:divBdr>
        <w:top w:val="none" w:sz="0" w:space="0" w:color="auto"/>
        <w:left w:val="none" w:sz="0" w:space="0" w:color="auto"/>
        <w:bottom w:val="none" w:sz="0" w:space="0" w:color="auto"/>
        <w:right w:val="none" w:sz="0" w:space="0" w:color="auto"/>
      </w:divBdr>
    </w:div>
    <w:div w:id="1026910864">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bs.gov.au/info/industry/listing/elements/pbac-meetings/agenda/august-2018-pbac-special-meetin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fda.gov/ForPatients/Approvals/Fast/ucm40539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5339</Words>
  <Characters>31559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2019-02-07T06:36:00Z</dcterms:created>
  <dcterms:modified xsi:type="dcterms:W3CDTF">2019-02-07T23:08:00Z</dcterms:modified>
</cp:coreProperties>
</file>