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268"/>
        <w:gridCol w:w="3544"/>
        <w:gridCol w:w="6521"/>
      </w:tblGrid>
      <w:tr w:rsidR="00987FDA" w:rsidRPr="00FE2FD1" w:rsidTr="00E62C78">
        <w:trPr>
          <w:tblHeader/>
        </w:trPr>
        <w:tc>
          <w:tcPr>
            <w:tcW w:w="3119" w:type="dxa"/>
            <w:tcMar>
              <w:top w:w="28" w:type="dxa"/>
              <w:bottom w:w="28" w:type="dxa"/>
            </w:tcMar>
          </w:tcPr>
          <w:p w:rsidR="00987FDA" w:rsidRPr="00FE2FD1" w:rsidRDefault="00987FDA" w:rsidP="00E62C78">
            <w:pPr>
              <w:widowControl w:val="0"/>
              <w:jc w:val="center"/>
              <w:rPr>
                <w:rFonts w:ascii="Arial" w:hAnsi="Arial" w:cs="Arial"/>
                <w:b/>
              </w:rPr>
            </w:pPr>
            <w:bookmarkStart w:id="0" w:name="_GoBack"/>
            <w:bookmarkEnd w:id="0"/>
            <w:r w:rsidRPr="00FE2FD1">
              <w:rPr>
                <w:rFonts w:ascii="Arial" w:hAnsi="Arial" w:cs="Arial"/>
                <w:b/>
              </w:rPr>
              <w:t>Drug Name, form(s), strength(s) and Sponsor</w:t>
            </w:r>
          </w:p>
        </w:tc>
        <w:tc>
          <w:tcPr>
            <w:tcW w:w="2268" w:type="dxa"/>
            <w:tcMar>
              <w:top w:w="28" w:type="dxa"/>
              <w:bottom w:w="28" w:type="dxa"/>
            </w:tcMar>
          </w:tcPr>
          <w:p w:rsidR="00987FDA" w:rsidRPr="00FE2FD1" w:rsidRDefault="00987FDA" w:rsidP="00E62C78">
            <w:pPr>
              <w:widowControl w:val="0"/>
              <w:jc w:val="center"/>
              <w:rPr>
                <w:rFonts w:ascii="Arial" w:hAnsi="Arial" w:cs="Arial"/>
                <w:b/>
                <w:snapToGrid w:val="0"/>
                <w:lang w:eastAsia="en-US"/>
              </w:rPr>
            </w:pPr>
            <w:r w:rsidRPr="00FE2FD1">
              <w:rPr>
                <w:rFonts w:ascii="Arial" w:hAnsi="Arial" w:cs="Arial"/>
                <w:b/>
                <w:snapToGrid w:val="0"/>
                <w:lang w:eastAsia="en-US"/>
              </w:rPr>
              <w:t>Drug Type and Use</w:t>
            </w:r>
          </w:p>
          <w:p w:rsidR="00987FDA" w:rsidRPr="00FE2FD1" w:rsidRDefault="00987FDA" w:rsidP="00E62C78">
            <w:pPr>
              <w:widowControl w:val="0"/>
              <w:jc w:val="center"/>
              <w:rPr>
                <w:rFonts w:ascii="Arial" w:hAnsi="Arial" w:cs="Arial"/>
                <w:b/>
                <w:snapToGrid w:val="0"/>
                <w:lang w:eastAsia="en-US"/>
              </w:rPr>
            </w:pPr>
          </w:p>
        </w:tc>
        <w:tc>
          <w:tcPr>
            <w:tcW w:w="3544" w:type="dxa"/>
            <w:tcMar>
              <w:top w:w="28" w:type="dxa"/>
              <w:bottom w:w="28" w:type="dxa"/>
            </w:tcMar>
          </w:tcPr>
          <w:p w:rsidR="00987FDA" w:rsidRPr="00FE2FD1" w:rsidRDefault="00987FDA" w:rsidP="00E62C78">
            <w:pPr>
              <w:widowControl w:val="0"/>
              <w:jc w:val="center"/>
              <w:rPr>
                <w:rFonts w:ascii="Arial" w:hAnsi="Arial" w:cs="Arial"/>
                <w:b/>
                <w:snapToGrid w:val="0"/>
                <w:lang w:eastAsia="en-US"/>
              </w:rPr>
            </w:pPr>
            <w:r w:rsidRPr="00FE2FD1">
              <w:rPr>
                <w:rFonts w:ascii="Arial" w:hAnsi="Arial" w:cs="Arial"/>
                <w:b/>
                <w:snapToGrid w:val="0"/>
                <w:lang w:eastAsia="en-US"/>
              </w:rPr>
              <w:t>Listing requested by Sponsor / Purpose of Submission</w:t>
            </w:r>
          </w:p>
        </w:tc>
        <w:tc>
          <w:tcPr>
            <w:tcW w:w="6521" w:type="dxa"/>
            <w:vAlign w:val="center"/>
          </w:tcPr>
          <w:p w:rsidR="00987FDA" w:rsidRPr="00FE2FD1" w:rsidRDefault="00987FDA" w:rsidP="00E62C78">
            <w:pPr>
              <w:pStyle w:val="Header"/>
              <w:jc w:val="center"/>
              <w:rPr>
                <w:rFonts w:ascii="Arial" w:hAnsi="Arial" w:cs="Arial"/>
                <w:b/>
                <w:snapToGrid w:val="0"/>
                <w:lang w:eastAsia="en-US"/>
              </w:rPr>
            </w:pPr>
            <w:r w:rsidRPr="00FE2FD1">
              <w:rPr>
                <w:rFonts w:ascii="Arial" w:hAnsi="Arial" w:cs="Arial"/>
                <w:b/>
                <w:snapToGrid w:val="0"/>
                <w:lang w:eastAsia="en-US"/>
              </w:rPr>
              <w:t>PBAC Recommendation</w:t>
            </w:r>
          </w:p>
        </w:tc>
      </w:tr>
      <w:tr w:rsidR="00987FDA" w:rsidRPr="00FE2FD1" w:rsidTr="00E62C78">
        <w:tc>
          <w:tcPr>
            <w:tcW w:w="3119" w:type="dxa"/>
            <w:tcMar>
              <w:top w:w="28" w:type="dxa"/>
              <w:bottom w:w="28" w:type="dxa"/>
            </w:tcMar>
          </w:tcPr>
          <w:p w:rsidR="00987FDA" w:rsidRPr="00FE2FD1" w:rsidRDefault="00987FDA" w:rsidP="00E62C78">
            <w:pPr>
              <w:widowControl w:val="0"/>
              <w:rPr>
                <w:rFonts w:ascii="Arial" w:hAnsi="Arial" w:cs="Arial"/>
                <w:snapToGrid w:val="0"/>
                <w:lang w:eastAsia="en-US"/>
              </w:rPr>
            </w:pPr>
            <w:r w:rsidRPr="00FE2FD1">
              <w:rPr>
                <w:rFonts w:ascii="Arial" w:hAnsi="Arial" w:cs="Arial"/>
                <w:snapToGrid w:val="0"/>
                <w:lang w:eastAsia="en-US"/>
              </w:rPr>
              <w:t>CRIZOTINIB, 200 mg capsule, 60  and 250 mg capsule, 60</w:t>
            </w:r>
          </w:p>
          <w:p w:rsidR="00987FDA" w:rsidRPr="00FE2FD1" w:rsidRDefault="00987FDA" w:rsidP="00E62C78">
            <w:pPr>
              <w:rPr>
                <w:rFonts w:ascii="Arial" w:hAnsi="Arial" w:cs="Arial"/>
                <w:snapToGrid w:val="0"/>
                <w:lang w:eastAsia="en-US"/>
              </w:rPr>
            </w:pPr>
          </w:p>
          <w:p w:rsidR="00987FDA" w:rsidRPr="00FE2FD1" w:rsidRDefault="00987FDA" w:rsidP="00E62C78">
            <w:pPr>
              <w:widowControl w:val="0"/>
              <w:rPr>
                <w:rFonts w:ascii="Arial" w:hAnsi="Arial" w:cs="Arial"/>
                <w:snapToGrid w:val="0"/>
                <w:lang w:eastAsia="en-US"/>
              </w:rPr>
            </w:pPr>
            <w:r w:rsidRPr="00FE2FD1">
              <w:rPr>
                <w:rFonts w:ascii="Arial" w:hAnsi="Arial" w:cs="Arial"/>
                <w:snapToGrid w:val="0"/>
                <w:lang w:eastAsia="en-US"/>
              </w:rPr>
              <w:t>Xalkori®</w:t>
            </w:r>
          </w:p>
          <w:p w:rsidR="00987FDA" w:rsidRPr="00FE2FD1" w:rsidRDefault="00987FDA" w:rsidP="00E62C78">
            <w:pPr>
              <w:rPr>
                <w:rFonts w:ascii="Arial" w:hAnsi="Arial" w:cs="Arial"/>
                <w:snapToGrid w:val="0"/>
                <w:lang w:eastAsia="en-US"/>
              </w:rPr>
            </w:pPr>
          </w:p>
          <w:p w:rsidR="00987FDA" w:rsidRPr="00FE2FD1" w:rsidRDefault="00987FDA" w:rsidP="00E62C78">
            <w:pPr>
              <w:pStyle w:val="Header"/>
              <w:widowControl w:val="0"/>
              <w:tabs>
                <w:tab w:val="clear" w:pos="4153"/>
                <w:tab w:val="clear" w:pos="8306"/>
              </w:tabs>
              <w:rPr>
                <w:rStyle w:val="st"/>
                <w:rFonts w:ascii="Arial" w:hAnsi="Arial" w:cs="Arial"/>
                <w:snapToGrid w:val="0"/>
                <w:lang w:eastAsia="en-US"/>
              </w:rPr>
            </w:pPr>
            <w:r w:rsidRPr="00FE2FD1">
              <w:rPr>
                <w:rFonts w:ascii="Arial" w:hAnsi="Arial" w:cs="Arial"/>
                <w:snapToGrid w:val="0"/>
                <w:lang w:eastAsia="en-US"/>
              </w:rPr>
              <w:t>Pfizer Australia Pty Ltd</w:t>
            </w:r>
          </w:p>
        </w:tc>
        <w:tc>
          <w:tcPr>
            <w:tcW w:w="2268" w:type="dxa"/>
            <w:tcMar>
              <w:top w:w="28" w:type="dxa"/>
              <w:bottom w:w="28" w:type="dxa"/>
            </w:tcMar>
          </w:tcPr>
          <w:p w:rsidR="00987FDA" w:rsidRPr="00FE2FD1" w:rsidRDefault="00987FDA" w:rsidP="00E62C78">
            <w:pPr>
              <w:widowControl w:val="0"/>
              <w:rPr>
                <w:rFonts w:ascii="Arial" w:hAnsi="Arial" w:cs="Arial"/>
              </w:rPr>
            </w:pPr>
            <w:r w:rsidRPr="00FE2FD1">
              <w:rPr>
                <w:rFonts w:ascii="Arial" w:hAnsi="Arial" w:cs="Arial"/>
              </w:rPr>
              <w:t>Non-small cell lung cancer (NSCLC)</w:t>
            </w:r>
          </w:p>
        </w:tc>
        <w:tc>
          <w:tcPr>
            <w:tcW w:w="3544" w:type="dxa"/>
            <w:tcMar>
              <w:top w:w="28" w:type="dxa"/>
              <w:bottom w:w="28" w:type="dxa"/>
            </w:tcMar>
          </w:tcPr>
          <w:p w:rsidR="00987FDA" w:rsidRPr="00FE2FD1" w:rsidRDefault="00987FDA" w:rsidP="00E62C78">
            <w:pPr>
              <w:widowControl w:val="0"/>
              <w:rPr>
                <w:rFonts w:ascii="Arial" w:hAnsi="Arial" w:cs="Arial"/>
                <w:iCs/>
              </w:rPr>
            </w:pPr>
            <w:r w:rsidRPr="00FE2FD1">
              <w:rPr>
                <w:rFonts w:ascii="Arial" w:hAnsi="Arial" w:cs="Arial"/>
                <w:snapToGrid w:val="0"/>
                <w:lang w:eastAsia="en-US"/>
              </w:rPr>
              <w:t>A resubmission to request Authority Required listing for treatment of a patient with Anaplastic Lymphoma Kinase (ALK) positive non-small cell lung cancer (NSCLC) who meets certain criteria.</w:t>
            </w:r>
          </w:p>
        </w:tc>
        <w:tc>
          <w:tcPr>
            <w:tcW w:w="6521" w:type="dxa"/>
          </w:tcPr>
          <w:p w:rsidR="00F04A62" w:rsidRPr="00FE2FD1" w:rsidRDefault="00F04A62" w:rsidP="00F04A62">
            <w:pPr>
              <w:pStyle w:val="ListParagraph"/>
              <w:ind w:left="0"/>
              <w:jc w:val="both"/>
              <w:rPr>
                <w:rFonts w:ascii="Arial" w:hAnsi="Arial"/>
                <w:sz w:val="20"/>
                <w:szCs w:val="20"/>
              </w:rPr>
            </w:pPr>
            <w:r w:rsidRPr="00FE2FD1">
              <w:rPr>
                <w:rFonts w:ascii="Arial" w:hAnsi="Arial"/>
                <w:sz w:val="20"/>
                <w:szCs w:val="20"/>
              </w:rPr>
              <w:t>The PBAC again deferred its consideration of crizotinib to ascertain the applicant’s input on the Committee’s proposed approach to achieve acceptable cost-effectiveness and until such time as MSAC decides to support the corresponding MBS listing of ALK in-situ hydridisation (ISH) testing (and any other associated molecular testing advised by MSAC) for patients with NSCLC.</w:t>
            </w:r>
          </w:p>
          <w:p w:rsidR="00987FDA" w:rsidRPr="00FE2FD1" w:rsidRDefault="00987FDA" w:rsidP="00E62C78">
            <w:pPr>
              <w:widowControl w:val="0"/>
              <w:rPr>
                <w:rFonts w:ascii="Arial" w:hAnsi="Arial" w:cs="Arial"/>
                <w:snapToGrid w:val="0"/>
                <w:lang w:eastAsia="en-US"/>
              </w:rPr>
            </w:pPr>
          </w:p>
        </w:tc>
      </w:tr>
      <w:tr w:rsidR="00E62C78" w:rsidRPr="00FE2FD1" w:rsidTr="00526D0A">
        <w:tc>
          <w:tcPr>
            <w:tcW w:w="3119" w:type="dxa"/>
            <w:tcMar>
              <w:top w:w="28" w:type="dxa"/>
              <w:bottom w:w="28" w:type="dxa"/>
            </w:tcMar>
          </w:tcPr>
          <w:p w:rsidR="00E62C78" w:rsidRPr="00FE2FD1" w:rsidRDefault="00E62C78" w:rsidP="00E62C78">
            <w:pPr>
              <w:widowControl w:val="0"/>
              <w:rPr>
                <w:rFonts w:ascii="Arial" w:hAnsi="Arial" w:cs="Arial"/>
                <w:snapToGrid w:val="0"/>
                <w:lang w:eastAsia="en-US"/>
              </w:rPr>
            </w:pPr>
          </w:p>
        </w:tc>
        <w:tc>
          <w:tcPr>
            <w:tcW w:w="2268" w:type="dxa"/>
            <w:tcMar>
              <w:top w:w="28" w:type="dxa"/>
              <w:bottom w:w="28" w:type="dxa"/>
            </w:tcMar>
          </w:tcPr>
          <w:p w:rsidR="00E62C78" w:rsidRPr="00FE2FD1" w:rsidRDefault="00E62C78" w:rsidP="00E62C78">
            <w:pPr>
              <w:widowControl w:val="0"/>
              <w:rPr>
                <w:rFonts w:ascii="Arial" w:hAnsi="Arial" w:cs="Arial"/>
              </w:rPr>
            </w:pPr>
          </w:p>
        </w:tc>
        <w:tc>
          <w:tcPr>
            <w:tcW w:w="3544" w:type="dxa"/>
            <w:tcMar>
              <w:top w:w="28" w:type="dxa"/>
              <w:bottom w:w="28" w:type="dxa"/>
            </w:tcMar>
          </w:tcPr>
          <w:p w:rsidR="00E62C78" w:rsidRPr="00526D0A" w:rsidRDefault="00E62C78" w:rsidP="00526D0A">
            <w:pPr>
              <w:widowControl w:val="0"/>
              <w:jc w:val="right"/>
              <w:rPr>
                <w:rFonts w:ascii="Arial" w:hAnsi="Arial" w:cs="Arial"/>
                <w:snapToGrid w:val="0"/>
                <w:lang w:eastAsia="en-US"/>
              </w:rPr>
            </w:pPr>
            <w:r w:rsidRPr="00526D0A">
              <w:rPr>
                <w:rFonts w:ascii="Arial" w:hAnsi="Arial" w:cs="Arial"/>
                <w:snapToGrid w:val="0"/>
                <w:lang w:eastAsia="en-US"/>
              </w:rPr>
              <w:t>Sponsor Comment:</w:t>
            </w:r>
          </w:p>
        </w:tc>
        <w:tc>
          <w:tcPr>
            <w:tcW w:w="6521" w:type="dxa"/>
            <w:shd w:val="clear" w:color="auto" w:fill="auto"/>
          </w:tcPr>
          <w:p w:rsidR="00E62C78" w:rsidRPr="00526D0A" w:rsidRDefault="00526D0A" w:rsidP="00526D0A">
            <w:pPr>
              <w:rPr>
                <w:rFonts w:ascii="Arial" w:hAnsi="Arial" w:cs="Arial"/>
              </w:rPr>
            </w:pPr>
            <w:r w:rsidRPr="00526D0A">
              <w:rPr>
                <w:rFonts w:ascii="Arial" w:hAnsi="Arial" w:cs="Arial"/>
              </w:rPr>
              <w:t>Pfizer is committed to working with the PBAC to provide access to crizotinib for patients with ALK-positive NSCLC.</w:t>
            </w:r>
          </w:p>
        </w:tc>
      </w:tr>
      <w:tr w:rsidR="00A20B6E" w:rsidRPr="00FE2FD1" w:rsidTr="00A20B6E">
        <w:tc>
          <w:tcPr>
            <w:tcW w:w="3119" w:type="dxa"/>
            <w:shd w:val="clear" w:color="auto" w:fill="auto"/>
            <w:tcMar>
              <w:top w:w="28" w:type="dxa"/>
              <w:bottom w:w="28" w:type="dxa"/>
            </w:tcMar>
          </w:tcPr>
          <w:p w:rsidR="00A20B6E" w:rsidRPr="00FE2FD1" w:rsidRDefault="00A20B6E" w:rsidP="00AE37D3">
            <w:pPr>
              <w:rPr>
                <w:rStyle w:val="st"/>
                <w:rFonts w:ascii="Arial" w:hAnsi="Arial" w:cs="Arial"/>
              </w:rPr>
            </w:pPr>
            <w:r w:rsidRPr="00FE2FD1">
              <w:rPr>
                <w:rStyle w:val="st"/>
                <w:rFonts w:ascii="Arial" w:hAnsi="Arial" w:cs="Arial"/>
              </w:rPr>
              <w:t>PERTUZUMAB, 420 mg/14 mL injection, 1 x 14 mL vial</w:t>
            </w:r>
          </w:p>
          <w:p w:rsidR="00A20B6E" w:rsidRPr="00FE2FD1" w:rsidRDefault="00A20B6E" w:rsidP="00AE37D3">
            <w:pPr>
              <w:rPr>
                <w:rStyle w:val="st"/>
                <w:rFonts w:ascii="Arial" w:hAnsi="Arial" w:cs="Arial"/>
              </w:rPr>
            </w:pPr>
          </w:p>
          <w:p w:rsidR="00A20B6E" w:rsidRPr="00FE2FD1" w:rsidRDefault="00A20B6E" w:rsidP="00AE37D3">
            <w:pPr>
              <w:rPr>
                <w:rStyle w:val="st"/>
                <w:rFonts w:ascii="Arial" w:hAnsi="Arial" w:cs="Arial"/>
              </w:rPr>
            </w:pPr>
            <w:r w:rsidRPr="00FE2FD1">
              <w:rPr>
                <w:rStyle w:val="st"/>
                <w:rFonts w:ascii="Arial" w:hAnsi="Arial" w:cs="Arial"/>
              </w:rPr>
              <w:t>Perjeta</w:t>
            </w:r>
            <w:r w:rsidRPr="00FE2FD1">
              <w:rPr>
                <w:rStyle w:val="st"/>
                <w:rFonts w:ascii="Arial" w:hAnsi="Arial" w:cs="Arial"/>
                <w:vertAlign w:val="superscript"/>
              </w:rPr>
              <w:t>®</w:t>
            </w:r>
          </w:p>
          <w:p w:rsidR="00A20B6E" w:rsidRPr="00FE2FD1" w:rsidRDefault="00A20B6E" w:rsidP="00AE37D3">
            <w:pPr>
              <w:rPr>
                <w:rStyle w:val="st"/>
                <w:rFonts w:ascii="Arial" w:hAnsi="Arial" w:cs="Arial"/>
              </w:rPr>
            </w:pPr>
          </w:p>
          <w:p w:rsidR="00A20B6E" w:rsidRPr="00FE2FD1" w:rsidRDefault="00A20B6E" w:rsidP="00AE37D3">
            <w:pPr>
              <w:rPr>
                <w:rStyle w:val="st"/>
                <w:rFonts w:ascii="Arial" w:hAnsi="Arial" w:cs="Arial"/>
              </w:rPr>
            </w:pPr>
            <w:r w:rsidRPr="00FE2FD1">
              <w:rPr>
                <w:rFonts w:ascii="Arial" w:hAnsi="Arial" w:cs="Arial"/>
              </w:rPr>
              <w:t>Roche Products Pty Limited</w:t>
            </w:r>
          </w:p>
        </w:tc>
        <w:tc>
          <w:tcPr>
            <w:tcW w:w="2268" w:type="dxa"/>
            <w:shd w:val="clear" w:color="auto" w:fill="auto"/>
            <w:tcMar>
              <w:top w:w="28" w:type="dxa"/>
              <w:bottom w:w="28" w:type="dxa"/>
            </w:tcMar>
          </w:tcPr>
          <w:p w:rsidR="00A20B6E" w:rsidRPr="00FE2FD1" w:rsidRDefault="00A20B6E" w:rsidP="00AE37D3">
            <w:pPr>
              <w:widowControl w:val="0"/>
              <w:rPr>
                <w:rFonts w:ascii="Arial" w:hAnsi="Arial" w:cs="Arial"/>
              </w:rPr>
            </w:pPr>
            <w:r w:rsidRPr="00FE2FD1">
              <w:rPr>
                <w:rFonts w:ascii="Arial" w:hAnsi="Arial" w:cs="Arial"/>
              </w:rPr>
              <w:t>Breast Cancer</w:t>
            </w:r>
          </w:p>
        </w:tc>
        <w:tc>
          <w:tcPr>
            <w:tcW w:w="3544" w:type="dxa"/>
            <w:shd w:val="clear" w:color="auto" w:fill="auto"/>
            <w:tcMar>
              <w:top w:w="28" w:type="dxa"/>
              <w:bottom w:w="28" w:type="dxa"/>
            </w:tcMar>
          </w:tcPr>
          <w:p w:rsidR="00A20B6E" w:rsidRPr="00FE2FD1" w:rsidRDefault="00A20B6E" w:rsidP="00AE37D3">
            <w:pPr>
              <w:rPr>
                <w:rFonts w:ascii="Arial" w:hAnsi="Arial" w:cs="Arial"/>
                <w:iCs/>
              </w:rPr>
            </w:pPr>
            <w:r w:rsidRPr="00FE2FD1">
              <w:rPr>
                <w:rFonts w:ascii="Arial" w:hAnsi="Arial" w:cs="Arial"/>
                <w:iCs/>
              </w:rPr>
              <w:t>To request Section 100 (Efficient Funding of Chemotherapy) Authority Required listing of pertuzumab for use in combination with trastuzumab and docetaxel for the treatment of patients with HER2 positive metastatic breast cancer who have not received prior anti-HER2 therapy or chemotherapy for metastatic disease.</w:t>
            </w:r>
          </w:p>
        </w:tc>
        <w:tc>
          <w:tcPr>
            <w:tcW w:w="6521" w:type="dxa"/>
            <w:shd w:val="clear" w:color="auto" w:fill="auto"/>
          </w:tcPr>
          <w:p w:rsidR="00A20B6E" w:rsidRPr="00FE2FD1" w:rsidRDefault="00A20B6E" w:rsidP="00AE37D3">
            <w:pPr>
              <w:rPr>
                <w:rFonts w:ascii="Arial" w:hAnsi="Arial" w:cs="Arial"/>
                <w:iCs/>
              </w:rPr>
            </w:pPr>
            <w:r w:rsidRPr="006D77DA">
              <w:rPr>
                <w:rFonts w:ascii="Arial" w:hAnsi="Arial"/>
              </w:rPr>
              <w:t xml:space="preserve">The PBAC deferred making a recommendation on listing </w:t>
            </w:r>
            <w:r>
              <w:rPr>
                <w:rFonts w:ascii="Arial" w:hAnsi="Arial"/>
              </w:rPr>
              <w:t>pertuzumab</w:t>
            </w:r>
            <w:r w:rsidRPr="006D77DA">
              <w:rPr>
                <w:rFonts w:ascii="Arial" w:hAnsi="Arial"/>
              </w:rPr>
              <w:t xml:space="preserve"> to enable it to first consider, establish and accept the cost-effectiveness of trastuzumab for the treatment of metastatic breast cancer, before making a judgement on the cost-effectiveness of all HER2 blocking medicines in metastatic breast cancer, including </w:t>
            </w:r>
            <w:r>
              <w:rPr>
                <w:rFonts w:ascii="Arial" w:hAnsi="Arial"/>
              </w:rPr>
              <w:t>pertuzumab</w:t>
            </w:r>
            <w:r w:rsidRPr="006D77DA">
              <w:rPr>
                <w:rFonts w:ascii="Arial" w:hAnsi="Arial"/>
              </w:rPr>
              <w:t>.</w:t>
            </w:r>
          </w:p>
        </w:tc>
      </w:tr>
      <w:tr w:rsidR="00A20B6E" w:rsidRPr="00FE2FD1" w:rsidTr="00A20B6E">
        <w:tc>
          <w:tcPr>
            <w:tcW w:w="3119" w:type="dxa"/>
            <w:shd w:val="clear" w:color="auto" w:fill="auto"/>
            <w:tcMar>
              <w:top w:w="28" w:type="dxa"/>
              <w:bottom w:w="28" w:type="dxa"/>
            </w:tcMar>
          </w:tcPr>
          <w:p w:rsidR="00A20B6E" w:rsidRPr="00FE2FD1" w:rsidRDefault="00A20B6E" w:rsidP="00AE37D3">
            <w:pPr>
              <w:rPr>
                <w:rStyle w:val="st"/>
                <w:rFonts w:ascii="Arial" w:hAnsi="Arial" w:cs="Arial"/>
              </w:rPr>
            </w:pPr>
          </w:p>
        </w:tc>
        <w:tc>
          <w:tcPr>
            <w:tcW w:w="2268" w:type="dxa"/>
            <w:shd w:val="clear" w:color="auto" w:fill="auto"/>
            <w:tcMar>
              <w:top w:w="28" w:type="dxa"/>
              <w:bottom w:w="28" w:type="dxa"/>
            </w:tcMar>
          </w:tcPr>
          <w:p w:rsidR="00A20B6E" w:rsidRPr="00FE2FD1" w:rsidRDefault="00A20B6E" w:rsidP="00AE37D3">
            <w:pPr>
              <w:widowControl w:val="0"/>
              <w:rPr>
                <w:rFonts w:ascii="Arial" w:hAnsi="Arial" w:cs="Arial"/>
              </w:rPr>
            </w:pPr>
          </w:p>
        </w:tc>
        <w:tc>
          <w:tcPr>
            <w:tcW w:w="3544" w:type="dxa"/>
            <w:shd w:val="clear" w:color="auto" w:fill="auto"/>
            <w:tcMar>
              <w:top w:w="28" w:type="dxa"/>
              <w:bottom w:w="28" w:type="dxa"/>
            </w:tcMar>
          </w:tcPr>
          <w:p w:rsidR="00A20B6E" w:rsidRPr="00FE2FD1" w:rsidRDefault="00A20B6E" w:rsidP="00AE37D3">
            <w:pPr>
              <w:jc w:val="right"/>
              <w:rPr>
                <w:rFonts w:ascii="Arial" w:hAnsi="Arial" w:cs="Arial"/>
                <w:iCs/>
              </w:rPr>
            </w:pPr>
            <w:r w:rsidRPr="00FE2FD1">
              <w:rPr>
                <w:rFonts w:ascii="Arial" w:hAnsi="Arial" w:cs="Arial"/>
                <w:snapToGrid w:val="0"/>
                <w:lang w:eastAsia="en-US"/>
              </w:rPr>
              <w:t>Sponsor Comment:</w:t>
            </w:r>
          </w:p>
        </w:tc>
        <w:tc>
          <w:tcPr>
            <w:tcW w:w="6521" w:type="dxa"/>
            <w:shd w:val="clear" w:color="auto" w:fill="auto"/>
          </w:tcPr>
          <w:p w:rsidR="00A20B6E" w:rsidRPr="00FE2FD1" w:rsidRDefault="00A20B6E" w:rsidP="00AE37D3">
            <w:pPr>
              <w:rPr>
                <w:rFonts w:ascii="Arial" w:hAnsi="Arial" w:cs="Arial"/>
                <w:iCs/>
              </w:rPr>
            </w:pPr>
            <w:r>
              <w:rPr>
                <w:rFonts w:ascii="Arial" w:hAnsi="Arial" w:cs="Arial"/>
                <w:iCs/>
              </w:rPr>
              <w:t>The sponsor needs to clarify the decision with the PBAC.</w:t>
            </w:r>
          </w:p>
        </w:tc>
      </w:tr>
      <w:tr w:rsidR="00A23E0C" w:rsidRPr="00FE2FD1" w:rsidTr="00E62C78">
        <w:tc>
          <w:tcPr>
            <w:tcW w:w="3119" w:type="dxa"/>
            <w:tcMar>
              <w:top w:w="28" w:type="dxa"/>
              <w:bottom w:w="28" w:type="dxa"/>
            </w:tcMar>
          </w:tcPr>
          <w:p w:rsidR="00657E80" w:rsidRPr="00FE2FD1" w:rsidRDefault="00657E80" w:rsidP="00E62C78">
            <w:pPr>
              <w:widowControl w:val="0"/>
              <w:rPr>
                <w:rFonts w:ascii="Arial" w:hAnsi="Arial" w:cs="Arial"/>
                <w:snapToGrid w:val="0"/>
                <w:lang w:eastAsia="en-US"/>
              </w:rPr>
            </w:pPr>
            <w:r w:rsidRPr="00FE2FD1">
              <w:rPr>
                <w:rFonts w:ascii="Arial" w:hAnsi="Arial" w:cs="Arial"/>
                <w:snapToGrid w:val="0"/>
                <w:lang w:eastAsia="en-US"/>
              </w:rPr>
              <w:t>RANIBIZUMAB, 2.3 mg/0.23 mL, 1 x 0.23 mL vial</w:t>
            </w:r>
          </w:p>
          <w:p w:rsidR="00657E80" w:rsidRPr="00FE2FD1" w:rsidRDefault="00657E80" w:rsidP="00E62C78">
            <w:pPr>
              <w:rPr>
                <w:rFonts w:ascii="Arial" w:hAnsi="Arial" w:cs="Arial"/>
                <w:snapToGrid w:val="0"/>
                <w:lang w:eastAsia="en-US"/>
              </w:rPr>
            </w:pPr>
          </w:p>
          <w:p w:rsidR="00657E80" w:rsidRPr="00FE2FD1" w:rsidRDefault="00657E80" w:rsidP="00E62C78">
            <w:pPr>
              <w:widowControl w:val="0"/>
              <w:rPr>
                <w:rFonts w:ascii="Arial" w:hAnsi="Arial" w:cs="Arial"/>
                <w:snapToGrid w:val="0"/>
                <w:lang w:eastAsia="en-US"/>
              </w:rPr>
            </w:pPr>
            <w:r w:rsidRPr="00FE2FD1">
              <w:rPr>
                <w:rFonts w:ascii="Arial" w:hAnsi="Arial" w:cs="Arial"/>
                <w:snapToGrid w:val="0"/>
                <w:lang w:eastAsia="en-US"/>
              </w:rPr>
              <w:t>Lucentis</w:t>
            </w:r>
            <w:r w:rsidRPr="00FE2FD1">
              <w:rPr>
                <w:rFonts w:ascii="Arial" w:hAnsi="Arial" w:cs="Arial"/>
                <w:snapToGrid w:val="0"/>
                <w:vertAlign w:val="superscript"/>
                <w:lang w:eastAsia="en-US"/>
              </w:rPr>
              <w:t>®</w:t>
            </w:r>
          </w:p>
          <w:p w:rsidR="00657E80" w:rsidRPr="00FE2FD1" w:rsidRDefault="00657E80" w:rsidP="00E62C78">
            <w:pPr>
              <w:rPr>
                <w:rFonts w:ascii="Arial" w:hAnsi="Arial" w:cs="Arial"/>
                <w:snapToGrid w:val="0"/>
                <w:lang w:eastAsia="en-US"/>
              </w:rPr>
            </w:pPr>
          </w:p>
          <w:p w:rsidR="00657E80" w:rsidRPr="00FE2FD1" w:rsidRDefault="00657E80" w:rsidP="00E62C78">
            <w:pPr>
              <w:rPr>
                <w:rStyle w:val="st"/>
                <w:rFonts w:ascii="Arial" w:hAnsi="Arial" w:cs="Arial"/>
              </w:rPr>
            </w:pPr>
            <w:r w:rsidRPr="00FE2FD1">
              <w:rPr>
                <w:rFonts w:ascii="Arial" w:hAnsi="Arial" w:cs="Arial"/>
                <w:snapToGrid w:val="0"/>
                <w:lang w:eastAsia="en-US"/>
              </w:rPr>
              <w:t>Novartis Pharmaceuticals Australia Pty Ltd</w:t>
            </w:r>
          </w:p>
        </w:tc>
        <w:tc>
          <w:tcPr>
            <w:tcW w:w="2268" w:type="dxa"/>
            <w:tcMar>
              <w:top w:w="28" w:type="dxa"/>
              <w:bottom w:w="28" w:type="dxa"/>
            </w:tcMar>
          </w:tcPr>
          <w:p w:rsidR="00657E80" w:rsidRPr="00FE2FD1" w:rsidRDefault="00657E80" w:rsidP="00E62C78">
            <w:pPr>
              <w:widowControl w:val="0"/>
              <w:rPr>
                <w:rFonts w:ascii="Arial" w:hAnsi="Arial" w:cs="Arial"/>
              </w:rPr>
            </w:pPr>
            <w:r w:rsidRPr="00FE2FD1">
              <w:rPr>
                <w:rFonts w:ascii="Arial" w:hAnsi="Arial" w:cs="Arial"/>
              </w:rPr>
              <w:t>Visual impairment due to diabetic macular oedema and macular oedema secondary to retinal vein occlusion.</w:t>
            </w:r>
          </w:p>
        </w:tc>
        <w:tc>
          <w:tcPr>
            <w:tcW w:w="3544" w:type="dxa"/>
            <w:tcMar>
              <w:top w:w="28" w:type="dxa"/>
              <w:bottom w:w="28" w:type="dxa"/>
            </w:tcMar>
          </w:tcPr>
          <w:p w:rsidR="00657E80" w:rsidRPr="00FE2FD1" w:rsidRDefault="00657E80" w:rsidP="00E62C78">
            <w:pPr>
              <w:widowControl w:val="0"/>
              <w:rPr>
                <w:rFonts w:ascii="Arial" w:hAnsi="Arial" w:cs="Arial"/>
                <w:iCs/>
              </w:rPr>
            </w:pPr>
            <w:r w:rsidRPr="00FE2FD1">
              <w:rPr>
                <w:rFonts w:ascii="Arial" w:hAnsi="Arial" w:cs="Arial"/>
                <w:snapToGrid w:val="0"/>
                <w:lang w:eastAsia="en-US"/>
              </w:rPr>
              <w:t>Resubmission addressing concerns raised by the PBAC at its November 2013 meeting for the treatment of visual impairment due to diabetic macular oedema (DME) and macular oedema secondary to retinal vein occlusion (RVO).</w:t>
            </w:r>
          </w:p>
        </w:tc>
        <w:tc>
          <w:tcPr>
            <w:tcW w:w="6521" w:type="dxa"/>
          </w:tcPr>
          <w:p w:rsidR="00657E80" w:rsidRPr="00FE2FD1" w:rsidRDefault="00657E80" w:rsidP="00E62C78">
            <w:pPr>
              <w:pStyle w:val="ListParagraph"/>
              <w:ind w:left="0"/>
              <w:jc w:val="both"/>
              <w:rPr>
                <w:rFonts w:ascii="Arial" w:hAnsi="Arial" w:cs="Arial"/>
                <w:sz w:val="20"/>
                <w:szCs w:val="20"/>
              </w:rPr>
            </w:pPr>
            <w:r w:rsidRPr="00FE2FD1">
              <w:rPr>
                <w:rFonts w:ascii="Arial" w:hAnsi="Arial" w:cs="Arial"/>
                <w:sz w:val="20"/>
                <w:szCs w:val="20"/>
              </w:rPr>
              <w:t>The PBAC considered that compounded bevacizumab was a relevant comparator because evidence of its current use in patients who would be eligible for PBS-subsidised ranibizumab. In the event of a PBS listing for ranibizumab for the treatment of DME and RVO, prescribers would replace compounded bevacizumab with ranibizumab.</w:t>
            </w:r>
          </w:p>
          <w:p w:rsidR="00657E80" w:rsidRPr="00FE2FD1" w:rsidRDefault="00657E80" w:rsidP="00E62C78">
            <w:pPr>
              <w:jc w:val="both"/>
              <w:rPr>
                <w:rFonts w:ascii="Arial" w:hAnsi="Arial" w:cs="Arial"/>
              </w:rPr>
            </w:pPr>
          </w:p>
          <w:p w:rsidR="00657E80" w:rsidRPr="00FE2FD1" w:rsidRDefault="00657E80" w:rsidP="00E62C78">
            <w:pPr>
              <w:pStyle w:val="ListParagraph"/>
              <w:ind w:left="0"/>
              <w:jc w:val="both"/>
              <w:rPr>
                <w:rFonts w:ascii="Arial" w:hAnsi="Arial" w:cs="Arial"/>
                <w:sz w:val="20"/>
                <w:szCs w:val="20"/>
              </w:rPr>
            </w:pPr>
            <w:r w:rsidRPr="00FE2FD1">
              <w:rPr>
                <w:rFonts w:ascii="Arial" w:hAnsi="Arial" w:cs="Arial"/>
                <w:sz w:val="20"/>
                <w:szCs w:val="20"/>
              </w:rPr>
              <w:t>The PBAC noted Departmental advice that, if compounded bevacizumab were to be considered for PBS listing, its pricing for PBS purposes would most likely reflect the approach to pricing already applied to bevacizumab as an oncology medicine through the Efficient Funding of Chemotherapy Program.</w:t>
            </w:r>
          </w:p>
          <w:p w:rsidR="00657E80" w:rsidRPr="00FE2FD1" w:rsidRDefault="00657E80" w:rsidP="00E62C78">
            <w:pPr>
              <w:rPr>
                <w:rFonts w:ascii="Arial" w:hAnsi="Arial" w:cs="Arial"/>
              </w:rPr>
            </w:pPr>
          </w:p>
          <w:p w:rsidR="00657E80" w:rsidRPr="00FE2FD1" w:rsidRDefault="00657E80" w:rsidP="00E62C78">
            <w:pPr>
              <w:pStyle w:val="ListParagraph"/>
              <w:ind w:left="0"/>
              <w:jc w:val="both"/>
              <w:rPr>
                <w:rFonts w:ascii="Arial" w:hAnsi="Arial" w:cs="Arial"/>
                <w:sz w:val="20"/>
                <w:szCs w:val="20"/>
              </w:rPr>
            </w:pPr>
            <w:r w:rsidRPr="00FE2FD1">
              <w:rPr>
                <w:rFonts w:ascii="Arial" w:hAnsi="Arial" w:cs="Arial"/>
                <w:sz w:val="20"/>
                <w:szCs w:val="20"/>
              </w:rPr>
              <w:t>The PBAC considered that the presented evidence supported a claim of equivalent effectiveness, but the PBAC would prefer a more robust basis for assessing the comparative effectiveness and safety of ranibizumab and bevacizumab.</w:t>
            </w:r>
          </w:p>
          <w:p w:rsidR="00657E80" w:rsidRPr="00FE2FD1" w:rsidRDefault="00657E80" w:rsidP="00E62C78">
            <w:pPr>
              <w:rPr>
                <w:rFonts w:ascii="Arial" w:hAnsi="Arial" w:cs="Arial"/>
              </w:rPr>
            </w:pPr>
          </w:p>
          <w:p w:rsidR="00657E80" w:rsidRPr="00FE2FD1" w:rsidRDefault="00657E80" w:rsidP="00E62C78">
            <w:pPr>
              <w:pStyle w:val="ListParagraph"/>
              <w:ind w:left="0"/>
              <w:jc w:val="both"/>
              <w:rPr>
                <w:rFonts w:ascii="Arial" w:hAnsi="Arial" w:cs="Arial"/>
                <w:sz w:val="20"/>
                <w:szCs w:val="20"/>
              </w:rPr>
            </w:pPr>
            <w:r w:rsidRPr="00FE2FD1">
              <w:rPr>
                <w:rFonts w:ascii="Arial" w:hAnsi="Arial" w:cs="Arial"/>
                <w:sz w:val="20"/>
                <w:szCs w:val="20"/>
              </w:rPr>
              <w:lastRenderedPageBreak/>
              <w:t>The PBAC considered that a comprehensive review of the comparative effectiveness and safety of ranibizumab and bevacizumab would be informative.</w:t>
            </w:r>
          </w:p>
          <w:p w:rsidR="00657E80" w:rsidRPr="00FE2FD1" w:rsidRDefault="00657E80" w:rsidP="00E62C78">
            <w:pPr>
              <w:rPr>
                <w:rFonts w:ascii="Arial" w:hAnsi="Arial" w:cs="Arial"/>
              </w:rPr>
            </w:pPr>
          </w:p>
          <w:p w:rsidR="00657E80" w:rsidRPr="00FE2FD1" w:rsidRDefault="00657E80" w:rsidP="00E62C78">
            <w:pPr>
              <w:pStyle w:val="ListParagraph"/>
              <w:ind w:left="0"/>
              <w:jc w:val="both"/>
              <w:rPr>
                <w:rFonts w:ascii="Arial" w:hAnsi="Arial" w:cs="Arial"/>
                <w:sz w:val="20"/>
                <w:szCs w:val="20"/>
              </w:rPr>
            </w:pPr>
            <w:r w:rsidRPr="00FE2FD1">
              <w:rPr>
                <w:rFonts w:ascii="Arial" w:hAnsi="Arial" w:cs="Arial"/>
                <w:sz w:val="20"/>
                <w:szCs w:val="20"/>
              </w:rPr>
              <w:t>The PBAC noted that there are currently many trials either ongoing, or expected to begin enrolling in the near future, which would be applicable to this submission. The PBAC considered that these forthcoming trials may be of relevance and could provide a stronger evidence base.</w:t>
            </w:r>
          </w:p>
          <w:p w:rsidR="00657E80" w:rsidRPr="00FE2FD1" w:rsidRDefault="00657E80" w:rsidP="00E62C78">
            <w:pPr>
              <w:rPr>
                <w:rFonts w:ascii="Arial" w:hAnsi="Arial" w:cs="Arial"/>
              </w:rPr>
            </w:pPr>
          </w:p>
          <w:p w:rsidR="00657E80" w:rsidRPr="00FE2FD1" w:rsidRDefault="00657E80" w:rsidP="00E62C78">
            <w:pPr>
              <w:pStyle w:val="ListParagraph"/>
              <w:ind w:left="0"/>
              <w:jc w:val="both"/>
              <w:rPr>
                <w:rFonts w:ascii="Arial" w:hAnsi="Arial" w:cs="Arial"/>
                <w:sz w:val="20"/>
                <w:szCs w:val="20"/>
              </w:rPr>
            </w:pPr>
            <w:r w:rsidRPr="00FE2FD1">
              <w:rPr>
                <w:rFonts w:ascii="Arial" w:hAnsi="Arial" w:cs="Arial"/>
                <w:sz w:val="20"/>
                <w:szCs w:val="20"/>
              </w:rPr>
              <w:t>The PBAC noted the price reduction offered in the submission, but also noted the previously identified issues with the utilities in the modelled economic evaluation had not been rectified in this resubmission. The PBAC did not consider the price reduction sufficient to offset its concerns regarding the economic model. Therefore the PBAC considered it appropriate to continue its deferral from November 2013.</w:t>
            </w:r>
          </w:p>
        </w:tc>
      </w:tr>
      <w:tr w:rsidR="00A23E0C" w:rsidRPr="00FE2FD1" w:rsidTr="00FE2FD1">
        <w:tc>
          <w:tcPr>
            <w:tcW w:w="3119" w:type="dxa"/>
            <w:tcMar>
              <w:top w:w="28" w:type="dxa"/>
              <w:bottom w:w="28" w:type="dxa"/>
            </w:tcMar>
          </w:tcPr>
          <w:p w:rsidR="00A23E0C" w:rsidRPr="00FE2FD1" w:rsidRDefault="00A23E0C" w:rsidP="00E62C78">
            <w:pPr>
              <w:widowControl w:val="0"/>
              <w:rPr>
                <w:rFonts w:ascii="Arial" w:hAnsi="Arial" w:cs="Arial"/>
                <w:snapToGrid w:val="0"/>
                <w:lang w:eastAsia="en-US"/>
              </w:rPr>
            </w:pPr>
          </w:p>
        </w:tc>
        <w:tc>
          <w:tcPr>
            <w:tcW w:w="2268" w:type="dxa"/>
            <w:tcMar>
              <w:top w:w="28" w:type="dxa"/>
              <w:bottom w:w="28" w:type="dxa"/>
            </w:tcMar>
          </w:tcPr>
          <w:p w:rsidR="00A23E0C" w:rsidRPr="00FE2FD1" w:rsidRDefault="00A23E0C" w:rsidP="00E62C78">
            <w:pPr>
              <w:widowControl w:val="0"/>
              <w:rPr>
                <w:rFonts w:ascii="Arial" w:hAnsi="Arial" w:cs="Arial"/>
              </w:rPr>
            </w:pPr>
          </w:p>
        </w:tc>
        <w:tc>
          <w:tcPr>
            <w:tcW w:w="3544" w:type="dxa"/>
            <w:tcMar>
              <w:top w:w="28" w:type="dxa"/>
              <w:bottom w:w="28" w:type="dxa"/>
            </w:tcMar>
          </w:tcPr>
          <w:p w:rsidR="00A23E0C" w:rsidRPr="00FE2FD1" w:rsidRDefault="00A23E0C" w:rsidP="00FE2FD1">
            <w:pPr>
              <w:widowControl w:val="0"/>
              <w:jc w:val="right"/>
              <w:rPr>
                <w:rFonts w:ascii="Arial" w:hAnsi="Arial" w:cs="Arial"/>
                <w:snapToGrid w:val="0"/>
                <w:lang w:eastAsia="en-US"/>
              </w:rPr>
            </w:pPr>
            <w:r w:rsidRPr="00FE2FD1">
              <w:rPr>
                <w:rFonts w:ascii="Arial" w:hAnsi="Arial" w:cs="Arial"/>
                <w:snapToGrid w:val="0"/>
                <w:lang w:eastAsia="en-US"/>
              </w:rPr>
              <w:t>Sponsor Comment:</w:t>
            </w:r>
          </w:p>
        </w:tc>
        <w:tc>
          <w:tcPr>
            <w:tcW w:w="6521" w:type="dxa"/>
          </w:tcPr>
          <w:p w:rsidR="00A23E0C" w:rsidRPr="00FE2FD1" w:rsidRDefault="00A23E0C" w:rsidP="00E62C78">
            <w:pPr>
              <w:rPr>
                <w:rFonts w:ascii="Arial" w:hAnsi="Arial" w:cs="Arial"/>
              </w:rPr>
            </w:pPr>
            <w:r w:rsidRPr="00FE2FD1">
              <w:rPr>
                <w:rFonts w:ascii="Arial" w:hAnsi="Arial" w:cs="Arial"/>
                <w:iCs/>
              </w:rPr>
              <w:t>Novartis disagrees with the decision to utilise an off-label comparator in evaluating the value of ranibizumab for DME and RVO. Novartis is seeking advice regarding this decision and re-evaluating future courses of action.</w:t>
            </w:r>
          </w:p>
        </w:tc>
      </w:tr>
      <w:tr w:rsidR="00A20B6E" w:rsidRPr="00FE2FD1" w:rsidTr="00A20B6E">
        <w:tc>
          <w:tcPr>
            <w:tcW w:w="3119" w:type="dxa"/>
            <w:shd w:val="clear" w:color="auto" w:fill="auto"/>
            <w:tcMar>
              <w:top w:w="28" w:type="dxa"/>
              <w:bottom w:w="28" w:type="dxa"/>
            </w:tcMar>
          </w:tcPr>
          <w:p w:rsidR="00A20B6E" w:rsidRPr="00FE2FD1" w:rsidRDefault="00A20B6E" w:rsidP="00AE37D3">
            <w:pPr>
              <w:rPr>
                <w:rStyle w:val="st"/>
                <w:rFonts w:ascii="Arial" w:hAnsi="Arial" w:cs="Arial"/>
              </w:rPr>
            </w:pPr>
            <w:r w:rsidRPr="00FE2FD1">
              <w:rPr>
                <w:rStyle w:val="st"/>
                <w:rFonts w:ascii="Arial" w:hAnsi="Arial" w:cs="Arial"/>
              </w:rPr>
              <w:t>TRASTUZUMAB EMTANSINE, 100 mg injection, 1 x 100 mg vial and 160 mg injection, 1 x 160 mg vial</w:t>
            </w:r>
          </w:p>
          <w:p w:rsidR="00A20B6E" w:rsidRPr="00FE2FD1" w:rsidRDefault="00A20B6E" w:rsidP="00AE37D3">
            <w:pPr>
              <w:rPr>
                <w:rStyle w:val="st"/>
                <w:rFonts w:ascii="Arial" w:hAnsi="Arial" w:cs="Arial"/>
              </w:rPr>
            </w:pPr>
          </w:p>
          <w:p w:rsidR="00A20B6E" w:rsidRPr="00FE2FD1" w:rsidRDefault="00A20B6E" w:rsidP="00AE37D3">
            <w:pPr>
              <w:rPr>
                <w:rStyle w:val="st"/>
                <w:rFonts w:ascii="Arial" w:hAnsi="Arial" w:cs="Arial"/>
                <w:vertAlign w:val="superscript"/>
              </w:rPr>
            </w:pPr>
            <w:r w:rsidRPr="00FE2FD1">
              <w:rPr>
                <w:rStyle w:val="st"/>
                <w:rFonts w:ascii="Arial" w:hAnsi="Arial" w:cs="Arial"/>
              </w:rPr>
              <w:t>Kadcyla</w:t>
            </w:r>
            <w:r w:rsidRPr="00FE2FD1">
              <w:rPr>
                <w:rStyle w:val="st"/>
                <w:rFonts w:ascii="Arial" w:hAnsi="Arial" w:cs="Arial"/>
                <w:vertAlign w:val="superscript"/>
              </w:rPr>
              <w:t>®</w:t>
            </w:r>
          </w:p>
          <w:p w:rsidR="00A20B6E" w:rsidRPr="00FE2FD1" w:rsidRDefault="00A20B6E" w:rsidP="00AE37D3">
            <w:pPr>
              <w:rPr>
                <w:rStyle w:val="st"/>
                <w:rFonts w:ascii="Arial" w:hAnsi="Arial" w:cs="Arial"/>
              </w:rPr>
            </w:pPr>
          </w:p>
          <w:p w:rsidR="00A20B6E" w:rsidRPr="00FE2FD1" w:rsidRDefault="00A20B6E" w:rsidP="00AE37D3">
            <w:pPr>
              <w:rPr>
                <w:rStyle w:val="st"/>
                <w:rFonts w:ascii="Arial" w:hAnsi="Arial" w:cs="Arial"/>
              </w:rPr>
            </w:pPr>
            <w:r w:rsidRPr="00FE2FD1">
              <w:rPr>
                <w:rFonts w:ascii="Arial" w:hAnsi="Arial" w:cs="Arial"/>
              </w:rPr>
              <w:t>Roche Products Pty Limited</w:t>
            </w:r>
          </w:p>
        </w:tc>
        <w:tc>
          <w:tcPr>
            <w:tcW w:w="2268" w:type="dxa"/>
            <w:shd w:val="clear" w:color="auto" w:fill="auto"/>
            <w:tcMar>
              <w:top w:w="28" w:type="dxa"/>
              <w:bottom w:w="28" w:type="dxa"/>
            </w:tcMar>
          </w:tcPr>
          <w:p w:rsidR="00A20B6E" w:rsidRPr="00FE2FD1" w:rsidRDefault="00A20B6E" w:rsidP="00AE37D3">
            <w:pPr>
              <w:widowControl w:val="0"/>
              <w:rPr>
                <w:rFonts w:ascii="Arial" w:hAnsi="Arial" w:cs="Arial"/>
              </w:rPr>
            </w:pPr>
            <w:r w:rsidRPr="00FE2FD1">
              <w:rPr>
                <w:rFonts w:ascii="Arial" w:hAnsi="Arial" w:cs="Arial"/>
              </w:rPr>
              <w:t>Breast Cancer</w:t>
            </w:r>
          </w:p>
        </w:tc>
        <w:tc>
          <w:tcPr>
            <w:tcW w:w="3544" w:type="dxa"/>
            <w:shd w:val="clear" w:color="auto" w:fill="auto"/>
            <w:tcMar>
              <w:top w:w="28" w:type="dxa"/>
              <w:bottom w:w="28" w:type="dxa"/>
            </w:tcMar>
          </w:tcPr>
          <w:p w:rsidR="00A20B6E" w:rsidRPr="00FE2FD1" w:rsidRDefault="00A20B6E" w:rsidP="00AE37D3">
            <w:pPr>
              <w:rPr>
                <w:rFonts w:ascii="Arial" w:hAnsi="Arial" w:cs="Arial"/>
                <w:iCs/>
              </w:rPr>
            </w:pPr>
            <w:r w:rsidRPr="00FE2FD1">
              <w:rPr>
                <w:rFonts w:ascii="Arial" w:hAnsi="Arial" w:cs="Arial"/>
                <w:iCs/>
              </w:rPr>
              <w:t>The resubmission requests a Section 100 (Efficient Funding of Chemotherapy Drugs program) Authority Required listing for the treatment of patients with HER2 positive metastatic breast cancer (stage IV) who have received prior therapy with trastuzumab and a taxane who meet certain criteria.</w:t>
            </w:r>
          </w:p>
        </w:tc>
        <w:tc>
          <w:tcPr>
            <w:tcW w:w="6521" w:type="dxa"/>
            <w:shd w:val="clear" w:color="auto" w:fill="auto"/>
          </w:tcPr>
          <w:p w:rsidR="00A20B6E" w:rsidRPr="00FE2FD1" w:rsidRDefault="00A20B6E" w:rsidP="00AE37D3">
            <w:pPr>
              <w:rPr>
                <w:rFonts w:ascii="Arial" w:hAnsi="Arial" w:cs="Arial"/>
                <w:iCs/>
              </w:rPr>
            </w:pPr>
            <w:r w:rsidRPr="006D77DA">
              <w:rPr>
                <w:rFonts w:ascii="Arial" w:hAnsi="Arial"/>
              </w:rPr>
              <w:t>The PBAC deferred making a recommendation on listing trastuzumab emtansine to enable it to first consider, establish and accept the cost-effectiveness of trastuzumab for the treatment of metastatic breast cancer, before making a judgement on the cost-effectiveness of all HER2 blocking medicines in metastatic breast cancer, including trastuzumab emtansine.</w:t>
            </w:r>
          </w:p>
        </w:tc>
      </w:tr>
      <w:tr w:rsidR="00A20B6E" w:rsidRPr="00FE2FD1" w:rsidTr="00A20B6E">
        <w:tc>
          <w:tcPr>
            <w:tcW w:w="3119" w:type="dxa"/>
            <w:shd w:val="clear" w:color="auto" w:fill="auto"/>
            <w:tcMar>
              <w:top w:w="28" w:type="dxa"/>
              <w:bottom w:w="28" w:type="dxa"/>
            </w:tcMar>
          </w:tcPr>
          <w:p w:rsidR="00A20B6E" w:rsidRPr="00FE2FD1" w:rsidRDefault="00A20B6E" w:rsidP="00AE37D3">
            <w:pPr>
              <w:rPr>
                <w:rStyle w:val="st"/>
                <w:rFonts w:ascii="Arial" w:hAnsi="Arial" w:cs="Arial"/>
              </w:rPr>
            </w:pPr>
          </w:p>
        </w:tc>
        <w:tc>
          <w:tcPr>
            <w:tcW w:w="2268" w:type="dxa"/>
            <w:shd w:val="clear" w:color="auto" w:fill="auto"/>
            <w:tcMar>
              <w:top w:w="28" w:type="dxa"/>
              <w:bottom w:w="28" w:type="dxa"/>
            </w:tcMar>
          </w:tcPr>
          <w:p w:rsidR="00A20B6E" w:rsidRPr="00FE2FD1" w:rsidRDefault="00A20B6E" w:rsidP="00AE37D3">
            <w:pPr>
              <w:widowControl w:val="0"/>
              <w:rPr>
                <w:rFonts w:ascii="Arial" w:hAnsi="Arial" w:cs="Arial"/>
              </w:rPr>
            </w:pPr>
          </w:p>
        </w:tc>
        <w:tc>
          <w:tcPr>
            <w:tcW w:w="3544" w:type="dxa"/>
            <w:shd w:val="clear" w:color="auto" w:fill="auto"/>
            <w:tcMar>
              <w:top w:w="28" w:type="dxa"/>
              <w:bottom w:w="28" w:type="dxa"/>
            </w:tcMar>
          </w:tcPr>
          <w:p w:rsidR="00A20B6E" w:rsidRPr="00FE2FD1" w:rsidRDefault="00A20B6E" w:rsidP="00AE37D3">
            <w:pPr>
              <w:jc w:val="right"/>
              <w:rPr>
                <w:rFonts w:ascii="Arial" w:hAnsi="Arial" w:cs="Arial"/>
                <w:iCs/>
              </w:rPr>
            </w:pPr>
            <w:r w:rsidRPr="00FE2FD1">
              <w:rPr>
                <w:rFonts w:ascii="Arial" w:hAnsi="Arial" w:cs="Arial"/>
                <w:snapToGrid w:val="0"/>
                <w:lang w:eastAsia="en-US"/>
              </w:rPr>
              <w:t>Sponsor Comment:</w:t>
            </w:r>
          </w:p>
        </w:tc>
        <w:tc>
          <w:tcPr>
            <w:tcW w:w="6521" w:type="dxa"/>
            <w:shd w:val="clear" w:color="auto" w:fill="auto"/>
          </w:tcPr>
          <w:p w:rsidR="00A20B6E" w:rsidRPr="00B3481D" w:rsidRDefault="00A20B6E" w:rsidP="00AE37D3">
            <w:pPr>
              <w:pStyle w:val="ListParagraph"/>
              <w:ind w:left="0"/>
              <w:jc w:val="both"/>
              <w:rPr>
                <w:rFonts w:ascii="Arial" w:hAnsi="Arial"/>
                <w:sz w:val="20"/>
                <w:szCs w:val="20"/>
              </w:rPr>
            </w:pPr>
            <w:r w:rsidRPr="00B3481D">
              <w:rPr>
                <w:rFonts w:ascii="Arial" w:hAnsi="Arial" w:cs="Arial"/>
                <w:iCs/>
                <w:sz w:val="20"/>
                <w:szCs w:val="20"/>
              </w:rPr>
              <w:t>The sponsor needs to clarify the decision with the PBAC.</w:t>
            </w:r>
          </w:p>
        </w:tc>
      </w:tr>
      <w:tr w:rsidR="00987FDA" w:rsidRPr="00FE2FD1" w:rsidTr="00E62C78">
        <w:tc>
          <w:tcPr>
            <w:tcW w:w="3119" w:type="dxa"/>
            <w:tcMar>
              <w:top w:w="28" w:type="dxa"/>
              <w:bottom w:w="28" w:type="dxa"/>
            </w:tcMar>
          </w:tcPr>
          <w:p w:rsidR="00987FDA" w:rsidRPr="00FE2FD1" w:rsidRDefault="00987FDA" w:rsidP="00E62C78">
            <w:pPr>
              <w:rPr>
                <w:rFonts w:ascii="Arial" w:hAnsi="Arial" w:cs="Arial"/>
              </w:rPr>
            </w:pPr>
            <w:r w:rsidRPr="00FE2FD1">
              <w:rPr>
                <w:rStyle w:val="st"/>
                <w:rFonts w:ascii="Arial" w:hAnsi="Arial" w:cs="Arial"/>
              </w:rPr>
              <w:t xml:space="preserve">ZOSTER VIRUS VACCINE LIVE, 0.65 mL injection, </w:t>
            </w:r>
            <w:r w:rsidRPr="00FE2FD1">
              <w:rPr>
                <w:rFonts w:ascii="Arial" w:hAnsi="Arial" w:cs="Arial"/>
              </w:rPr>
              <w:t>prefilled syringe</w:t>
            </w:r>
          </w:p>
          <w:p w:rsidR="00987FDA" w:rsidRPr="00FE2FD1" w:rsidRDefault="00987FDA" w:rsidP="00E62C78">
            <w:pPr>
              <w:rPr>
                <w:rFonts w:ascii="Arial" w:hAnsi="Arial" w:cs="Arial"/>
              </w:rPr>
            </w:pPr>
          </w:p>
          <w:p w:rsidR="00987FDA" w:rsidRPr="00FE2FD1" w:rsidRDefault="00987FDA" w:rsidP="00E62C78">
            <w:pPr>
              <w:rPr>
                <w:rStyle w:val="st"/>
                <w:rFonts w:ascii="Arial" w:hAnsi="Arial" w:cs="Arial"/>
              </w:rPr>
            </w:pPr>
            <w:r w:rsidRPr="00FE2FD1">
              <w:rPr>
                <w:rStyle w:val="st"/>
                <w:rFonts w:ascii="Arial" w:hAnsi="Arial" w:cs="Arial"/>
              </w:rPr>
              <w:t>Zostavax</w:t>
            </w:r>
            <w:r w:rsidRPr="00FE2FD1">
              <w:rPr>
                <w:rStyle w:val="st"/>
                <w:rFonts w:ascii="Arial" w:hAnsi="Arial" w:cs="Arial"/>
                <w:vertAlign w:val="superscript"/>
              </w:rPr>
              <w:t>®</w:t>
            </w:r>
          </w:p>
          <w:p w:rsidR="00987FDA" w:rsidRPr="00FE2FD1" w:rsidRDefault="00987FDA" w:rsidP="00E62C78">
            <w:pPr>
              <w:rPr>
                <w:rFonts w:ascii="Arial" w:hAnsi="Arial" w:cs="Arial"/>
              </w:rPr>
            </w:pPr>
          </w:p>
          <w:p w:rsidR="00987FDA" w:rsidRPr="00FE2FD1" w:rsidRDefault="00987FDA" w:rsidP="00E62C78">
            <w:pPr>
              <w:rPr>
                <w:rStyle w:val="st"/>
                <w:rFonts w:ascii="Arial" w:hAnsi="Arial" w:cs="Arial"/>
              </w:rPr>
            </w:pPr>
            <w:r w:rsidRPr="00FE2FD1">
              <w:rPr>
                <w:rFonts w:ascii="Arial" w:hAnsi="Arial" w:cs="Arial"/>
              </w:rPr>
              <w:t>bioCSL (Australia) Pty Ltd</w:t>
            </w:r>
          </w:p>
        </w:tc>
        <w:tc>
          <w:tcPr>
            <w:tcW w:w="2268" w:type="dxa"/>
            <w:tcMar>
              <w:top w:w="28" w:type="dxa"/>
              <w:bottom w:w="28" w:type="dxa"/>
            </w:tcMar>
          </w:tcPr>
          <w:p w:rsidR="00987FDA" w:rsidRPr="00FE2FD1" w:rsidRDefault="00987FDA" w:rsidP="00E62C78">
            <w:pPr>
              <w:widowControl w:val="0"/>
              <w:rPr>
                <w:rFonts w:ascii="Arial" w:hAnsi="Arial" w:cs="Arial"/>
              </w:rPr>
            </w:pPr>
            <w:r w:rsidRPr="00FE2FD1">
              <w:rPr>
                <w:rFonts w:ascii="Arial" w:hAnsi="Arial" w:cs="Arial"/>
              </w:rPr>
              <w:t>Herpes zoster (shingles)</w:t>
            </w:r>
          </w:p>
        </w:tc>
        <w:tc>
          <w:tcPr>
            <w:tcW w:w="3544" w:type="dxa"/>
            <w:tcMar>
              <w:top w:w="28" w:type="dxa"/>
              <w:bottom w:w="28" w:type="dxa"/>
            </w:tcMar>
          </w:tcPr>
          <w:p w:rsidR="00987FDA" w:rsidRPr="00FE2FD1" w:rsidRDefault="00987FDA" w:rsidP="00E62C78">
            <w:pPr>
              <w:widowControl w:val="0"/>
              <w:rPr>
                <w:rFonts w:ascii="Arial" w:hAnsi="Arial" w:cs="Arial"/>
              </w:rPr>
            </w:pPr>
            <w:r w:rsidRPr="00FE2FD1">
              <w:rPr>
                <w:rFonts w:ascii="Arial" w:hAnsi="Arial" w:cs="Arial"/>
                <w:iCs/>
              </w:rPr>
              <w:t xml:space="preserve">Resubmission to reinstate the PBAC recommendation for the listing of zoster virus vaccine live (Zostavax) on the National Immunisation Program (NIP) for the vaccination of an ongoing cohort of 60 year olds and a catch-up cohort of 61 to 79 </w:t>
            </w:r>
            <w:r w:rsidRPr="00FE2FD1">
              <w:rPr>
                <w:rFonts w:ascii="Arial" w:hAnsi="Arial" w:cs="Arial"/>
                <w:iCs/>
              </w:rPr>
              <w:lastRenderedPageBreak/>
              <w:t>year olds.</w:t>
            </w:r>
          </w:p>
        </w:tc>
        <w:tc>
          <w:tcPr>
            <w:tcW w:w="6521" w:type="dxa"/>
          </w:tcPr>
          <w:p w:rsidR="00B908B0" w:rsidRPr="00FE2FD1" w:rsidRDefault="00B908B0" w:rsidP="00B908B0">
            <w:pPr>
              <w:pStyle w:val="ListParagraph"/>
              <w:ind w:left="0"/>
              <w:jc w:val="both"/>
              <w:rPr>
                <w:rFonts w:ascii="Arial" w:hAnsi="Arial"/>
                <w:sz w:val="20"/>
                <w:szCs w:val="20"/>
              </w:rPr>
            </w:pPr>
            <w:r w:rsidRPr="00FE2FD1">
              <w:rPr>
                <w:rFonts w:ascii="Arial" w:hAnsi="Arial"/>
                <w:sz w:val="20"/>
                <w:szCs w:val="20"/>
              </w:rPr>
              <w:lastRenderedPageBreak/>
              <w:t>The PBAC did not recommend the reinstatement of the previous PBAC recommendation for the listing of zoster virus vaccine in the NIP for 60 year olds and a catch-up cohort of 61-79 year olds, because of unacceptable assumptions in the economic analysis such as the inconsistency between estimates of vaccine efficacy between the trial with its follow up studies and the economic model.</w:t>
            </w:r>
          </w:p>
          <w:p w:rsidR="00B908B0" w:rsidRPr="00FE2FD1" w:rsidRDefault="00B908B0" w:rsidP="00B908B0">
            <w:pPr>
              <w:pStyle w:val="ListParagraph"/>
              <w:ind w:left="0"/>
              <w:jc w:val="both"/>
              <w:rPr>
                <w:rFonts w:ascii="Arial" w:hAnsi="Arial"/>
                <w:sz w:val="20"/>
                <w:szCs w:val="20"/>
              </w:rPr>
            </w:pPr>
          </w:p>
          <w:p w:rsidR="00987FDA" w:rsidRPr="00FE2FD1" w:rsidRDefault="00B908B0" w:rsidP="00B908B0">
            <w:pPr>
              <w:pStyle w:val="ListParagraph"/>
              <w:ind w:left="0"/>
              <w:jc w:val="both"/>
              <w:rPr>
                <w:rFonts w:ascii="Arial" w:hAnsi="Arial" w:cs="Arial"/>
                <w:sz w:val="20"/>
                <w:szCs w:val="20"/>
              </w:rPr>
            </w:pPr>
            <w:r w:rsidRPr="00FE2FD1">
              <w:rPr>
                <w:rFonts w:ascii="Arial" w:hAnsi="Arial"/>
                <w:sz w:val="20"/>
                <w:szCs w:val="20"/>
              </w:rPr>
              <w:lastRenderedPageBreak/>
              <w:t>The PBAC noted the Sponsor’s revised proposal seeking the listing of zoster virus vaccine in the National Immunisation Program (NIP) for 70 year olds and a catch-up cohort of 71-79 year olds. The PBAC deferred making a recommendation in relation to this proposal because it was presented to the PBAC without sufficient time to evaluate the changes from the re-submission.</w:t>
            </w:r>
          </w:p>
        </w:tc>
      </w:tr>
      <w:tr w:rsidR="00E62C78" w:rsidRPr="00A23E0C" w:rsidTr="00E62C78">
        <w:tc>
          <w:tcPr>
            <w:tcW w:w="3119" w:type="dxa"/>
            <w:tcMar>
              <w:top w:w="28" w:type="dxa"/>
              <w:bottom w:w="28" w:type="dxa"/>
            </w:tcMar>
          </w:tcPr>
          <w:p w:rsidR="00E62C78" w:rsidRPr="00FE2FD1" w:rsidRDefault="00E62C78" w:rsidP="00E62C78">
            <w:pPr>
              <w:rPr>
                <w:rStyle w:val="st"/>
                <w:rFonts w:ascii="Arial" w:hAnsi="Arial" w:cs="Arial"/>
              </w:rPr>
            </w:pPr>
          </w:p>
        </w:tc>
        <w:tc>
          <w:tcPr>
            <w:tcW w:w="2268" w:type="dxa"/>
            <w:tcMar>
              <w:top w:w="28" w:type="dxa"/>
              <w:bottom w:w="28" w:type="dxa"/>
            </w:tcMar>
          </w:tcPr>
          <w:p w:rsidR="00E62C78" w:rsidRPr="00FE2FD1" w:rsidRDefault="00E62C78" w:rsidP="00E62C78">
            <w:pPr>
              <w:widowControl w:val="0"/>
              <w:rPr>
                <w:rFonts w:ascii="Arial" w:hAnsi="Arial" w:cs="Arial"/>
              </w:rPr>
            </w:pPr>
          </w:p>
        </w:tc>
        <w:tc>
          <w:tcPr>
            <w:tcW w:w="3544" w:type="dxa"/>
            <w:tcMar>
              <w:top w:w="28" w:type="dxa"/>
              <w:bottom w:w="28" w:type="dxa"/>
            </w:tcMar>
          </w:tcPr>
          <w:p w:rsidR="00E62C78" w:rsidRPr="00FE2FD1" w:rsidRDefault="00E62C78" w:rsidP="00E62C78">
            <w:pPr>
              <w:widowControl w:val="0"/>
              <w:jc w:val="right"/>
              <w:rPr>
                <w:rFonts w:ascii="Arial" w:hAnsi="Arial" w:cs="Arial"/>
                <w:iCs/>
              </w:rPr>
            </w:pPr>
            <w:r w:rsidRPr="00FE2FD1">
              <w:rPr>
                <w:rFonts w:ascii="Arial" w:hAnsi="Arial" w:cs="Arial"/>
                <w:snapToGrid w:val="0"/>
                <w:lang w:eastAsia="en-US"/>
              </w:rPr>
              <w:t>Sponsor Comment:</w:t>
            </w:r>
          </w:p>
        </w:tc>
        <w:tc>
          <w:tcPr>
            <w:tcW w:w="6521" w:type="dxa"/>
          </w:tcPr>
          <w:p w:rsidR="00E62C78" w:rsidRPr="00A23E0C" w:rsidRDefault="00B908B0" w:rsidP="00E62C78">
            <w:pPr>
              <w:pStyle w:val="ListParagraph"/>
              <w:ind w:left="0"/>
              <w:jc w:val="both"/>
              <w:rPr>
                <w:rFonts w:ascii="Arial" w:hAnsi="Arial" w:cs="Arial"/>
                <w:sz w:val="20"/>
                <w:szCs w:val="20"/>
              </w:rPr>
            </w:pPr>
            <w:r w:rsidRPr="00FE2FD1">
              <w:rPr>
                <w:rFonts w:ascii="Arial" w:hAnsi="Arial"/>
                <w:sz w:val="20"/>
                <w:szCs w:val="20"/>
              </w:rPr>
              <w:t xml:space="preserve">bioCSL will work with the PBAC to achieve a timely recommendation for  listing zoster virus vaccine live (ZOSTAVAX), addressing the unmet </w:t>
            </w:r>
            <w:r w:rsidRPr="00FE2FD1">
              <w:rPr>
                <w:rFonts w:ascii="Arial" w:hAnsi="Arial"/>
                <w:iCs/>
                <w:sz w:val="20"/>
                <w:szCs w:val="20"/>
              </w:rPr>
              <w:t>public health need</w:t>
            </w:r>
            <w:r w:rsidRPr="00FE2FD1">
              <w:rPr>
                <w:rFonts w:ascii="Arial" w:hAnsi="Arial"/>
                <w:i/>
                <w:iCs/>
                <w:sz w:val="20"/>
                <w:szCs w:val="20"/>
              </w:rPr>
              <w:t xml:space="preserve"> </w:t>
            </w:r>
            <w:r w:rsidRPr="00FE2FD1">
              <w:rPr>
                <w:rFonts w:ascii="Arial" w:hAnsi="Arial"/>
                <w:sz w:val="20"/>
                <w:szCs w:val="20"/>
              </w:rPr>
              <w:t>to prevent the  burden of zoster and post herpetic neuralgia in older Australians</w:t>
            </w:r>
          </w:p>
        </w:tc>
      </w:tr>
    </w:tbl>
    <w:p w:rsidR="00C26FE5" w:rsidRPr="00A23E0C" w:rsidRDefault="00C26FE5" w:rsidP="00E62C78">
      <w:pPr>
        <w:tabs>
          <w:tab w:val="left" w:pos="5210"/>
        </w:tabs>
        <w:rPr>
          <w:rFonts w:ascii="Arial" w:hAnsi="Arial" w:cs="Arial"/>
          <w:lang w:val="en-US"/>
        </w:rPr>
      </w:pPr>
    </w:p>
    <w:sectPr w:rsidR="00C26FE5" w:rsidRPr="00A23E0C" w:rsidSect="007D408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D3" w:rsidRDefault="00AE37D3">
      <w:r>
        <w:separator/>
      </w:r>
    </w:p>
  </w:endnote>
  <w:endnote w:type="continuationSeparator" w:id="0">
    <w:p w:rsidR="00AE37D3" w:rsidRDefault="00AE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00" w:rsidRDefault="00912000"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2000" w:rsidRDefault="00912000"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00" w:rsidRPr="000A2E5D" w:rsidRDefault="00912000" w:rsidP="00FE2A81">
    <w:pPr>
      <w:pStyle w:val="Footer"/>
      <w:framePr w:wrap="around" w:vAnchor="text" w:hAnchor="margin" w:xAlign="right" w:y="1"/>
      <w:rPr>
        <w:rStyle w:val="PageNumber"/>
        <w:rFonts w:ascii="Arial" w:hAnsi="Arial" w:cs="Arial"/>
      </w:rPr>
    </w:pPr>
    <w:r w:rsidRPr="000A2E5D">
      <w:rPr>
        <w:rStyle w:val="PageNumber"/>
        <w:rFonts w:ascii="Arial" w:hAnsi="Arial" w:cs="Arial"/>
      </w:rPr>
      <w:fldChar w:fldCharType="begin"/>
    </w:r>
    <w:r w:rsidRPr="000A2E5D">
      <w:rPr>
        <w:rStyle w:val="PageNumber"/>
        <w:rFonts w:ascii="Arial" w:hAnsi="Arial" w:cs="Arial"/>
      </w:rPr>
      <w:instrText xml:space="preserve">PAGE  </w:instrText>
    </w:r>
    <w:r w:rsidRPr="000A2E5D">
      <w:rPr>
        <w:rStyle w:val="PageNumber"/>
        <w:rFonts w:ascii="Arial" w:hAnsi="Arial" w:cs="Arial"/>
      </w:rPr>
      <w:fldChar w:fldCharType="separate"/>
    </w:r>
    <w:r w:rsidR="00917B84">
      <w:rPr>
        <w:rStyle w:val="PageNumber"/>
        <w:rFonts w:ascii="Arial" w:hAnsi="Arial" w:cs="Arial"/>
        <w:noProof/>
      </w:rPr>
      <w:t>3</w:t>
    </w:r>
    <w:r w:rsidRPr="000A2E5D">
      <w:rPr>
        <w:rStyle w:val="PageNumber"/>
        <w:rFonts w:ascii="Arial" w:hAnsi="Arial" w:cs="Arial"/>
      </w:rPr>
      <w:fldChar w:fldCharType="end"/>
    </w:r>
  </w:p>
  <w:p w:rsidR="00912000" w:rsidRDefault="00912000"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84" w:rsidRDefault="00917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D3" w:rsidRDefault="00AE37D3">
      <w:r>
        <w:separator/>
      </w:r>
    </w:p>
  </w:footnote>
  <w:footnote w:type="continuationSeparator" w:id="0">
    <w:p w:rsidR="00AE37D3" w:rsidRDefault="00AE3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84" w:rsidRDefault="00917B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00" w:rsidRDefault="00987FDA" w:rsidP="007D408D">
    <w:pPr>
      <w:pStyle w:val="Header"/>
      <w:jc w:val="center"/>
      <w:rPr>
        <w:rFonts w:ascii="Arial" w:hAnsi="Arial" w:cs="Arial"/>
        <w:b/>
        <w:snapToGrid w:val="0"/>
        <w:lang w:eastAsia="en-US"/>
      </w:rPr>
    </w:pPr>
    <w:r>
      <w:rPr>
        <w:rFonts w:ascii="Arial" w:hAnsi="Arial" w:cs="Arial"/>
        <w:b/>
        <w:snapToGrid w:val="0"/>
        <w:lang w:eastAsia="en-US"/>
      </w:rPr>
      <w:t xml:space="preserve">March 2014 PBAC Meeting Outcomes – </w:t>
    </w:r>
    <w:r w:rsidR="00830B2F">
      <w:rPr>
        <w:rFonts w:ascii="Arial" w:hAnsi="Arial" w:cs="Arial"/>
        <w:b/>
        <w:snapToGrid w:val="0"/>
        <w:lang w:eastAsia="en-US"/>
      </w:rPr>
      <w:t>Deferrals</w:t>
    </w:r>
  </w:p>
  <w:p w:rsidR="00912000" w:rsidRDefault="00912000" w:rsidP="007D40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84" w:rsidRDefault="00917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3857FF"/>
    <w:multiLevelType w:val="multilevel"/>
    <w:tmpl w:val="24A0885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6"/>
  </w:num>
  <w:num w:numId="5">
    <w:abstractNumId w:val="4"/>
  </w:num>
  <w:num w:numId="6">
    <w:abstractNumId w:val="1"/>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E5D"/>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C88"/>
    <w:rsid w:val="00151D35"/>
    <w:rsid w:val="00152387"/>
    <w:rsid w:val="00152A0C"/>
    <w:rsid w:val="00153424"/>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53F"/>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411C"/>
    <w:rsid w:val="001E5979"/>
    <w:rsid w:val="001E5C38"/>
    <w:rsid w:val="001E776D"/>
    <w:rsid w:val="001E77D9"/>
    <w:rsid w:val="001F0D67"/>
    <w:rsid w:val="001F1A00"/>
    <w:rsid w:val="001F1B8A"/>
    <w:rsid w:val="001F2058"/>
    <w:rsid w:val="001F23BC"/>
    <w:rsid w:val="001F29C8"/>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6B9"/>
    <w:rsid w:val="00302C73"/>
    <w:rsid w:val="003035B2"/>
    <w:rsid w:val="00303733"/>
    <w:rsid w:val="00303A2F"/>
    <w:rsid w:val="00303C94"/>
    <w:rsid w:val="00304BF7"/>
    <w:rsid w:val="00304FE8"/>
    <w:rsid w:val="00305FA4"/>
    <w:rsid w:val="00310992"/>
    <w:rsid w:val="00311387"/>
    <w:rsid w:val="00311EEA"/>
    <w:rsid w:val="0031351E"/>
    <w:rsid w:val="00313537"/>
    <w:rsid w:val="003135CD"/>
    <w:rsid w:val="00313C59"/>
    <w:rsid w:val="00314373"/>
    <w:rsid w:val="00314425"/>
    <w:rsid w:val="003146EE"/>
    <w:rsid w:val="003153EA"/>
    <w:rsid w:val="00316745"/>
    <w:rsid w:val="00316874"/>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20584"/>
    <w:rsid w:val="00421048"/>
    <w:rsid w:val="00422A93"/>
    <w:rsid w:val="00422BB1"/>
    <w:rsid w:val="00424D21"/>
    <w:rsid w:val="00424F3C"/>
    <w:rsid w:val="00425C24"/>
    <w:rsid w:val="004273BF"/>
    <w:rsid w:val="004311FF"/>
    <w:rsid w:val="004314B6"/>
    <w:rsid w:val="004323C9"/>
    <w:rsid w:val="00432447"/>
    <w:rsid w:val="00432D97"/>
    <w:rsid w:val="00432F21"/>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313"/>
    <w:rsid w:val="00455817"/>
    <w:rsid w:val="00455AE4"/>
    <w:rsid w:val="00457034"/>
    <w:rsid w:val="00457BAA"/>
    <w:rsid w:val="004600B5"/>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E86"/>
    <w:rsid w:val="0050702C"/>
    <w:rsid w:val="0050723E"/>
    <w:rsid w:val="00507403"/>
    <w:rsid w:val="00507430"/>
    <w:rsid w:val="005101E5"/>
    <w:rsid w:val="00511D75"/>
    <w:rsid w:val="005120AB"/>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D0A"/>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50292"/>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2869"/>
    <w:rsid w:val="006034A7"/>
    <w:rsid w:val="006037CC"/>
    <w:rsid w:val="00603A6B"/>
    <w:rsid w:val="006040F2"/>
    <w:rsid w:val="0060449A"/>
    <w:rsid w:val="00604805"/>
    <w:rsid w:val="0060529E"/>
    <w:rsid w:val="00605384"/>
    <w:rsid w:val="00607C2D"/>
    <w:rsid w:val="006103A4"/>
    <w:rsid w:val="00610922"/>
    <w:rsid w:val="00611D8D"/>
    <w:rsid w:val="006122E2"/>
    <w:rsid w:val="006125AA"/>
    <w:rsid w:val="00612860"/>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30E2"/>
    <w:rsid w:val="006535DE"/>
    <w:rsid w:val="0065453F"/>
    <w:rsid w:val="00654758"/>
    <w:rsid w:val="006563FC"/>
    <w:rsid w:val="00656EAE"/>
    <w:rsid w:val="00657344"/>
    <w:rsid w:val="00657E80"/>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57C"/>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B2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417"/>
    <w:rsid w:val="008D1F27"/>
    <w:rsid w:val="008D2F95"/>
    <w:rsid w:val="008D384C"/>
    <w:rsid w:val="008D3EF5"/>
    <w:rsid w:val="008D483E"/>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1459"/>
    <w:rsid w:val="00901C47"/>
    <w:rsid w:val="0090328B"/>
    <w:rsid w:val="009032E9"/>
    <w:rsid w:val="00903EFE"/>
    <w:rsid w:val="009040EB"/>
    <w:rsid w:val="0090437C"/>
    <w:rsid w:val="0090472D"/>
    <w:rsid w:val="0090518E"/>
    <w:rsid w:val="0090563D"/>
    <w:rsid w:val="00906EF4"/>
    <w:rsid w:val="00910D9D"/>
    <w:rsid w:val="00910F33"/>
    <w:rsid w:val="00911691"/>
    <w:rsid w:val="009118B0"/>
    <w:rsid w:val="00912000"/>
    <w:rsid w:val="009124E6"/>
    <w:rsid w:val="00913944"/>
    <w:rsid w:val="00916440"/>
    <w:rsid w:val="00916748"/>
    <w:rsid w:val="00917332"/>
    <w:rsid w:val="009177FA"/>
    <w:rsid w:val="00917B84"/>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44"/>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1F00"/>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5BAE"/>
    <w:rsid w:val="009E5BF5"/>
    <w:rsid w:val="009E5D18"/>
    <w:rsid w:val="009E5F8E"/>
    <w:rsid w:val="009E699D"/>
    <w:rsid w:val="009F1904"/>
    <w:rsid w:val="009F209E"/>
    <w:rsid w:val="009F2446"/>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B6E"/>
    <w:rsid w:val="00A20C94"/>
    <w:rsid w:val="00A21C4C"/>
    <w:rsid w:val="00A220B7"/>
    <w:rsid w:val="00A227D6"/>
    <w:rsid w:val="00A227E7"/>
    <w:rsid w:val="00A22D55"/>
    <w:rsid w:val="00A239DB"/>
    <w:rsid w:val="00A23E0C"/>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37D3"/>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17DC"/>
    <w:rsid w:val="00B31E48"/>
    <w:rsid w:val="00B327F4"/>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8B0"/>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1CC9"/>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8A8"/>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4A2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705"/>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409"/>
    <w:rsid w:val="00D41726"/>
    <w:rsid w:val="00D418A3"/>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F19"/>
    <w:rsid w:val="00D77AD8"/>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586A"/>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C7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172A"/>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A62"/>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2AD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7C49"/>
    <w:rsid w:val="00F57D6B"/>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E0841"/>
    <w:rsid w:val="00FE08FD"/>
    <w:rsid w:val="00FE12A5"/>
    <w:rsid w:val="00FE1B58"/>
    <w:rsid w:val="00FE1DFA"/>
    <w:rsid w:val="00FE1EDA"/>
    <w:rsid w:val="00FE1F3B"/>
    <w:rsid w:val="00FE22CB"/>
    <w:rsid w:val="00FE2859"/>
    <w:rsid w:val="00FE2A81"/>
    <w:rsid w:val="00FE2FD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uiPriority w:val="72"/>
    <w:qFormat/>
    <w:rsid w:val="005120A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uiPriority w:val="72"/>
    <w:qFormat/>
    <w:rsid w:val="005120AB"/>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6705253">
      <w:bodyDiv w:val="1"/>
      <w:marLeft w:val="0"/>
      <w:marRight w:val="0"/>
      <w:marTop w:val="0"/>
      <w:marBottom w:val="0"/>
      <w:divBdr>
        <w:top w:val="none" w:sz="0" w:space="0" w:color="auto"/>
        <w:left w:val="none" w:sz="0" w:space="0" w:color="auto"/>
        <w:bottom w:val="none" w:sz="0" w:space="0" w:color="auto"/>
        <w:right w:val="none" w:sz="0" w:space="0" w:color="auto"/>
      </w:divBdr>
      <w:divsChild>
        <w:div w:id="112598087">
          <w:marLeft w:val="0"/>
          <w:marRight w:val="0"/>
          <w:marTop w:val="0"/>
          <w:marBottom w:val="0"/>
          <w:divBdr>
            <w:top w:val="none" w:sz="0" w:space="0" w:color="auto"/>
            <w:left w:val="none" w:sz="0" w:space="0" w:color="auto"/>
            <w:bottom w:val="none" w:sz="0" w:space="0" w:color="auto"/>
            <w:right w:val="none" w:sz="0" w:space="0" w:color="auto"/>
          </w:divBdr>
        </w:div>
      </w:divsChild>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8122694">
      <w:bodyDiv w:val="1"/>
      <w:marLeft w:val="0"/>
      <w:marRight w:val="0"/>
      <w:marTop w:val="0"/>
      <w:marBottom w:val="0"/>
      <w:divBdr>
        <w:top w:val="none" w:sz="0" w:space="0" w:color="auto"/>
        <w:left w:val="none" w:sz="0" w:space="0" w:color="auto"/>
        <w:bottom w:val="none" w:sz="0" w:space="0" w:color="auto"/>
        <w:right w:val="none" w:sz="0" w:space="0" w:color="auto"/>
      </w:divBdr>
      <w:divsChild>
        <w:div w:id="1478061760">
          <w:marLeft w:val="0"/>
          <w:marRight w:val="0"/>
          <w:marTop w:val="0"/>
          <w:marBottom w:val="0"/>
          <w:divBdr>
            <w:top w:val="none" w:sz="0" w:space="0" w:color="auto"/>
            <w:left w:val="none" w:sz="0" w:space="0" w:color="auto"/>
            <w:bottom w:val="none" w:sz="0" w:space="0" w:color="auto"/>
            <w:right w:val="none" w:sz="0" w:space="0" w:color="auto"/>
          </w:divBdr>
        </w:div>
      </w:divsChild>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6980-C9A3-4A55-AC9E-5F141B27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2014-04-28T04:26:00Z</dcterms:created>
  <dcterms:modified xsi:type="dcterms:W3CDTF">2014-04-28T04:26:00Z</dcterms:modified>
</cp:coreProperties>
</file>