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725" w:rsidRDefault="00547725" w:rsidP="00547725">
      <w:pPr>
        <w:pStyle w:val="Header"/>
        <w:jc w:val="center"/>
        <w:rPr>
          <w:rFonts w:ascii="Arial" w:hAnsi="Arial" w:cs="Arial"/>
          <w:b/>
        </w:rPr>
      </w:pPr>
    </w:p>
    <w:p w:rsidR="00547725" w:rsidRPr="0065234B" w:rsidRDefault="00547725" w:rsidP="00547725">
      <w:pPr>
        <w:pStyle w:val="Header"/>
        <w:jc w:val="center"/>
        <w:rPr>
          <w:rFonts w:ascii="Arial" w:hAnsi="Arial" w:cs="Arial"/>
          <w:b/>
          <w:snapToGrid w:val="0"/>
          <w:lang w:eastAsia="en-US"/>
        </w:rPr>
      </w:pPr>
      <w:r>
        <w:rPr>
          <w:rFonts w:ascii="Arial" w:hAnsi="Arial" w:cs="Arial"/>
          <w:b/>
        </w:rPr>
        <w:t>July 2014</w:t>
      </w:r>
      <w:r w:rsidRPr="000109B5">
        <w:rPr>
          <w:rFonts w:ascii="Arial" w:hAnsi="Arial" w:cs="Arial"/>
          <w:b/>
        </w:rPr>
        <w:t xml:space="preserve"> PBAC OUTCOMES - </w:t>
      </w:r>
      <w:r w:rsidR="002546F2">
        <w:rPr>
          <w:rFonts w:ascii="Arial" w:hAnsi="Arial" w:cs="Arial"/>
          <w:b/>
        </w:rPr>
        <w:t>Deferrals</w:t>
      </w:r>
    </w:p>
    <w:p w:rsidR="0065234B" w:rsidRDefault="0065234B"/>
    <w:p w:rsidR="0065234B" w:rsidRDefault="0065234B"/>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2112"/>
        <w:gridCol w:w="3231"/>
        <w:gridCol w:w="6865"/>
      </w:tblGrid>
      <w:tr w:rsidR="00987FDA" w:rsidRPr="00F609BF" w:rsidTr="00D41AB6">
        <w:trPr>
          <w:tblHeader/>
        </w:trPr>
        <w:tc>
          <w:tcPr>
            <w:tcW w:w="3385" w:type="dxa"/>
            <w:tcMar>
              <w:top w:w="28" w:type="dxa"/>
              <w:bottom w:w="28" w:type="dxa"/>
            </w:tcMar>
          </w:tcPr>
          <w:p w:rsidR="0065234B" w:rsidRPr="00F609BF" w:rsidRDefault="00582304" w:rsidP="0065234B">
            <w:pPr>
              <w:widowControl w:val="0"/>
              <w:jc w:val="center"/>
              <w:rPr>
                <w:rFonts w:ascii="Arial" w:hAnsi="Arial" w:cs="Arial"/>
                <w:b/>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tc>
        <w:tc>
          <w:tcPr>
            <w:tcW w:w="2112" w:type="dxa"/>
            <w:tcMar>
              <w:top w:w="28" w:type="dxa"/>
              <w:bottom w:w="28" w:type="dxa"/>
            </w:tcMar>
          </w:tcPr>
          <w:p w:rsidR="00987FDA" w:rsidRPr="00F609BF" w:rsidRDefault="00987FDA" w:rsidP="0065234B">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65234B">
            <w:pPr>
              <w:widowControl w:val="0"/>
              <w:jc w:val="center"/>
              <w:rPr>
                <w:rFonts w:ascii="Arial" w:hAnsi="Arial" w:cs="Arial"/>
                <w:b/>
                <w:snapToGrid w:val="0"/>
                <w:lang w:eastAsia="en-US"/>
              </w:rPr>
            </w:pPr>
          </w:p>
        </w:tc>
        <w:tc>
          <w:tcPr>
            <w:tcW w:w="3231" w:type="dxa"/>
            <w:tcMar>
              <w:top w:w="28" w:type="dxa"/>
              <w:bottom w:w="28" w:type="dxa"/>
            </w:tcMar>
          </w:tcPr>
          <w:p w:rsidR="00987FDA" w:rsidRPr="00F609BF" w:rsidRDefault="00987FDA" w:rsidP="0065234B">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865" w:type="dxa"/>
            <w:vAlign w:val="center"/>
          </w:tcPr>
          <w:p w:rsidR="00987FDA" w:rsidRPr="00F609BF" w:rsidRDefault="00987FDA" w:rsidP="0065234B">
            <w:pPr>
              <w:pStyle w:val="Header"/>
              <w:jc w:val="center"/>
              <w:rPr>
                <w:rFonts w:ascii="Arial" w:hAnsi="Arial" w:cs="Arial"/>
                <w:b/>
                <w:snapToGrid w:val="0"/>
                <w:lang w:eastAsia="en-US"/>
              </w:rPr>
            </w:pPr>
            <w:r w:rsidRPr="00F609BF">
              <w:rPr>
                <w:rFonts w:ascii="Arial" w:hAnsi="Arial" w:cs="Arial"/>
                <w:b/>
                <w:snapToGrid w:val="0"/>
                <w:lang w:eastAsia="en-US"/>
              </w:rPr>
              <w:t>PBAC Recommendation</w:t>
            </w:r>
          </w:p>
        </w:tc>
      </w:tr>
      <w:tr w:rsidR="005529F6" w:rsidRPr="00F609BF" w:rsidTr="005529F6">
        <w:trPr>
          <w:trHeight w:val="1880"/>
        </w:trPr>
        <w:tc>
          <w:tcPr>
            <w:tcW w:w="3385" w:type="dxa"/>
            <w:tcMar>
              <w:top w:w="28" w:type="dxa"/>
              <w:bottom w:w="28" w:type="dxa"/>
            </w:tcMar>
            <w:vAlign w:val="center"/>
          </w:tcPr>
          <w:p w:rsidR="005529F6" w:rsidRPr="00582304" w:rsidRDefault="005529F6" w:rsidP="00A17EB6">
            <w:pPr>
              <w:rPr>
                <w:rFonts w:ascii="Arial" w:hAnsi="Arial" w:cs="Arial"/>
              </w:rPr>
            </w:pPr>
            <w:r w:rsidRPr="00582304">
              <w:rPr>
                <w:rFonts w:ascii="Arial" w:hAnsi="Arial" w:cs="Arial"/>
              </w:rPr>
              <w:t xml:space="preserve">ANTIDIABETEC MEDICINES, thiazolidinediones, glucagon-like peptide-1, and sodium-glucose co-transporter 2 inhibitors </w:t>
            </w:r>
          </w:p>
          <w:p w:rsidR="005529F6" w:rsidRPr="00582304" w:rsidRDefault="005529F6" w:rsidP="00A17EB6">
            <w:pPr>
              <w:rPr>
                <w:rFonts w:ascii="Arial" w:hAnsi="Arial" w:cs="Arial"/>
              </w:rPr>
            </w:pPr>
          </w:p>
          <w:p w:rsidR="005529F6" w:rsidRPr="00582304" w:rsidRDefault="005529F6" w:rsidP="00A17EB6">
            <w:pPr>
              <w:rPr>
                <w:rFonts w:ascii="Arial" w:hAnsi="Arial" w:cs="Arial"/>
              </w:rPr>
            </w:pPr>
            <w:r w:rsidRPr="00582304">
              <w:rPr>
                <w:rFonts w:ascii="Arial" w:hAnsi="Arial" w:cs="Arial"/>
              </w:rPr>
              <w:t>Pharmaceutical Evaluation Branch, Department of Health</w:t>
            </w:r>
          </w:p>
          <w:p w:rsidR="005529F6" w:rsidRPr="00582304" w:rsidRDefault="005529F6" w:rsidP="00A17EB6">
            <w:pPr>
              <w:rPr>
                <w:rFonts w:ascii="Arial" w:hAnsi="Arial" w:cs="Arial"/>
              </w:rPr>
            </w:pPr>
          </w:p>
          <w:p w:rsidR="005529F6" w:rsidRPr="00582304" w:rsidRDefault="005529F6" w:rsidP="00A17EB6">
            <w:pPr>
              <w:rPr>
                <w:rFonts w:ascii="Arial" w:hAnsi="Arial" w:cs="Arial"/>
              </w:rPr>
            </w:pPr>
            <w:r w:rsidRPr="00582304">
              <w:rPr>
                <w:rFonts w:ascii="Arial" w:hAnsi="Arial" w:cs="Arial"/>
              </w:rPr>
              <w:t>Change to listing</w:t>
            </w:r>
          </w:p>
          <w:p w:rsidR="005529F6" w:rsidRPr="00582304" w:rsidRDefault="005529F6" w:rsidP="00A17EB6">
            <w:pPr>
              <w:rPr>
                <w:rFonts w:ascii="Arial" w:hAnsi="Arial" w:cs="Arial"/>
              </w:rPr>
            </w:pPr>
          </w:p>
          <w:p w:rsidR="005529F6" w:rsidRPr="00582304" w:rsidRDefault="005529F6" w:rsidP="00A17EB6">
            <w:pPr>
              <w:rPr>
                <w:rFonts w:ascii="Arial" w:hAnsi="Arial" w:cs="Arial"/>
              </w:rPr>
            </w:pPr>
            <w:r w:rsidRPr="00582304">
              <w:rPr>
                <w:rFonts w:ascii="Arial" w:hAnsi="Arial" w:cs="Arial"/>
              </w:rPr>
              <w:t>(Minor submission)</w:t>
            </w:r>
          </w:p>
          <w:p w:rsidR="005529F6" w:rsidRPr="00582304" w:rsidRDefault="005529F6" w:rsidP="00A17EB6">
            <w:pPr>
              <w:widowControl w:val="0"/>
              <w:rPr>
                <w:rFonts w:ascii="Arial" w:hAnsi="Arial" w:cs="Arial"/>
                <w:snapToGrid w:val="0"/>
                <w:lang w:eastAsia="en-US"/>
              </w:rPr>
            </w:pPr>
          </w:p>
        </w:tc>
        <w:tc>
          <w:tcPr>
            <w:tcW w:w="2112" w:type="dxa"/>
            <w:vAlign w:val="center"/>
          </w:tcPr>
          <w:p w:rsidR="005529F6" w:rsidRPr="00582304" w:rsidRDefault="005529F6" w:rsidP="00A822AE">
            <w:pPr>
              <w:widowControl w:val="0"/>
              <w:jc w:val="both"/>
              <w:rPr>
                <w:rFonts w:ascii="Arial" w:hAnsi="Arial" w:cs="Arial"/>
                <w:snapToGrid w:val="0"/>
                <w:lang w:eastAsia="en-US"/>
              </w:rPr>
            </w:pPr>
            <w:r w:rsidRPr="00582304">
              <w:rPr>
                <w:rFonts w:ascii="Arial" w:hAnsi="Arial" w:cs="Arial"/>
                <w:snapToGrid w:val="0"/>
                <w:lang w:eastAsia="en-US"/>
              </w:rPr>
              <w:t>For the treatment of type 2 diabetes mellitus</w:t>
            </w:r>
          </w:p>
        </w:tc>
        <w:tc>
          <w:tcPr>
            <w:tcW w:w="3231" w:type="dxa"/>
            <w:tcMar>
              <w:top w:w="28" w:type="dxa"/>
              <w:bottom w:w="28" w:type="dxa"/>
            </w:tcMar>
          </w:tcPr>
          <w:p w:rsidR="005529F6" w:rsidRPr="00582304" w:rsidRDefault="005529F6" w:rsidP="00A822AE">
            <w:pPr>
              <w:jc w:val="both"/>
              <w:rPr>
                <w:rFonts w:ascii="Arial" w:hAnsi="Arial" w:cs="Arial"/>
              </w:rPr>
            </w:pPr>
            <w:r w:rsidRPr="00582304">
              <w:rPr>
                <w:rFonts w:ascii="Arial" w:hAnsi="Arial" w:cs="Arial"/>
              </w:rPr>
              <w:t>To inform the Pharmaceutical Benefits Advisory Committee (PBAC) of responses from the sponsors of thiazolidinediones (glitazones), glucagon-like peptide-1 (GLP-1) and sodium-glucose co-transporter 2 (SGLT2) inhibitors (gliflozins)</w:t>
            </w:r>
            <w:r w:rsidRPr="00582304">
              <w:rPr>
                <w:rFonts w:ascii="Arial" w:hAnsi="Arial" w:cs="Arial"/>
                <w:b/>
              </w:rPr>
              <w:t xml:space="preserve"> </w:t>
            </w:r>
            <w:r w:rsidRPr="00582304">
              <w:rPr>
                <w:rFonts w:ascii="Arial" w:hAnsi="Arial" w:cs="Arial"/>
              </w:rPr>
              <w:t xml:space="preserve">regarding the Department’s proposed changes to the restriction wordings (listings/circumstances) of PBS-subsidised third line treatment options for type 2 diabetes mellitus to take into account the change in the PBS availability of the dipeptidyl peptidase 4 inhibitors (gliptins). </w:t>
            </w:r>
          </w:p>
          <w:p w:rsidR="005529F6" w:rsidRPr="00582304" w:rsidRDefault="005529F6" w:rsidP="00A822AE">
            <w:pPr>
              <w:jc w:val="both"/>
              <w:rPr>
                <w:rFonts w:ascii="Arial" w:hAnsi="Arial" w:cs="Arial"/>
                <w:iCs/>
              </w:rPr>
            </w:pPr>
          </w:p>
        </w:tc>
        <w:tc>
          <w:tcPr>
            <w:tcW w:w="6865" w:type="dxa"/>
          </w:tcPr>
          <w:p w:rsidR="005529F6" w:rsidRPr="00D82561" w:rsidRDefault="005529F6" w:rsidP="00087AC9">
            <w:pPr>
              <w:jc w:val="both"/>
              <w:rPr>
                <w:rFonts w:ascii="Arial" w:hAnsi="Arial" w:cs="Arial"/>
                <w:iCs/>
              </w:rPr>
            </w:pPr>
            <w:r w:rsidRPr="00D82561">
              <w:rPr>
                <w:rFonts w:ascii="Arial" w:hAnsi="Arial" w:cs="Arial"/>
                <w:iCs/>
              </w:rPr>
              <w:t xml:space="preserve">The PBAC deferred its decision on the restrictions </w:t>
            </w:r>
            <w:r w:rsidR="00D82561" w:rsidRPr="00D82561">
              <w:rPr>
                <w:rFonts w:ascii="Arial" w:hAnsi="Arial" w:cs="Arial"/>
                <w:iCs/>
              </w:rPr>
              <w:t>f</w:t>
            </w:r>
            <w:r w:rsidR="00D82561" w:rsidRPr="00D82561">
              <w:rPr>
                <w:rFonts w:ascii="Arial" w:hAnsi="Arial" w:cs="Arial"/>
                <w:color w:val="000000"/>
              </w:rPr>
              <w:t>or</w:t>
            </w:r>
            <w:r w:rsidR="00AB2AF9">
              <w:rPr>
                <w:rFonts w:ascii="Arial" w:hAnsi="Arial" w:cs="Arial"/>
                <w:color w:val="000000"/>
              </w:rPr>
              <w:t xml:space="preserve"> current</w:t>
            </w:r>
            <w:r w:rsidR="00D82561" w:rsidRPr="00D82561">
              <w:rPr>
                <w:rFonts w:ascii="Arial" w:hAnsi="Arial" w:cs="Arial"/>
                <w:color w:val="000000"/>
              </w:rPr>
              <w:t xml:space="preserve"> third line diabetes agents and indicated that further sponsor consultation is required.</w:t>
            </w:r>
          </w:p>
          <w:p w:rsidR="005529F6" w:rsidRPr="00582304" w:rsidRDefault="005529F6" w:rsidP="00087AC9">
            <w:pPr>
              <w:jc w:val="both"/>
              <w:rPr>
                <w:rFonts w:ascii="Arial" w:hAnsi="Arial" w:cs="Arial"/>
                <w:iCs/>
              </w:rPr>
            </w:pPr>
          </w:p>
          <w:p w:rsidR="005529F6" w:rsidRPr="00582304" w:rsidRDefault="005529F6" w:rsidP="00087AC9">
            <w:pPr>
              <w:jc w:val="both"/>
              <w:rPr>
                <w:rFonts w:ascii="Arial" w:hAnsi="Arial" w:cs="Arial"/>
                <w:iCs/>
              </w:rPr>
            </w:pPr>
          </w:p>
          <w:p w:rsidR="005529F6" w:rsidRPr="00582304" w:rsidRDefault="005529F6" w:rsidP="00087AC9">
            <w:pPr>
              <w:jc w:val="both"/>
              <w:rPr>
                <w:rFonts w:ascii="Arial" w:hAnsi="Arial" w:cs="Arial"/>
                <w:iCs/>
              </w:rPr>
            </w:pPr>
          </w:p>
          <w:p w:rsidR="005529F6" w:rsidRPr="00582304" w:rsidRDefault="005529F6" w:rsidP="00087AC9">
            <w:pPr>
              <w:jc w:val="both"/>
              <w:rPr>
                <w:rFonts w:ascii="Arial" w:hAnsi="Arial" w:cs="Arial"/>
                <w:iCs/>
              </w:rPr>
            </w:pPr>
          </w:p>
          <w:p w:rsidR="005529F6" w:rsidRPr="00582304" w:rsidRDefault="005529F6" w:rsidP="00087AC9">
            <w:pPr>
              <w:jc w:val="both"/>
              <w:rPr>
                <w:rFonts w:ascii="Arial" w:hAnsi="Arial" w:cs="Arial"/>
                <w:iCs/>
              </w:rPr>
            </w:pPr>
            <w:bookmarkStart w:id="0" w:name="_GoBack"/>
            <w:bookmarkEnd w:id="0"/>
          </w:p>
        </w:tc>
      </w:tr>
      <w:tr w:rsidR="00834329" w:rsidRPr="00F609BF" w:rsidTr="00514470">
        <w:trPr>
          <w:trHeight w:val="1880"/>
        </w:trPr>
        <w:tc>
          <w:tcPr>
            <w:tcW w:w="3385" w:type="dxa"/>
            <w:tcMar>
              <w:top w:w="28" w:type="dxa"/>
              <w:bottom w:w="28" w:type="dxa"/>
            </w:tcMar>
          </w:tcPr>
          <w:p w:rsidR="00834329" w:rsidRPr="006F6D3E" w:rsidRDefault="00834329" w:rsidP="00E37CDD">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GOLIMUMAB, 50 mg/0.5 mL injection, 1 x 0.5 mL syringe</w:t>
            </w:r>
            <w:r>
              <w:rPr>
                <w:rFonts w:ascii="Arial" w:hAnsi="Arial" w:cs="Arial"/>
                <w:color w:val="000000"/>
                <w:sz w:val="20"/>
                <w:szCs w:val="20"/>
              </w:rPr>
              <w:t xml:space="preserve">, </w:t>
            </w:r>
            <w:r w:rsidRPr="006F6D3E">
              <w:rPr>
                <w:rFonts w:ascii="Arial" w:hAnsi="Arial" w:cs="Arial"/>
                <w:color w:val="000000"/>
                <w:sz w:val="20"/>
                <w:szCs w:val="20"/>
              </w:rPr>
              <w:t>Simponi</w:t>
            </w:r>
            <w:r w:rsidRPr="0059000C">
              <w:rPr>
                <w:rFonts w:ascii="Arial" w:hAnsi="Arial" w:cs="Arial"/>
                <w:color w:val="000000"/>
                <w:sz w:val="20"/>
                <w:szCs w:val="20"/>
                <w:vertAlign w:val="superscript"/>
              </w:rPr>
              <w:t>®</w:t>
            </w:r>
          </w:p>
          <w:p w:rsidR="00834329" w:rsidRPr="006F6D3E" w:rsidRDefault="00834329" w:rsidP="00E37CDD">
            <w:pPr>
              <w:pStyle w:val="NormalWeb"/>
              <w:spacing w:before="240" w:beforeAutospacing="0" w:after="240" w:afterAutospacing="0"/>
              <w:textAlignment w:val="baseline"/>
              <w:rPr>
                <w:rFonts w:ascii="Arial" w:hAnsi="Arial" w:cs="Arial"/>
                <w:color w:val="000000"/>
                <w:sz w:val="20"/>
                <w:szCs w:val="20"/>
              </w:rPr>
            </w:pPr>
          </w:p>
          <w:p w:rsidR="00834329" w:rsidRPr="006F6D3E" w:rsidRDefault="00834329" w:rsidP="00E37CDD">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 INFLIXIMAB, 100 mg injection, 1 x 100 mg vial, Remicade®</w:t>
            </w:r>
          </w:p>
          <w:p w:rsidR="00834329" w:rsidRPr="006F6D3E" w:rsidRDefault="00834329" w:rsidP="00E37CDD">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 </w:t>
            </w:r>
          </w:p>
          <w:p w:rsidR="00834329" w:rsidRPr="006F6D3E" w:rsidRDefault="00834329" w:rsidP="00E37CDD">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USTEKINUMAB, 45 mg/0.5 mL injection, 1 x 0.5 mL vial, Stelara®</w:t>
            </w:r>
          </w:p>
          <w:p w:rsidR="00834329" w:rsidRPr="006F6D3E" w:rsidRDefault="00834329" w:rsidP="00E37CDD">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lastRenderedPageBreak/>
              <w:t>Janssen-Cilag Pty Ltd</w:t>
            </w:r>
          </w:p>
          <w:p w:rsidR="00834329" w:rsidRPr="006F6D3E" w:rsidRDefault="00834329" w:rsidP="00E37CDD">
            <w:pPr>
              <w:pStyle w:val="NormalWeb"/>
              <w:spacing w:before="240" w:beforeAutospacing="0" w:after="240" w:afterAutospacing="0"/>
              <w:textAlignment w:val="baseline"/>
              <w:rPr>
                <w:rFonts w:ascii="Arial" w:hAnsi="Arial" w:cs="Arial"/>
                <w:color w:val="000000"/>
                <w:sz w:val="20"/>
                <w:szCs w:val="20"/>
              </w:rPr>
            </w:pPr>
            <w:r>
              <w:rPr>
                <w:rFonts w:ascii="Arial" w:hAnsi="Arial" w:cs="Arial"/>
                <w:color w:val="000000"/>
                <w:sz w:val="20"/>
                <w:szCs w:val="20"/>
              </w:rPr>
              <w:t>Change to listings</w:t>
            </w:r>
          </w:p>
          <w:p w:rsidR="00834329" w:rsidRPr="006F6D3E" w:rsidRDefault="00834329" w:rsidP="00E37CDD">
            <w:pPr>
              <w:pStyle w:val="NormalWeb"/>
              <w:spacing w:before="240" w:beforeAutospacing="0" w:after="240" w:afterAutospacing="0"/>
              <w:textAlignment w:val="baseline"/>
              <w:rPr>
                <w:rStyle w:val="st"/>
                <w:rFonts w:ascii="Arial" w:hAnsi="Arial" w:cs="Arial"/>
                <w:color w:val="000000"/>
                <w:sz w:val="20"/>
                <w:szCs w:val="20"/>
              </w:rPr>
            </w:pPr>
            <w:r w:rsidRPr="006F6D3E">
              <w:rPr>
                <w:rFonts w:ascii="Arial" w:hAnsi="Arial" w:cs="Arial"/>
                <w:color w:val="000000"/>
                <w:sz w:val="20"/>
                <w:szCs w:val="20"/>
              </w:rPr>
              <w:t>(Minor submission)</w:t>
            </w:r>
          </w:p>
        </w:tc>
        <w:tc>
          <w:tcPr>
            <w:tcW w:w="2112" w:type="dxa"/>
          </w:tcPr>
          <w:p w:rsidR="00834329" w:rsidRPr="006F6D3E" w:rsidRDefault="00834329" w:rsidP="00E37CDD">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lastRenderedPageBreak/>
              <w:t>Rheumatoid arthritis, ankylosing spondylitis, psoriatic arthritis, chronic plaque psoriasis, Crohn disease, ulcerative colitis</w:t>
            </w:r>
          </w:p>
        </w:tc>
        <w:tc>
          <w:tcPr>
            <w:tcW w:w="3231" w:type="dxa"/>
            <w:tcMar>
              <w:top w:w="28" w:type="dxa"/>
              <w:bottom w:w="28" w:type="dxa"/>
            </w:tcMar>
          </w:tcPr>
          <w:p w:rsidR="00834329" w:rsidRPr="006F6D3E" w:rsidRDefault="00834329" w:rsidP="00E37CDD">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Change to the second and subsequent continuing treatment authorities for golimumab, infliximab, and ustekinumab for all of their PBS-reimbursed indications from complex written authority to telephone authority items. </w:t>
            </w:r>
          </w:p>
          <w:p w:rsidR="00834329" w:rsidRPr="006F6D3E" w:rsidRDefault="00834329" w:rsidP="00E37CDD">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 xml:space="preserve">The submission also requests that the Department of Human Services provide electronic PBS authority application forms for electronic completion and record </w:t>
            </w:r>
            <w:r w:rsidRPr="006F6D3E">
              <w:rPr>
                <w:rFonts w:ascii="Arial" w:hAnsi="Arial" w:cs="Arial"/>
                <w:sz w:val="20"/>
                <w:szCs w:val="20"/>
              </w:rPr>
              <w:lastRenderedPageBreak/>
              <w:t>keeping purposes.</w:t>
            </w:r>
          </w:p>
        </w:tc>
        <w:tc>
          <w:tcPr>
            <w:tcW w:w="6865" w:type="dxa"/>
          </w:tcPr>
          <w:p w:rsidR="00834329" w:rsidRPr="006F6D3E" w:rsidRDefault="00834329" w:rsidP="00087AC9">
            <w:pPr>
              <w:jc w:val="both"/>
              <w:rPr>
                <w:rFonts w:ascii="Arial" w:hAnsi="Arial" w:cs="Arial"/>
              </w:rPr>
            </w:pPr>
            <w:r w:rsidRPr="006F6D3E">
              <w:rPr>
                <w:rFonts w:ascii="Arial" w:hAnsi="Arial" w:cs="Arial"/>
              </w:rPr>
              <w:lastRenderedPageBreak/>
              <w:t xml:space="preserve">The PBAC deferred the submission, noting that this matter would be considered in the context of the Post Market Review of PBS Authorities.  The PBAC agreed that the points raised by the sponsor merited further exploration, but considered that addressing these in a consolidated fashion in the context of the Review would be the most efficient approach.  </w:t>
            </w:r>
          </w:p>
          <w:p w:rsidR="00834329" w:rsidRPr="006F6D3E" w:rsidRDefault="00834329" w:rsidP="00087AC9">
            <w:pPr>
              <w:jc w:val="both"/>
              <w:rPr>
                <w:rFonts w:ascii="Arial" w:hAnsi="Arial" w:cs="Arial"/>
              </w:rPr>
            </w:pPr>
          </w:p>
          <w:p w:rsidR="00834329" w:rsidRPr="006F6D3E" w:rsidRDefault="00834329" w:rsidP="00087AC9">
            <w:pPr>
              <w:pStyle w:val="ListParagraph"/>
              <w:ind w:left="0"/>
              <w:jc w:val="both"/>
              <w:rPr>
                <w:rFonts w:ascii="Arial" w:hAnsi="Arial" w:cs="Arial"/>
                <w:sz w:val="20"/>
                <w:szCs w:val="20"/>
              </w:rPr>
            </w:pPr>
          </w:p>
        </w:tc>
      </w:tr>
      <w:tr w:rsidR="00834329" w:rsidRPr="00F609BF" w:rsidTr="00834329">
        <w:trPr>
          <w:trHeight w:val="477"/>
        </w:trPr>
        <w:tc>
          <w:tcPr>
            <w:tcW w:w="3385" w:type="dxa"/>
            <w:tcMar>
              <w:top w:w="28" w:type="dxa"/>
              <w:bottom w:w="28" w:type="dxa"/>
            </w:tcMar>
            <w:vAlign w:val="center"/>
          </w:tcPr>
          <w:p w:rsidR="00834329" w:rsidRPr="006F6D3E" w:rsidRDefault="00834329" w:rsidP="00E37CDD">
            <w:pPr>
              <w:widowControl w:val="0"/>
              <w:jc w:val="right"/>
              <w:rPr>
                <w:rFonts w:ascii="Arial" w:hAnsi="Arial" w:cs="Arial"/>
                <w:snapToGrid w:val="0"/>
                <w:lang w:eastAsia="en-US"/>
              </w:rPr>
            </w:pPr>
          </w:p>
        </w:tc>
        <w:tc>
          <w:tcPr>
            <w:tcW w:w="2112" w:type="dxa"/>
            <w:vAlign w:val="center"/>
          </w:tcPr>
          <w:p w:rsidR="00834329" w:rsidRPr="006F6D3E" w:rsidRDefault="00834329" w:rsidP="00E37CDD">
            <w:pPr>
              <w:widowControl w:val="0"/>
              <w:jc w:val="right"/>
              <w:rPr>
                <w:rFonts w:ascii="Arial" w:hAnsi="Arial" w:cs="Arial"/>
                <w:snapToGrid w:val="0"/>
                <w:lang w:eastAsia="en-US"/>
              </w:rPr>
            </w:pPr>
          </w:p>
        </w:tc>
        <w:tc>
          <w:tcPr>
            <w:tcW w:w="3231" w:type="dxa"/>
            <w:tcMar>
              <w:top w:w="28" w:type="dxa"/>
              <w:bottom w:w="28" w:type="dxa"/>
            </w:tcMar>
          </w:tcPr>
          <w:p w:rsidR="00834329" w:rsidRPr="006F6D3E" w:rsidRDefault="00834329" w:rsidP="00E37CDD">
            <w:pPr>
              <w:widowControl w:val="0"/>
              <w:jc w:val="right"/>
              <w:rPr>
                <w:rFonts w:ascii="Arial" w:hAnsi="Arial" w:cs="Arial"/>
                <w:snapToGrid w:val="0"/>
                <w:lang w:eastAsia="en-US"/>
              </w:rPr>
            </w:pPr>
            <w:r w:rsidRPr="006F6D3E">
              <w:rPr>
                <w:rFonts w:ascii="Arial" w:hAnsi="Arial" w:cs="Arial"/>
                <w:snapToGrid w:val="0"/>
                <w:lang w:eastAsia="en-US"/>
              </w:rPr>
              <w:t>Sponsor Comment:</w:t>
            </w:r>
          </w:p>
        </w:tc>
        <w:tc>
          <w:tcPr>
            <w:tcW w:w="6865" w:type="dxa"/>
          </w:tcPr>
          <w:p w:rsidR="00834329" w:rsidRPr="006F6D3E" w:rsidRDefault="006E2C37" w:rsidP="00087AC9">
            <w:pPr>
              <w:pStyle w:val="ListParagraph"/>
              <w:ind w:left="0"/>
              <w:jc w:val="both"/>
              <w:rPr>
                <w:rFonts w:ascii="Arial" w:hAnsi="Arial" w:cs="Arial"/>
                <w:sz w:val="20"/>
                <w:szCs w:val="20"/>
              </w:rPr>
            </w:pPr>
            <w:r>
              <w:rPr>
                <w:rFonts w:ascii="Arial" w:hAnsi="Arial" w:cs="Arial"/>
                <w:sz w:val="20"/>
                <w:szCs w:val="20"/>
              </w:rPr>
              <w:t xml:space="preserve">The sponsor had no comment. </w:t>
            </w:r>
          </w:p>
        </w:tc>
      </w:tr>
      <w:tr w:rsidR="00834329" w:rsidRPr="00F609BF" w:rsidTr="00D41AB6">
        <w:tc>
          <w:tcPr>
            <w:tcW w:w="3385" w:type="dxa"/>
            <w:tcMar>
              <w:top w:w="28" w:type="dxa"/>
              <w:bottom w:w="28" w:type="dxa"/>
            </w:tcMar>
          </w:tcPr>
          <w:p w:rsidR="00834329" w:rsidRPr="00582304" w:rsidRDefault="00834329" w:rsidP="00ED70EE">
            <w:pPr>
              <w:rPr>
                <w:rFonts w:ascii="Arial" w:hAnsi="Arial" w:cs="Arial"/>
              </w:rPr>
            </w:pPr>
            <w:r w:rsidRPr="00582304">
              <w:rPr>
                <w:rFonts w:ascii="Arial" w:hAnsi="Arial" w:cs="Arial"/>
              </w:rPr>
              <w:t>RUXOLITINIB,</w:t>
            </w:r>
            <w:r>
              <w:rPr>
                <w:rFonts w:ascii="Arial" w:hAnsi="Arial" w:cs="Arial"/>
              </w:rPr>
              <w:t xml:space="preserve"> tablets, 5 mg, 15 </w:t>
            </w:r>
            <w:r w:rsidRPr="00582304">
              <w:rPr>
                <w:rFonts w:ascii="Arial" w:hAnsi="Arial" w:cs="Arial"/>
              </w:rPr>
              <w:t xml:space="preserve">mg </w:t>
            </w:r>
            <w:r>
              <w:rPr>
                <w:rFonts w:ascii="Arial" w:hAnsi="Arial" w:cs="Arial"/>
              </w:rPr>
              <w:t>and</w:t>
            </w:r>
            <w:r w:rsidRPr="00582304">
              <w:rPr>
                <w:rFonts w:ascii="Arial" w:hAnsi="Arial" w:cs="Arial"/>
              </w:rPr>
              <w:t xml:space="preserve"> </w:t>
            </w:r>
            <w:r>
              <w:rPr>
                <w:rFonts w:ascii="Arial" w:hAnsi="Arial" w:cs="Arial"/>
              </w:rPr>
              <w:t>20 mg</w:t>
            </w:r>
            <w:r w:rsidRPr="00582304">
              <w:rPr>
                <w:rFonts w:ascii="Arial" w:hAnsi="Arial" w:cs="Arial"/>
              </w:rPr>
              <w:t>, Jakavi</w:t>
            </w:r>
            <w:r w:rsidRPr="00811AE7">
              <w:rPr>
                <w:rFonts w:ascii="Arial" w:hAnsi="Arial" w:cs="Arial"/>
                <w:vertAlign w:val="superscript"/>
              </w:rPr>
              <w:t>®</w:t>
            </w:r>
          </w:p>
          <w:p w:rsidR="00834329" w:rsidRPr="00582304" w:rsidRDefault="00834329" w:rsidP="00ED70EE">
            <w:pPr>
              <w:rPr>
                <w:rFonts w:ascii="Arial" w:hAnsi="Arial" w:cs="Arial"/>
              </w:rPr>
            </w:pPr>
          </w:p>
          <w:p w:rsidR="00834329" w:rsidRPr="00582304" w:rsidRDefault="00834329" w:rsidP="00ED70EE">
            <w:pPr>
              <w:rPr>
                <w:rFonts w:ascii="Arial" w:hAnsi="Arial" w:cs="Arial"/>
              </w:rPr>
            </w:pPr>
            <w:r w:rsidRPr="00582304">
              <w:rPr>
                <w:rFonts w:ascii="Arial" w:hAnsi="Arial" w:cs="Arial"/>
              </w:rPr>
              <w:t>Novartis Pharmaceuticals Australia Pty Ltd</w:t>
            </w:r>
          </w:p>
          <w:p w:rsidR="00834329" w:rsidRPr="00582304" w:rsidRDefault="00834329" w:rsidP="00ED70EE">
            <w:pPr>
              <w:rPr>
                <w:rFonts w:ascii="Arial" w:hAnsi="Arial" w:cs="Arial"/>
              </w:rPr>
            </w:pPr>
          </w:p>
          <w:p w:rsidR="00834329" w:rsidRDefault="00834329" w:rsidP="00ED70EE">
            <w:pPr>
              <w:rPr>
                <w:rFonts w:ascii="Arial" w:hAnsi="Arial" w:cs="Arial"/>
              </w:rPr>
            </w:pPr>
            <w:r>
              <w:rPr>
                <w:rFonts w:ascii="Arial" w:hAnsi="Arial" w:cs="Arial"/>
              </w:rPr>
              <w:t>New listing</w:t>
            </w:r>
          </w:p>
          <w:p w:rsidR="00834329" w:rsidRDefault="00834329" w:rsidP="00ED70EE">
            <w:pPr>
              <w:rPr>
                <w:rFonts w:ascii="Arial" w:hAnsi="Arial" w:cs="Arial"/>
              </w:rPr>
            </w:pPr>
          </w:p>
          <w:p w:rsidR="00834329" w:rsidRPr="00582304" w:rsidRDefault="00834329" w:rsidP="00ED70EE">
            <w:pPr>
              <w:rPr>
                <w:rFonts w:ascii="Arial" w:hAnsi="Arial" w:cs="Arial"/>
              </w:rPr>
            </w:pPr>
            <w:r>
              <w:rPr>
                <w:rFonts w:ascii="Arial" w:hAnsi="Arial" w:cs="Arial"/>
              </w:rPr>
              <w:t>(</w:t>
            </w:r>
            <w:r w:rsidRPr="00582304">
              <w:rPr>
                <w:rFonts w:ascii="Arial" w:hAnsi="Arial" w:cs="Arial"/>
              </w:rPr>
              <w:t>Major submission</w:t>
            </w:r>
            <w:r>
              <w:rPr>
                <w:rFonts w:ascii="Arial" w:hAnsi="Arial" w:cs="Arial"/>
              </w:rPr>
              <w:t>)</w:t>
            </w:r>
          </w:p>
          <w:p w:rsidR="00834329" w:rsidRPr="00582304" w:rsidRDefault="00834329" w:rsidP="00ED70EE">
            <w:pPr>
              <w:rPr>
                <w:rFonts w:ascii="Arial" w:hAnsi="Arial" w:cs="Arial"/>
              </w:rPr>
            </w:pPr>
          </w:p>
        </w:tc>
        <w:tc>
          <w:tcPr>
            <w:tcW w:w="2112" w:type="dxa"/>
            <w:tcMar>
              <w:top w:w="28" w:type="dxa"/>
              <w:bottom w:w="28" w:type="dxa"/>
            </w:tcMar>
          </w:tcPr>
          <w:p w:rsidR="00834329" w:rsidRPr="00582304" w:rsidRDefault="00834329" w:rsidP="00811AE7">
            <w:pPr>
              <w:jc w:val="both"/>
              <w:rPr>
                <w:rFonts w:ascii="Arial" w:hAnsi="Arial" w:cs="Arial"/>
              </w:rPr>
            </w:pPr>
            <w:r>
              <w:rPr>
                <w:rFonts w:ascii="Arial" w:hAnsi="Arial" w:cs="Arial"/>
              </w:rPr>
              <w:t>M</w:t>
            </w:r>
            <w:r w:rsidRPr="00582304">
              <w:rPr>
                <w:rFonts w:ascii="Arial" w:hAnsi="Arial" w:cs="Arial"/>
              </w:rPr>
              <w:t>yelofibrosis</w:t>
            </w:r>
          </w:p>
        </w:tc>
        <w:tc>
          <w:tcPr>
            <w:tcW w:w="3231" w:type="dxa"/>
            <w:tcMar>
              <w:top w:w="28" w:type="dxa"/>
              <w:bottom w:w="28" w:type="dxa"/>
            </w:tcMar>
          </w:tcPr>
          <w:p w:rsidR="00834329" w:rsidRPr="00582304" w:rsidRDefault="00834329" w:rsidP="00A822AE">
            <w:pPr>
              <w:jc w:val="both"/>
              <w:rPr>
                <w:rFonts w:ascii="Arial" w:hAnsi="Arial" w:cs="Arial"/>
              </w:rPr>
            </w:pPr>
            <w:r w:rsidRPr="00582304">
              <w:rPr>
                <w:rFonts w:ascii="Arial" w:hAnsi="Arial" w:cs="Arial"/>
              </w:rPr>
              <w:t>Authority required listing for the treatment of disease related symptoms or splenomegaly in patients with intermediate to high risk primary (idiopathic) myelofibrosis (MF), post-polycythemia MF and post-essential thrombocythemia MF who are resistant to, refractory to, intolerant of or not candidates for available therapy.</w:t>
            </w:r>
          </w:p>
        </w:tc>
        <w:tc>
          <w:tcPr>
            <w:tcW w:w="6865" w:type="dxa"/>
          </w:tcPr>
          <w:p w:rsidR="00834329" w:rsidRDefault="00834329" w:rsidP="00087AC9">
            <w:pPr>
              <w:jc w:val="both"/>
              <w:rPr>
                <w:rFonts w:ascii="Arial" w:hAnsi="Arial" w:cs="Arial"/>
              </w:rPr>
            </w:pPr>
            <w:r w:rsidRPr="00582304">
              <w:rPr>
                <w:rFonts w:ascii="Arial" w:hAnsi="Arial"/>
              </w:rPr>
              <w:t xml:space="preserve">The PBAC deferred the proposed </w:t>
            </w:r>
            <w:r w:rsidRPr="00582304">
              <w:rPr>
                <w:rFonts w:ascii="Arial" w:hAnsi="Arial" w:cs="Arial"/>
              </w:rPr>
              <w:t>Authority Required listing for ruxolitinib for second line management of myelofibrosis in patients satisfying certain clinical criteria due to a lack of clarity around the appropriate clinical place of ruxolitinib in Australian practice, concerns regarding the proposed restriction, and an unacceptably high price. Each of these matters precluded the committee from reaching a conclusion that ruxolitinib was cost-effective.</w:t>
            </w:r>
          </w:p>
          <w:p w:rsidR="00834329" w:rsidRDefault="00834329" w:rsidP="00087AC9">
            <w:pPr>
              <w:jc w:val="both"/>
              <w:rPr>
                <w:rFonts w:ascii="Arial" w:hAnsi="Arial" w:cs="Arial"/>
              </w:rPr>
            </w:pPr>
          </w:p>
          <w:p w:rsidR="00834329" w:rsidRPr="00A822AE" w:rsidRDefault="00834329" w:rsidP="00087AC9">
            <w:pPr>
              <w:jc w:val="both"/>
              <w:rPr>
                <w:rFonts w:ascii="Arial" w:hAnsi="Arial"/>
              </w:rPr>
            </w:pPr>
            <w:r w:rsidRPr="00A822AE">
              <w:rPr>
                <w:rFonts w:ascii="Arial" w:hAnsi="Arial"/>
              </w:rPr>
              <w:t>Based on the direct evidence presented by the resu</w:t>
            </w:r>
            <w:r>
              <w:rPr>
                <w:rFonts w:ascii="Arial" w:hAnsi="Arial"/>
              </w:rPr>
              <w:t>bmission, for every 100 </w:t>
            </w:r>
            <w:r w:rsidRPr="00A822AE">
              <w:rPr>
                <w:rFonts w:ascii="Arial" w:hAnsi="Arial"/>
              </w:rPr>
              <w:t xml:space="preserve">patients treated with ruxolitinib in comparison to placebo (PBO) or best available therapy (BAT): </w:t>
            </w:r>
          </w:p>
          <w:p w:rsidR="00834329" w:rsidRPr="00A822AE" w:rsidRDefault="00834329" w:rsidP="00087AC9">
            <w:pPr>
              <w:pStyle w:val="ListParagraph"/>
              <w:numPr>
                <w:ilvl w:val="0"/>
                <w:numId w:val="23"/>
              </w:numPr>
              <w:ind w:left="237" w:hanging="237"/>
              <w:jc w:val="both"/>
              <w:rPr>
                <w:rFonts w:ascii="Arial" w:hAnsi="Arial"/>
                <w:sz w:val="20"/>
                <w:szCs w:val="20"/>
              </w:rPr>
            </w:pPr>
            <w:r w:rsidRPr="00A822AE">
              <w:rPr>
                <w:rFonts w:ascii="Arial" w:hAnsi="Arial"/>
                <w:sz w:val="20"/>
                <w:szCs w:val="20"/>
              </w:rPr>
              <w:t xml:space="preserve">Approximately 41 additional patients who are intolerant or irresponsive to BAT would experience a spleen response over a maximum duration of follow-up of 24 weeks. </w:t>
            </w:r>
          </w:p>
          <w:p w:rsidR="00834329" w:rsidRPr="00A822AE" w:rsidRDefault="00834329" w:rsidP="00087AC9">
            <w:pPr>
              <w:pStyle w:val="ListParagraph"/>
              <w:numPr>
                <w:ilvl w:val="0"/>
                <w:numId w:val="23"/>
              </w:numPr>
              <w:ind w:left="237" w:hanging="237"/>
              <w:jc w:val="both"/>
              <w:rPr>
                <w:rFonts w:ascii="Arial" w:hAnsi="Arial"/>
                <w:sz w:val="20"/>
                <w:szCs w:val="20"/>
              </w:rPr>
            </w:pPr>
            <w:r w:rsidRPr="00A822AE">
              <w:rPr>
                <w:rFonts w:ascii="Arial" w:hAnsi="Arial"/>
                <w:sz w:val="20"/>
                <w:szCs w:val="20"/>
              </w:rPr>
              <w:t>Approximately 28 additional patients would experience a spleen response over the maximum duration of follow-up of 48 weeks, compared to BAT.</w:t>
            </w:r>
          </w:p>
          <w:p w:rsidR="00834329" w:rsidRPr="00A822AE" w:rsidRDefault="00834329" w:rsidP="00087AC9">
            <w:pPr>
              <w:pStyle w:val="ListParagraph"/>
              <w:numPr>
                <w:ilvl w:val="0"/>
                <w:numId w:val="23"/>
              </w:numPr>
              <w:ind w:left="237" w:hanging="237"/>
              <w:jc w:val="both"/>
              <w:rPr>
                <w:rFonts w:ascii="Arial" w:hAnsi="Arial"/>
                <w:sz w:val="20"/>
                <w:szCs w:val="20"/>
              </w:rPr>
            </w:pPr>
            <w:r w:rsidRPr="00A822AE">
              <w:rPr>
                <w:rFonts w:ascii="Arial" w:hAnsi="Arial"/>
                <w:sz w:val="20"/>
                <w:szCs w:val="20"/>
              </w:rPr>
              <w:t>Approximately 27 additional patients would experience at least one episode of anaemia over a median duration of follow-up of 144 weeks, compared to PBO or BAT.</w:t>
            </w:r>
          </w:p>
          <w:p w:rsidR="00834329" w:rsidRPr="00A822AE" w:rsidRDefault="00834329" w:rsidP="00087AC9">
            <w:pPr>
              <w:pStyle w:val="ListParagraph"/>
              <w:numPr>
                <w:ilvl w:val="0"/>
                <w:numId w:val="23"/>
              </w:numPr>
              <w:ind w:left="237" w:hanging="237"/>
              <w:jc w:val="both"/>
              <w:rPr>
                <w:rFonts w:ascii="Arial" w:hAnsi="Arial"/>
                <w:sz w:val="20"/>
                <w:szCs w:val="20"/>
              </w:rPr>
            </w:pPr>
            <w:r w:rsidRPr="00A822AE">
              <w:rPr>
                <w:rFonts w:ascii="Arial" w:hAnsi="Arial"/>
                <w:sz w:val="20"/>
                <w:szCs w:val="20"/>
              </w:rPr>
              <w:t>Approximately 39 additional patients would experience at least one episode of thrombocytopenia episode over a median duration of follow-up of 144 weeks, compared to PBO.</w:t>
            </w:r>
          </w:p>
          <w:p w:rsidR="00834329" w:rsidRPr="00A822AE" w:rsidRDefault="00834329" w:rsidP="00087AC9">
            <w:pPr>
              <w:pStyle w:val="ListParagraph"/>
              <w:numPr>
                <w:ilvl w:val="0"/>
                <w:numId w:val="23"/>
              </w:numPr>
              <w:ind w:left="237" w:hanging="237"/>
              <w:jc w:val="both"/>
              <w:rPr>
                <w:rFonts w:ascii="Arial" w:hAnsi="Arial"/>
                <w:sz w:val="20"/>
                <w:szCs w:val="20"/>
              </w:rPr>
            </w:pPr>
            <w:r w:rsidRPr="00A822AE">
              <w:rPr>
                <w:rFonts w:ascii="Arial" w:hAnsi="Arial"/>
                <w:sz w:val="20"/>
                <w:szCs w:val="20"/>
              </w:rPr>
              <w:t>Approximately 32 additional patients would experience at least one thrombocytopenia episode over a medi</w:t>
            </w:r>
            <w:r>
              <w:rPr>
                <w:rFonts w:ascii="Arial" w:hAnsi="Arial"/>
                <w:sz w:val="20"/>
                <w:szCs w:val="20"/>
              </w:rPr>
              <w:t>an duration of follow-up of 144 </w:t>
            </w:r>
            <w:r w:rsidRPr="00A822AE">
              <w:rPr>
                <w:rFonts w:ascii="Arial" w:hAnsi="Arial"/>
                <w:sz w:val="20"/>
                <w:szCs w:val="20"/>
              </w:rPr>
              <w:t>weeks, compared to BAT.</w:t>
            </w:r>
          </w:p>
          <w:p w:rsidR="00834329" w:rsidRPr="00A822AE" w:rsidRDefault="00834329" w:rsidP="00087AC9">
            <w:pPr>
              <w:pStyle w:val="ListParagraph"/>
              <w:numPr>
                <w:ilvl w:val="0"/>
                <w:numId w:val="23"/>
              </w:numPr>
              <w:ind w:left="237" w:hanging="237"/>
              <w:jc w:val="both"/>
              <w:rPr>
                <w:rFonts w:ascii="Arial" w:hAnsi="Arial"/>
                <w:sz w:val="20"/>
                <w:szCs w:val="20"/>
              </w:rPr>
            </w:pPr>
            <w:r w:rsidRPr="00A822AE">
              <w:rPr>
                <w:rFonts w:ascii="Arial" w:hAnsi="Arial"/>
                <w:sz w:val="20"/>
                <w:szCs w:val="20"/>
              </w:rPr>
              <w:t>Approximately 7 additional patients wil</w:t>
            </w:r>
            <w:r>
              <w:rPr>
                <w:rFonts w:ascii="Arial" w:hAnsi="Arial"/>
                <w:sz w:val="20"/>
                <w:szCs w:val="20"/>
              </w:rPr>
              <w:t>l be alive after 48 weeks and 9 </w:t>
            </w:r>
            <w:r w:rsidRPr="00A822AE">
              <w:rPr>
                <w:rFonts w:ascii="Arial" w:hAnsi="Arial"/>
                <w:sz w:val="20"/>
                <w:szCs w:val="20"/>
              </w:rPr>
              <w:t xml:space="preserve">additional patients at 112 weeks compared with PBO. Due to </w:t>
            </w:r>
            <w:r w:rsidRPr="00A822AE">
              <w:rPr>
                <w:rFonts w:ascii="Arial" w:hAnsi="Arial"/>
                <w:sz w:val="20"/>
                <w:szCs w:val="20"/>
              </w:rPr>
              <w:lastRenderedPageBreak/>
              <w:t>crossover of patients from PBO to ruxolitinib the degree of improvement in overall survival is uncertain, and may be greater than the observed estimates which are based on the intention-to-treat analyses.</w:t>
            </w:r>
          </w:p>
          <w:p w:rsidR="00834329" w:rsidRPr="00A822AE" w:rsidRDefault="00834329" w:rsidP="00087AC9">
            <w:pPr>
              <w:pStyle w:val="ListParagraph"/>
              <w:numPr>
                <w:ilvl w:val="0"/>
                <w:numId w:val="23"/>
              </w:numPr>
              <w:ind w:left="237" w:hanging="237"/>
              <w:jc w:val="both"/>
              <w:rPr>
                <w:rFonts w:ascii="Arial" w:hAnsi="Arial"/>
                <w:sz w:val="20"/>
                <w:szCs w:val="20"/>
              </w:rPr>
            </w:pPr>
            <w:r w:rsidRPr="00A822AE">
              <w:rPr>
                <w:rFonts w:ascii="Arial" w:hAnsi="Arial"/>
                <w:sz w:val="20"/>
                <w:szCs w:val="20"/>
              </w:rPr>
              <w:t xml:space="preserve">Approximately 8 additional patients will </w:t>
            </w:r>
            <w:r>
              <w:rPr>
                <w:rFonts w:ascii="Arial" w:hAnsi="Arial"/>
                <w:sz w:val="20"/>
                <w:szCs w:val="20"/>
              </w:rPr>
              <w:t>be alive after 112 weeks and 10 </w:t>
            </w:r>
            <w:r w:rsidRPr="00A822AE">
              <w:rPr>
                <w:rFonts w:ascii="Arial" w:hAnsi="Arial"/>
                <w:sz w:val="20"/>
                <w:szCs w:val="20"/>
              </w:rPr>
              <w:t>additional patients at 144 weeks compared with BAT. Due to crossover of patients from BAT to ruxolitinib the degree of improvement in overall survival is uncertain, and may be greater than the observed estimates which are based on the intention-to-treat analyses.</w:t>
            </w:r>
          </w:p>
          <w:p w:rsidR="00834329" w:rsidRPr="00582304" w:rsidRDefault="00834329" w:rsidP="00087AC9">
            <w:pPr>
              <w:jc w:val="both"/>
              <w:rPr>
                <w:rFonts w:ascii="Arial" w:hAnsi="Arial" w:cs="Arial"/>
              </w:rPr>
            </w:pPr>
          </w:p>
        </w:tc>
      </w:tr>
      <w:tr w:rsidR="00834329" w:rsidRPr="00F609BF" w:rsidTr="00D41AB6">
        <w:trPr>
          <w:cantSplit/>
          <w:trHeight w:val="816"/>
        </w:trPr>
        <w:tc>
          <w:tcPr>
            <w:tcW w:w="3385" w:type="dxa"/>
            <w:tcMar>
              <w:top w:w="28" w:type="dxa"/>
              <w:bottom w:w="28" w:type="dxa"/>
            </w:tcMar>
            <w:vAlign w:val="center"/>
          </w:tcPr>
          <w:p w:rsidR="00834329" w:rsidRPr="00582304" w:rsidRDefault="00834329" w:rsidP="0065234B">
            <w:pPr>
              <w:widowControl w:val="0"/>
              <w:jc w:val="right"/>
              <w:rPr>
                <w:rFonts w:ascii="Arial" w:hAnsi="Arial" w:cs="Arial"/>
                <w:snapToGrid w:val="0"/>
                <w:lang w:eastAsia="en-US"/>
              </w:rPr>
            </w:pPr>
          </w:p>
        </w:tc>
        <w:tc>
          <w:tcPr>
            <w:tcW w:w="2112" w:type="dxa"/>
            <w:vAlign w:val="center"/>
          </w:tcPr>
          <w:p w:rsidR="00834329" w:rsidRPr="00582304" w:rsidRDefault="00834329" w:rsidP="0065234B">
            <w:pPr>
              <w:widowControl w:val="0"/>
              <w:jc w:val="right"/>
              <w:rPr>
                <w:rFonts w:ascii="Arial" w:hAnsi="Arial" w:cs="Arial"/>
                <w:snapToGrid w:val="0"/>
                <w:lang w:eastAsia="en-US"/>
              </w:rPr>
            </w:pPr>
          </w:p>
        </w:tc>
        <w:tc>
          <w:tcPr>
            <w:tcW w:w="3231" w:type="dxa"/>
            <w:tcMar>
              <w:top w:w="28" w:type="dxa"/>
              <w:bottom w:w="28" w:type="dxa"/>
            </w:tcMar>
          </w:tcPr>
          <w:p w:rsidR="00834329" w:rsidRPr="00582304" w:rsidRDefault="00834329" w:rsidP="00834329">
            <w:pPr>
              <w:pStyle w:val="ListParagraph"/>
              <w:ind w:left="0"/>
              <w:jc w:val="right"/>
              <w:rPr>
                <w:rFonts w:ascii="Arial" w:hAnsi="Arial" w:cs="Arial"/>
                <w:sz w:val="20"/>
                <w:szCs w:val="20"/>
              </w:rPr>
            </w:pPr>
            <w:r w:rsidRPr="00582304">
              <w:rPr>
                <w:rFonts w:ascii="Arial" w:hAnsi="Arial" w:cs="Arial"/>
                <w:snapToGrid w:val="0"/>
                <w:sz w:val="20"/>
                <w:szCs w:val="20"/>
                <w:lang w:eastAsia="en-US"/>
              </w:rPr>
              <w:t>Sponsor Comment:</w:t>
            </w:r>
          </w:p>
        </w:tc>
        <w:tc>
          <w:tcPr>
            <w:tcW w:w="6865" w:type="dxa"/>
          </w:tcPr>
          <w:p w:rsidR="00834329" w:rsidRPr="00582304" w:rsidRDefault="006E2C37" w:rsidP="00087AC9">
            <w:pPr>
              <w:pStyle w:val="ListParagraph"/>
              <w:ind w:left="0"/>
              <w:jc w:val="both"/>
              <w:rPr>
                <w:rFonts w:ascii="Arial" w:hAnsi="Arial" w:cs="Arial"/>
                <w:iCs/>
                <w:sz w:val="20"/>
                <w:szCs w:val="20"/>
              </w:rPr>
            </w:pPr>
            <w:r>
              <w:rPr>
                <w:rFonts w:ascii="Arial" w:hAnsi="Arial" w:cs="Arial"/>
                <w:iCs/>
                <w:sz w:val="20"/>
                <w:szCs w:val="20"/>
              </w:rPr>
              <w:t xml:space="preserve">The sponsor had no comment. </w:t>
            </w:r>
          </w:p>
        </w:tc>
      </w:tr>
    </w:tbl>
    <w:p w:rsidR="00C26FE5" w:rsidRPr="00F609BF" w:rsidRDefault="00C26FE5" w:rsidP="0065234B">
      <w:pPr>
        <w:tabs>
          <w:tab w:val="left" w:pos="5210"/>
        </w:tabs>
        <w:rPr>
          <w:rFonts w:ascii="Arial" w:hAnsi="Arial" w:cs="Arial"/>
          <w:lang w:val="en-US"/>
        </w:rPr>
      </w:pPr>
    </w:p>
    <w:sectPr w:rsidR="00C26FE5" w:rsidRPr="00F609BF"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93" w:rsidRDefault="00436993">
      <w:r>
        <w:separator/>
      </w:r>
    </w:p>
  </w:endnote>
  <w:endnote w:type="continuationSeparator" w:id="0">
    <w:p w:rsidR="00436993" w:rsidRDefault="0043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286FA4">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A4" w:rsidRDefault="0028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93" w:rsidRDefault="00436993">
      <w:r>
        <w:separator/>
      </w:r>
    </w:p>
  </w:footnote>
  <w:footnote w:type="continuationSeparator" w:id="0">
    <w:p w:rsidR="00436993" w:rsidRDefault="0043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A4" w:rsidRDefault="00286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A4" w:rsidRDefault="00286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A4" w:rsidRDefault="00286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1">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9"/>
  </w:num>
  <w:num w:numId="5">
    <w:abstractNumId w:val="5"/>
  </w:num>
  <w:num w:numId="6">
    <w:abstractNumId w:val="2"/>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11"/>
  </w:num>
  <w:num w:numId="12">
    <w:abstractNumId w:val="13"/>
  </w:num>
  <w:num w:numId="13">
    <w:abstractNumId w:val="3"/>
  </w:num>
  <w:num w:numId="14">
    <w:abstractNumId w:val="12"/>
  </w:num>
  <w:num w:numId="15">
    <w:abstractNumId w:val="14"/>
  </w:num>
  <w:num w:numId="16">
    <w:abstractNumId w:val="10"/>
  </w:num>
  <w:num w:numId="17">
    <w:abstractNumId w:val="21"/>
  </w:num>
  <w:num w:numId="18">
    <w:abstractNumId w:val="22"/>
  </w:num>
  <w:num w:numId="19">
    <w:abstractNumId w:val="1"/>
  </w:num>
  <w:num w:numId="20">
    <w:abstractNumId w:val="6"/>
  </w:num>
  <w:num w:numId="21">
    <w:abstractNumId w:val="8"/>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6FA4"/>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993"/>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BB0E-3DE7-4F83-9504-3030C8F0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2014-08-21T14:14:00Z</dcterms:created>
  <dcterms:modified xsi:type="dcterms:W3CDTF">2014-08-21T14:14:00Z</dcterms:modified>
</cp:coreProperties>
</file>