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Pr="001B39E7" w:rsidRDefault="00464DA0" w:rsidP="001B39E7">
      <w:pPr>
        <w:pStyle w:val="Heading1"/>
        <w:rPr>
          <w:rFonts w:ascii="Arial" w:hAnsi="Arial" w:cs="Arial"/>
          <w:color w:val="auto"/>
          <w:sz w:val="32"/>
          <w:szCs w:val="32"/>
          <w:lang w:val="en-AU" w:eastAsia="en-AU"/>
        </w:rPr>
      </w:pPr>
      <w:r w:rsidRPr="001B39E7">
        <w:rPr>
          <w:rFonts w:ascii="Arial" w:hAnsi="Arial" w:cs="Arial"/>
          <w:color w:val="auto"/>
          <w:sz w:val="32"/>
          <w:szCs w:val="32"/>
          <w:lang w:val="en-AU" w:eastAsia="en-AU"/>
        </w:rPr>
        <w:t xml:space="preserve">PBAC CONSIDERATION OF THE </w:t>
      </w:r>
      <w:r w:rsidR="00D7136A" w:rsidRPr="001B39E7">
        <w:rPr>
          <w:rFonts w:ascii="Arial" w:hAnsi="Arial" w:cs="Arial"/>
          <w:color w:val="auto"/>
          <w:sz w:val="32"/>
          <w:szCs w:val="32"/>
          <w:lang w:val="en-AU" w:eastAsia="en-AU"/>
        </w:rPr>
        <w:t>REPORT</w:t>
      </w:r>
      <w:r w:rsidR="00267A9D" w:rsidRPr="001B39E7">
        <w:rPr>
          <w:rFonts w:ascii="Arial" w:hAnsi="Arial" w:cs="Arial"/>
          <w:color w:val="auto"/>
          <w:sz w:val="32"/>
          <w:szCs w:val="32"/>
          <w:lang w:val="en-AU" w:eastAsia="en-AU"/>
        </w:rPr>
        <w:t xml:space="preserve"> OF THE DRUG </w:t>
      </w:r>
      <w:r w:rsidR="00D7136A" w:rsidRPr="001B39E7">
        <w:rPr>
          <w:rFonts w:ascii="Arial" w:hAnsi="Arial" w:cs="Arial"/>
          <w:color w:val="auto"/>
          <w:sz w:val="32"/>
          <w:szCs w:val="32"/>
          <w:lang w:val="en-AU" w:eastAsia="en-AU"/>
        </w:rPr>
        <w:t>UTILISATION SUB-COMMITTEE</w:t>
      </w:r>
    </w:p>
    <w:p w:rsidR="00D7136A" w:rsidRPr="00EB6E0E" w:rsidRDefault="00D7136A" w:rsidP="00D7136A">
      <w:pPr>
        <w:jc w:val="both"/>
        <w:rPr>
          <w:rFonts w:ascii="Arial" w:hAnsi="Arial"/>
          <w:b/>
          <w:sz w:val="28"/>
          <w:szCs w:val="20"/>
          <w:lang w:val="en-AU" w:eastAsia="en-AU"/>
        </w:rPr>
      </w:pPr>
      <w:bookmarkStart w:id="0" w:name="_GoBack"/>
      <w:bookmarkEnd w:id="0"/>
    </w:p>
    <w:p w:rsidR="00D7136A" w:rsidRDefault="00D7136A" w:rsidP="00D7136A">
      <w:pPr>
        <w:contextualSpacing/>
        <w:jc w:val="both"/>
        <w:rPr>
          <w:rFonts w:ascii="Arial" w:hAnsi="Arial" w:cs="Arial"/>
          <w:sz w:val="22"/>
          <w:lang w:val="en-AU" w:eastAsia="en-AU"/>
        </w:rPr>
      </w:pPr>
      <w:r>
        <w:rPr>
          <w:rFonts w:ascii="Arial" w:hAnsi="Arial" w:cs="Arial"/>
          <w:sz w:val="22"/>
          <w:lang w:val="en-AU" w:eastAsia="en-AU"/>
        </w:rPr>
        <w:t>The PBAC noted utilisation reports with associated</w:t>
      </w:r>
      <w:r w:rsidRPr="00B94022">
        <w:rPr>
          <w:rFonts w:ascii="Arial" w:hAnsi="Arial" w:cs="Arial"/>
          <w:sz w:val="22"/>
          <w:lang w:val="en-AU" w:eastAsia="en-AU"/>
        </w:rPr>
        <w:t xml:space="preserve"> stakeholder responses </w:t>
      </w:r>
      <w:r>
        <w:rPr>
          <w:rFonts w:ascii="Arial" w:hAnsi="Arial" w:cs="Arial"/>
          <w:sz w:val="22"/>
          <w:lang w:val="en-AU" w:eastAsia="en-AU"/>
        </w:rPr>
        <w:t>from the October</w:t>
      </w:r>
      <w:r w:rsidRPr="00B94022">
        <w:rPr>
          <w:rFonts w:ascii="Arial" w:hAnsi="Arial" w:cs="Arial"/>
          <w:sz w:val="22"/>
          <w:lang w:val="en-AU" w:eastAsia="en-AU"/>
        </w:rPr>
        <w:t xml:space="preserve"> 2014 meeting</w:t>
      </w:r>
      <w:r>
        <w:rPr>
          <w:rFonts w:ascii="Arial" w:hAnsi="Arial" w:cs="Arial"/>
          <w:sz w:val="22"/>
          <w:lang w:val="en-AU" w:eastAsia="en-AU"/>
        </w:rPr>
        <w:t>, which</w:t>
      </w:r>
      <w:r w:rsidRPr="00B94022">
        <w:rPr>
          <w:rFonts w:ascii="Arial" w:hAnsi="Arial" w:cs="Arial"/>
          <w:sz w:val="22"/>
          <w:lang w:val="en-AU" w:eastAsia="en-AU"/>
        </w:rPr>
        <w:t xml:space="preserve"> were provided in Item 14.13 of the PBAC Agenda.</w:t>
      </w:r>
      <w:r>
        <w:rPr>
          <w:rFonts w:ascii="Arial" w:hAnsi="Arial" w:cs="Arial"/>
          <w:sz w:val="22"/>
          <w:lang w:val="en-AU" w:eastAsia="en-AU"/>
        </w:rPr>
        <w:t xml:space="preserve"> Minutes for these items were tabled. The October 2014 DUSC Outcome Statement is available from: </w:t>
      </w:r>
    </w:p>
    <w:p w:rsidR="00D7136A" w:rsidRDefault="00D7136A" w:rsidP="00D7136A">
      <w:pPr>
        <w:contextualSpacing/>
        <w:jc w:val="both"/>
        <w:rPr>
          <w:rFonts w:ascii="Arial" w:hAnsi="Arial" w:cs="Arial"/>
          <w:sz w:val="22"/>
          <w:lang w:val="en-AU" w:eastAsia="en-AU"/>
        </w:rPr>
      </w:pPr>
      <w:r w:rsidRPr="00677683">
        <w:rPr>
          <w:rFonts w:ascii="Arial" w:hAnsi="Arial" w:cs="Arial"/>
          <w:sz w:val="22"/>
          <w:lang w:val="en-AU" w:eastAsia="en-AU"/>
        </w:rPr>
        <w:t>http://www.pbs.gov.au/info/industry/listing/elements/dusc-meetings/dos</w:t>
      </w:r>
    </w:p>
    <w:p w:rsidR="00D7136A" w:rsidRDefault="00D7136A" w:rsidP="00D7136A">
      <w:pPr>
        <w:contextualSpacing/>
        <w:jc w:val="both"/>
        <w:rPr>
          <w:rFonts w:ascii="Arial" w:hAnsi="Arial" w:cs="Arial"/>
          <w:sz w:val="22"/>
          <w:lang w:val="en-AU" w:eastAsia="en-AU"/>
        </w:rPr>
      </w:pPr>
    </w:p>
    <w:p w:rsidR="00D7136A" w:rsidRDefault="00D7136A" w:rsidP="00D7136A">
      <w:pPr>
        <w:pStyle w:val="DepartmentalHeading2"/>
        <w:spacing w:before="0" w:after="0"/>
        <w:jc w:val="both"/>
        <w:rPr>
          <w:rFonts w:cs="Arial"/>
          <w:sz w:val="22"/>
          <w:szCs w:val="24"/>
        </w:rPr>
      </w:pPr>
      <w:r w:rsidRPr="00E54A06">
        <w:rPr>
          <w:rFonts w:cs="Arial"/>
          <w:sz w:val="22"/>
          <w:szCs w:val="24"/>
        </w:rPr>
        <w:t>Pregabalin</w:t>
      </w:r>
      <w:r>
        <w:rPr>
          <w:rFonts w:cs="Arial"/>
          <w:sz w:val="22"/>
          <w:szCs w:val="24"/>
        </w:rPr>
        <w:t xml:space="preserve"> for neuropathic pain</w:t>
      </w:r>
    </w:p>
    <w:p w:rsidR="00D7136A" w:rsidRDefault="00D7136A" w:rsidP="00D7136A">
      <w:pPr>
        <w:contextualSpacing/>
        <w:jc w:val="both"/>
        <w:rPr>
          <w:rFonts w:ascii="Arial" w:hAnsi="Arial" w:cs="Arial"/>
          <w:sz w:val="22"/>
          <w:lang w:val="en-AU" w:eastAsia="en-AU"/>
        </w:rPr>
      </w:pPr>
      <w:r>
        <w:rPr>
          <w:rFonts w:ascii="Arial" w:hAnsi="Arial" w:cs="Arial"/>
          <w:sz w:val="22"/>
          <w:lang w:val="en-AU" w:eastAsia="en-AU"/>
        </w:rPr>
        <w:t>The PBAC noted</w:t>
      </w:r>
      <w:r w:rsidRPr="006915E3">
        <w:rPr>
          <w:rFonts w:ascii="Arial" w:hAnsi="Arial" w:cs="Arial"/>
          <w:sz w:val="22"/>
          <w:lang w:val="en-AU" w:eastAsia="en-AU"/>
        </w:rPr>
        <w:t xml:space="preserve"> that </w:t>
      </w:r>
      <w:r>
        <w:rPr>
          <w:rFonts w:ascii="Arial" w:hAnsi="Arial" w:cs="Arial"/>
          <w:sz w:val="22"/>
          <w:lang w:val="en-AU" w:eastAsia="en-AU"/>
        </w:rPr>
        <w:t xml:space="preserve">while </w:t>
      </w:r>
      <w:r w:rsidRPr="006915E3">
        <w:rPr>
          <w:rFonts w:ascii="Arial" w:hAnsi="Arial" w:cs="Arial"/>
          <w:sz w:val="22"/>
          <w:lang w:val="en-AU" w:eastAsia="en-AU"/>
        </w:rPr>
        <w:t>more patients were supplied pregabalin through the PBS in the first year of listing than anticipated</w:t>
      </w:r>
      <w:r>
        <w:rPr>
          <w:rFonts w:ascii="Arial" w:hAnsi="Arial" w:cs="Arial"/>
          <w:sz w:val="22"/>
          <w:lang w:val="en-AU" w:eastAsia="en-AU"/>
        </w:rPr>
        <w:t>, t</w:t>
      </w:r>
      <w:r w:rsidRPr="006915E3">
        <w:rPr>
          <w:rFonts w:ascii="Arial" w:hAnsi="Arial" w:cs="Arial"/>
          <w:sz w:val="22"/>
          <w:lang w:val="en-AU" w:eastAsia="en-AU"/>
        </w:rPr>
        <w:t xml:space="preserve">he number of prescriptions dispensed </w:t>
      </w:r>
      <w:r>
        <w:rPr>
          <w:rFonts w:ascii="Arial" w:hAnsi="Arial" w:cs="Arial"/>
          <w:sz w:val="22"/>
          <w:lang w:val="en-AU" w:eastAsia="en-AU"/>
        </w:rPr>
        <w:t xml:space="preserve">was similar to expected. The PBAC noted that </w:t>
      </w:r>
      <w:r w:rsidRPr="006915E3">
        <w:rPr>
          <w:rFonts w:ascii="Arial" w:hAnsi="Arial" w:cs="Arial"/>
          <w:sz w:val="22"/>
          <w:lang w:val="en-AU" w:eastAsia="en-AU"/>
        </w:rPr>
        <w:t>utilisation is yet to stabilise</w:t>
      </w:r>
      <w:r>
        <w:rPr>
          <w:rFonts w:ascii="Arial" w:hAnsi="Arial" w:cs="Arial"/>
          <w:sz w:val="22"/>
          <w:lang w:val="en-AU" w:eastAsia="en-AU"/>
        </w:rPr>
        <w:t xml:space="preserve"> and i</w:t>
      </w:r>
      <w:r w:rsidRPr="006915E3">
        <w:rPr>
          <w:rFonts w:ascii="Arial" w:hAnsi="Arial" w:cs="Arial"/>
          <w:sz w:val="22"/>
          <w:lang w:val="en-AU" w:eastAsia="en-AU"/>
        </w:rPr>
        <w:t>t is unclear at this point in time how pregabalin is being used in clinical practice</w:t>
      </w:r>
      <w:r>
        <w:rPr>
          <w:rFonts w:ascii="Arial" w:hAnsi="Arial" w:cs="Arial"/>
          <w:sz w:val="22"/>
          <w:lang w:val="en-AU" w:eastAsia="en-AU"/>
        </w:rPr>
        <w:t>;</w:t>
      </w:r>
      <w:r w:rsidRPr="006915E3">
        <w:rPr>
          <w:rFonts w:ascii="Arial" w:hAnsi="Arial" w:cs="Arial"/>
          <w:sz w:val="22"/>
          <w:lang w:val="en-AU" w:eastAsia="en-AU"/>
        </w:rPr>
        <w:t xml:space="preserve"> including how long people remain on the medicine, doses prescribed, and whether pregabalin is add-on to or used instead of other medicines for neuropathic pain.</w:t>
      </w:r>
    </w:p>
    <w:p w:rsidR="00D7136A" w:rsidRDefault="00D7136A" w:rsidP="00D7136A">
      <w:pPr>
        <w:jc w:val="both"/>
        <w:rPr>
          <w:rFonts w:ascii="Arial" w:hAnsi="Arial" w:cs="Arial"/>
          <w:sz w:val="22"/>
          <w:lang w:val="en-AU" w:eastAsia="en-AU"/>
        </w:rPr>
      </w:pPr>
    </w:p>
    <w:p w:rsidR="00D7136A" w:rsidRPr="00557C3D" w:rsidRDefault="00D7136A" w:rsidP="00D7136A">
      <w:pPr>
        <w:contextualSpacing/>
        <w:jc w:val="both"/>
        <w:rPr>
          <w:rFonts w:ascii="Arial" w:hAnsi="Arial" w:cs="Arial"/>
          <w:sz w:val="22"/>
          <w:lang w:val="en-AU" w:eastAsia="en-AU"/>
        </w:rPr>
      </w:pPr>
      <w:r>
        <w:rPr>
          <w:rFonts w:ascii="Arial" w:hAnsi="Arial" w:cs="Arial"/>
          <w:sz w:val="22"/>
          <w:lang w:val="en-AU" w:eastAsia="en-AU"/>
        </w:rPr>
        <w:t xml:space="preserve">The PBAC agreed with the DUSC that </w:t>
      </w:r>
      <w:r w:rsidRPr="00557C3D">
        <w:rPr>
          <w:rFonts w:ascii="Arial" w:hAnsi="Arial" w:cs="Arial"/>
          <w:sz w:val="22"/>
          <w:lang w:val="en-AU" w:eastAsia="en-AU"/>
        </w:rPr>
        <w:t xml:space="preserve">a subsequent analysis of pregabalin </w:t>
      </w:r>
      <w:r w:rsidRPr="006915E3">
        <w:rPr>
          <w:rFonts w:ascii="Arial" w:hAnsi="Arial" w:cs="Arial"/>
          <w:sz w:val="22"/>
          <w:lang w:val="en-AU" w:eastAsia="en-AU"/>
        </w:rPr>
        <w:t xml:space="preserve">to understand utilisation patterns would be appropriate </w:t>
      </w:r>
      <w:r w:rsidRPr="00557C3D">
        <w:rPr>
          <w:rFonts w:ascii="Arial" w:hAnsi="Arial" w:cs="Arial"/>
          <w:sz w:val="22"/>
          <w:lang w:val="en-AU" w:eastAsia="en-AU"/>
        </w:rPr>
        <w:t xml:space="preserve">when 24 months of data </w:t>
      </w:r>
      <w:r>
        <w:rPr>
          <w:rFonts w:ascii="Arial" w:hAnsi="Arial" w:cs="Arial"/>
          <w:sz w:val="22"/>
          <w:lang w:val="en-AU" w:eastAsia="en-AU"/>
        </w:rPr>
        <w:t xml:space="preserve">are </w:t>
      </w:r>
      <w:r w:rsidRPr="00557C3D">
        <w:rPr>
          <w:rFonts w:ascii="Arial" w:hAnsi="Arial" w:cs="Arial"/>
          <w:sz w:val="22"/>
          <w:lang w:val="en-AU" w:eastAsia="en-AU"/>
        </w:rPr>
        <w:t>available.</w:t>
      </w:r>
    </w:p>
    <w:p w:rsidR="00D7136A" w:rsidRDefault="00D7136A" w:rsidP="00D7136A">
      <w:pPr>
        <w:contextualSpacing/>
        <w:jc w:val="both"/>
        <w:rPr>
          <w:rFonts w:ascii="Arial" w:hAnsi="Arial" w:cs="Arial"/>
          <w:sz w:val="22"/>
          <w:lang w:val="en-AU" w:eastAsia="en-AU"/>
        </w:rPr>
      </w:pPr>
    </w:p>
    <w:p w:rsidR="00D7136A" w:rsidRDefault="00D7136A" w:rsidP="00D7136A">
      <w:pPr>
        <w:pStyle w:val="DepartmentalHeading2"/>
        <w:spacing w:before="0" w:after="0"/>
        <w:jc w:val="both"/>
        <w:rPr>
          <w:rFonts w:cs="Arial"/>
          <w:sz w:val="22"/>
          <w:szCs w:val="24"/>
        </w:rPr>
      </w:pPr>
      <w:r w:rsidRPr="00E54A06">
        <w:rPr>
          <w:rFonts w:cs="Arial"/>
          <w:sz w:val="22"/>
          <w:szCs w:val="24"/>
        </w:rPr>
        <w:t xml:space="preserve">Exenatide </w:t>
      </w:r>
      <w:r>
        <w:rPr>
          <w:rFonts w:cs="Arial"/>
          <w:sz w:val="22"/>
          <w:szCs w:val="24"/>
        </w:rPr>
        <w:t>for type 2 diabetes</w:t>
      </w:r>
    </w:p>
    <w:p w:rsidR="00D7136A" w:rsidRDefault="00D7136A" w:rsidP="00D7136A">
      <w:pPr>
        <w:jc w:val="both"/>
        <w:rPr>
          <w:rFonts w:ascii="Arial" w:hAnsi="Arial" w:cs="Arial"/>
          <w:sz w:val="22"/>
          <w:lang w:val="en-AU" w:eastAsia="en-AU"/>
        </w:rPr>
      </w:pPr>
      <w:r>
        <w:rPr>
          <w:rFonts w:ascii="Arial" w:hAnsi="Arial" w:cs="Arial"/>
          <w:sz w:val="22"/>
          <w:lang w:val="en-AU" w:eastAsia="en-AU"/>
        </w:rPr>
        <w:t>The PBAC noted that t</w:t>
      </w:r>
      <w:r w:rsidRPr="000F411F">
        <w:rPr>
          <w:rFonts w:ascii="Arial" w:hAnsi="Arial" w:cs="Arial"/>
          <w:sz w:val="22"/>
          <w:lang w:val="en-AU" w:eastAsia="en-AU"/>
        </w:rPr>
        <w:t xml:space="preserve">he number of patients treated with exenatide in the first two years of listing was lower than predicted, however the expected number was reached in the third year. </w:t>
      </w:r>
      <w:r>
        <w:rPr>
          <w:rFonts w:ascii="Arial" w:hAnsi="Arial" w:cs="Arial"/>
          <w:sz w:val="22"/>
          <w:lang w:val="en-AU" w:eastAsia="en-AU"/>
        </w:rPr>
        <w:t xml:space="preserve">The PBAC noted </w:t>
      </w:r>
      <w:r w:rsidRPr="003B78ED">
        <w:rPr>
          <w:rFonts w:ascii="Arial" w:hAnsi="Arial" w:cs="Arial"/>
          <w:sz w:val="22"/>
          <w:lang w:val="en-AU" w:eastAsia="en-AU"/>
        </w:rPr>
        <w:t xml:space="preserve">that patterns of exenatide use are diverse and not all use is consistent with the PBS restrictions. The </w:t>
      </w:r>
      <w:r>
        <w:rPr>
          <w:rFonts w:ascii="Arial" w:hAnsi="Arial" w:cs="Arial"/>
          <w:sz w:val="22"/>
          <w:lang w:val="en-AU" w:eastAsia="en-AU"/>
        </w:rPr>
        <w:t xml:space="preserve">PBAC agreed with the </w:t>
      </w:r>
      <w:r w:rsidRPr="003B78ED">
        <w:rPr>
          <w:rFonts w:ascii="Arial" w:hAnsi="Arial" w:cs="Arial"/>
          <w:sz w:val="22"/>
          <w:lang w:val="en-AU" w:eastAsia="en-AU"/>
        </w:rPr>
        <w:t>DUSC that education may be required on the PBS prescribing criteria for exenatide.</w:t>
      </w:r>
    </w:p>
    <w:p w:rsidR="00D7136A" w:rsidRDefault="00D7136A" w:rsidP="00D7136A">
      <w:pPr>
        <w:jc w:val="both"/>
        <w:rPr>
          <w:rFonts w:ascii="Arial" w:hAnsi="Arial" w:cs="Arial"/>
          <w:sz w:val="22"/>
          <w:lang w:val="en-AU" w:eastAsia="en-AU"/>
        </w:rPr>
      </w:pPr>
    </w:p>
    <w:p w:rsidR="00D7136A" w:rsidRDefault="00D7136A" w:rsidP="00D7136A">
      <w:pPr>
        <w:pStyle w:val="DepartmentalHeading2"/>
        <w:spacing w:before="0" w:after="0"/>
        <w:jc w:val="both"/>
        <w:rPr>
          <w:rFonts w:cs="Arial"/>
          <w:sz w:val="22"/>
          <w:szCs w:val="24"/>
        </w:rPr>
      </w:pPr>
      <w:r>
        <w:rPr>
          <w:rFonts w:cs="Arial"/>
          <w:sz w:val="22"/>
          <w:szCs w:val="24"/>
        </w:rPr>
        <w:t>Novel oral anticoagulants</w:t>
      </w:r>
      <w:r w:rsidRPr="00E54A06">
        <w:rPr>
          <w:rFonts w:cs="Arial"/>
          <w:sz w:val="22"/>
          <w:szCs w:val="24"/>
        </w:rPr>
        <w:t xml:space="preserve"> for </w:t>
      </w:r>
      <w:r>
        <w:rPr>
          <w:rFonts w:cs="Arial"/>
          <w:sz w:val="22"/>
          <w:szCs w:val="24"/>
        </w:rPr>
        <w:t>venous thromboembolism</w:t>
      </w:r>
    </w:p>
    <w:p w:rsidR="00D7136A" w:rsidRDefault="00D7136A" w:rsidP="00D7136A">
      <w:pPr>
        <w:contextualSpacing/>
        <w:jc w:val="both"/>
        <w:rPr>
          <w:rFonts w:ascii="Arial" w:hAnsi="Arial" w:cs="Arial"/>
          <w:sz w:val="22"/>
          <w:lang w:val="en-AU" w:eastAsia="en-AU"/>
        </w:rPr>
      </w:pPr>
      <w:r>
        <w:rPr>
          <w:rFonts w:ascii="Arial" w:hAnsi="Arial" w:cs="Arial"/>
          <w:sz w:val="22"/>
          <w:lang w:val="en-AU" w:eastAsia="en-AU"/>
        </w:rPr>
        <w:t>The PBAC noted</w:t>
      </w:r>
      <w:r w:rsidRPr="00083595">
        <w:rPr>
          <w:rFonts w:ascii="Arial" w:hAnsi="Arial" w:cs="Arial"/>
          <w:sz w:val="22"/>
          <w:lang w:val="en-AU" w:eastAsia="en-AU"/>
        </w:rPr>
        <w:t xml:space="preserve"> that the use of rivaroxaban for </w:t>
      </w:r>
      <w:r>
        <w:rPr>
          <w:rFonts w:ascii="Arial" w:hAnsi="Arial" w:cs="Arial"/>
          <w:sz w:val="22"/>
          <w:lang w:val="en-AU" w:eastAsia="en-AU"/>
        </w:rPr>
        <w:t>deep vein thrombosis</w:t>
      </w:r>
      <w:r w:rsidRPr="00083595">
        <w:rPr>
          <w:rFonts w:ascii="Arial" w:hAnsi="Arial" w:cs="Arial"/>
          <w:sz w:val="22"/>
          <w:lang w:val="en-AU" w:eastAsia="en-AU"/>
        </w:rPr>
        <w:t xml:space="preserve"> was higher than predicted in the first year of PBS listing</w:t>
      </w:r>
      <w:r>
        <w:rPr>
          <w:rFonts w:ascii="Arial" w:hAnsi="Arial" w:cs="Arial"/>
          <w:sz w:val="22"/>
          <w:lang w:val="en-AU" w:eastAsia="en-AU"/>
        </w:rPr>
        <w:t>, which</w:t>
      </w:r>
      <w:r w:rsidRPr="00083595">
        <w:rPr>
          <w:rFonts w:ascii="Arial" w:hAnsi="Arial" w:cs="Arial"/>
          <w:sz w:val="22"/>
          <w:lang w:val="en-AU" w:eastAsia="en-AU"/>
        </w:rPr>
        <w:t xml:space="preserve"> could be due to underestimation of the incidence and/or uptake, longer duration of use than estimated, possible use outside of restriction (e</w:t>
      </w:r>
      <w:r>
        <w:rPr>
          <w:rFonts w:ascii="Arial" w:hAnsi="Arial" w:cs="Arial"/>
          <w:sz w:val="22"/>
          <w:lang w:val="en-AU" w:eastAsia="en-AU"/>
        </w:rPr>
        <w:t>.</w:t>
      </w:r>
      <w:r w:rsidRPr="00083595">
        <w:rPr>
          <w:rFonts w:ascii="Arial" w:hAnsi="Arial" w:cs="Arial"/>
          <w:sz w:val="22"/>
          <w:lang w:val="en-AU" w:eastAsia="en-AU"/>
        </w:rPr>
        <w:t>g</w:t>
      </w:r>
      <w:r>
        <w:rPr>
          <w:rFonts w:ascii="Arial" w:hAnsi="Arial" w:cs="Arial"/>
          <w:sz w:val="22"/>
          <w:lang w:val="en-AU" w:eastAsia="en-AU"/>
        </w:rPr>
        <w:t xml:space="preserve">. </w:t>
      </w:r>
      <w:r w:rsidRPr="00083595">
        <w:rPr>
          <w:rFonts w:ascii="Arial" w:hAnsi="Arial" w:cs="Arial"/>
          <w:sz w:val="22"/>
          <w:lang w:val="en-AU" w:eastAsia="en-AU"/>
        </w:rPr>
        <w:t>in post-surgical prophylaxis other than total hip and knee replacements),</w:t>
      </w:r>
      <w:r>
        <w:rPr>
          <w:rFonts w:ascii="Arial" w:hAnsi="Arial" w:cs="Arial"/>
          <w:sz w:val="22"/>
          <w:lang w:val="en-AU" w:eastAsia="en-AU"/>
        </w:rPr>
        <w:t xml:space="preserve"> or</w:t>
      </w:r>
      <w:r w:rsidRPr="00083595">
        <w:rPr>
          <w:rFonts w:ascii="Arial" w:hAnsi="Arial" w:cs="Arial"/>
          <w:sz w:val="22"/>
          <w:lang w:val="en-AU" w:eastAsia="en-AU"/>
        </w:rPr>
        <w:t xml:space="preserve"> incorrect streamlined code selection by the prescriber.</w:t>
      </w:r>
    </w:p>
    <w:p w:rsidR="00464DA0" w:rsidRDefault="00464DA0" w:rsidP="00D7136A">
      <w:pPr>
        <w:contextualSpacing/>
        <w:jc w:val="both"/>
        <w:rPr>
          <w:rFonts w:ascii="Arial" w:hAnsi="Arial" w:cs="Arial"/>
          <w:noProof/>
          <w:color w:val="000000"/>
          <w:sz w:val="22"/>
          <w:lang w:val="en-AU" w:eastAsia="en-AU"/>
        </w:rPr>
      </w:pPr>
    </w:p>
    <w:p w:rsidR="00D7136A" w:rsidRPr="003B78ED" w:rsidRDefault="00D7136A" w:rsidP="00D7136A">
      <w:pPr>
        <w:contextualSpacing/>
        <w:jc w:val="both"/>
        <w:rPr>
          <w:rFonts w:ascii="Arial" w:hAnsi="Arial" w:cs="Arial"/>
          <w:b/>
          <w:sz w:val="22"/>
          <w:lang w:val="en-AU" w:eastAsia="en-AU"/>
        </w:rPr>
      </w:pPr>
      <w:r w:rsidRPr="003B78ED">
        <w:rPr>
          <w:rFonts w:ascii="Arial" w:hAnsi="Arial" w:cs="Arial"/>
          <w:b/>
          <w:sz w:val="22"/>
          <w:lang w:val="en-AU" w:eastAsia="en-AU"/>
        </w:rPr>
        <w:t>Tobramycin</w:t>
      </w:r>
      <w:r>
        <w:rPr>
          <w:rFonts w:ascii="Arial" w:hAnsi="Arial" w:cs="Arial"/>
          <w:b/>
          <w:sz w:val="22"/>
          <w:lang w:val="en-AU" w:eastAsia="en-AU"/>
        </w:rPr>
        <w:t xml:space="preserve"> solution for inhalation for cystic fibrosis</w:t>
      </w:r>
    </w:p>
    <w:p w:rsidR="00D7136A" w:rsidRDefault="00D7136A" w:rsidP="00D7136A">
      <w:pPr>
        <w:contextualSpacing/>
        <w:jc w:val="both"/>
        <w:rPr>
          <w:rFonts w:ascii="Arial" w:hAnsi="Arial" w:cs="Arial"/>
          <w:sz w:val="22"/>
          <w:lang w:val="en-AU" w:eastAsia="en-AU"/>
        </w:rPr>
      </w:pPr>
      <w:r>
        <w:rPr>
          <w:rFonts w:ascii="Arial" w:hAnsi="Arial" w:cs="Arial"/>
          <w:sz w:val="22"/>
          <w:lang w:val="en-AU" w:eastAsia="en-AU"/>
        </w:rPr>
        <w:t xml:space="preserve">The PBAC noted that use is similar to predicted. The PBAC noted that while the patterns of treatment in patients aged 10 years and under are consistent with eradication protocols, patterns of treatment in patients aged 15 years and older were less clear. </w:t>
      </w:r>
    </w:p>
    <w:p w:rsidR="00D7136A" w:rsidRDefault="00D7136A" w:rsidP="00D7136A">
      <w:pPr>
        <w:contextualSpacing/>
        <w:jc w:val="both"/>
        <w:rPr>
          <w:rFonts w:ascii="Arial" w:hAnsi="Arial" w:cs="Arial"/>
          <w:sz w:val="22"/>
          <w:lang w:val="en-AU" w:eastAsia="en-AU"/>
        </w:rPr>
      </w:pPr>
    </w:p>
    <w:p w:rsidR="00D7136A" w:rsidRDefault="00D7136A" w:rsidP="00D7136A">
      <w:pPr>
        <w:jc w:val="both"/>
        <w:rPr>
          <w:rFonts w:ascii="Arial" w:hAnsi="Arial" w:cs="Arial"/>
          <w:sz w:val="22"/>
          <w:lang w:val="en-AU" w:eastAsia="en-AU"/>
        </w:rPr>
      </w:pPr>
      <w:r>
        <w:rPr>
          <w:rFonts w:ascii="Arial" w:hAnsi="Arial" w:cs="Arial"/>
          <w:sz w:val="22"/>
          <w:lang w:val="en-AU" w:eastAsia="en-AU"/>
        </w:rPr>
        <w:t xml:space="preserve">The PBAC agreed with the DUSC that the utilisation of </w:t>
      </w:r>
      <w:r w:rsidRPr="003B78ED">
        <w:rPr>
          <w:rFonts w:ascii="Arial" w:hAnsi="Arial" w:cs="Arial"/>
          <w:sz w:val="22"/>
          <w:lang w:val="en-AU" w:eastAsia="en-AU"/>
        </w:rPr>
        <w:t xml:space="preserve">tobramycin products for CF should be analysed when two years of utilisation data are available for Tobi </w:t>
      </w:r>
      <w:proofErr w:type="spellStart"/>
      <w:r w:rsidRPr="003B78ED">
        <w:rPr>
          <w:rFonts w:ascii="Arial" w:hAnsi="Arial" w:cs="Arial"/>
          <w:sz w:val="22"/>
          <w:lang w:val="en-AU" w:eastAsia="en-AU"/>
        </w:rPr>
        <w:t>Podhaler</w:t>
      </w:r>
      <w:proofErr w:type="spellEnd"/>
      <w:r w:rsidRPr="003B78ED">
        <w:rPr>
          <w:rFonts w:ascii="Arial" w:hAnsi="Arial" w:cs="Arial"/>
          <w:sz w:val="22"/>
          <w:lang w:val="en-AU" w:eastAsia="en-AU"/>
        </w:rPr>
        <w:t>®.</w:t>
      </w:r>
    </w:p>
    <w:p w:rsidR="00D7136A" w:rsidRDefault="00D7136A" w:rsidP="00D7136A">
      <w:pPr>
        <w:jc w:val="both"/>
        <w:rPr>
          <w:rFonts w:ascii="Arial" w:hAnsi="Arial" w:cs="Arial"/>
          <w:sz w:val="22"/>
          <w:lang w:val="en-AU" w:eastAsia="en-AU"/>
        </w:rPr>
      </w:pPr>
    </w:p>
    <w:p w:rsidR="00D7136A" w:rsidRPr="00E54A06" w:rsidRDefault="00D7136A" w:rsidP="00D7136A">
      <w:pPr>
        <w:pStyle w:val="DepartmentalHeading2"/>
        <w:spacing w:before="0" w:after="0"/>
        <w:jc w:val="both"/>
        <w:rPr>
          <w:rFonts w:cs="Arial"/>
          <w:sz w:val="22"/>
          <w:szCs w:val="24"/>
        </w:rPr>
      </w:pPr>
      <w:r w:rsidRPr="00E54A06">
        <w:rPr>
          <w:rFonts w:cs="Arial"/>
          <w:sz w:val="22"/>
          <w:szCs w:val="24"/>
        </w:rPr>
        <w:lastRenderedPageBreak/>
        <w:t>Dornase</w:t>
      </w:r>
      <w:r>
        <w:rPr>
          <w:rFonts w:cs="Arial"/>
          <w:sz w:val="22"/>
          <w:szCs w:val="24"/>
        </w:rPr>
        <w:t xml:space="preserve"> alfa</w:t>
      </w:r>
      <w:r w:rsidRPr="00E54A06">
        <w:rPr>
          <w:rFonts w:cs="Arial"/>
          <w:sz w:val="22"/>
          <w:szCs w:val="24"/>
        </w:rPr>
        <w:t xml:space="preserve"> and mannitol</w:t>
      </w:r>
      <w:r>
        <w:rPr>
          <w:rFonts w:cs="Arial"/>
          <w:sz w:val="22"/>
          <w:szCs w:val="24"/>
        </w:rPr>
        <w:t xml:space="preserve"> for cystic fibrosis</w:t>
      </w:r>
    </w:p>
    <w:p w:rsidR="00D7136A" w:rsidRDefault="00D7136A" w:rsidP="00D7136A">
      <w:pPr>
        <w:autoSpaceDE w:val="0"/>
        <w:autoSpaceDN w:val="0"/>
        <w:adjustRightInd w:val="0"/>
        <w:jc w:val="both"/>
        <w:rPr>
          <w:rFonts w:ascii="Arial" w:hAnsi="Arial" w:cs="Arial"/>
          <w:sz w:val="22"/>
          <w:lang w:val="en-AU" w:eastAsia="en-AU"/>
        </w:rPr>
      </w:pPr>
      <w:r w:rsidRPr="00A737AC">
        <w:rPr>
          <w:rFonts w:ascii="Arial" w:hAnsi="Arial" w:cs="Arial"/>
          <w:sz w:val="22"/>
          <w:lang w:val="en-AU" w:eastAsia="en-AU"/>
        </w:rPr>
        <w:t xml:space="preserve">The PBAC noted that the use of dornase alfa has increased steadily since 2004, while the use of mannitol is low. </w:t>
      </w:r>
    </w:p>
    <w:p w:rsidR="00D7136A" w:rsidRDefault="00D7136A" w:rsidP="00D7136A">
      <w:pPr>
        <w:autoSpaceDE w:val="0"/>
        <w:autoSpaceDN w:val="0"/>
        <w:adjustRightInd w:val="0"/>
        <w:jc w:val="both"/>
        <w:rPr>
          <w:rFonts w:ascii="Arial" w:hAnsi="Arial" w:cs="Arial"/>
          <w:sz w:val="22"/>
          <w:lang w:val="en-AU" w:eastAsia="en-AU"/>
        </w:rPr>
      </w:pPr>
    </w:p>
    <w:p w:rsidR="00D7136A" w:rsidRDefault="00D7136A" w:rsidP="00D7136A">
      <w:pPr>
        <w:autoSpaceDE w:val="0"/>
        <w:autoSpaceDN w:val="0"/>
        <w:adjustRightInd w:val="0"/>
        <w:jc w:val="both"/>
        <w:rPr>
          <w:rFonts w:ascii="Arial" w:hAnsi="Arial" w:cs="Arial"/>
          <w:sz w:val="22"/>
          <w:lang w:val="en-AU" w:eastAsia="en-AU"/>
        </w:rPr>
      </w:pPr>
      <w:r>
        <w:rPr>
          <w:rFonts w:ascii="Arial" w:hAnsi="Arial" w:cs="Arial"/>
          <w:sz w:val="22"/>
          <w:lang w:val="en-AU" w:eastAsia="en-AU"/>
        </w:rPr>
        <w:t>The PBAC agreed with DUSC that</w:t>
      </w:r>
      <w:r w:rsidRPr="00A737AC">
        <w:rPr>
          <w:rFonts w:ascii="Arial" w:hAnsi="Arial" w:cs="Arial"/>
          <w:sz w:val="22"/>
          <w:lang w:val="en-AU" w:eastAsia="en-AU"/>
        </w:rPr>
        <w:t xml:space="preserve"> advice </w:t>
      </w:r>
      <w:r>
        <w:rPr>
          <w:rFonts w:ascii="Arial" w:hAnsi="Arial" w:cs="Arial"/>
          <w:sz w:val="22"/>
          <w:lang w:val="en-AU" w:eastAsia="en-AU"/>
        </w:rPr>
        <w:t xml:space="preserve">should </w:t>
      </w:r>
      <w:r w:rsidRPr="00A737AC">
        <w:rPr>
          <w:rFonts w:ascii="Arial" w:hAnsi="Arial" w:cs="Arial"/>
          <w:sz w:val="22"/>
          <w:lang w:val="en-AU" w:eastAsia="en-AU"/>
        </w:rPr>
        <w:t>be sought from cystic fibrosis clinicians regarding the low uptake of mannitol</w:t>
      </w:r>
      <w:r>
        <w:rPr>
          <w:rFonts w:ascii="Arial" w:hAnsi="Arial" w:cs="Arial"/>
          <w:sz w:val="22"/>
          <w:lang w:val="en-AU" w:eastAsia="en-AU"/>
        </w:rPr>
        <w:t xml:space="preserve"> and cycling of treatments. The PBAC agreed to review this advice at a subsequent meeting.</w:t>
      </w:r>
    </w:p>
    <w:p w:rsidR="00D7136A" w:rsidRDefault="00D7136A" w:rsidP="00D7136A">
      <w:pPr>
        <w:jc w:val="both"/>
        <w:rPr>
          <w:rFonts w:ascii="Arial" w:hAnsi="Arial" w:cs="Arial"/>
          <w:sz w:val="22"/>
          <w:lang w:val="en-AU" w:eastAsia="en-AU"/>
        </w:rPr>
      </w:pPr>
    </w:p>
    <w:p w:rsidR="00D7136A" w:rsidRDefault="00D7136A" w:rsidP="00D7136A">
      <w:pPr>
        <w:pStyle w:val="DepartmentalHeading2"/>
        <w:spacing w:before="0" w:after="0"/>
        <w:jc w:val="both"/>
        <w:rPr>
          <w:rFonts w:cs="Arial"/>
          <w:sz w:val="22"/>
          <w:szCs w:val="24"/>
        </w:rPr>
      </w:pPr>
      <w:r w:rsidRPr="00E54A06">
        <w:rPr>
          <w:rFonts w:cs="Arial"/>
          <w:sz w:val="22"/>
          <w:szCs w:val="24"/>
        </w:rPr>
        <w:t>Ezetimibe with simvastatin</w:t>
      </w:r>
      <w:r>
        <w:rPr>
          <w:rFonts w:cs="Arial"/>
          <w:sz w:val="22"/>
          <w:szCs w:val="24"/>
        </w:rPr>
        <w:t xml:space="preserve"> fixed dose combination for hypercholesterolaemia</w:t>
      </w:r>
    </w:p>
    <w:p w:rsidR="00D7136A" w:rsidRPr="00A737AC" w:rsidRDefault="00D7136A" w:rsidP="00D7136A">
      <w:pPr>
        <w:jc w:val="both"/>
        <w:rPr>
          <w:rFonts w:ascii="Arial" w:hAnsi="Arial" w:cs="Arial"/>
          <w:sz w:val="22"/>
          <w:lang w:val="en-AU" w:eastAsia="en-AU"/>
        </w:rPr>
      </w:pPr>
      <w:r w:rsidRPr="00A737AC">
        <w:rPr>
          <w:rFonts w:ascii="Arial" w:hAnsi="Arial" w:cs="Arial"/>
          <w:sz w:val="22"/>
          <w:lang w:val="en-AU" w:eastAsia="en-AU"/>
        </w:rPr>
        <w:t xml:space="preserve">The PBAC noted that </w:t>
      </w:r>
      <w:r>
        <w:rPr>
          <w:rFonts w:ascii="Arial" w:hAnsi="Arial" w:cs="Arial"/>
          <w:sz w:val="22"/>
          <w:lang w:val="en-AU" w:eastAsia="en-AU"/>
        </w:rPr>
        <w:t>t</w:t>
      </w:r>
      <w:r w:rsidRPr="00A737AC">
        <w:rPr>
          <w:rFonts w:ascii="Arial" w:hAnsi="Arial" w:cs="Arial"/>
          <w:sz w:val="22"/>
          <w:lang w:val="en-AU" w:eastAsia="en-AU"/>
        </w:rPr>
        <w:t>he number of new patients commencing ezetimibe (plain or fixed dose combination presentation) is steady, with approximately 38,000 patients commencing treatment each year. At the end of 2013 over 200,000 patients were on treatment with ezetimibe. The PBAC agreed with the DUSC that clinical endpoint data outcomes from the IMPROVE-IT study will influence utilisation of ezetimibe in Australia in the future.</w:t>
      </w:r>
    </w:p>
    <w:p w:rsidR="00D7136A" w:rsidRDefault="00D7136A" w:rsidP="00D7136A">
      <w:pPr>
        <w:jc w:val="both"/>
        <w:rPr>
          <w:b/>
        </w:rPr>
      </w:pPr>
    </w:p>
    <w:p w:rsidR="00D7136A" w:rsidRPr="001B39E7" w:rsidRDefault="00D7136A" w:rsidP="001B39E7">
      <w:pPr>
        <w:rPr>
          <w:rFonts w:ascii="Arial" w:hAnsi="Arial" w:cs="Arial"/>
          <w:b/>
          <w:sz w:val="22"/>
          <w:szCs w:val="22"/>
        </w:rPr>
      </w:pPr>
      <w:r w:rsidRPr="001B39E7">
        <w:rPr>
          <w:rFonts w:ascii="Arial" w:hAnsi="Arial" w:cs="Arial"/>
          <w:b/>
          <w:sz w:val="22"/>
          <w:szCs w:val="22"/>
        </w:rPr>
        <w:t>Opioid analgesics</w:t>
      </w:r>
    </w:p>
    <w:p w:rsidR="00D7136A" w:rsidRPr="001B39E7" w:rsidRDefault="00D7136A" w:rsidP="001B39E7">
      <w:pPr>
        <w:rPr>
          <w:rFonts w:ascii="Arial" w:hAnsi="Arial" w:cs="Arial"/>
          <w:sz w:val="22"/>
          <w:szCs w:val="22"/>
        </w:rPr>
      </w:pPr>
      <w:r w:rsidRPr="001B39E7">
        <w:rPr>
          <w:rFonts w:ascii="Arial" w:hAnsi="Arial" w:cs="Arial"/>
          <w:sz w:val="22"/>
          <w:szCs w:val="22"/>
        </w:rPr>
        <w:t>The PBAC noted that the use of opioid analgesics, measured by prescription counts and Defined Daily Doses (DDDs) per 1000 population per day, continues to increase over time. The PBAC noted problems identified by DUSC in relation to the derivation of DDDs for some opioids, which mean the true extent of increasing strong opioid use in Australia may be underestimated by looking at DDDs/1000 population/day. The PBAC noted that DUSC will consider alternate measures of opioid utilisation to better understand use in persistent non-cancer pain, and provide this information to PBAC alongside tranche 3 of the Post-Market Review of Authority Required PBS listings.</w:t>
      </w:r>
    </w:p>
    <w:p w:rsidR="00D7136A" w:rsidRDefault="00D7136A" w:rsidP="001B39E7">
      <w:pPr>
        <w:rPr>
          <w:b/>
        </w:rPr>
      </w:pPr>
    </w:p>
    <w:p w:rsidR="00D7136A" w:rsidRDefault="00D7136A" w:rsidP="001B39E7">
      <w:r w:rsidRPr="00E54A06">
        <w:t>Antibiotics</w:t>
      </w:r>
    </w:p>
    <w:p w:rsidR="00D7136A" w:rsidRDefault="00D7136A" w:rsidP="00D7136A">
      <w:pPr>
        <w:jc w:val="both"/>
        <w:rPr>
          <w:bCs/>
        </w:rPr>
      </w:pPr>
      <w:r w:rsidRPr="00330244">
        <w:rPr>
          <w:rFonts w:ascii="Arial" w:hAnsi="Arial" w:cs="Arial"/>
          <w:sz w:val="22"/>
          <w:lang w:val="en-AU" w:eastAsia="en-AU"/>
        </w:rPr>
        <w:t xml:space="preserve">The PBAC noted the DUSC </w:t>
      </w:r>
      <w:r>
        <w:rPr>
          <w:rFonts w:ascii="Arial" w:hAnsi="Arial" w:cs="Arial"/>
          <w:sz w:val="22"/>
          <w:lang w:val="en-AU" w:eastAsia="en-AU"/>
        </w:rPr>
        <w:t>view</w:t>
      </w:r>
      <w:r w:rsidRPr="00330244">
        <w:rPr>
          <w:rFonts w:ascii="Arial" w:hAnsi="Arial" w:cs="Arial"/>
          <w:sz w:val="22"/>
          <w:lang w:val="en-AU" w:eastAsia="en-AU"/>
        </w:rPr>
        <w:t xml:space="preserve"> that community antibiotic supply is extensive, high relative to other OECD nations, and increasing in recent years</w:t>
      </w:r>
      <w:r>
        <w:rPr>
          <w:rFonts w:ascii="Arial" w:hAnsi="Arial" w:cs="Arial"/>
          <w:sz w:val="22"/>
          <w:lang w:val="en-AU" w:eastAsia="en-AU"/>
        </w:rPr>
        <w:t xml:space="preserve">. The PBAC agreed with the DUSC that </w:t>
      </w:r>
      <w:r w:rsidRPr="00330244">
        <w:rPr>
          <w:rFonts w:ascii="Arial" w:hAnsi="Arial" w:cs="Arial"/>
          <w:sz w:val="22"/>
          <w:lang w:val="en-AU" w:eastAsia="en-AU"/>
        </w:rPr>
        <w:t>that there is overuse of antibiotics at the population level.</w:t>
      </w:r>
    </w:p>
    <w:p w:rsidR="00D7136A" w:rsidRDefault="00D7136A" w:rsidP="00D7136A">
      <w:pPr>
        <w:jc w:val="both"/>
        <w:rPr>
          <w:bCs/>
        </w:rPr>
      </w:pPr>
    </w:p>
    <w:p w:rsidR="00D7136A" w:rsidRPr="00D47451" w:rsidRDefault="00D7136A" w:rsidP="00D7136A">
      <w:pPr>
        <w:jc w:val="both"/>
        <w:rPr>
          <w:rFonts w:ascii="Calibri" w:hAnsi="Calibri"/>
          <w:bCs/>
          <w:i/>
        </w:rPr>
      </w:pPr>
      <w:r>
        <w:rPr>
          <w:rFonts w:ascii="Arial" w:hAnsi="Arial" w:cs="Arial"/>
          <w:sz w:val="22"/>
          <w:lang w:val="en-AU" w:eastAsia="en-AU"/>
        </w:rPr>
        <w:t xml:space="preserve">The PBAC noted the suggestion from the DUSC that </w:t>
      </w:r>
      <w:r w:rsidRPr="00330244">
        <w:rPr>
          <w:rFonts w:ascii="Arial" w:hAnsi="Arial" w:cs="Arial"/>
          <w:sz w:val="22"/>
          <w:lang w:val="en-AU" w:eastAsia="en-AU"/>
        </w:rPr>
        <w:t>reducing the number of months that a prescription for an antibiotic remains valid</w:t>
      </w:r>
      <w:r>
        <w:rPr>
          <w:rFonts w:ascii="Arial" w:hAnsi="Arial" w:cs="Arial"/>
          <w:sz w:val="22"/>
          <w:lang w:val="en-AU" w:eastAsia="en-AU"/>
        </w:rPr>
        <w:t xml:space="preserve"> might be a way of reducing inappropriate use</w:t>
      </w:r>
      <w:r w:rsidRPr="00330244">
        <w:rPr>
          <w:rFonts w:ascii="Arial" w:hAnsi="Arial" w:cs="Arial"/>
          <w:sz w:val="22"/>
          <w:lang w:val="en-AU" w:eastAsia="en-AU"/>
        </w:rPr>
        <w:t>.</w:t>
      </w:r>
    </w:p>
    <w:p w:rsidR="00D7136A" w:rsidRPr="00D47451" w:rsidRDefault="00D7136A" w:rsidP="00D7136A">
      <w:pPr>
        <w:jc w:val="both"/>
        <w:rPr>
          <w:rFonts w:ascii="Calibri" w:hAnsi="Calibri"/>
          <w:bCs/>
          <w:i/>
        </w:rPr>
      </w:pPr>
    </w:p>
    <w:p w:rsidR="00D7136A" w:rsidRPr="00330244" w:rsidRDefault="00D7136A" w:rsidP="00D7136A">
      <w:pPr>
        <w:jc w:val="both"/>
        <w:rPr>
          <w:rFonts w:ascii="Arial" w:hAnsi="Arial" w:cs="Arial"/>
          <w:sz w:val="22"/>
          <w:lang w:val="en-AU" w:eastAsia="en-AU"/>
        </w:rPr>
      </w:pPr>
      <w:r w:rsidRPr="00330244">
        <w:rPr>
          <w:rFonts w:ascii="Arial" w:hAnsi="Arial" w:cs="Arial"/>
          <w:sz w:val="22"/>
          <w:lang w:val="en-AU" w:eastAsia="en-AU"/>
        </w:rPr>
        <w:t>The PBAC agreed that the analysis be published in a peer reviewed journal such as th</w:t>
      </w:r>
      <w:r>
        <w:rPr>
          <w:rFonts w:ascii="Arial" w:hAnsi="Arial" w:cs="Arial"/>
          <w:sz w:val="22"/>
          <w:lang w:val="en-AU" w:eastAsia="en-AU"/>
        </w:rPr>
        <w:t>e Medical Journal of Australia and</w:t>
      </w:r>
      <w:r w:rsidRPr="00330244">
        <w:rPr>
          <w:rFonts w:ascii="Arial" w:hAnsi="Arial" w:cs="Arial"/>
          <w:sz w:val="22"/>
          <w:lang w:val="en-AU" w:eastAsia="en-AU"/>
        </w:rPr>
        <w:t>/or as a Public Release Document on pbs.gov.au</w:t>
      </w:r>
    </w:p>
    <w:p w:rsidR="007F4E20" w:rsidRDefault="007F4E20"/>
    <w:sectPr w:rsidR="007F4E20" w:rsidSect="007A242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6C" w:rsidRDefault="00816A6C">
      <w:r>
        <w:separator/>
      </w:r>
    </w:p>
  </w:endnote>
  <w:endnote w:type="continuationSeparator" w:id="0">
    <w:p w:rsidR="00816A6C" w:rsidRDefault="0081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16" w:rsidRDefault="00034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1B39E7">
      <w:rPr>
        <w:rFonts w:ascii="Arial" w:hAnsi="Arial" w:cs="Arial"/>
        <w:noProof/>
        <w:sz w:val="22"/>
      </w:rPr>
      <w:t>1</w:t>
    </w:r>
    <w:r w:rsidRPr="004630FE">
      <w:rPr>
        <w:rFonts w:ascii="Arial" w:hAnsi="Arial" w:cs="Arial"/>
        <w:noProof/>
        <w:sz w:val="22"/>
      </w:rPr>
      <w:fldChar w:fldCharType="end"/>
    </w:r>
  </w:p>
  <w:p w:rsidR="004630FE" w:rsidRDefault="00463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16" w:rsidRDefault="00034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6C" w:rsidRDefault="00816A6C">
      <w:r>
        <w:separator/>
      </w:r>
    </w:p>
  </w:footnote>
  <w:footnote w:type="continuationSeparator" w:id="0">
    <w:p w:rsidR="00816A6C" w:rsidRDefault="0081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16" w:rsidRDefault="00034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4630FE" w:rsidP="004630FE">
    <w:pPr>
      <w:tabs>
        <w:tab w:val="center" w:pos="4153"/>
        <w:tab w:val="right" w:pos="8306"/>
      </w:tabs>
      <w:jc w:val="center"/>
      <w:rPr>
        <w:rFonts w:ascii="Arial" w:hAnsi="Arial" w:cs="Arial"/>
        <w:b/>
        <w:sz w:val="20"/>
      </w:rPr>
    </w:pPr>
    <w:r>
      <w:rPr>
        <w:rFonts w:ascii="Arial" w:hAnsi="Arial" w:cs="Arial"/>
        <w:b/>
        <w:sz w:val="20"/>
      </w:rPr>
      <w:t xml:space="preserve">NOVEMBER 2014 </w:t>
    </w:r>
    <w:r w:rsidRPr="00520B6E">
      <w:rPr>
        <w:rFonts w:ascii="Arial" w:hAnsi="Arial" w:cs="Arial"/>
        <w:b/>
        <w:sz w:val="20"/>
      </w:rPr>
      <w:t>PBAC M</w:t>
    </w:r>
    <w:r>
      <w:rPr>
        <w:rFonts w:ascii="Arial" w:hAnsi="Arial" w:cs="Arial"/>
        <w:b/>
        <w:sz w:val="20"/>
      </w:rPr>
      <w:t>EETING – CONSIDERATION OF THE</w:t>
    </w:r>
    <w:r w:rsidRPr="00520B6E">
      <w:rPr>
        <w:rFonts w:ascii="Arial" w:hAnsi="Arial" w:cs="Arial"/>
        <w:b/>
        <w:sz w:val="20"/>
      </w:rPr>
      <w:t xml:space="preserve"> </w:t>
    </w:r>
    <w:r>
      <w:rPr>
        <w:rFonts w:ascii="Arial" w:hAnsi="Arial" w:cs="Arial"/>
        <w:b/>
        <w:sz w:val="20"/>
      </w:rPr>
      <w:t>REPORT OF THE DRUG UTILISATION SUB</w:t>
    </w:r>
    <w:r>
      <w:rPr>
        <w:rFonts w:ascii="Arial" w:hAnsi="Arial" w:cs="Arial"/>
        <w:b/>
        <w:sz w:val="20"/>
      </w:rPr>
      <w:noBreakHyphen/>
      <w:t>COMMITTEE</w:t>
    </w:r>
  </w:p>
  <w:p w:rsidR="004630FE" w:rsidRDefault="004630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16" w:rsidRDefault="00034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1B39E7"/>
    <w:rsid w:val="00267A9D"/>
    <w:rsid w:val="004630FE"/>
    <w:rsid w:val="00464DA0"/>
    <w:rsid w:val="006102C6"/>
    <w:rsid w:val="00677683"/>
    <w:rsid w:val="007A2421"/>
    <w:rsid w:val="007F4E20"/>
    <w:rsid w:val="00816A6C"/>
    <w:rsid w:val="008545D1"/>
    <w:rsid w:val="00D47451"/>
    <w:rsid w:val="00D7136A"/>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1">
    <w:name w:val="heading 1"/>
    <w:basedOn w:val="Normal"/>
    <w:next w:val="Normal"/>
    <w:link w:val="Heading1Char"/>
    <w:uiPriority w:val="9"/>
    <w:qFormat/>
    <w:rsid w:val="001B3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character" w:customStyle="1" w:styleId="Heading1Char">
    <w:name w:val="Heading 1 Char"/>
    <w:basedOn w:val="DefaultParagraphFont"/>
    <w:link w:val="Heading1"/>
    <w:uiPriority w:val="9"/>
    <w:rsid w:val="001B39E7"/>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1">
    <w:name w:val="heading 1"/>
    <w:basedOn w:val="Normal"/>
    <w:next w:val="Normal"/>
    <w:link w:val="Heading1Char"/>
    <w:uiPriority w:val="9"/>
    <w:qFormat/>
    <w:rsid w:val="001B3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character" w:customStyle="1" w:styleId="Heading1Char">
    <w:name w:val="Heading 1 Char"/>
    <w:basedOn w:val="DefaultParagraphFont"/>
    <w:link w:val="Heading1"/>
    <w:uiPriority w:val="9"/>
    <w:rsid w:val="001B39E7"/>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2014-12-15T04:21:00Z</dcterms:created>
  <dcterms:modified xsi:type="dcterms:W3CDTF">2014-12-15T04:21:00Z</dcterms:modified>
</cp:coreProperties>
</file>