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13" w:type="dxa"/>
        <w:tblCellMar>
          <w:left w:w="54" w:type="dxa"/>
          <w:right w:w="54" w:type="dxa"/>
        </w:tblCellMar>
        <w:tblLook w:val="0000" w:firstRow="0" w:lastRow="0" w:firstColumn="0" w:lastColumn="0" w:noHBand="0" w:noVBand="0"/>
        <w:tblDescription w:val="November 2014 PBAC Outcomes - Reviews"/>
      </w:tblPr>
      <w:tblGrid>
        <w:gridCol w:w="2510"/>
        <w:gridCol w:w="2154"/>
        <w:gridCol w:w="4550"/>
        <w:gridCol w:w="5365"/>
      </w:tblGrid>
      <w:tr w:rsidR="0093183A" w:rsidRPr="001C32F3" w:rsidTr="005A2A37">
        <w:trPr>
          <w:cantSplit/>
          <w:trHeight w:val="694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2F3" w:rsidRPr="0043274C" w:rsidRDefault="00D876C2" w:rsidP="001C32F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0"/>
              </w:rPr>
            </w:pPr>
            <w:bookmarkStart w:id="0" w:name="_Toc329155492"/>
            <w:r w:rsidRPr="0043274C">
              <w:rPr>
                <w:rFonts w:ascii="Arial" w:hAnsi="Arial" w:cs="Arial"/>
                <w:b/>
                <w:snapToGrid w:val="0"/>
                <w:sz w:val="20"/>
              </w:rPr>
              <w:t>DRUG, SPONSOR, TYPE OF SUBMISSION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2F3" w:rsidRPr="0043274C" w:rsidRDefault="00D876C2" w:rsidP="001C32F3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snapToGrid w:val="0"/>
                <w:sz w:val="20"/>
                <w:lang w:val="en-US" w:eastAsia="en-US"/>
              </w:rPr>
            </w:pPr>
            <w:r w:rsidRPr="0043274C">
              <w:rPr>
                <w:rFonts w:ascii="Arial" w:hAnsi="Arial" w:cs="Arial"/>
                <w:b/>
                <w:snapToGrid w:val="0"/>
                <w:sz w:val="20"/>
                <w:lang w:val="en-US" w:eastAsia="en-US"/>
              </w:rPr>
              <w:t>DRUG TYPE OR USE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2F3" w:rsidRPr="0043274C" w:rsidRDefault="00DA7E76" w:rsidP="001C32F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3274C">
              <w:rPr>
                <w:rFonts w:ascii="Arial" w:hAnsi="Arial" w:cs="Arial"/>
                <w:b/>
                <w:sz w:val="20"/>
              </w:rPr>
              <w:t>PURPOSE OF REVIEW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2F3" w:rsidRPr="0043274C" w:rsidRDefault="00D876C2" w:rsidP="001C32F3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snapToGrid w:val="0"/>
                <w:sz w:val="20"/>
                <w:lang w:eastAsia="en-US"/>
              </w:rPr>
            </w:pPr>
            <w:r w:rsidRPr="0043274C">
              <w:rPr>
                <w:rFonts w:ascii="Arial" w:hAnsi="Arial" w:cs="Arial"/>
                <w:b/>
                <w:snapToGrid w:val="0"/>
                <w:sz w:val="20"/>
                <w:lang w:eastAsia="en-US"/>
              </w:rPr>
              <w:t>PBAC OUTCOME</w:t>
            </w:r>
          </w:p>
        </w:tc>
      </w:tr>
      <w:tr w:rsidR="00841434" w:rsidRPr="00041AB9" w:rsidTr="002D7356">
        <w:trPr>
          <w:trHeight w:val="977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434" w:rsidRPr="00B93D7E" w:rsidRDefault="00841434" w:rsidP="00E0250B">
            <w:pPr>
              <w:widowControl w:val="0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  <w:r w:rsidRPr="00B93D7E">
              <w:rPr>
                <w:rFonts w:ascii="Arial" w:hAnsi="Arial" w:cs="Arial"/>
                <w:b/>
                <w:snapToGrid w:val="0"/>
                <w:color w:val="000000"/>
                <w:sz w:val="20"/>
              </w:rPr>
              <w:t>EZETIMIBE + SIMVASTATIN</w:t>
            </w:r>
          </w:p>
          <w:p w:rsidR="00841434" w:rsidRPr="00E0250B" w:rsidRDefault="00841434" w:rsidP="00E0250B">
            <w:pPr>
              <w:widowControl w:val="0"/>
              <w:rPr>
                <w:rFonts w:ascii="Arial" w:hAnsi="Arial" w:cs="Arial"/>
                <w:snapToGrid w:val="0"/>
                <w:color w:val="000000"/>
                <w:sz w:val="20"/>
              </w:rPr>
            </w:pPr>
            <w:proofErr w:type="spellStart"/>
            <w:r w:rsidRPr="00E0250B">
              <w:rPr>
                <w:rFonts w:ascii="Arial" w:hAnsi="Arial" w:cs="Arial"/>
                <w:snapToGrid w:val="0"/>
                <w:color w:val="000000"/>
                <w:sz w:val="20"/>
              </w:rPr>
              <w:t>ezetimibe</w:t>
            </w:r>
            <w:proofErr w:type="spellEnd"/>
            <w:r w:rsidRPr="00E0250B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10 mg + simvastatin 10 mg tablet, 30</w:t>
            </w:r>
          </w:p>
          <w:p w:rsidR="00841434" w:rsidRPr="00E0250B" w:rsidRDefault="00841434" w:rsidP="00E0250B">
            <w:pPr>
              <w:widowControl w:val="0"/>
              <w:rPr>
                <w:rFonts w:ascii="Arial" w:hAnsi="Arial" w:cs="Arial"/>
                <w:snapToGrid w:val="0"/>
                <w:color w:val="000000"/>
                <w:sz w:val="20"/>
              </w:rPr>
            </w:pPr>
            <w:proofErr w:type="spellStart"/>
            <w:r w:rsidRPr="00E0250B">
              <w:rPr>
                <w:rFonts w:ascii="Arial" w:hAnsi="Arial" w:cs="Arial"/>
                <w:snapToGrid w:val="0"/>
                <w:color w:val="000000"/>
                <w:sz w:val="20"/>
              </w:rPr>
              <w:t>ezetimibe</w:t>
            </w:r>
            <w:proofErr w:type="spellEnd"/>
            <w:r w:rsidRPr="00E0250B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10 mg + simvastatin 20 mg tablet, 30</w:t>
            </w:r>
          </w:p>
          <w:p w:rsidR="00841434" w:rsidRPr="00E0250B" w:rsidRDefault="00841434" w:rsidP="00E0250B">
            <w:pPr>
              <w:widowControl w:val="0"/>
              <w:rPr>
                <w:rFonts w:ascii="Arial" w:hAnsi="Arial" w:cs="Arial"/>
                <w:snapToGrid w:val="0"/>
                <w:color w:val="000000"/>
                <w:sz w:val="20"/>
              </w:rPr>
            </w:pPr>
            <w:proofErr w:type="spellStart"/>
            <w:r w:rsidRPr="00E0250B">
              <w:rPr>
                <w:rFonts w:ascii="Arial" w:hAnsi="Arial" w:cs="Arial"/>
                <w:snapToGrid w:val="0"/>
                <w:color w:val="000000"/>
                <w:sz w:val="20"/>
              </w:rPr>
              <w:t>ezetimibe</w:t>
            </w:r>
            <w:proofErr w:type="spellEnd"/>
            <w:r w:rsidRPr="00E0250B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10 mg + simvastatin 40 mg tablet, 30</w:t>
            </w:r>
          </w:p>
          <w:p w:rsidR="00841434" w:rsidRPr="00E0250B" w:rsidRDefault="00841434" w:rsidP="00E0250B">
            <w:pPr>
              <w:widowControl w:val="0"/>
              <w:rPr>
                <w:rFonts w:ascii="Arial" w:hAnsi="Arial" w:cs="Arial"/>
                <w:snapToGrid w:val="0"/>
                <w:color w:val="000000"/>
                <w:sz w:val="20"/>
              </w:rPr>
            </w:pPr>
            <w:proofErr w:type="spellStart"/>
            <w:r w:rsidRPr="00E0250B">
              <w:rPr>
                <w:rFonts w:ascii="Arial" w:hAnsi="Arial" w:cs="Arial"/>
                <w:snapToGrid w:val="0"/>
                <w:color w:val="000000"/>
                <w:sz w:val="20"/>
              </w:rPr>
              <w:t>ezetimibe</w:t>
            </w:r>
            <w:proofErr w:type="spellEnd"/>
            <w:r w:rsidRPr="00E0250B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10 mg + simvastatin 80 mg tablet, 30</w:t>
            </w:r>
          </w:p>
          <w:p w:rsidR="00841434" w:rsidRPr="00E0250B" w:rsidRDefault="00841434" w:rsidP="00E0250B">
            <w:pPr>
              <w:widowControl w:val="0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E0250B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</w:t>
            </w:r>
          </w:p>
          <w:p w:rsidR="00841434" w:rsidRPr="00E0250B" w:rsidRDefault="00841434" w:rsidP="00E0250B">
            <w:pPr>
              <w:widowControl w:val="0"/>
              <w:rPr>
                <w:rFonts w:ascii="Arial" w:hAnsi="Arial" w:cs="Arial"/>
                <w:snapToGrid w:val="0"/>
                <w:color w:val="000000"/>
                <w:sz w:val="20"/>
              </w:rPr>
            </w:pPr>
            <w:proofErr w:type="spellStart"/>
            <w:r w:rsidRPr="00E0250B">
              <w:rPr>
                <w:rFonts w:ascii="Arial" w:hAnsi="Arial" w:cs="Arial"/>
                <w:snapToGrid w:val="0"/>
                <w:color w:val="000000"/>
                <w:sz w:val="20"/>
              </w:rPr>
              <w:t>Vytorin</w:t>
            </w:r>
            <w:proofErr w:type="spellEnd"/>
            <w:r w:rsidRPr="00E0250B">
              <w:rPr>
                <w:rFonts w:ascii="Arial" w:hAnsi="Arial" w:cs="Arial"/>
                <w:snapToGrid w:val="0"/>
                <w:color w:val="000000"/>
                <w:sz w:val="20"/>
              </w:rPr>
              <w:t>®</w:t>
            </w:r>
          </w:p>
          <w:p w:rsidR="00841434" w:rsidRPr="00E0250B" w:rsidRDefault="00841434" w:rsidP="00E0250B">
            <w:pPr>
              <w:widowControl w:val="0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  <w:p w:rsidR="00841434" w:rsidRPr="00E0250B" w:rsidRDefault="00841434" w:rsidP="00E0250B">
            <w:pPr>
              <w:widowControl w:val="0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E0250B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Merck Sharp and </w:t>
            </w:r>
            <w:proofErr w:type="spellStart"/>
            <w:r w:rsidRPr="00E0250B">
              <w:rPr>
                <w:rFonts w:ascii="Arial" w:hAnsi="Arial" w:cs="Arial"/>
                <w:snapToGrid w:val="0"/>
                <w:color w:val="000000"/>
                <w:sz w:val="20"/>
              </w:rPr>
              <w:t>Dohme</w:t>
            </w:r>
            <w:proofErr w:type="spellEnd"/>
            <w:r w:rsidRPr="00E0250B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(Australia) Pty Ltd</w:t>
            </w:r>
          </w:p>
          <w:p w:rsidR="00841434" w:rsidRDefault="00841434" w:rsidP="008B0091">
            <w:pPr>
              <w:widowControl w:val="0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  <w:p w:rsidR="00841434" w:rsidRPr="00E0250B" w:rsidRDefault="00841434" w:rsidP="00E0250B">
            <w:pPr>
              <w:widowControl w:val="0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E0250B">
              <w:rPr>
                <w:rFonts w:ascii="Arial" w:hAnsi="Arial" w:cs="Arial"/>
                <w:snapToGrid w:val="0"/>
                <w:color w:val="000000"/>
                <w:sz w:val="20"/>
              </w:rPr>
              <w:t>PBS review</w:t>
            </w:r>
          </w:p>
          <w:p w:rsidR="00841434" w:rsidRDefault="00841434" w:rsidP="00E0250B">
            <w:pPr>
              <w:widowControl w:val="0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  <w:p w:rsidR="00841434" w:rsidRPr="00E0250B" w:rsidRDefault="00841434" w:rsidP="00E0250B">
            <w:pPr>
              <w:widowControl w:val="0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E0250B">
              <w:rPr>
                <w:rFonts w:ascii="Arial" w:hAnsi="Arial" w:cs="Arial"/>
                <w:snapToGrid w:val="0"/>
                <w:color w:val="000000"/>
                <w:sz w:val="20"/>
              </w:rPr>
              <w:t>(Major Submission)</w:t>
            </w:r>
          </w:p>
          <w:p w:rsidR="00841434" w:rsidRPr="00326D33" w:rsidRDefault="00841434" w:rsidP="008B0091">
            <w:pPr>
              <w:widowControl w:val="0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434" w:rsidRPr="00326D33" w:rsidRDefault="00841434" w:rsidP="00B005AC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color w:val="000000"/>
                <w:sz w:val="20"/>
                <w:lang w:val="en-US" w:eastAsia="en-US"/>
              </w:rPr>
            </w:pPr>
            <w:proofErr w:type="spellStart"/>
            <w:r w:rsidRPr="00E0250B">
              <w:rPr>
                <w:rFonts w:ascii="Arial" w:hAnsi="Arial" w:cs="Arial"/>
                <w:snapToGrid w:val="0"/>
                <w:color w:val="000000"/>
                <w:sz w:val="20"/>
                <w:lang w:val="en-US" w:eastAsia="en-US"/>
              </w:rPr>
              <w:t>Hypercholesterolaemia</w:t>
            </w:r>
            <w:proofErr w:type="spellEnd"/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34" w:rsidRPr="00326D33" w:rsidRDefault="00841434" w:rsidP="009D3C00">
            <w:pPr>
              <w:rPr>
                <w:rFonts w:ascii="Arial" w:hAnsi="Arial" w:cs="Arial"/>
                <w:color w:val="000000"/>
                <w:sz w:val="20"/>
              </w:rPr>
            </w:pPr>
            <w:r w:rsidRPr="00E0250B">
              <w:rPr>
                <w:rFonts w:ascii="Arial" w:hAnsi="Arial" w:cs="Arial"/>
                <w:color w:val="000000"/>
                <w:sz w:val="20"/>
              </w:rPr>
              <w:t xml:space="preserve">To present evidence to quantify the compliance benefit provided by the fixed dose combination (FDC) product with the purpose of maintaining the current advice under Section 101 (4AC) of the </w:t>
            </w:r>
            <w:r w:rsidRPr="006319FB">
              <w:rPr>
                <w:rFonts w:ascii="Arial" w:hAnsi="Arial" w:cs="Arial"/>
                <w:i/>
                <w:color w:val="000000"/>
                <w:sz w:val="20"/>
              </w:rPr>
              <w:t>National Health Act</w:t>
            </w:r>
            <w:r w:rsidRPr="00E0250B">
              <w:rPr>
                <w:rFonts w:ascii="Arial" w:hAnsi="Arial" w:cs="Arial"/>
                <w:color w:val="000000"/>
                <w:sz w:val="20"/>
              </w:rPr>
              <w:t xml:space="preserve"> 1953.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34" w:rsidRPr="001A0641" w:rsidRDefault="00841434" w:rsidP="001A0641">
            <w:pPr>
              <w:rPr>
                <w:rFonts w:ascii="Arial" w:hAnsi="Arial" w:cs="Arial"/>
                <w:sz w:val="20"/>
              </w:rPr>
            </w:pPr>
            <w:r w:rsidRPr="001A0641">
              <w:rPr>
                <w:rFonts w:ascii="Arial" w:hAnsi="Arial" w:cs="Arial"/>
                <w:sz w:val="20"/>
              </w:rPr>
              <w:t xml:space="preserve">The PBAC advised the Minister that it was no longer satisfied as to the matters required by subsection 101(4AC) of the Act in relation to the following combination items: </w:t>
            </w:r>
            <w:proofErr w:type="spellStart"/>
            <w:r w:rsidRPr="001A0641">
              <w:rPr>
                <w:rFonts w:ascii="Arial" w:hAnsi="Arial" w:cs="Arial"/>
                <w:sz w:val="20"/>
              </w:rPr>
              <w:t>ezetimibe</w:t>
            </w:r>
            <w:proofErr w:type="spellEnd"/>
            <w:r w:rsidRPr="001A0641">
              <w:rPr>
                <w:rFonts w:ascii="Arial" w:hAnsi="Arial" w:cs="Arial"/>
                <w:sz w:val="20"/>
              </w:rPr>
              <w:t xml:space="preserve"> with simvastatin, tablets, 10 mg – 10 mg, 10 mg – 20 mg, 10 mg – 40 mg and 10 mg – 80 mg, oral.</w:t>
            </w:r>
          </w:p>
          <w:p w:rsidR="00841434" w:rsidRPr="00041AB9" w:rsidRDefault="00841434" w:rsidP="001A0641">
            <w:pPr>
              <w:rPr>
                <w:rFonts w:ascii="Arial" w:hAnsi="Arial" w:cs="Arial"/>
                <w:sz w:val="20"/>
              </w:rPr>
            </w:pPr>
          </w:p>
        </w:tc>
      </w:tr>
      <w:tr w:rsidR="00841434" w:rsidRPr="00041AB9" w:rsidTr="002D7356">
        <w:trPr>
          <w:trHeight w:val="977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34" w:rsidRPr="00B93D7E" w:rsidRDefault="00841434" w:rsidP="00E0250B">
            <w:pPr>
              <w:widowControl w:val="0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34" w:rsidRPr="00E0250B" w:rsidRDefault="00841434" w:rsidP="00B005AC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napToGrid w:val="0"/>
                <w:color w:val="000000"/>
                <w:sz w:val="20"/>
                <w:lang w:val="en-US" w:eastAsia="en-US"/>
              </w:rPr>
            </w:pPr>
          </w:p>
        </w:tc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34" w:rsidRPr="00E0250B" w:rsidRDefault="00841434" w:rsidP="00841434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Sponsor Comment:</w:t>
            </w:r>
          </w:p>
        </w:tc>
        <w:tc>
          <w:tcPr>
            <w:tcW w:w="5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434" w:rsidRPr="001A0641" w:rsidRDefault="00C40966" w:rsidP="001A0641">
            <w:pPr>
              <w:rPr>
                <w:rFonts w:ascii="Arial" w:hAnsi="Arial" w:cs="Arial"/>
                <w:sz w:val="20"/>
              </w:rPr>
            </w:pPr>
            <w:r w:rsidRPr="00C40966">
              <w:rPr>
                <w:rFonts w:ascii="Arial" w:hAnsi="Arial" w:cs="Arial"/>
                <w:sz w:val="20"/>
              </w:rPr>
              <w:t xml:space="preserve">The sponsor disagrees with the decision from the PBAC. The sponsor believes that the submission provides the best possible evidence available to meet the CMWG and </w:t>
            </w:r>
            <w:proofErr w:type="gramStart"/>
            <w:r w:rsidRPr="00C40966">
              <w:rPr>
                <w:rFonts w:ascii="Arial" w:hAnsi="Arial" w:cs="Arial"/>
                <w:sz w:val="20"/>
              </w:rPr>
              <w:t>s101(</w:t>
            </w:r>
            <w:proofErr w:type="gramEnd"/>
            <w:r w:rsidRPr="00C40966">
              <w:rPr>
                <w:rFonts w:ascii="Arial" w:hAnsi="Arial" w:cs="Arial"/>
                <w:sz w:val="20"/>
              </w:rPr>
              <w:t xml:space="preserve">4AC)requirements i.e. MSD believes that </w:t>
            </w:r>
            <w:proofErr w:type="spellStart"/>
            <w:r w:rsidRPr="00C40966">
              <w:rPr>
                <w:rFonts w:ascii="Arial" w:hAnsi="Arial" w:cs="Arial"/>
                <w:sz w:val="20"/>
              </w:rPr>
              <w:t>Vytorin</w:t>
            </w:r>
            <w:proofErr w:type="spellEnd"/>
            <w:r w:rsidRPr="00C40966">
              <w:rPr>
                <w:rFonts w:ascii="Arial" w:hAnsi="Arial" w:cs="Arial"/>
                <w:sz w:val="20"/>
              </w:rPr>
              <w:t xml:space="preserve"> provides, for some patients, a significant improvement in patient compliance over alternate therapies. MSD does not believe there is sufficient evidence to overturn the PBAC’s previous decision.</w:t>
            </w:r>
          </w:p>
        </w:tc>
      </w:tr>
      <w:bookmarkEnd w:id="0"/>
    </w:tbl>
    <w:p w:rsidR="006E5C12" w:rsidRPr="006E5C12" w:rsidRDefault="006E5C12" w:rsidP="005E01B0"/>
    <w:sectPr w:rsidR="006E5C12" w:rsidRPr="006E5C12" w:rsidSect="00B005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19A" w:rsidRDefault="0076519A" w:rsidP="00520B6E">
      <w:r>
        <w:separator/>
      </w:r>
    </w:p>
  </w:endnote>
  <w:endnote w:type="continuationSeparator" w:id="0">
    <w:p w:rsidR="0076519A" w:rsidRDefault="0076519A" w:rsidP="0052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267" w:rsidRDefault="000A32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267" w:rsidRDefault="000A32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267" w:rsidRDefault="000A32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19A" w:rsidRDefault="0076519A" w:rsidP="00520B6E">
      <w:r>
        <w:separator/>
      </w:r>
    </w:p>
  </w:footnote>
  <w:footnote w:type="continuationSeparator" w:id="0">
    <w:p w:rsidR="0076519A" w:rsidRDefault="0076519A" w:rsidP="00520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267" w:rsidRDefault="000A32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A37" w:rsidRPr="000A3267" w:rsidRDefault="00257FF3" w:rsidP="000A3267">
    <w:pPr>
      <w:pStyle w:val="Heading1"/>
      <w:jc w:val="center"/>
      <w:rPr>
        <w:sz w:val="20"/>
        <w:szCs w:val="20"/>
      </w:rPr>
    </w:pPr>
    <w:bookmarkStart w:id="1" w:name="_GoBack"/>
    <w:r w:rsidRPr="000A3267">
      <w:rPr>
        <w:sz w:val="20"/>
        <w:szCs w:val="20"/>
      </w:rPr>
      <w:t>NOVEMBER 2014</w:t>
    </w:r>
    <w:r w:rsidR="005A2A37" w:rsidRPr="000A3267">
      <w:rPr>
        <w:sz w:val="20"/>
        <w:szCs w:val="20"/>
      </w:rPr>
      <w:t xml:space="preserve"> PBAC M</w:t>
    </w:r>
    <w:r w:rsidRPr="000A3267">
      <w:rPr>
        <w:sz w:val="20"/>
        <w:szCs w:val="20"/>
      </w:rPr>
      <w:t>EETING OUTCOMES</w:t>
    </w:r>
    <w:r w:rsidR="005A2A37" w:rsidRPr="000A3267">
      <w:rPr>
        <w:sz w:val="20"/>
        <w:szCs w:val="20"/>
      </w:rPr>
      <w:t xml:space="preserve"> - </w:t>
    </w:r>
    <w:r w:rsidRPr="000A3267">
      <w:rPr>
        <w:sz w:val="20"/>
        <w:szCs w:val="20"/>
      </w:rPr>
      <w:t>REVIEW</w:t>
    </w:r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267" w:rsidRDefault="000A32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530F"/>
    <w:multiLevelType w:val="hybridMultilevel"/>
    <w:tmpl w:val="64E65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206B3A"/>
    <w:multiLevelType w:val="hybridMultilevel"/>
    <w:tmpl w:val="B802CE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617FAE"/>
    <w:multiLevelType w:val="hybridMultilevel"/>
    <w:tmpl w:val="F8F8DB9A"/>
    <w:lvl w:ilvl="0" w:tplc="0C090001">
      <w:start w:val="1"/>
      <w:numFmt w:val="bullet"/>
      <w:lvlText w:val=""/>
      <w:lvlJc w:val="left"/>
      <w:pPr>
        <w:tabs>
          <w:tab w:val="num" w:pos="2424"/>
        </w:tabs>
        <w:ind w:left="242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3144"/>
        </w:tabs>
        <w:ind w:left="3144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3864"/>
        </w:tabs>
        <w:ind w:left="386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5304"/>
        </w:tabs>
        <w:ind w:left="5304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</w:abstractNum>
  <w:abstractNum w:abstractNumId="3">
    <w:nsid w:val="59BC5196"/>
    <w:multiLevelType w:val="multilevel"/>
    <w:tmpl w:val="461AE1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12"/>
    <w:rsid w:val="00041AB9"/>
    <w:rsid w:val="000A3267"/>
    <w:rsid w:val="00110FA7"/>
    <w:rsid w:val="00111C03"/>
    <w:rsid w:val="001A0641"/>
    <w:rsid w:val="001B3443"/>
    <w:rsid w:val="001C32F3"/>
    <w:rsid w:val="00257FF3"/>
    <w:rsid w:val="00280037"/>
    <w:rsid w:val="002D7356"/>
    <w:rsid w:val="0030786C"/>
    <w:rsid w:val="00326D33"/>
    <w:rsid w:val="00330FCD"/>
    <w:rsid w:val="00376657"/>
    <w:rsid w:val="00394694"/>
    <w:rsid w:val="00403ED6"/>
    <w:rsid w:val="0043274C"/>
    <w:rsid w:val="00464807"/>
    <w:rsid w:val="004867E2"/>
    <w:rsid w:val="004E0566"/>
    <w:rsid w:val="00520B6E"/>
    <w:rsid w:val="00556527"/>
    <w:rsid w:val="005977DF"/>
    <w:rsid w:val="005A2A37"/>
    <w:rsid w:val="005E01B0"/>
    <w:rsid w:val="005E0FB4"/>
    <w:rsid w:val="006319FB"/>
    <w:rsid w:val="00636BCA"/>
    <w:rsid w:val="00660459"/>
    <w:rsid w:val="006E5C12"/>
    <w:rsid w:val="0076519A"/>
    <w:rsid w:val="007F4BE7"/>
    <w:rsid w:val="008264EB"/>
    <w:rsid w:val="00841434"/>
    <w:rsid w:val="008B0091"/>
    <w:rsid w:val="00922218"/>
    <w:rsid w:val="0093183A"/>
    <w:rsid w:val="0096277D"/>
    <w:rsid w:val="009D3C00"/>
    <w:rsid w:val="00A30594"/>
    <w:rsid w:val="00A3393C"/>
    <w:rsid w:val="00A67AF2"/>
    <w:rsid w:val="00AA06E5"/>
    <w:rsid w:val="00AD5ECB"/>
    <w:rsid w:val="00B005AC"/>
    <w:rsid w:val="00B03FED"/>
    <w:rsid w:val="00B42851"/>
    <w:rsid w:val="00B93D7E"/>
    <w:rsid w:val="00C40966"/>
    <w:rsid w:val="00C65ED9"/>
    <w:rsid w:val="00C6636A"/>
    <w:rsid w:val="00C735F0"/>
    <w:rsid w:val="00CB5B1A"/>
    <w:rsid w:val="00D10F3B"/>
    <w:rsid w:val="00D3729F"/>
    <w:rsid w:val="00D876C2"/>
    <w:rsid w:val="00D91460"/>
    <w:rsid w:val="00DA5652"/>
    <w:rsid w:val="00DA7E76"/>
    <w:rsid w:val="00DC4D47"/>
    <w:rsid w:val="00E0250B"/>
    <w:rsid w:val="00E339E7"/>
    <w:rsid w:val="00E74873"/>
    <w:rsid w:val="00EE1938"/>
    <w:rsid w:val="00F90A50"/>
    <w:rsid w:val="00F90A71"/>
    <w:rsid w:val="00FE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5C12"/>
    <w:rPr>
      <w:sz w:val="24"/>
    </w:rPr>
  </w:style>
  <w:style w:type="paragraph" w:styleId="Heading1">
    <w:name w:val="heading 1"/>
    <w:basedOn w:val="Normal"/>
    <w:next w:val="Normal"/>
    <w:qFormat/>
    <w:rsid w:val="008264E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6E5C12"/>
    <w:pPr>
      <w:ind w:left="720"/>
    </w:pPr>
  </w:style>
  <w:style w:type="paragraph" w:styleId="BalloonText">
    <w:name w:val="Balloon Text"/>
    <w:basedOn w:val="Normal"/>
    <w:link w:val="BalloonTextChar"/>
    <w:rsid w:val="00A305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05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20B6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20B6E"/>
    <w:rPr>
      <w:sz w:val="24"/>
    </w:rPr>
  </w:style>
  <w:style w:type="paragraph" w:styleId="Footer">
    <w:name w:val="footer"/>
    <w:basedOn w:val="Normal"/>
    <w:link w:val="FooterChar"/>
    <w:rsid w:val="00520B6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20B6E"/>
    <w:rPr>
      <w:sz w:val="24"/>
    </w:rPr>
  </w:style>
  <w:style w:type="paragraph" w:customStyle="1" w:styleId="Char">
    <w:name w:val="Char"/>
    <w:basedOn w:val="Normal"/>
    <w:rsid w:val="00464807"/>
    <w:pPr>
      <w:spacing w:after="160" w:line="240" w:lineRule="exact"/>
    </w:pPr>
    <w:rPr>
      <w:rFonts w:ascii="Verdana" w:eastAsia="MS Mincho" w:hAnsi="Verdana" w:cs="Verdana"/>
      <w:sz w:val="20"/>
      <w:lang w:val="en-US" w:eastAsia="en-US"/>
    </w:rPr>
  </w:style>
  <w:style w:type="paragraph" w:customStyle="1" w:styleId="Char0">
    <w:name w:val="Char"/>
    <w:basedOn w:val="Normal"/>
    <w:rsid w:val="008B0091"/>
    <w:pPr>
      <w:spacing w:after="160" w:line="240" w:lineRule="exact"/>
    </w:pPr>
    <w:rPr>
      <w:rFonts w:ascii="Verdana" w:eastAsia="MS Mincho" w:hAnsi="Verdana" w:cs="Verdana"/>
      <w:sz w:val="20"/>
      <w:lang w:val="en-US" w:eastAsia="en-US"/>
    </w:rPr>
  </w:style>
  <w:style w:type="character" w:styleId="CommentReference">
    <w:name w:val="annotation reference"/>
    <w:rsid w:val="005A2A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2A3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A2A37"/>
  </w:style>
  <w:style w:type="paragraph" w:styleId="CommentSubject">
    <w:name w:val="annotation subject"/>
    <w:basedOn w:val="CommentText"/>
    <w:next w:val="CommentText"/>
    <w:link w:val="CommentSubjectChar"/>
    <w:rsid w:val="005A2A37"/>
    <w:rPr>
      <w:b/>
      <w:bCs/>
    </w:rPr>
  </w:style>
  <w:style w:type="character" w:customStyle="1" w:styleId="CommentSubjectChar">
    <w:name w:val="Comment Subject Char"/>
    <w:link w:val="CommentSubject"/>
    <w:rsid w:val="005A2A37"/>
    <w:rPr>
      <w:b/>
      <w:bCs/>
    </w:rPr>
  </w:style>
  <w:style w:type="character" w:styleId="Emphasis">
    <w:name w:val="Emphasis"/>
    <w:qFormat/>
    <w:rsid w:val="00E025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5C12"/>
    <w:rPr>
      <w:sz w:val="24"/>
    </w:rPr>
  </w:style>
  <w:style w:type="paragraph" w:styleId="Heading1">
    <w:name w:val="heading 1"/>
    <w:basedOn w:val="Normal"/>
    <w:next w:val="Normal"/>
    <w:qFormat/>
    <w:rsid w:val="008264E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6E5C12"/>
    <w:pPr>
      <w:ind w:left="720"/>
    </w:pPr>
  </w:style>
  <w:style w:type="paragraph" w:styleId="BalloonText">
    <w:name w:val="Balloon Text"/>
    <w:basedOn w:val="Normal"/>
    <w:link w:val="BalloonTextChar"/>
    <w:rsid w:val="00A305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05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20B6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20B6E"/>
    <w:rPr>
      <w:sz w:val="24"/>
    </w:rPr>
  </w:style>
  <w:style w:type="paragraph" w:styleId="Footer">
    <w:name w:val="footer"/>
    <w:basedOn w:val="Normal"/>
    <w:link w:val="FooterChar"/>
    <w:rsid w:val="00520B6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20B6E"/>
    <w:rPr>
      <w:sz w:val="24"/>
    </w:rPr>
  </w:style>
  <w:style w:type="paragraph" w:customStyle="1" w:styleId="Char">
    <w:name w:val="Char"/>
    <w:basedOn w:val="Normal"/>
    <w:rsid w:val="00464807"/>
    <w:pPr>
      <w:spacing w:after="160" w:line="240" w:lineRule="exact"/>
    </w:pPr>
    <w:rPr>
      <w:rFonts w:ascii="Verdana" w:eastAsia="MS Mincho" w:hAnsi="Verdana" w:cs="Verdana"/>
      <w:sz w:val="20"/>
      <w:lang w:val="en-US" w:eastAsia="en-US"/>
    </w:rPr>
  </w:style>
  <w:style w:type="paragraph" w:customStyle="1" w:styleId="Char0">
    <w:name w:val="Char"/>
    <w:basedOn w:val="Normal"/>
    <w:rsid w:val="008B0091"/>
    <w:pPr>
      <w:spacing w:after="160" w:line="240" w:lineRule="exact"/>
    </w:pPr>
    <w:rPr>
      <w:rFonts w:ascii="Verdana" w:eastAsia="MS Mincho" w:hAnsi="Verdana" w:cs="Verdana"/>
      <w:sz w:val="20"/>
      <w:lang w:val="en-US" w:eastAsia="en-US"/>
    </w:rPr>
  </w:style>
  <w:style w:type="character" w:styleId="CommentReference">
    <w:name w:val="annotation reference"/>
    <w:rsid w:val="005A2A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2A3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A2A37"/>
  </w:style>
  <w:style w:type="paragraph" w:styleId="CommentSubject">
    <w:name w:val="annotation subject"/>
    <w:basedOn w:val="CommentText"/>
    <w:next w:val="CommentText"/>
    <w:link w:val="CommentSubjectChar"/>
    <w:rsid w:val="005A2A37"/>
    <w:rPr>
      <w:b/>
      <w:bCs/>
    </w:rPr>
  </w:style>
  <w:style w:type="character" w:customStyle="1" w:styleId="CommentSubjectChar">
    <w:name w:val="Comment Subject Char"/>
    <w:link w:val="CommentSubject"/>
    <w:rsid w:val="005A2A37"/>
    <w:rPr>
      <w:b/>
      <w:bCs/>
    </w:rPr>
  </w:style>
  <w:style w:type="character" w:styleId="Emphasis">
    <w:name w:val="Emphasis"/>
    <w:qFormat/>
    <w:rsid w:val="00E025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9C72D-3C4B-42E3-A4F8-CA87D61CF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2014-12-17T23:45:00Z</dcterms:created>
  <dcterms:modified xsi:type="dcterms:W3CDTF">2014-12-17T23:46:00Z</dcterms:modified>
</cp:coreProperties>
</file>