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02" w:rsidRDefault="00E736C7">
      <w: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112"/>
        <w:gridCol w:w="3231"/>
        <w:gridCol w:w="6865"/>
      </w:tblGrid>
      <w:tr w:rsidR="00987FDA" w:rsidRPr="00F609BF" w:rsidTr="00281EE0">
        <w:trPr>
          <w:tblHeader/>
        </w:trPr>
        <w:tc>
          <w:tcPr>
            <w:tcW w:w="3101" w:type="dxa"/>
            <w:tcMar>
              <w:top w:w="28" w:type="dxa"/>
              <w:bottom w:w="28" w:type="dxa"/>
            </w:tcMar>
          </w:tcPr>
          <w:p w:rsidR="00E836AC" w:rsidRPr="00F609BF" w:rsidRDefault="00E836AC" w:rsidP="00055E86">
            <w:pPr>
              <w:widowControl w:val="0"/>
              <w:jc w:val="center"/>
              <w:rPr>
                <w:rFonts w:ascii="Arial" w:hAnsi="Arial" w:cs="Arial"/>
                <w:b/>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tc>
        <w:tc>
          <w:tcPr>
            <w:tcW w:w="2112" w:type="dxa"/>
            <w:tcMar>
              <w:top w:w="28" w:type="dxa"/>
              <w:bottom w:w="28" w:type="dxa"/>
            </w:tcMar>
          </w:tcPr>
          <w:p w:rsidR="00987FDA" w:rsidRPr="00F609BF"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 xml:space="preserve">DRUG TYPE </w:t>
            </w:r>
            <w:r w:rsidR="0086395A">
              <w:rPr>
                <w:rFonts w:ascii="Arial" w:hAnsi="Arial" w:cs="Arial"/>
                <w:b/>
                <w:snapToGrid w:val="0"/>
                <w:lang w:eastAsia="en-US"/>
              </w:rPr>
              <w:t>OR</w:t>
            </w:r>
            <w:r w:rsidRPr="00F609BF">
              <w:rPr>
                <w:rFonts w:ascii="Arial" w:hAnsi="Arial" w:cs="Arial"/>
                <w:b/>
                <w:snapToGrid w:val="0"/>
                <w:lang w:eastAsia="en-US"/>
              </w:rPr>
              <w:t xml:space="preserve"> USE</w:t>
            </w:r>
          </w:p>
          <w:p w:rsidR="00987FDA" w:rsidRPr="00F609BF" w:rsidRDefault="00987FDA" w:rsidP="0065234B">
            <w:pPr>
              <w:widowControl w:val="0"/>
              <w:jc w:val="center"/>
              <w:rPr>
                <w:rFonts w:ascii="Arial" w:hAnsi="Arial" w:cs="Arial"/>
                <w:b/>
                <w:snapToGrid w:val="0"/>
                <w:lang w:eastAsia="en-US"/>
              </w:rPr>
            </w:pPr>
          </w:p>
        </w:tc>
        <w:tc>
          <w:tcPr>
            <w:tcW w:w="3231" w:type="dxa"/>
            <w:tcMar>
              <w:top w:w="28" w:type="dxa"/>
              <w:bottom w:w="28" w:type="dxa"/>
            </w:tcMar>
          </w:tcPr>
          <w:p w:rsidR="00E836AC" w:rsidRPr="00F609BF" w:rsidRDefault="00E836AC" w:rsidP="00055E86">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865" w:type="dxa"/>
          </w:tcPr>
          <w:p w:rsidR="00987FDA" w:rsidRPr="00F609BF" w:rsidRDefault="00E836AC" w:rsidP="00E836AC">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355E32" w:rsidRPr="00C011B4" w:rsidTr="00616E26">
        <w:trPr>
          <w:trHeight w:val="453"/>
        </w:trPr>
        <w:tc>
          <w:tcPr>
            <w:tcW w:w="3101" w:type="dxa"/>
            <w:tcMar>
              <w:top w:w="28" w:type="dxa"/>
              <w:bottom w:w="28" w:type="dxa"/>
            </w:tcMar>
          </w:tcPr>
          <w:p w:rsidR="00355E32" w:rsidRDefault="00355E32" w:rsidP="00930A7B">
            <w:pPr>
              <w:rPr>
                <w:rStyle w:val="st"/>
                <w:rFonts w:ascii="Arial" w:hAnsi="Arial" w:cs="Arial"/>
                <w:b/>
                <w:color w:val="000000"/>
              </w:rPr>
            </w:pPr>
            <w:r>
              <w:rPr>
                <w:rStyle w:val="st"/>
                <w:rFonts w:ascii="Arial" w:hAnsi="Arial" w:cs="Arial"/>
                <w:b/>
                <w:color w:val="000000"/>
              </w:rPr>
              <w:t>BENDAMUSTINE</w:t>
            </w:r>
          </w:p>
          <w:p w:rsidR="00355E32" w:rsidRPr="001D5175" w:rsidRDefault="00355E32" w:rsidP="00930A7B">
            <w:pPr>
              <w:rPr>
                <w:rStyle w:val="st"/>
                <w:rFonts w:ascii="Arial" w:hAnsi="Arial" w:cs="Arial"/>
                <w:color w:val="000000"/>
              </w:rPr>
            </w:pPr>
            <w:r w:rsidRPr="001D5175">
              <w:rPr>
                <w:rStyle w:val="st"/>
                <w:rFonts w:ascii="Arial" w:hAnsi="Arial" w:cs="Arial"/>
                <w:color w:val="000000"/>
              </w:rPr>
              <w:t>powder for injection, 100mg and 25mg (DPMA 200mg)</w:t>
            </w:r>
          </w:p>
          <w:p w:rsidR="00355E32" w:rsidRPr="001D5175" w:rsidRDefault="00355E32" w:rsidP="00930A7B">
            <w:pPr>
              <w:rPr>
                <w:rStyle w:val="st"/>
                <w:rFonts w:ascii="Arial" w:hAnsi="Arial" w:cs="Arial"/>
                <w:color w:val="000000"/>
              </w:rPr>
            </w:pPr>
          </w:p>
          <w:p w:rsidR="00355E32" w:rsidRPr="001D5175" w:rsidRDefault="00355E32" w:rsidP="00930A7B">
            <w:pPr>
              <w:rPr>
                <w:rStyle w:val="st"/>
                <w:rFonts w:ascii="Arial" w:hAnsi="Arial" w:cs="Arial"/>
                <w:color w:val="000000"/>
              </w:rPr>
            </w:pPr>
            <w:proofErr w:type="spellStart"/>
            <w:r w:rsidRPr="001D5175">
              <w:rPr>
                <w:rStyle w:val="st"/>
                <w:rFonts w:ascii="Arial" w:hAnsi="Arial" w:cs="Arial"/>
                <w:color w:val="000000"/>
              </w:rPr>
              <w:t>Ribomustin</w:t>
            </w:r>
            <w:proofErr w:type="spellEnd"/>
            <w:r w:rsidRPr="007D3FE9">
              <w:rPr>
                <w:rStyle w:val="st"/>
                <w:rFonts w:ascii="Arial" w:hAnsi="Arial" w:cs="Arial"/>
                <w:color w:val="000000"/>
                <w:vertAlign w:val="superscript"/>
              </w:rPr>
              <w:t>®</w:t>
            </w:r>
          </w:p>
          <w:p w:rsidR="00355E32" w:rsidRPr="001D5175" w:rsidRDefault="00355E32" w:rsidP="00930A7B">
            <w:pPr>
              <w:rPr>
                <w:rStyle w:val="st"/>
                <w:rFonts w:ascii="Arial" w:hAnsi="Arial" w:cs="Arial"/>
                <w:color w:val="000000"/>
              </w:rPr>
            </w:pPr>
          </w:p>
          <w:p w:rsidR="00355E32" w:rsidRDefault="00355E32" w:rsidP="00930A7B">
            <w:pPr>
              <w:rPr>
                <w:rStyle w:val="st"/>
                <w:rFonts w:ascii="Arial" w:hAnsi="Arial" w:cs="Arial"/>
                <w:color w:val="000000"/>
              </w:rPr>
            </w:pPr>
            <w:r w:rsidRPr="001D5175">
              <w:rPr>
                <w:rStyle w:val="st"/>
                <w:rFonts w:ascii="Arial" w:hAnsi="Arial" w:cs="Arial"/>
                <w:color w:val="000000"/>
              </w:rPr>
              <w:t>Janssen-</w:t>
            </w:r>
            <w:proofErr w:type="spellStart"/>
            <w:r w:rsidRPr="001D5175">
              <w:rPr>
                <w:rStyle w:val="st"/>
                <w:rFonts w:ascii="Arial" w:hAnsi="Arial" w:cs="Arial"/>
                <w:color w:val="000000"/>
              </w:rPr>
              <w:t>Cilag</w:t>
            </w:r>
            <w:proofErr w:type="spellEnd"/>
            <w:r w:rsidRPr="001D5175">
              <w:rPr>
                <w:rStyle w:val="st"/>
                <w:rFonts w:ascii="Arial" w:hAnsi="Arial" w:cs="Arial"/>
                <w:color w:val="000000"/>
              </w:rPr>
              <w:t xml:space="preserve"> Pty Ltd</w:t>
            </w:r>
          </w:p>
          <w:p w:rsidR="00355E32" w:rsidRDefault="00355E32" w:rsidP="00930A7B">
            <w:pPr>
              <w:rPr>
                <w:rStyle w:val="st"/>
                <w:rFonts w:ascii="Arial" w:hAnsi="Arial" w:cs="Arial"/>
                <w:color w:val="000000"/>
              </w:rPr>
            </w:pPr>
          </w:p>
          <w:p w:rsidR="00355E32" w:rsidRPr="00912ED7" w:rsidRDefault="00355E32" w:rsidP="00930A7B">
            <w:pPr>
              <w:rPr>
                <w:rStyle w:val="st"/>
                <w:rFonts w:ascii="Arial" w:hAnsi="Arial" w:cs="Arial"/>
                <w:b/>
                <w:color w:val="000000"/>
              </w:rPr>
            </w:pPr>
            <w:r>
              <w:rPr>
                <w:rStyle w:val="st"/>
                <w:rFonts w:ascii="Arial" w:hAnsi="Arial" w:cs="Arial"/>
                <w:color w:val="000000"/>
              </w:rPr>
              <w:t>(Major submission)</w:t>
            </w:r>
          </w:p>
        </w:tc>
        <w:tc>
          <w:tcPr>
            <w:tcW w:w="2112" w:type="dxa"/>
          </w:tcPr>
          <w:p w:rsidR="00355E32" w:rsidRPr="00912ED7" w:rsidRDefault="00355E32" w:rsidP="0086395A">
            <w:pPr>
              <w:rPr>
                <w:rFonts w:ascii="Arial" w:hAnsi="Arial" w:cs="Arial"/>
              </w:rPr>
            </w:pPr>
            <w:r w:rsidRPr="003C1EB7">
              <w:rPr>
                <w:rFonts w:ascii="Arial" w:hAnsi="Arial" w:cs="Arial"/>
              </w:rPr>
              <w:t xml:space="preserve">Non-Hodgkin’s Lymphoma and Mantle Cell Lymphoma </w:t>
            </w:r>
          </w:p>
        </w:tc>
        <w:tc>
          <w:tcPr>
            <w:tcW w:w="3231" w:type="dxa"/>
            <w:tcMar>
              <w:top w:w="28" w:type="dxa"/>
              <w:bottom w:w="28" w:type="dxa"/>
            </w:tcMar>
          </w:tcPr>
          <w:p w:rsidR="00355E32" w:rsidRPr="00912ED7" w:rsidRDefault="00355E32" w:rsidP="0086395A">
            <w:pPr>
              <w:rPr>
                <w:rFonts w:ascii="Arial" w:hAnsi="Arial" w:cs="Arial"/>
              </w:rPr>
            </w:pPr>
            <w:r w:rsidRPr="003C1EB7">
              <w:rPr>
                <w:rFonts w:ascii="Arial" w:hAnsi="Arial" w:cs="Arial"/>
              </w:rPr>
              <w:t xml:space="preserve">The submission sought section 100 Authority Required listing for </w:t>
            </w:r>
            <w:proofErr w:type="spellStart"/>
            <w:r w:rsidRPr="003C1EB7">
              <w:rPr>
                <w:rFonts w:ascii="Arial" w:hAnsi="Arial" w:cs="Arial"/>
              </w:rPr>
              <w:t>bendamustine</w:t>
            </w:r>
            <w:proofErr w:type="spellEnd"/>
            <w:r w:rsidRPr="003C1EB7">
              <w:rPr>
                <w:rFonts w:ascii="Arial" w:hAnsi="Arial" w:cs="Arial"/>
              </w:rPr>
              <w:t xml:space="preserve"> in combination with rituximab for the treatment of i</w:t>
            </w:r>
            <w:r>
              <w:rPr>
                <w:rFonts w:ascii="Arial" w:hAnsi="Arial" w:cs="Arial"/>
              </w:rPr>
              <w:t xml:space="preserve">ndolent Non-Hodgkin’s Lymphoma </w:t>
            </w:r>
            <w:r w:rsidRPr="003C1EB7">
              <w:rPr>
                <w:rFonts w:ascii="Arial" w:hAnsi="Arial" w:cs="Arial"/>
              </w:rPr>
              <w:t>and Mantle Cell Lymphoma i</w:t>
            </w:r>
            <w:r>
              <w:rPr>
                <w:rFonts w:ascii="Arial" w:hAnsi="Arial" w:cs="Arial"/>
              </w:rPr>
              <w:t>n previously untreated patients. The submission also sought listing of</w:t>
            </w:r>
            <w:r w:rsidRPr="003C1EB7">
              <w:rPr>
                <w:rFonts w:ascii="Arial" w:hAnsi="Arial" w:cs="Arial"/>
              </w:rPr>
              <w:t xml:space="preserve"> </w:t>
            </w:r>
            <w:proofErr w:type="spellStart"/>
            <w:r w:rsidRPr="003C1EB7">
              <w:rPr>
                <w:rFonts w:ascii="Arial" w:hAnsi="Arial" w:cs="Arial"/>
              </w:rPr>
              <w:t>bendamustine</w:t>
            </w:r>
            <w:proofErr w:type="spellEnd"/>
            <w:r w:rsidRPr="003C1EB7">
              <w:rPr>
                <w:rFonts w:ascii="Arial" w:hAnsi="Arial" w:cs="Arial"/>
              </w:rPr>
              <w:t xml:space="preserve"> monotherapy for patients with rituximab-refractory Non</w:t>
            </w:r>
            <w:r>
              <w:rPr>
                <w:rFonts w:ascii="Arial" w:hAnsi="Arial" w:cs="Arial"/>
              </w:rPr>
              <w:t>-</w:t>
            </w:r>
            <w:r w:rsidRPr="003C1EB7">
              <w:rPr>
                <w:rFonts w:ascii="Arial" w:hAnsi="Arial" w:cs="Arial"/>
              </w:rPr>
              <w:t>Hodgkin’s Lymphoma</w:t>
            </w:r>
            <w:r>
              <w:rPr>
                <w:rFonts w:ascii="Arial" w:hAnsi="Arial" w:cs="Arial"/>
              </w:rPr>
              <w:t>.</w:t>
            </w:r>
            <w:r w:rsidRPr="003C1EB7">
              <w:rPr>
                <w:rFonts w:ascii="Arial" w:hAnsi="Arial" w:cs="Arial"/>
              </w:rPr>
              <w:t xml:space="preserve"> </w:t>
            </w:r>
          </w:p>
        </w:tc>
        <w:tc>
          <w:tcPr>
            <w:tcW w:w="6865" w:type="dxa"/>
          </w:tcPr>
          <w:p w:rsidR="00355E32" w:rsidRPr="0015704B" w:rsidRDefault="00355E32" w:rsidP="003C1EB7">
            <w:pPr>
              <w:rPr>
                <w:rFonts w:ascii="Arial" w:hAnsi="Arial" w:cs="Arial"/>
              </w:rPr>
            </w:pPr>
            <w:r w:rsidRPr="003C1EB7">
              <w:rPr>
                <w:rFonts w:ascii="Arial" w:hAnsi="Arial" w:cs="Arial"/>
              </w:rPr>
              <w:t xml:space="preserve">The PBAC deferred its decision on </w:t>
            </w:r>
            <w:proofErr w:type="spellStart"/>
            <w:r w:rsidRPr="003C1EB7">
              <w:rPr>
                <w:rFonts w:ascii="Arial" w:hAnsi="Arial" w:cs="Arial"/>
              </w:rPr>
              <w:t>bendamustine</w:t>
            </w:r>
            <w:proofErr w:type="spellEnd"/>
            <w:r w:rsidRPr="003C1EB7">
              <w:rPr>
                <w:rFonts w:ascii="Arial" w:hAnsi="Arial" w:cs="Arial"/>
              </w:rPr>
              <w:t xml:space="preserve"> in previously untreated </w:t>
            </w:r>
            <w:r w:rsidRPr="0086395A">
              <w:rPr>
                <w:rFonts w:ascii="Arial" w:hAnsi="Arial" w:cs="Arial"/>
              </w:rPr>
              <w:t xml:space="preserve">indolent Non-Hodgkin’s Lymphoma and Mantle Cell Lymphoma </w:t>
            </w:r>
            <w:r w:rsidRPr="003C1EB7">
              <w:rPr>
                <w:rFonts w:ascii="Arial" w:hAnsi="Arial" w:cs="Arial"/>
              </w:rPr>
              <w:t xml:space="preserve">to enable either: the submission of a more reliable economic evaluation to </w:t>
            </w:r>
            <w:r w:rsidRPr="0015704B">
              <w:rPr>
                <w:rFonts w:ascii="Arial" w:hAnsi="Arial" w:cs="Arial"/>
              </w:rPr>
              <w:t xml:space="preserve">substantiate the requested price; or the Department to negotiate a price that helps mitigate the risks associated with the true cost-effectiveness of </w:t>
            </w:r>
            <w:proofErr w:type="spellStart"/>
            <w:r w:rsidRPr="0015704B">
              <w:rPr>
                <w:rFonts w:ascii="Arial" w:hAnsi="Arial" w:cs="Arial"/>
              </w:rPr>
              <w:t>bendamustine</w:t>
            </w:r>
            <w:proofErr w:type="spellEnd"/>
            <w:r w:rsidRPr="0015704B">
              <w:rPr>
                <w:rFonts w:ascii="Arial" w:hAnsi="Arial" w:cs="Arial"/>
              </w:rPr>
              <w:t xml:space="preserve"> remaining unknown. </w:t>
            </w:r>
          </w:p>
          <w:p w:rsidR="00355E32" w:rsidRPr="0015704B" w:rsidRDefault="00355E32" w:rsidP="003C1EB7">
            <w:pPr>
              <w:rPr>
                <w:rFonts w:ascii="Arial" w:hAnsi="Arial" w:cs="Arial"/>
              </w:rPr>
            </w:pPr>
          </w:p>
          <w:p w:rsidR="00355E32" w:rsidRPr="0015704B" w:rsidRDefault="00355E32" w:rsidP="003C1EB7">
            <w:pPr>
              <w:rPr>
                <w:rFonts w:ascii="Arial" w:hAnsi="Arial" w:cs="Arial"/>
              </w:rPr>
            </w:pPr>
            <w:r w:rsidRPr="0015704B">
              <w:rPr>
                <w:rFonts w:ascii="Arial" w:hAnsi="Arial" w:cs="Arial"/>
              </w:rPr>
              <w:t xml:space="preserve">The PBAC considered that the submitted model did not provide a reliable basis for estimating the cost-effectiveness of </w:t>
            </w:r>
            <w:proofErr w:type="spellStart"/>
            <w:r w:rsidRPr="0015704B">
              <w:rPr>
                <w:rFonts w:ascii="Arial" w:hAnsi="Arial" w:cs="Arial"/>
              </w:rPr>
              <w:t>bendamustine</w:t>
            </w:r>
            <w:proofErr w:type="spellEnd"/>
            <w:r w:rsidRPr="0015704B">
              <w:rPr>
                <w:rFonts w:ascii="Arial" w:hAnsi="Arial" w:cs="Arial"/>
              </w:rPr>
              <w:t xml:space="preserve"> because it did not reflect the course of the disease, including the different levels of progression. The PBAC also noted the pending trial data (the BRIGHT trial</w:t>
            </w:r>
            <w:r>
              <w:rPr>
                <w:rFonts w:ascii="Arial" w:hAnsi="Arial" w:cs="Arial"/>
              </w:rPr>
              <w:t>),</w:t>
            </w:r>
            <w:r w:rsidRPr="0015704B">
              <w:rPr>
                <w:rFonts w:ascii="Arial" w:hAnsi="Arial" w:cs="Arial"/>
              </w:rPr>
              <w:t xml:space="preserve"> and also the high price compared with other brands of </w:t>
            </w:r>
            <w:proofErr w:type="spellStart"/>
            <w:r w:rsidRPr="0015704B">
              <w:rPr>
                <w:rFonts w:ascii="Arial" w:hAnsi="Arial" w:cs="Arial"/>
              </w:rPr>
              <w:t>bendamustine</w:t>
            </w:r>
            <w:proofErr w:type="spellEnd"/>
            <w:r w:rsidRPr="0015704B">
              <w:rPr>
                <w:rFonts w:ascii="Arial" w:hAnsi="Arial" w:cs="Arial"/>
              </w:rPr>
              <w:t xml:space="preserve"> imported under the TGA Special Access Scheme. </w:t>
            </w:r>
          </w:p>
          <w:p w:rsidR="00355E32" w:rsidRPr="0015704B" w:rsidRDefault="00355E32" w:rsidP="003C1EB7">
            <w:pPr>
              <w:rPr>
                <w:rFonts w:ascii="Arial" w:hAnsi="Arial" w:cs="Arial"/>
              </w:rPr>
            </w:pPr>
          </w:p>
          <w:p w:rsidR="00355E32" w:rsidRPr="00055E86" w:rsidRDefault="00355E32" w:rsidP="003C1EB7">
            <w:pPr>
              <w:rPr>
                <w:rFonts w:ascii="Arial" w:hAnsi="Arial" w:cs="Arial"/>
                <w:u w:val="single"/>
              </w:rPr>
            </w:pPr>
            <w:r w:rsidRPr="00055E86">
              <w:rPr>
                <w:rFonts w:ascii="Arial" w:hAnsi="Arial" w:cs="Arial"/>
                <w:u w:val="single"/>
              </w:rPr>
              <w:t>For previously untreated indolent Non-Hodgkin’s Lymphoma and Mantle Cell Lymphoma:</w:t>
            </w:r>
          </w:p>
          <w:p w:rsidR="00355E32" w:rsidRPr="0015704B" w:rsidRDefault="00355E32" w:rsidP="003C1EB7">
            <w:pPr>
              <w:rPr>
                <w:rFonts w:ascii="Arial" w:hAnsi="Arial" w:cs="Arial"/>
              </w:rPr>
            </w:pPr>
            <w:r w:rsidRPr="0015704B">
              <w:rPr>
                <w:rFonts w:ascii="Arial" w:hAnsi="Arial" w:cs="Arial"/>
              </w:rPr>
              <w:t xml:space="preserve">On the basis of head-to-head </w:t>
            </w:r>
            <w:proofErr w:type="spellStart"/>
            <w:r w:rsidRPr="0015704B">
              <w:rPr>
                <w:rFonts w:ascii="Arial" w:hAnsi="Arial" w:cs="Arial"/>
              </w:rPr>
              <w:t>StiL</w:t>
            </w:r>
            <w:proofErr w:type="spellEnd"/>
            <w:r w:rsidRPr="0015704B">
              <w:rPr>
                <w:rFonts w:ascii="Arial" w:hAnsi="Arial" w:cs="Arial"/>
              </w:rPr>
              <w:t xml:space="preserve"> tri</w:t>
            </w:r>
            <w:r>
              <w:rPr>
                <w:rFonts w:ascii="Arial" w:hAnsi="Arial" w:cs="Arial"/>
              </w:rPr>
              <w:t xml:space="preserve">al, the comparison of </w:t>
            </w:r>
            <w:proofErr w:type="spellStart"/>
            <w:r>
              <w:rPr>
                <w:rFonts w:ascii="Arial" w:hAnsi="Arial" w:cs="Arial"/>
              </w:rPr>
              <w:t>bendamustine</w:t>
            </w:r>
            <w:proofErr w:type="spellEnd"/>
            <w:r>
              <w:rPr>
                <w:rFonts w:ascii="Arial" w:hAnsi="Arial" w:cs="Arial"/>
              </w:rPr>
              <w:t xml:space="preserve"> plus rituximab and R</w:t>
            </w:r>
            <w:r>
              <w:rPr>
                <w:rFonts w:ascii="Arial" w:hAnsi="Arial" w:cs="Arial"/>
              </w:rPr>
              <w:noBreakHyphen/>
            </w:r>
            <w:r w:rsidRPr="0015704B">
              <w:rPr>
                <w:rFonts w:ascii="Arial" w:hAnsi="Arial" w:cs="Arial"/>
              </w:rPr>
              <w:t>CHOP resulted in:</w:t>
            </w:r>
          </w:p>
          <w:p w:rsidR="00355E32" w:rsidRPr="0015704B" w:rsidRDefault="00355E32" w:rsidP="0015704B">
            <w:pPr>
              <w:numPr>
                <w:ilvl w:val="0"/>
                <w:numId w:val="26"/>
              </w:numPr>
              <w:ind w:left="364" w:hanging="284"/>
              <w:rPr>
                <w:rFonts w:ascii="Arial" w:hAnsi="Arial" w:cs="Arial"/>
              </w:rPr>
            </w:pPr>
            <w:r w:rsidRPr="0015704B">
              <w:rPr>
                <w:rFonts w:ascii="Arial" w:hAnsi="Arial" w:cs="Arial"/>
              </w:rPr>
              <w:t xml:space="preserve">An improvement in median </w:t>
            </w:r>
            <w:r>
              <w:rPr>
                <w:rFonts w:ascii="Arial" w:hAnsi="Arial" w:cs="Arial"/>
              </w:rPr>
              <w:t>progression-free survival</w:t>
            </w:r>
            <w:r w:rsidRPr="0015704B">
              <w:rPr>
                <w:rFonts w:ascii="Arial" w:hAnsi="Arial" w:cs="Arial"/>
              </w:rPr>
              <w:t xml:space="preserve"> of approximately 38 months (</w:t>
            </w:r>
            <w:proofErr w:type="spellStart"/>
            <w:r w:rsidRPr="0015704B">
              <w:rPr>
                <w:rFonts w:ascii="Arial" w:hAnsi="Arial" w:cs="Arial"/>
              </w:rPr>
              <w:t>StiL</w:t>
            </w:r>
            <w:proofErr w:type="spellEnd"/>
            <w:r w:rsidRPr="0015704B">
              <w:rPr>
                <w:rFonts w:ascii="Arial" w:hAnsi="Arial" w:cs="Arial"/>
              </w:rPr>
              <w:t xml:space="preserve"> trial).</w:t>
            </w:r>
          </w:p>
          <w:p w:rsidR="00355E32" w:rsidRPr="0015704B" w:rsidRDefault="00355E32" w:rsidP="0015704B">
            <w:pPr>
              <w:numPr>
                <w:ilvl w:val="0"/>
                <w:numId w:val="26"/>
              </w:numPr>
              <w:ind w:left="364" w:hanging="284"/>
              <w:rPr>
                <w:rFonts w:ascii="Arial" w:hAnsi="Arial" w:cs="Arial"/>
              </w:rPr>
            </w:pPr>
            <w:r w:rsidRPr="0015704B">
              <w:rPr>
                <w:rFonts w:ascii="Arial" w:hAnsi="Arial" w:cs="Arial"/>
              </w:rPr>
              <w:t xml:space="preserve">No overall survival benefit was demonstrated in the </w:t>
            </w:r>
            <w:proofErr w:type="spellStart"/>
            <w:r w:rsidRPr="0015704B">
              <w:rPr>
                <w:rFonts w:ascii="Arial" w:hAnsi="Arial" w:cs="Arial"/>
              </w:rPr>
              <w:t>StiL</w:t>
            </w:r>
            <w:proofErr w:type="spellEnd"/>
            <w:r w:rsidRPr="0015704B">
              <w:rPr>
                <w:rFonts w:ascii="Arial" w:hAnsi="Arial" w:cs="Arial"/>
              </w:rPr>
              <w:t xml:space="preserve"> </w:t>
            </w:r>
            <w:proofErr w:type="gramStart"/>
            <w:r w:rsidRPr="0015704B">
              <w:rPr>
                <w:rFonts w:ascii="Arial" w:hAnsi="Arial" w:cs="Arial"/>
              </w:rPr>
              <w:t>trial,</w:t>
            </w:r>
            <w:proofErr w:type="gramEnd"/>
            <w:r w:rsidRPr="0015704B">
              <w:rPr>
                <w:rFonts w:ascii="Arial" w:hAnsi="Arial" w:cs="Arial"/>
              </w:rPr>
              <w:t xml:space="preserve"> however median overall survival was not reached at the time of analysis.</w:t>
            </w:r>
          </w:p>
          <w:p w:rsidR="00355E32" w:rsidRPr="0015704B" w:rsidRDefault="00355E32" w:rsidP="003C1EB7">
            <w:pPr>
              <w:rPr>
                <w:rFonts w:ascii="Arial" w:hAnsi="Arial" w:cs="Arial"/>
              </w:rPr>
            </w:pPr>
            <w:r w:rsidRPr="0015704B">
              <w:rPr>
                <w:rFonts w:ascii="Arial" w:hAnsi="Arial" w:cs="Arial"/>
              </w:rPr>
              <w:t xml:space="preserve">On the basis of head-to-head trial presented in the submission, for every 100 patients treated with </w:t>
            </w:r>
            <w:proofErr w:type="spellStart"/>
            <w:r w:rsidRPr="00055E86">
              <w:rPr>
                <w:rFonts w:ascii="Arial" w:hAnsi="Arial" w:cs="Arial"/>
              </w:rPr>
              <w:t>bendamustine</w:t>
            </w:r>
            <w:proofErr w:type="spellEnd"/>
            <w:r w:rsidRPr="00055E86">
              <w:rPr>
                <w:rFonts w:ascii="Arial" w:hAnsi="Arial" w:cs="Arial"/>
              </w:rPr>
              <w:t xml:space="preserve"> plus rituximab </w:t>
            </w:r>
            <w:r w:rsidRPr="0015704B">
              <w:rPr>
                <w:rFonts w:ascii="Arial" w:hAnsi="Arial" w:cs="Arial"/>
              </w:rPr>
              <w:t>in comparison with R-CHOP there would be:</w:t>
            </w:r>
          </w:p>
          <w:p w:rsidR="00355E32" w:rsidRPr="0015704B" w:rsidRDefault="00355E32" w:rsidP="0015704B">
            <w:pPr>
              <w:numPr>
                <w:ilvl w:val="0"/>
                <w:numId w:val="26"/>
              </w:numPr>
              <w:ind w:left="364" w:hanging="284"/>
              <w:rPr>
                <w:rFonts w:ascii="Arial" w:hAnsi="Arial" w:cs="Arial"/>
              </w:rPr>
            </w:pPr>
            <w:r w:rsidRPr="0015704B">
              <w:rPr>
                <w:rFonts w:ascii="Arial" w:eastAsia="SimSun" w:hAnsi="Arial" w:cs="Arial"/>
              </w:rPr>
              <w:t>Approximately 39 to 48 fewer cases of grade 3-4 neutropenia based on t</w:t>
            </w:r>
            <w:r w:rsidRPr="0015704B">
              <w:rPr>
                <w:rFonts w:ascii="Arial" w:hAnsi="Arial" w:cs="Arial"/>
              </w:rPr>
              <w:t xml:space="preserve">he </w:t>
            </w:r>
            <w:proofErr w:type="spellStart"/>
            <w:r w:rsidRPr="0015704B">
              <w:rPr>
                <w:rFonts w:ascii="Arial" w:hAnsi="Arial" w:cs="Arial"/>
              </w:rPr>
              <w:t>StiL</w:t>
            </w:r>
            <w:proofErr w:type="spellEnd"/>
            <w:r w:rsidRPr="0015704B">
              <w:rPr>
                <w:rFonts w:ascii="Arial" w:hAnsi="Arial" w:cs="Arial"/>
              </w:rPr>
              <w:t xml:space="preserve"> and BRIGHT trials respectively</w:t>
            </w:r>
          </w:p>
          <w:p w:rsidR="00355E32" w:rsidRPr="0015704B" w:rsidRDefault="00355E32" w:rsidP="0015704B">
            <w:pPr>
              <w:numPr>
                <w:ilvl w:val="0"/>
                <w:numId w:val="26"/>
              </w:numPr>
              <w:ind w:left="364" w:hanging="284"/>
              <w:rPr>
                <w:rFonts w:ascii="Arial" w:hAnsi="Arial" w:cs="Arial"/>
              </w:rPr>
            </w:pPr>
            <w:r w:rsidRPr="0015704B">
              <w:rPr>
                <w:rFonts w:ascii="Arial" w:hAnsi="Arial" w:cs="Arial"/>
              </w:rPr>
              <w:t xml:space="preserve">Approximately 22 to 35 fewer cases of neuropathy based on the </w:t>
            </w:r>
            <w:proofErr w:type="spellStart"/>
            <w:r w:rsidRPr="0015704B">
              <w:rPr>
                <w:rFonts w:ascii="Arial" w:hAnsi="Arial" w:cs="Arial"/>
              </w:rPr>
              <w:t>StiL</w:t>
            </w:r>
            <w:proofErr w:type="spellEnd"/>
            <w:r w:rsidRPr="0015704B">
              <w:rPr>
                <w:rFonts w:ascii="Arial" w:hAnsi="Arial" w:cs="Arial"/>
              </w:rPr>
              <w:t xml:space="preserve"> and BRIGHT trials respectively</w:t>
            </w:r>
          </w:p>
          <w:p w:rsidR="00355E32" w:rsidRPr="0015704B" w:rsidRDefault="00355E32" w:rsidP="0015704B">
            <w:pPr>
              <w:numPr>
                <w:ilvl w:val="0"/>
                <w:numId w:val="26"/>
              </w:numPr>
              <w:ind w:left="364" w:hanging="284"/>
              <w:rPr>
                <w:rFonts w:ascii="Arial" w:hAnsi="Arial" w:cs="Arial"/>
              </w:rPr>
            </w:pPr>
            <w:r w:rsidRPr="0015704B">
              <w:rPr>
                <w:rFonts w:ascii="Arial" w:hAnsi="Arial" w:cs="Arial"/>
              </w:rPr>
              <w:t xml:space="preserve">Approximately 2 to 13 fewer cases of infectious episodes based on the BRIGHT and </w:t>
            </w:r>
            <w:proofErr w:type="spellStart"/>
            <w:r w:rsidRPr="0015704B">
              <w:rPr>
                <w:rFonts w:ascii="Arial" w:hAnsi="Arial" w:cs="Arial"/>
              </w:rPr>
              <w:t>StiL</w:t>
            </w:r>
            <w:proofErr w:type="spellEnd"/>
            <w:r w:rsidRPr="0015704B">
              <w:rPr>
                <w:rFonts w:ascii="Arial" w:hAnsi="Arial" w:cs="Arial"/>
              </w:rPr>
              <w:t xml:space="preserve"> trials respectively</w:t>
            </w:r>
          </w:p>
          <w:p w:rsidR="00355E32" w:rsidRPr="0015704B" w:rsidRDefault="00355E32" w:rsidP="003C1EB7">
            <w:pPr>
              <w:rPr>
                <w:rFonts w:ascii="Arial" w:hAnsi="Arial" w:cs="Arial"/>
              </w:rPr>
            </w:pPr>
          </w:p>
          <w:p w:rsidR="00355E32" w:rsidRPr="00055E86" w:rsidRDefault="00355E32" w:rsidP="003C1EB7">
            <w:pPr>
              <w:rPr>
                <w:rFonts w:ascii="Arial" w:hAnsi="Arial" w:cs="Arial"/>
                <w:u w:val="single"/>
              </w:rPr>
            </w:pPr>
            <w:r w:rsidRPr="00055E86">
              <w:rPr>
                <w:rFonts w:ascii="Arial" w:hAnsi="Arial" w:cs="Arial"/>
                <w:u w:val="single"/>
              </w:rPr>
              <w:t xml:space="preserve">For patients with rituximab-refractory indolent Non-Hodgkin’s Lymphoma: </w:t>
            </w:r>
          </w:p>
          <w:p w:rsidR="00355E32" w:rsidRPr="00912ED7" w:rsidRDefault="00355E32" w:rsidP="0086395A">
            <w:pPr>
              <w:rPr>
                <w:rFonts w:ascii="Arial" w:hAnsi="Arial" w:cs="Arial"/>
              </w:rPr>
            </w:pPr>
            <w:r w:rsidRPr="003C1EB7">
              <w:rPr>
                <w:rFonts w:ascii="Arial" w:hAnsi="Arial" w:cs="Arial"/>
              </w:rPr>
              <w:t xml:space="preserve">The PBAC did not recommend </w:t>
            </w:r>
            <w:proofErr w:type="spellStart"/>
            <w:r w:rsidRPr="003C1EB7">
              <w:rPr>
                <w:rFonts w:ascii="Arial" w:hAnsi="Arial" w:cs="Arial"/>
              </w:rPr>
              <w:t>bendamustine</w:t>
            </w:r>
            <w:proofErr w:type="spellEnd"/>
            <w:r w:rsidRPr="003C1EB7">
              <w:rPr>
                <w:rFonts w:ascii="Arial" w:hAnsi="Arial" w:cs="Arial"/>
              </w:rPr>
              <w:t xml:space="preserve"> in the rituximab-refractory patient population. The PBAC considered that, given the lack of comparative information presented in the submission, it was not possible to draw any conclusions regarding the comparative effectiveness, safety and cost</w:t>
            </w:r>
            <w:r>
              <w:rPr>
                <w:rFonts w:ascii="Arial" w:hAnsi="Arial" w:cs="Arial"/>
              </w:rPr>
              <w:t>-</w:t>
            </w:r>
            <w:r w:rsidRPr="003C1EB7">
              <w:rPr>
                <w:rFonts w:ascii="Arial" w:hAnsi="Arial" w:cs="Arial"/>
              </w:rPr>
              <w:t xml:space="preserve">effectiveness of </w:t>
            </w:r>
            <w:proofErr w:type="spellStart"/>
            <w:r w:rsidRPr="003C1EB7">
              <w:rPr>
                <w:rFonts w:ascii="Arial" w:hAnsi="Arial" w:cs="Arial"/>
              </w:rPr>
              <w:t>bendamustine</w:t>
            </w:r>
            <w:proofErr w:type="spellEnd"/>
            <w:r w:rsidRPr="003C1EB7">
              <w:rPr>
                <w:rFonts w:ascii="Arial" w:hAnsi="Arial" w:cs="Arial"/>
              </w:rPr>
              <w:t xml:space="preserve"> in this setting.</w:t>
            </w:r>
          </w:p>
        </w:tc>
      </w:tr>
      <w:tr w:rsidR="00355E32" w:rsidRPr="00C011B4" w:rsidTr="003C1EB7">
        <w:trPr>
          <w:trHeight w:val="502"/>
        </w:trPr>
        <w:tc>
          <w:tcPr>
            <w:tcW w:w="3101" w:type="dxa"/>
            <w:tcBorders>
              <w:bottom w:val="nil"/>
            </w:tcBorders>
            <w:tcMar>
              <w:top w:w="28" w:type="dxa"/>
              <w:bottom w:w="28" w:type="dxa"/>
            </w:tcMar>
          </w:tcPr>
          <w:p w:rsidR="00355E32" w:rsidRPr="00912ED7" w:rsidRDefault="00355E32" w:rsidP="00930A7B">
            <w:pPr>
              <w:rPr>
                <w:rStyle w:val="st"/>
                <w:rFonts w:ascii="Arial" w:hAnsi="Arial" w:cs="Arial"/>
                <w:b/>
                <w:color w:val="000000"/>
              </w:rPr>
            </w:pPr>
          </w:p>
        </w:tc>
        <w:tc>
          <w:tcPr>
            <w:tcW w:w="2112" w:type="dxa"/>
            <w:tcBorders>
              <w:bottom w:val="nil"/>
            </w:tcBorders>
          </w:tcPr>
          <w:p w:rsidR="00355E32" w:rsidRPr="00912ED7" w:rsidRDefault="00355E32" w:rsidP="00F274E4">
            <w:pPr>
              <w:rPr>
                <w:rFonts w:ascii="Arial" w:hAnsi="Arial" w:cs="Arial"/>
              </w:rPr>
            </w:pPr>
          </w:p>
        </w:tc>
        <w:tc>
          <w:tcPr>
            <w:tcW w:w="3231" w:type="dxa"/>
            <w:tcMar>
              <w:top w:w="28" w:type="dxa"/>
              <w:bottom w:w="28" w:type="dxa"/>
            </w:tcMar>
          </w:tcPr>
          <w:p w:rsidR="00355E32" w:rsidRPr="00912ED7" w:rsidRDefault="00355E32" w:rsidP="00911E0D">
            <w:pPr>
              <w:rPr>
                <w:rFonts w:ascii="Arial" w:hAnsi="Arial" w:cs="Arial"/>
              </w:rPr>
            </w:pPr>
            <w:r>
              <w:rPr>
                <w:rFonts w:ascii="Arial" w:hAnsi="Arial" w:cs="Arial"/>
              </w:rPr>
              <w:t>Sponsor Comment:</w:t>
            </w:r>
          </w:p>
        </w:tc>
        <w:tc>
          <w:tcPr>
            <w:tcW w:w="6865" w:type="dxa"/>
          </w:tcPr>
          <w:p w:rsidR="00355E32" w:rsidRPr="00912ED7" w:rsidRDefault="00355E32" w:rsidP="00930A7B">
            <w:pPr>
              <w:rPr>
                <w:rFonts w:ascii="Arial" w:hAnsi="Arial" w:cs="Arial"/>
              </w:rPr>
            </w:pPr>
            <w:r w:rsidRPr="001859B7">
              <w:rPr>
                <w:rFonts w:ascii="Arial" w:hAnsi="Arial" w:cs="Arial"/>
              </w:rPr>
              <w:t xml:space="preserve">The sponsor is disappointed with the outcome and does not agree with the rationale for the deferral and rejection of its requested PBS listings. The sponsor is, however, working to resolve the issues </w:t>
            </w:r>
            <w:proofErr w:type="gramStart"/>
            <w:r w:rsidRPr="001859B7">
              <w:rPr>
                <w:rFonts w:ascii="Arial" w:hAnsi="Arial" w:cs="Arial"/>
              </w:rPr>
              <w:t>raised</w:t>
            </w:r>
            <w:proofErr w:type="gramEnd"/>
            <w:r w:rsidRPr="001859B7">
              <w:rPr>
                <w:rFonts w:ascii="Arial" w:hAnsi="Arial" w:cs="Arial"/>
              </w:rPr>
              <w:t xml:space="preserve"> by the PBAC, so that patients can access this important medicine sooner</w:t>
            </w:r>
            <w:r>
              <w:rPr>
                <w:rFonts w:ascii="Arial" w:hAnsi="Arial" w:cs="Arial"/>
              </w:rPr>
              <w:t>.</w:t>
            </w:r>
          </w:p>
        </w:tc>
      </w:tr>
      <w:tr w:rsidR="000C0ACD" w:rsidRPr="00C011B4" w:rsidTr="000C0ACD">
        <w:trPr>
          <w:trHeight w:val="1645"/>
        </w:trPr>
        <w:tc>
          <w:tcPr>
            <w:tcW w:w="3101" w:type="dxa"/>
            <w:vMerge w:val="restart"/>
            <w:tcMar>
              <w:top w:w="28" w:type="dxa"/>
              <w:bottom w:w="28" w:type="dxa"/>
            </w:tcMar>
          </w:tcPr>
          <w:p w:rsidR="000C0ACD" w:rsidRPr="000C0ACD" w:rsidRDefault="000C0ACD" w:rsidP="000C0ACD">
            <w:pPr>
              <w:rPr>
                <w:rFonts w:ascii="Arial" w:hAnsi="Arial" w:cs="Arial"/>
                <w:b/>
              </w:rPr>
            </w:pPr>
            <w:r w:rsidRPr="000C0ACD">
              <w:rPr>
                <w:rFonts w:ascii="Arial" w:hAnsi="Arial" w:cs="Arial"/>
                <w:b/>
              </w:rPr>
              <w:t>BUPRENORPHINE</w:t>
            </w:r>
          </w:p>
          <w:p w:rsidR="000C0ACD" w:rsidRPr="00F70BB0" w:rsidRDefault="000C0ACD" w:rsidP="00771DD6">
            <w:pPr>
              <w:pageBreakBefore/>
              <w:rPr>
                <w:rFonts w:ascii="Arial" w:hAnsi="Arial" w:cs="Arial"/>
              </w:rPr>
            </w:pPr>
            <w:r w:rsidRPr="00F70BB0">
              <w:rPr>
                <w:rFonts w:ascii="Arial" w:hAnsi="Arial" w:cs="Arial"/>
              </w:rPr>
              <w:t>15 microgram/hour patch, 2</w:t>
            </w:r>
          </w:p>
          <w:p w:rsidR="000C0ACD" w:rsidRPr="00F70BB0" w:rsidRDefault="000C0ACD" w:rsidP="00771DD6">
            <w:pPr>
              <w:pageBreakBefore/>
              <w:rPr>
                <w:rFonts w:ascii="Arial" w:hAnsi="Arial" w:cs="Arial"/>
              </w:rPr>
            </w:pPr>
            <w:r w:rsidRPr="00F70BB0">
              <w:rPr>
                <w:rFonts w:ascii="Arial" w:hAnsi="Arial" w:cs="Arial"/>
              </w:rPr>
              <w:t>25 microgram/hour patch, 2</w:t>
            </w:r>
          </w:p>
          <w:p w:rsidR="000C0ACD" w:rsidRPr="00F70BB0" w:rsidRDefault="000C0ACD" w:rsidP="00771DD6">
            <w:pPr>
              <w:pageBreakBefore/>
              <w:rPr>
                <w:rFonts w:ascii="Arial" w:hAnsi="Arial" w:cs="Arial"/>
              </w:rPr>
            </w:pPr>
            <w:r w:rsidRPr="00F70BB0">
              <w:rPr>
                <w:rFonts w:ascii="Arial" w:hAnsi="Arial" w:cs="Arial"/>
              </w:rPr>
              <w:t>30 microgram/hour patch, 2</w:t>
            </w:r>
          </w:p>
          <w:p w:rsidR="000C0ACD" w:rsidRPr="00F70BB0" w:rsidRDefault="000C0ACD" w:rsidP="00771DD6">
            <w:pPr>
              <w:pageBreakBefore/>
              <w:rPr>
                <w:rFonts w:ascii="Arial" w:hAnsi="Arial" w:cs="Arial"/>
              </w:rPr>
            </w:pPr>
            <w:r w:rsidRPr="00F70BB0">
              <w:rPr>
                <w:rFonts w:ascii="Arial" w:hAnsi="Arial" w:cs="Arial"/>
              </w:rPr>
              <w:t>40 microgram/hour patch, 2</w:t>
            </w:r>
          </w:p>
          <w:p w:rsidR="000C0ACD" w:rsidRPr="00F70BB0" w:rsidRDefault="000C0ACD" w:rsidP="00771DD6">
            <w:pPr>
              <w:pageBreakBefore/>
              <w:rPr>
                <w:rFonts w:ascii="Arial" w:hAnsi="Arial" w:cs="Arial"/>
              </w:rPr>
            </w:pPr>
          </w:p>
          <w:p w:rsidR="000C0ACD" w:rsidRPr="00055E86" w:rsidRDefault="000C0ACD" w:rsidP="00771DD6">
            <w:pPr>
              <w:pageBreakBefore/>
              <w:rPr>
                <w:rFonts w:ascii="Arial" w:hAnsi="Arial" w:cs="Arial"/>
                <w:vertAlign w:val="superscript"/>
              </w:rPr>
            </w:pPr>
            <w:proofErr w:type="spellStart"/>
            <w:r w:rsidRPr="00F70BB0">
              <w:rPr>
                <w:rFonts w:ascii="Arial" w:hAnsi="Arial" w:cs="Arial"/>
              </w:rPr>
              <w:t>Norspan</w:t>
            </w:r>
            <w:proofErr w:type="spellEnd"/>
            <w:r w:rsidRPr="00055E86">
              <w:rPr>
                <w:rFonts w:ascii="Arial" w:hAnsi="Arial" w:cs="Arial"/>
                <w:vertAlign w:val="superscript"/>
              </w:rPr>
              <w:t>®</w:t>
            </w:r>
          </w:p>
          <w:p w:rsidR="000C0ACD" w:rsidRPr="00F70BB0" w:rsidRDefault="000C0ACD" w:rsidP="00771DD6">
            <w:pPr>
              <w:pageBreakBefore/>
              <w:rPr>
                <w:rFonts w:ascii="Arial" w:hAnsi="Arial" w:cs="Arial"/>
              </w:rPr>
            </w:pPr>
          </w:p>
          <w:p w:rsidR="000C0ACD" w:rsidRPr="00F70BB0" w:rsidRDefault="000C0ACD" w:rsidP="00771DD6">
            <w:pPr>
              <w:pageBreakBefore/>
              <w:rPr>
                <w:rFonts w:ascii="Arial" w:hAnsi="Arial" w:cs="Arial"/>
              </w:rPr>
            </w:pPr>
            <w:proofErr w:type="spellStart"/>
            <w:r w:rsidRPr="00F70BB0">
              <w:rPr>
                <w:rFonts w:ascii="Arial" w:hAnsi="Arial" w:cs="Arial"/>
              </w:rPr>
              <w:t>Mundipharma</w:t>
            </w:r>
            <w:proofErr w:type="spellEnd"/>
            <w:r w:rsidRPr="00F70BB0">
              <w:rPr>
                <w:rFonts w:ascii="Arial" w:hAnsi="Arial" w:cs="Arial"/>
              </w:rPr>
              <w:t xml:space="preserve"> Pty Ltd</w:t>
            </w:r>
          </w:p>
          <w:p w:rsidR="000C0ACD" w:rsidRPr="00F70BB0" w:rsidRDefault="000C0ACD" w:rsidP="00771DD6">
            <w:pPr>
              <w:pageBreakBefore/>
              <w:rPr>
                <w:rFonts w:ascii="Arial" w:hAnsi="Arial" w:cs="Arial"/>
              </w:rPr>
            </w:pPr>
          </w:p>
          <w:p w:rsidR="000C0ACD" w:rsidRPr="00912ED7" w:rsidRDefault="000C0ACD" w:rsidP="00771DD6">
            <w:pPr>
              <w:rPr>
                <w:rStyle w:val="st"/>
                <w:rFonts w:ascii="Arial" w:hAnsi="Arial" w:cs="Arial"/>
                <w:b/>
                <w:color w:val="000000"/>
              </w:rPr>
            </w:pPr>
            <w:r>
              <w:rPr>
                <w:rFonts w:ascii="Arial" w:hAnsi="Arial" w:cs="Arial"/>
              </w:rPr>
              <w:t>(</w:t>
            </w:r>
            <w:r w:rsidRPr="00F70BB0">
              <w:rPr>
                <w:rFonts w:ascii="Arial" w:hAnsi="Arial" w:cs="Arial"/>
              </w:rPr>
              <w:t>Minor submission)</w:t>
            </w:r>
          </w:p>
        </w:tc>
        <w:tc>
          <w:tcPr>
            <w:tcW w:w="2112" w:type="dxa"/>
            <w:vMerge w:val="restart"/>
          </w:tcPr>
          <w:p w:rsidR="000C0ACD" w:rsidRDefault="000C0ACD" w:rsidP="00055E86">
            <w:pPr>
              <w:rPr>
                <w:rFonts w:ascii="Arial" w:hAnsi="Arial" w:cs="Arial"/>
              </w:rPr>
            </w:pPr>
            <w:r>
              <w:rPr>
                <w:rFonts w:ascii="Arial" w:hAnsi="Arial" w:cs="Arial"/>
                <w:snapToGrid w:val="0"/>
                <w:lang w:eastAsia="en-US"/>
              </w:rPr>
              <w:t>Pain</w:t>
            </w:r>
          </w:p>
        </w:tc>
        <w:tc>
          <w:tcPr>
            <w:tcW w:w="3231" w:type="dxa"/>
            <w:tcMar>
              <w:top w:w="28" w:type="dxa"/>
              <w:bottom w:w="28" w:type="dxa"/>
            </w:tcMar>
          </w:tcPr>
          <w:p w:rsidR="000C0ACD" w:rsidRPr="00912ED7" w:rsidRDefault="000C0ACD" w:rsidP="00055E86">
            <w:pPr>
              <w:rPr>
                <w:rFonts w:ascii="Arial" w:hAnsi="Arial" w:cs="Arial"/>
              </w:rPr>
            </w:pPr>
            <w:r w:rsidRPr="00F70BB0">
              <w:rPr>
                <w:rFonts w:ascii="Arial" w:hAnsi="Arial" w:cs="Arial"/>
              </w:rPr>
              <w:t>The submission sought to list additional strengths for the same indications currently applying to the existing patches.</w:t>
            </w:r>
          </w:p>
        </w:tc>
        <w:tc>
          <w:tcPr>
            <w:tcW w:w="6865" w:type="dxa"/>
          </w:tcPr>
          <w:p w:rsidR="000C0ACD" w:rsidRPr="00F70BB0" w:rsidRDefault="000C0ACD" w:rsidP="00771DD6">
            <w:pPr>
              <w:pStyle w:val="ListParagraph"/>
              <w:pageBreakBefore/>
              <w:ind w:left="0"/>
              <w:rPr>
                <w:rFonts w:ascii="Arial" w:hAnsi="Arial" w:cs="Arial"/>
                <w:sz w:val="20"/>
                <w:szCs w:val="20"/>
              </w:rPr>
            </w:pPr>
            <w:r w:rsidRPr="00F70BB0">
              <w:rPr>
                <w:rFonts w:ascii="Arial" w:hAnsi="Arial" w:cs="Arial"/>
                <w:sz w:val="20"/>
                <w:szCs w:val="20"/>
              </w:rPr>
              <w:t xml:space="preserve">The PBAC deferred its recommendation until further advice could be sought regarding the clinical place and appropriateness for additional strengths of buprenorphine patches, and recommended that the Department consult with organisations representing physicians experienced in pain management.  </w:t>
            </w:r>
          </w:p>
          <w:p w:rsidR="000C0ACD" w:rsidRPr="00912ED7" w:rsidRDefault="000C0ACD" w:rsidP="00055E86">
            <w:pPr>
              <w:rPr>
                <w:rFonts w:ascii="Arial" w:hAnsi="Arial" w:cs="Arial"/>
              </w:rPr>
            </w:pPr>
          </w:p>
        </w:tc>
      </w:tr>
      <w:tr w:rsidR="000C0ACD" w:rsidRPr="00C011B4" w:rsidTr="00391289">
        <w:trPr>
          <w:trHeight w:val="1644"/>
        </w:trPr>
        <w:tc>
          <w:tcPr>
            <w:tcW w:w="3101" w:type="dxa"/>
            <w:vMerge/>
            <w:tcMar>
              <w:top w:w="28" w:type="dxa"/>
              <w:bottom w:w="28" w:type="dxa"/>
            </w:tcMar>
          </w:tcPr>
          <w:p w:rsidR="000C0ACD" w:rsidRPr="000C0ACD" w:rsidRDefault="000C0ACD" w:rsidP="000C0ACD">
            <w:pPr>
              <w:rPr>
                <w:rFonts w:ascii="Arial" w:hAnsi="Arial" w:cs="Arial"/>
                <w:b/>
              </w:rPr>
            </w:pPr>
          </w:p>
        </w:tc>
        <w:tc>
          <w:tcPr>
            <w:tcW w:w="2112" w:type="dxa"/>
            <w:vMerge/>
          </w:tcPr>
          <w:p w:rsidR="000C0ACD" w:rsidRDefault="000C0ACD" w:rsidP="00055E86">
            <w:pPr>
              <w:rPr>
                <w:rFonts w:ascii="Arial" w:hAnsi="Arial" w:cs="Arial"/>
                <w:snapToGrid w:val="0"/>
                <w:lang w:eastAsia="en-US"/>
              </w:rPr>
            </w:pPr>
          </w:p>
        </w:tc>
        <w:tc>
          <w:tcPr>
            <w:tcW w:w="3231" w:type="dxa"/>
            <w:tcMar>
              <w:top w:w="28" w:type="dxa"/>
              <w:bottom w:w="28" w:type="dxa"/>
            </w:tcMar>
          </w:tcPr>
          <w:p w:rsidR="000C0ACD" w:rsidRPr="00F70BB0" w:rsidRDefault="000C0ACD" w:rsidP="00055E86">
            <w:pPr>
              <w:rPr>
                <w:rFonts w:ascii="Arial" w:hAnsi="Arial" w:cs="Arial"/>
              </w:rPr>
            </w:pPr>
            <w:r>
              <w:rPr>
                <w:rFonts w:ascii="Arial" w:hAnsi="Arial" w:cs="Arial"/>
              </w:rPr>
              <w:t>Sponsor Comment:</w:t>
            </w:r>
          </w:p>
        </w:tc>
        <w:tc>
          <w:tcPr>
            <w:tcW w:w="6865" w:type="dxa"/>
          </w:tcPr>
          <w:p w:rsidR="000C0ACD" w:rsidRPr="00F70BB0" w:rsidRDefault="0061536A" w:rsidP="00771DD6">
            <w:pPr>
              <w:pStyle w:val="ListParagraph"/>
              <w:pageBreakBefore/>
              <w:ind w:left="0"/>
              <w:rPr>
                <w:rFonts w:ascii="Arial" w:hAnsi="Arial" w:cs="Arial"/>
                <w:sz w:val="20"/>
                <w:szCs w:val="20"/>
              </w:rPr>
            </w:pPr>
            <w:r w:rsidRPr="0061536A">
              <w:rPr>
                <w:rFonts w:ascii="Arial" w:hAnsi="Arial" w:cs="Arial"/>
                <w:iCs/>
                <w:sz w:val="20"/>
                <w:szCs w:val="20"/>
              </w:rPr>
              <w:t>The sponsor had no comment.</w:t>
            </w:r>
          </w:p>
        </w:tc>
      </w:tr>
      <w:tr w:rsidR="00912ED7" w:rsidRPr="00C011B4" w:rsidTr="00912ED7">
        <w:trPr>
          <w:trHeight w:val="3052"/>
        </w:trPr>
        <w:tc>
          <w:tcPr>
            <w:tcW w:w="3101" w:type="dxa"/>
            <w:tcBorders>
              <w:bottom w:val="nil"/>
            </w:tcBorders>
            <w:tcMar>
              <w:top w:w="28" w:type="dxa"/>
              <w:bottom w:w="28" w:type="dxa"/>
            </w:tcMar>
          </w:tcPr>
          <w:p w:rsidR="00912ED7" w:rsidRDefault="00912ED7" w:rsidP="00930A7B">
            <w:pPr>
              <w:rPr>
                <w:rStyle w:val="st"/>
                <w:rFonts w:ascii="Arial" w:hAnsi="Arial" w:cs="Arial"/>
                <w:b/>
                <w:color w:val="000000"/>
              </w:rPr>
            </w:pPr>
            <w:r w:rsidRPr="000C0ACD">
              <w:rPr>
                <w:rFonts w:ascii="Arial" w:hAnsi="Arial" w:cs="Arial"/>
                <w:b/>
              </w:rPr>
              <w:t>OXYCODONE</w:t>
            </w:r>
            <w:r w:rsidRPr="00912ED7">
              <w:rPr>
                <w:rStyle w:val="st"/>
                <w:rFonts w:ascii="Arial" w:hAnsi="Arial" w:cs="Arial"/>
                <w:b/>
                <w:color w:val="000000"/>
              </w:rPr>
              <w:t xml:space="preserve">  HYDROCHLORIDE + NALOXONE HYDROCHLORIDE, </w:t>
            </w:r>
          </w:p>
          <w:p w:rsidR="00912ED7" w:rsidRPr="00912ED7" w:rsidRDefault="00912ED7" w:rsidP="00930A7B">
            <w:pPr>
              <w:rPr>
                <w:rStyle w:val="st"/>
                <w:rFonts w:ascii="Arial" w:hAnsi="Arial" w:cs="Arial"/>
                <w:color w:val="000000"/>
              </w:rPr>
            </w:pPr>
            <w:r w:rsidRPr="00912ED7">
              <w:rPr>
                <w:rStyle w:val="st"/>
                <w:rFonts w:ascii="Arial" w:hAnsi="Arial" w:cs="Arial"/>
                <w:color w:val="000000"/>
              </w:rPr>
              <w:t>modified release tablet, 2.5 mg/1.25 mg, 15 mg/7.5 mg , and 30 mg/15 mg</w:t>
            </w:r>
          </w:p>
          <w:p w:rsidR="00912ED7" w:rsidRPr="00912ED7" w:rsidRDefault="00912ED7" w:rsidP="00930A7B">
            <w:pPr>
              <w:rPr>
                <w:rStyle w:val="st"/>
                <w:rFonts w:ascii="Arial" w:hAnsi="Arial" w:cs="Arial"/>
                <w:color w:val="000000"/>
              </w:rPr>
            </w:pPr>
          </w:p>
          <w:p w:rsidR="00912ED7" w:rsidRPr="00912ED7" w:rsidRDefault="00912ED7" w:rsidP="00930A7B">
            <w:pPr>
              <w:rPr>
                <w:rStyle w:val="st"/>
                <w:rFonts w:ascii="Arial" w:hAnsi="Arial" w:cs="Arial"/>
                <w:color w:val="000000"/>
              </w:rPr>
            </w:pPr>
            <w:proofErr w:type="spellStart"/>
            <w:r w:rsidRPr="00912ED7">
              <w:rPr>
                <w:rStyle w:val="st"/>
                <w:rFonts w:ascii="Arial" w:hAnsi="Arial" w:cs="Arial"/>
                <w:color w:val="000000"/>
              </w:rPr>
              <w:t>Targin</w:t>
            </w:r>
            <w:proofErr w:type="spellEnd"/>
            <w:r w:rsidRPr="00055E86">
              <w:rPr>
                <w:rStyle w:val="st"/>
                <w:rFonts w:ascii="Arial" w:hAnsi="Arial" w:cs="Arial"/>
                <w:color w:val="000000"/>
                <w:vertAlign w:val="superscript"/>
              </w:rPr>
              <w:t>®</w:t>
            </w:r>
          </w:p>
          <w:p w:rsidR="00912ED7" w:rsidRPr="00912ED7" w:rsidRDefault="00912ED7" w:rsidP="00930A7B">
            <w:pPr>
              <w:rPr>
                <w:rStyle w:val="st"/>
                <w:rFonts w:ascii="Arial" w:hAnsi="Arial" w:cs="Arial"/>
                <w:color w:val="000000"/>
              </w:rPr>
            </w:pPr>
          </w:p>
          <w:p w:rsidR="00912ED7" w:rsidRDefault="00912ED7" w:rsidP="00930A7B">
            <w:pPr>
              <w:rPr>
                <w:rStyle w:val="st"/>
                <w:rFonts w:ascii="Arial" w:hAnsi="Arial" w:cs="Arial"/>
                <w:color w:val="000000"/>
              </w:rPr>
            </w:pPr>
            <w:proofErr w:type="spellStart"/>
            <w:r w:rsidRPr="00912ED7">
              <w:rPr>
                <w:rStyle w:val="st"/>
                <w:rFonts w:ascii="Arial" w:hAnsi="Arial" w:cs="Arial"/>
                <w:color w:val="000000"/>
              </w:rPr>
              <w:t>Mundipharma</w:t>
            </w:r>
            <w:proofErr w:type="spellEnd"/>
            <w:r w:rsidRPr="00912ED7">
              <w:rPr>
                <w:rStyle w:val="st"/>
                <w:rFonts w:ascii="Arial" w:hAnsi="Arial" w:cs="Arial"/>
                <w:color w:val="000000"/>
              </w:rPr>
              <w:t xml:space="preserve"> Pty Ltd</w:t>
            </w:r>
          </w:p>
          <w:p w:rsidR="00912ED7" w:rsidRDefault="00912ED7" w:rsidP="00930A7B">
            <w:pPr>
              <w:rPr>
                <w:rStyle w:val="st"/>
                <w:rFonts w:ascii="Arial" w:hAnsi="Arial" w:cs="Arial"/>
                <w:color w:val="000000"/>
              </w:rPr>
            </w:pPr>
          </w:p>
          <w:p w:rsidR="00912ED7" w:rsidRPr="00930A7B" w:rsidRDefault="00912ED7" w:rsidP="00930A7B">
            <w:pPr>
              <w:rPr>
                <w:rStyle w:val="st"/>
                <w:rFonts w:ascii="Arial" w:hAnsi="Arial" w:cs="Arial"/>
                <w:b/>
                <w:color w:val="000000"/>
              </w:rPr>
            </w:pPr>
            <w:r>
              <w:rPr>
                <w:rStyle w:val="st"/>
                <w:rFonts w:ascii="Arial" w:hAnsi="Arial" w:cs="Arial"/>
                <w:color w:val="000000"/>
              </w:rPr>
              <w:t>(Minor submission)</w:t>
            </w:r>
          </w:p>
        </w:tc>
        <w:tc>
          <w:tcPr>
            <w:tcW w:w="2112" w:type="dxa"/>
            <w:tcBorders>
              <w:bottom w:val="nil"/>
            </w:tcBorders>
          </w:tcPr>
          <w:p w:rsidR="00912ED7" w:rsidRDefault="00055E86" w:rsidP="00055E86">
            <w:pPr>
              <w:rPr>
                <w:rFonts w:ascii="Arial" w:hAnsi="Arial" w:cs="Arial"/>
              </w:rPr>
            </w:pPr>
            <w:r>
              <w:rPr>
                <w:rFonts w:ascii="Arial" w:hAnsi="Arial" w:cs="Arial"/>
              </w:rPr>
              <w:t>C</w:t>
            </w:r>
            <w:r w:rsidR="00912ED7" w:rsidRPr="00912ED7">
              <w:rPr>
                <w:rFonts w:ascii="Arial" w:hAnsi="Arial" w:cs="Arial"/>
              </w:rPr>
              <w:t xml:space="preserve">hronic pain </w:t>
            </w:r>
          </w:p>
        </w:tc>
        <w:tc>
          <w:tcPr>
            <w:tcW w:w="3231" w:type="dxa"/>
            <w:tcMar>
              <w:top w:w="28" w:type="dxa"/>
              <w:bottom w:w="28" w:type="dxa"/>
            </w:tcMar>
          </w:tcPr>
          <w:p w:rsidR="00912ED7" w:rsidRPr="00930A7B" w:rsidRDefault="00912ED7" w:rsidP="00055E86">
            <w:pPr>
              <w:rPr>
                <w:rFonts w:ascii="Arial" w:hAnsi="Arial" w:cs="Arial"/>
              </w:rPr>
            </w:pPr>
            <w:r w:rsidRPr="00912ED7">
              <w:rPr>
                <w:rFonts w:ascii="Arial" w:hAnsi="Arial" w:cs="Arial"/>
              </w:rPr>
              <w:t>The submission sought list</w:t>
            </w:r>
            <w:r w:rsidR="00055E86">
              <w:rPr>
                <w:rFonts w:ascii="Arial" w:hAnsi="Arial" w:cs="Arial"/>
              </w:rPr>
              <w:t>ing of</w:t>
            </w:r>
            <w:r w:rsidRPr="00912ED7">
              <w:rPr>
                <w:rFonts w:ascii="Arial" w:hAnsi="Arial" w:cs="Arial"/>
              </w:rPr>
              <w:t xml:space="preserve"> three additional strengths of oxycodone + naloxone. </w:t>
            </w:r>
          </w:p>
        </w:tc>
        <w:tc>
          <w:tcPr>
            <w:tcW w:w="6865" w:type="dxa"/>
          </w:tcPr>
          <w:p w:rsidR="00912ED7" w:rsidRPr="00930A7B" w:rsidRDefault="00912ED7" w:rsidP="00055E86">
            <w:pPr>
              <w:rPr>
                <w:rFonts w:ascii="Arial" w:hAnsi="Arial" w:cs="Arial"/>
              </w:rPr>
            </w:pPr>
            <w:r w:rsidRPr="00912ED7">
              <w:rPr>
                <w:rFonts w:ascii="Arial" w:hAnsi="Arial" w:cs="Arial"/>
              </w:rPr>
              <w:t xml:space="preserve">The PBAC deferred its recommendation until further advice </w:t>
            </w:r>
            <w:r w:rsidR="00055E86" w:rsidRPr="00055E86">
              <w:rPr>
                <w:rFonts w:ascii="Arial" w:hAnsi="Arial" w:cs="Arial"/>
              </w:rPr>
              <w:t xml:space="preserve">could be sought </w:t>
            </w:r>
            <w:r w:rsidR="00055E86">
              <w:rPr>
                <w:rFonts w:ascii="Arial" w:hAnsi="Arial" w:cs="Arial"/>
              </w:rPr>
              <w:t>regarding</w:t>
            </w:r>
            <w:r w:rsidRPr="00912ED7">
              <w:rPr>
                <w:rFonts w:ascii="Arial" w:hAnsi="Arial" w:cs="Arial"/>
              </w:rPr>
              <w:t xml:space="preserve"> the clinical place </w:t>
            </w:r>
            <w:r w:rsidR="00055E86">
              <w:rPr>
                <w:rFonts w:ascii="Arial" w:hAnsi="Arial" w:cs="Arial"/>
              </w:rPr>
              <w:t>of</w:t>
            </w:r>
            <w:r w:rsidRPr="00912ED7">
              <w:rPr>
                <w:rFonts w:ascii="Arial" w:hAnsi="Arial" w:cs="Arial"/>
              </w:rPr>
              <w:t xml:space="preserve"> additional strengths of oxycodone with naloxone</w:t>
            </w:r>
            <w:r w:rsidR="00055E86">
              <w:rPr>
                <w:rFonts w:ascii="Arial" w:hAnsi="Arial" w:cs="Arial"/>
              </w:rPr>
              <w:t>,</w:t>
            </w:r>
            <w:r w:rsidRPr="00912ED7">
              <w:rPr>
                <w:rFonts w:ascii="Arial" w:hAnsi="Arial" w:cs="Arial"/>
              </w:rPr>
              <w:t xml:space="preserve"> </w:t>
            </w:r>
            <w:r w:rsidR="00055E86" w:rsidRPr="00055E86">
              <w:rPr>
                <w:rFonts w:ascii="Arial" w:hAnsi="Arial" w:cs="Arial"/>
              </w:rPr>
              <w:t xml:space="preserve">and recommended that the Department consult with organisations representing physicians experienced in pain management.  </w:t>
            </w:r>
          </w:p>
        </w:tc>
      </w:tr>
      <w:tr w:rsidR="00912ED7" w:rsidRPr="00C011B4" w:rsidTr="00912ED7">
        <w:trPr>
          <w:trHeight w:val="352"/>
        </w:trPr>
        <w:tc>
          <w:tcPr>
            <w:tcW w:w="3101" w:type="dxa"/>
            <w:tcBorders>
              <w:top w:val="nil"/>
            </w:tcBorders>
            <w:tcMar>
              <w:top w:w="28" w:type="dxa"/>
              <w:bottom w:w="28" w:type="dxa"/>
            </w:tcMar>
          </w:tcPr>
          <w:p w:rsidR="00912ED7" w:rsidRPr="00930A7B" w:rsidRDefault="00912ED7" w:rsidP="00930A7B">
            <w:pPr>
              <w:rPr>
                <w:rStyle w:val="st"/>
                <w:rFonts w:ascii="Arial" w:hAnsi="Arial" w:cs="Arial"/>
                <w:b/>
                <w:color w:val="000000"/>
              </w:rPr>
            </w:pPr>
          </w:p>
        </w:tc>
        <w:tc>
          <w:tcPr>
            <w:tcW w:w="2112" w:type="dxa"/>
            <w:tcBorders>
              <w:top w:val="nil"/>
            </w:tcBorders>
          </w:tcPr>
          <w:p w:rsidR="00912ED7" w:rsidRDefault="00912ED7" w:rsidP="00F274E4">
            <w:pPr>
              <w:rPr>
                <w:rFonts w:ascii="Arial" w:hAnsi="Arial" w:cs="Arial"/>
              </w:rPr>
            </w:pPr>
          </w:p>
        </w:tc>
        <w:tc>
          <w:tcPr>
            <w:tcW w:w="3231" w:type="dxa"/>
            <w:tcMar>
              <w:top w:w="28" w:type="dxa"/>
              <w:bottom w:w="28" w:type="dxa"/>
            </w:tcMar>
          </w:tcPr>
          <w:p w:rsidR="00912ED7" w:rsidRPr="00930A7B" w:rsidRDefault="00912ED7" w:rsidP="00911E0D">
            <w:pPr>
              <w:rPr>
                <w:rFonts w:ascii="Arial" w:hAnsi="Arial" w:cs="Arial"/>
              </w:rPr>
            </w:pPr>
            <w:r>
              <w:rPr>
                <w:rFonts w:ascii="Arial" w:hAnsi="Arial" w:cs="Arial"/>
              </w:rPr>
              <w:t>Sponsor Comment:</w:t>
            </w:r>
          </w:p>
        </w:tc>
        <w:tc>
          <w:tcPr>
            <w:tcW w:w="6865" w:type="dxa"/>
          </w:tcPr>
          <w:p w:rsidR="00912ED7" w:rsidRPr="00930A7B" w:rsidRDefault="0061536A" w:rsidP="00930A7B">
            <w:pPr>
              <w:rPr>
                <w:rFonts w:ascii="Arial" w:hAnsi="Arial" w:cs="Arial"/>
              </w:rPr>
            </w:pPr>
            <w:r w:rsidRPr="0061536A">
              <w:rPr>
                <w:rFonts w:ascii="Arial" w:hAnsi="Arial" w:cs="Arial"/>
                <w:iCs/>
              </w:rPr>
              <w:t>The sponsor had no comment.</w:t>
            </w:r>
          </w:p>
        </w:tc>
      </w:tr>
      <w:tr w:rsidR="000C0ACD" w:rsidRPr="00C011B4" w:rsidTr="00281EE0">
        <w:trPr>
          <w:trHeight w:val="1880"/>
        </w:trPr>
        <w:tc>
          <w:tcPr>
            <w:tcW w:w="3101" w:type="dxa"/>
            <w:vMerge w:val="restart"/>
            <w:tcMar>
              <w:top w:w="28" w:type="dxa"/>
              <w:bottom w:w="28" w:type="dxa"/>
            </w:tcMar>
          </w:tcPr>
          <w:p w:rsidR="000C0ACD" w:rsidRPr="000C0ACD" w:rsidRDefault="000C0ACD" w:rsidP="00930A7B">
            <w:r w:rsidRPr="000C0ACD">
              <w:rPr>
                <w:rFonts w:ascii="Arial" w:hAnsi="Arial" w:cs="Arial"/>
                <w:b/>
              </w:rPr>
              <w:lastRenderedPageBreak/>
              <w:t>RITUXIMAB</w:t>
            </w:r>
          </w:p>
          <w:p w:rsidR="000C0ACD" w:rsidRDefault="000C0ACD" w:rsidP="00930A7B">
            <w:pPr>
              <w:rPr>
                <w:rStyle w:val="st"/>
                <w:rFonts w:ascii="Arial" w:hAnsi="Arial" w:cs="Arial"/>
                <w:color w:val="000000"/>
              </w:rPr>
            </w:pPr>
            <w:r w:rsidRPr="00930A7B">
              <w:rPr>
                <w:rStyle w:val="st"/>
                <w:rFonts w:ascii="Arial" w:hAnsi="Arial" w:cs="Arial"/>
                <w:color w:val="000000"/>
              </w:rPr>
              <w:t>injection for infusion</w:t>
            </w:r>
          </w:p>
          <w:p w:rsidR="000C0ACD" w:rsidRDefault="000C0ACD" w:rsidP="00930A7B">
            <w:pPr>
              <w:rPr>
                <w:rStyle w:val="st"/>
                <w:rFonts w:ascii="Arial" w:hAnsi="Arial" w:cs="Arial"/>
                <w:color w:val="000000"/>
              </w:rPr>
            </w:pPr>
            <w:r>
              <w:rPr>
                <w:rStyle w:val="st"/>
                <w:rFonts w:ascii="Arial" w:hAnsi="Arial" w:cs="Arial"/>
                <w:color w:val="000000"/>
              </w:rPr>
              <w:t>500mg/50mL</w:t>
            </w:r>
          </w:p>
          <w:p w:rsidR="000C0ACD" w:rsidRDefault="000C0ACD" w:rsidP="00930A7B">
            <w:pPr>
              <w:rPr>
                <w:rStyle w:val="st"/>
                <w:rFonts w:ascii="Arial" w:hAnsi="Arial" w:cs="Arial"/>
                <w:color w:val="000000"/>
              </w:rPr>
            </w:pPr>
          </w:p>
          <w:p w:rsidR="000C0ACD" w:rsidRDefault="000C0ACD" w:rsidP="00930A7B">
            <w:pPr>
              <w:rPr>
                <w:rStyle w:val="st"/>
                <w:rFonts w:ascii="Arial" w:hAnsi="Arial" w:cs="Arial"/>
                <w:color w:val="000000"/>
              </w:rPr>
            </w:pPr>
            <w:proofErr w:type="spellStart"/>
            <w:r>
              <w:rPr>
                <w:rStyle w:val="st"/>
                <w:rFonts w:ascii="Arial" w:hAnsi="Arial" w:cs="Arial"/>
                <w:color w:val="000000"/>
              </w:rPr>
              <w:t>Mabthera</w:t>
            </w:r>
            <w:proofErr w:type="spellEnd"/>
            <w:r w:rsidRPr="00055E86">
              <w:rPr>
                <w:rStyle w:val="st"/>
                <w:rFonts w:ascii="Arial" w:hAnsi="Arial" w:cs="Arial"/>
                <w:color w:val="000000"/>
                <w:vertAlign w:val="superscript"/>
              </w:rPr>
              <w:t>®</w:t>
            </w:r>
          </w:p>
          <w:p w:rsidR="000C0ACD" w:rsidRDefault="000C0ACD" w:rsidP="00930A7B">
            <w:pPr>
              <w:rPr>
                <w:rStyle w:val="st"/>
                <w:rFonts w:ascii="Arial" w:hAnsi="Arial" w:cs="Arial"/>
                <w:color w:val="000000"/>
              </w:rPr>
            </w:pPr>
          </w:p>
          <w:p w:rsidR="000C0ACD" w:rsidRDefault="000C0ACD" w:rsidP="00930A7B">
            <w:pPr>
              <w:rPr>
                <w:rStyle w:val="st"/>
                <w:rFonts w:ascii="Arial" w:hAnsi="Arial" w:cs="Arial"/>
                <w:color w:val="000000"/>
              </w:rPr>
            </w:pPr>
            <w:r w:rsidRPr="00930A7B">
              <w:rPr>
                <w:rStyle w:val="st"/>
                <w:rFonts w:ascii="Arial" w:hAnsi="Arial" w:cs="Arial"/>
                <w:color w:val="000000"/>
              </w:rPr>
              <w:t>Roche Products Pty Ltd.</w:t>
            </w:r>
          </w:p>
          <w:p w:rsidR="000C0ACD" w:rsidRDefault="000C0ACD" w:rsidP="00930A7B">
            <w:pPr>
              <w:rPr>
                <w:rStyle w:val="st"/>
                <w:rFonts w:ascii="Arial" w:hAnsi="Arial" w:cs="Arial"/>
                <w:color w:val="000000"/>
              </w:rPr>
            </w:pPr>
          </w:p>
          <w:p w:rsidR="000C0ACD" w:rsidRPr="00B619B2" w:rsidRDefault="000C0ACD" w:rsidP="00930A7B">
            <w:pPr>
              <w:rPr>
                <w:rStyle w:val="st"/>
                <w:rFonts w:ascii="Arial" w:hAnsi="Arial" w:cs="Arial"/>
                <w:color w:val="000000"/>
                <w:highlight w:val="yellow"/>
              </w:rPr>
            </w:pPr>
            <w:r>
              <w:rPr>
                <w:rStyle w:val="st"/>
                <w:rFonts w:ascii="Arial" w:hAnsi="Arial" w:cs="Arial"/>
                <w:color w:val="000000"/>
              </w:rPr>
              <w:t>(Major submission)</w:t>
            </w:r>
          </w:p>
        </w:tc>
        <w:tc>
          <w:tcPr>
            <w:tcW w:w="2112" w:type="dxa"/>
            <w:vMerge w:val="restart"/>
          </w:tcPr>
          <w:p w:rsidR="000C0ACD" w:rsidRPr="00B619B2" w:rsidRDefault="000C0ACD" w:rsidP="00F274E4">
            <w:pPr>
              <w:rPr>
                <w:rFonts w:ascii="Arial" w:hAnsi="Arial" w:cs="Arial"/>
                <w:highlight w:val="yellow"/>
              </w:rPr>
            </w:pPr>
            <w:r>
              <w:rPr>
                <w:rFonts w:ascii="Arial" w:hAnsi="Arial" w:cs="Arial"/>
              </w:rPr>
              <w:t>S</w:t>
            </w:r>
            <w:r w:rsidRPr="00930A7B">
              <w:rPr>
                <w:rFonts w:ascii="Arial" w:hAnsi="Arial" w:cs="Arial"/>
              </w:rPr>
              <w:t xml:space="preserve">evere active </w:t>
            </w:r>
            <w:proofErr w:type="spellStart"/>
            <w:r w:rsidRPr="00930A7B">
              <w:rPr>
                <w:rFonts w:ascii="Arial" w:hAnsi="Arial" w:cs="Arial"/>
              </w:rPr>
              <w:t>granulomatosis</w:t>
            </w:r>
            <w:proofErr w:type="spellEnd"/>
            <w:r>
              <w:t xml:space="preserve"> </w:t>
            </w:r>
            <w:r w:rsidRPr="00055E86">
              <w:rPr>
                <w:rFonts w:ascii="Arial" w:hAnsi="Arial" w:cs="Arial"/>
              </w:rPr>
              <w:t xml:space="preserve">with </w:t>
            </w:r>
            <w:proofErr w:type="spellStart"/>
            <w:r w:rsidRPr="00055E86">
              <w:rPr>
                <w:rFonts w:ascii="Arial" w:hAnsi="Arial" w:cs="Arial"/>
              </w:rPr>
              <w:t>polyangiitis</w:t>
            </w:r>
            <w:proofErr w:type="spellEnd"/>
            <w:r>
              <w:t xml:space="preserve"> </w:t>
            </w:r>
            <w:r w:rsidRPr="00055E86">
              <w:rPr>
                <w:rFonts w:ascii="Arial" w:hAnsi="Arial" w:cs="Arial"/>
              </w:rPr>
              <w:t xml:space="preserve">and microscopic </w:t>
            </w:r>
            <w:proofErr w:type="spellStart"/>
            <w:r w:rsidRPr="00055E86">
              <w:rPr>
                <w:rFonts w:ascii="Arial" w:hAnsi="Arial" w:cs="Arial"/>
              </w:rPr>
              <w:t>polyangiitis</w:t>
            </w:r>
            <w:proofErr w:type="spellEnd"/>
          </w:p>
        </w:tc>
        <w:tc>
          <w:tcPr>
            <w:tcW w:w="3231" w:type="dxa"/>
            <w:tcMar>
              <w:top w:w="28" w:type="dxa"/>
              <w:bottom w:w="28" w:type="dxa"/>
            </w:tcMar>
          </w:tcPr>
          <w:p w:rsidR="000C0ACD" w:rsidRPr="00C011B4" w:rsidRDefault="000C0ACD" w:rsidP="00055E86">
            <w:pPr>
              <w:rPr>
                <w:rFonts w:ascii="Arial" w:hAnsi="Arial" w:cs="Arial"/>
                <w:highlight w:val="yellow"/>
              </w:rPr>
            </w:pPr>
            <w:r w:rsidRPr="00930A7B">
              <w:rPr>
                <w:rFonts w:ascii="Arial" w:hAnsi="Arial" w:cs="Arial"/>
              </w:rPr>
              <w:t xml:space="preserve">The submission sought Section 100 Authority Required listing for rituximab for remission induction in patients with severe active </w:t>
            </w:r>
            <w:proofErr w:type="spellStart"/>
            <w:r w:rsidRPr="00930A7B">
              <w:rPr>
                <w:rFonts w:ascii="Arial" w:hAnsi="Arial" w:cs="Arial"/>
              </w:rPr>
              <w:t>gr</w:t>
            </w:r>
            <w:r>
              <w:rPr>
                <w:rFonts w:ascii="Arial" w:hAnsi="Arial" w:cs="Arial"/>
              </w:rPr>
              <w:t>anulomatosis</w:t>
            </w:r>
            <w:proofErr w:type="spellEnd"/>
            <w:r>
              <w:rPr>
                <w:rFonts w:ascii="Arial" w:hAnsi="Arial" w:cs="Arial"/>
              </w:rPr>
              <w:t xml:space="preserve"> with </w:t>
            </w:r>
            <w:proofErr w:type="spellStart"/>
            <w:r>
              <w:rPr>
                <w:rFonts w:ascii="Arial" w:hAnsi="Arial" w:cs="Arial"/>
              </w:rPr>
              <w:t>polyangiitis</w:t>
            </w:r>
            <w:proofErr w:type="spellEnd"/>
            <w:r>
              <w:rPr>
                <w:rFonts w:ascii="Arial" w:hAnsi="Arial" w:cs="Arial"/>
              </w:rPr>
              <w:t xml:space="preserve"> </w:t>
            </w:r>
            <w:r w:rsidRPr="00930A7B">
              <w:rPr>
                <w:rFonts w:ascii="Arial" w:hAnsi="Arial" w:cs="Arial"/>
              </w:rPr>
              <w:t xml:space="preserve">and microscopic </w:t>
            </w:r>
            <w:proofErr w:type="spellStart"/>
            <w:r w:rsidRPr="00930A7B">
              <w:rPr>
                <w:rFonts w:ascii="Arial" w:hAnsi="Arial" w:cs="Arial"/>
              </w:rPr>
              <w:t>polyangiitis</w:t>
            </w:r>
            <w:proofErr w:type="spellEnd"/>
            <w:r w:rsidRPr="00930A7B">
              <w:rPr>
                <w:rFonts w:ascii="Arial" w:hAnsi="Arial" w:cs="Arial"/>
              </w:rPr>
              <w:t>.</w:t>
            </w:r>
          </w:p>
        </w:tc>
        <w:tc>
          <w:tcPr>
            <w:tcW w:w="6865" w:type="dxa"/>
          </w:tcPr>
          <w:p w:rsidR="000C0ACD" w:rsidRPr="00930A7B" w:rsidRDefault="000C0ACD" w:rsidP="00930A7B">
            <w:pPr>
              <w:rPr>
                <w:rFonts w:ascii="Arial" w:hAnsi="Arial" w:cs="Arial"/>
              </w:rPr>
            </w:pPr>
            <w:r w:rsidRPr="00930A7B">
              <w:rPr>
                <w:rFonts w:ascii="Arial" w:hAnsi="Arial" w:cs="Arial"/>
              </w:rPr>
              <w:t xml:space="preserve">The PBAC deferred its decision on whether the listing of rituximab should be extended to include remission induction of patients with </w:t>
            </w:r>
            <w:proofErr w:type="spellStart"/>
            <w:r w:rsidRPr="00930A7B">
              <w:rPr>
                <w:rFonts w:ascii="Arial" w:hAnsi="Arial" w:cs="Arial"/>
              </w:rPr>
              <w:t>granulomatosis</w:t>
            </w:r>
            <w:proofErr w:type="spellEnd"/>
            <w:r w:rsidRPr="00930A7B">
              <w:rPr>
                <w:rFonts w:ascii="Arial" w:hAnsi="Arial" w:cs="Arial"/>
              </w:rPr>
              <w:t xml:space="preserve"> </w:t>
            </w:r>
            <w:proofErr w:type="spellStart"/>
            <w:r w:rsidRPr="00930A7B">
              <w:rPr>
                <w:rFonts w:ascii="Arial" w:hAnsi="Arial" w:cs="Arial"/>
              </w:rPr>
              <w:t>polyangiitis</w:t>
            </w:r>
            <w:proofErr w:type="spellEnd"/>
            <w:r w:rsidRPr="00930A7B">
              <w:rPr>
                <w:rFonts w:ascii="Arial" w:hAnsi="Arial" w:cs="Arial"/>
              </w:rPr>
              <w:t xml:space="preserve"> and microscopic </w:t>
            </w:r>
            <w:proofErr w:type="spellStart"/>
            <w:r w:rsidRPr="00930A7B">
              <w:rPr>
                <w:rFonts w:ascii="Arial" w:hAnsi="Arial" w:cs="Arial"/>
              </w:rPr>
              <w:t>polyangiitis</w:t>
            </w:r>
            <w:proofErr w:type="spellEnd"/>
            <w:r w:rsidRPr="00930A7B">
              <w:rPr>
                <w:rFonts w:ascii="Arial" w:hAnsi="Arial" w:cs="Arial"/>
              </w:rPr>
              <w:t xml:space="preserve"> because it could not determine whether rituximab was cost-effective at the price proposed. Given that no further data is likely to become available to inform this consideration, in the context of high clinical need, the PBAC deferred the submission to enable the Department to negotiate an appropriate price.</w:t>
            </w:r>
          </w:p>
          <w:p w:rsidR="000C0ACD" w:rsidRPr="00930A7B" w:rsidRDefault="000C0ACD" w:rsidP="00930A7B">
            <w:pPr>
              <w:pStyle w:val="ListParagraph"/>
              <w:rPr>
                <w:rFonts w:ascii="Arial" w:hAnsi="Arial" w:cs="Arial"/>
                <w:sz w:val="20"/>
                <w:szCs w:val="20"/>
              </w:rPr>
            </w:pPr>
          </w:p>
          <w:p w:rsidR="000C0ACD" w:rsidRPr="00C011B4" w:rsidRDefault="000C0ACD" w:rsidP="00930A7B">
            <w:pPr>
              <w:pStyle w:val="ListParagraph"/>
              <w:ind w:left="0"/>
              <w:rPr>
                <w:rFonts w:ascii="Arial" w:hAnsi="Arial" w:cs="Arial"/>
                <w:sz w:val="20"/>
                <w:szCs w:val="20"/>
                <w:highlight w:val="yellow"/>
              </w:rPr>
            </w:pPr>
            <w:r w:rsidRPr="00930A7B">
              <w:rPr>
                <w:rFonts w:ascii="Arial" w:hAnsi="Arial" w:cs="Arial"/>
                <w:sz w:val="20"/>
                <w:szCs w:val="20"/>
              </w:rPr>
              <w:t>Further to its consideration of the submission, the PBAC also noted that rituximab is being used in a broad range of other non-cancer indications, for which there may also be a high clinical need</w:t>
            </w:r>
            <w:r w:rsidR="004D73FB">
              <w:rPr>
                <w:rFonts w:ascii="Arial" w:hAnsi="Arial" w:cs="Arial"/>
                <w:sz w:val="20"/>
                <w:szCs w:val="20"/>
              </w:rPr>
              <w:t xml:space="preserve"> and requested that the Department work with the sponsor to find a way forward to facilitate a broader listing for this medicine</w:t>
            </w:r>
            <w:r w:rsidRPr="00930A7B">
              <w:rPr>
                <w:rFonts w:ascii="Arial" w:hAnsi="Arial" w:cs="Arial"/>
                <w:sz w:val="20"/>
                <w:szCs w:val="20"/>
              </w:rPr>
              <w:t>.</w:t>
            </w:r>
          </w:p>
        </w:tc>
      </w:tr>
      <w:tr w:rsidR="000C0ACD" w:rsidRPr="00C011B4" w:rsidTr="00613040">
        <w:trPr>
          <w:trHeight w:val="182"/>
        </w:trPr>
        <w:tc>
          <w:tcPr>
            <w:tcW w:w="3101" w:type="dxa"/>
            <w:vMerge/>
            <w:tcMar>
              <w:top w:w="28" w:type="dxa"/>
              <w:bottom w:w="28" w:type="dxa"/>
            </w:tcMar>
          </w:tcPr>
          <w:p w:rsidR="000C0ACD" w:rsidRPr="00930A7B" w:rsidRDefault="000C0ACD" w:rsidP="00930A7B">
            <w:pPr>
              <w:rPr>
                <w:rStyle w:val="st"/>
                <w:rFonts w:ascii="Arial" w:hAnsi="Arial" w:cs="Arial"/>
                <w:b/>
                <w:color w:val="000000"/>
              </w:rPr>
            </w:pPr>
          </w:p>
        </w:tc>
        <w:tc>
          <w:tcPr>
            <w:tcW w:w="2112" w:type="dxa"/>
            <w:vMerge/>
          </w:tcPr>
          <w:p w:rsidR="000C0ACD" w:rsidRDefault="000C0ACD" w:rsidP="00F274E4">
            <w:pPr>
              <w:rPr>
                <w:rFonts w:ascii="Arial" w:hAnsi="Arial" w:cs="Arial"/>
              </w:rPr>
            </w:pPr>
          </w:p>
        </w:tc>
        <w:tc>
          <w:tcPr>
            <w:tcW w:w="3231" w:type="dxa"/>
            <w:tcMar>
              <w:top w:w="28" w:type="dxa"/>
              <w:bottom w:w="28" w:type="dxa"/>
            </w:tcMar>
          </w:tcPr>
          <w:p w:rsidR="000C0ACD" w:rsidRPr="00930A7B" w:rsidRDefault="000C0ACD" w:rsidP="00911E0D">
            <w:pPr>
              <w:rPr>
                <w:rFonts w:ascii="Arial" w:hAnsi="Arial" w:cs="Arial"/>
              </w:rPr>
            </w:pPr>
            <w:r>
              <w:rPr>
                <w:rFonts w:ascii="Arial" w:hAnsi="Arial" w:cs="Arial"/>
              </w:rPr>
              <w:t>Sponsor Comment:</w:t>
            </w:r>
          </w:p>
        </w:tc>
        <w:tc>
          <w:tcPr>
            <w:tcW w:w="6865" w:type="dxa"/>
          </w:tcPr>
          <w:p w:rsidR="008D7DBF" w:rsidRPr="008D7DBF" w:rsidRDefault="008D7DBF" w:rsidP="008D7DBF">
            <w:pPr>
              <w:rPr>
                <w:rFonts w:ascii="Arial" w:hAnsi="Arial" w:cs="Arial"/>
              </w:rPr>
            </w:pPr>
            <w:r w:rsidRPr="008D7DBF">
              <w:rPr>
                <w:rFonts w:ascii="Arial" w:hAnsi="Arial" w:cs="Arial"/>
                <w:iCs/>
              </w:rPr>
              <w:t>Roche is pleased that the PBAC has recognised the high clinical need for rituximab in patients with severe active </w:t>
            </w:r>
            <w:proofErr w:type="spellStart"/>
            <w:r w:rsidRPr="008D7DBF">
              <w:rPr>
                <w:rFonts w:ascii="Arial" w:hAnsi="Arial" w:cs="Arial"/>
                <w:iCs/>
              </w:rPr>
              <w:t>granulomatosis</w:t>
            </w:r>
            <w:proofErr w:type="spellEnd"/>
            <w:r w:rsidRPr="008D7DBF">
              <w:rPr>
                <w:rFonts w:ascii="Arial" w:hAnsi="Arial" w:cs="Arial"/>
                <w:iCs/>
              </w:rPr>
              <w:t xml:space="preserve"> with </w:t>
            </w:r>
            <w:proofErr w:type="spellStart"/>
            <w:r w:rsidRPr="008D7DBF">
              <w:rPr>
                <w:rFonts w:ascii="Arial" w:hAnsi="Arial" w:cs="Arial"/>
                <w:iCs/>
              </w:rPr>
              <w:t>polyangiitis</w:t>
            </w:r>
            <w:proofErr w:type="spellEnd"/>
            <w:r w:rsidRPr="008D7DBF">
              <w:rPr>
                <w:rFonts w:ascii="Arial" w:hAnsi="Arial" w:cs="Arial"/>
                <w:iCs/>
              </w:rPr>
              <w:t xml:space="preserve"> and microscopic </w:t>
            </w:r>
            <w:proofErr w:type="spellStart"/>
            <w:r w:rsidRPr="008D7DBF">
              <w:rPr>
                <w:rFonts w:ascii="Arial" w:hAnsi="Arial" w:cs="Arial"/>
                <w:iCs/>
              </w:rPr>
              <w:t>polyangiitis</w:t>
            </w:r>
            <w:proofErr w:type="spellEnd"/>
            <w:r w:rsidRPr="008D7DBF">
              <w:rPr>
                <w:rFonts w:ascii="Arial" w:hAnsi="Arial" w:cs="Arial"/>
                <w:iCs/>
              </w:rPr>
              <w:t> but is concerned by the delay in access for these patients.</w:t>
            </w:r>
            <w:r>
              <w:rPr>
                <w:rFonts w:ascii="Arial" w:hAnsi="Arial" w:cs="Arial"/>
                <w:iCs/>
              </w:rPr>
              <w:t xml:space="preserve"> </w:t>
            </w:r>
            <w:r w:rsidRPr="008D7DBF">
              <w:rPr>
                <w:rFonts w:ascii="Arial" w:hAnsi="Arial" w:cs="Arial"/>
                <w:iCs/>
              </w:rPr>
              <w:t>Given that the other non-cancer indications are off-label, Roche seeks the advice of the PBAC and the DOH on how a broader listing can be appropriately implemented.</w:t>
            </w:r>
          </w:p>
          <w:p w:rsidR="000C0ACD" w:rsidRPr="00930A7B" w:rsidRDefault="000C0ACD" w:rsidP="00930A7B">
            <w:pPr>
              <w:rPr>
                <w:rFonts w:ascii="Arial" w:hAnsi="Arial" w:cs="Arial"/>
              </w:rPr>
            </w:pPr>
          </w:p>
        </w:tc>
      </w:tr>
      <w:tr w:rsidR="00355E32" w:rsidRPr="00C011B4" w:rsidTr="00613040">
        <w:trPr>
          <w:trHeight w:val="182"/>
        </w:trPr>
        <w:tc>
          <w:tcPr>
            <w:tcW w:w="3101" w:type="dxa"/>
            <w:tcMar>
              <w:top w:w="28" w:type="dxa"/>
              <w:bottom w:w="28" w:type="dxa"/>
            </w:tcMar>
          </w:tcPr>
          <w:p w:rsidR="00355E32" w:rsidRPr="00CA26CB" w:rsidRDefault="00355E32" w:rsidP="000C0ACD">
            <w:pPr>
              <w:rPr>
                <w:rFonts w:cs="Arial"/>
              </w:rPr>
            </w:pPr>
            <w:r w:rsidRPr="000C0ACD">
              <w:rPr>
                <w:rFonts w:ascii="Arial" w:hAnsi="Arial" w:cs="Arial"/>
                <w:b/>
              </w:rPr>
              <w:t>SORAFENIB</w:t>
            </w:r>
          </w:p>
          <w:p w:rsidR="00355E32" w:rsidRPr="00CA26CB" w:rsidRDefault="00355E32" w:rsidP="00613040">
            <w:pPr>
              <w:pStyle w:val="Heading1"/>
              <w:rPr>
                <w:rFonts w:cs="Arial"/>
                <w:caps/>
              </w:rPr>
            </w:pPr>
            <w:r w:rsidRPr="00CA26CB">
              <w:rPr>
                <w:rFonts w:cs="Arial"/>
                <w:caps/>
              </w:rPr>
              <w:t xml:space="preserve"> </w:t>
            </w:r>
          </w:p>
          <w:p w:rsidR="00355E32" w:rsidRPr="00CA26CB" w:rsidRDefault="00355E32" w:rsidP="00613040">
            <w:pPr>
              <w:pStyle w:val="Heading1"/>
              <w:rPr>
                <w:rFonts w:cs="Arial"/>
                <w:b w:val="0"/>
              </w:rPr>
            </w:pPr>
            <w:r w:rsidRPr="00CA26CB">
              <w:rPr>
                <w:rFonts w:cs="Arial"/>
                <w:b w:val="0"/>
              </w:rPr>
              <w:t>200 mg tablet</w:t>
            </w:r>
          </w:p>
          <w:p w:rsidR="00355E32" w:rsidRPr="000C0ACD" w:rsidRDefault="00355E32" w:rsidP="00613040">
            <w:pPr>
              <w:rPr>
                <w:rFonts w:ascii="Arial" w:hAnsi="Arial" w:cs="Arial"/>
                <w:b/>
              </w:rPr>
            </w:pPr>
          </w:p>
          <w:p w:rsidR="00355E32" w:rsidRPr="00CA26CB" w:rsidRDefault="00355E32" w:rsidP="00613040">
            <w:pPr>
              <w:pStyle w:val="Heading1"/>
              <w:rPr>
                <w:rFonts w:cs="Arial"/>
                <w:b w:val="0"/>
              </w:rPr>
            </w:pPr>
            <w:proofErr w:type="spellStart"/>
            <w:r w:rsidRPr="00CA26CB">
              <w:rPr>
                <w:rFonts w:cs="Arial"/>
                <w:b w:val="0"/>
              </w:rPr>
              <w:t>Nexavar</w:t>
            </w:r>
            <w:proofErr w:type="spellEnd"/>
            <w:r w:rsidRPr="00CA26CB">
              <w:rPr>
                <w:rFonts w:cs="Arial"/>
                <w:b w:val="0"/>
                <w:vertAlign w:val="superscript"/>
              </w:rPr>
              <w:t>®</w:t>
            </w:r>
          </w:p>
          <w:p w:rsidR="00355E32" w:rsidRPr="00CA26CB" w:rsidRDefault="00355E32" w:rsidP="00613040">
            <w:pPr>
              <w:pStyle w:val="Heading1"/>
              <w:rPr>
                <w:rFonts w:cs="Arial"/>
                <w:b w:val="0"/>
              </w:rPr>
            </w:pPr>
          </w:p>
          <w:p w:rsidR="00355E32" w:rsidRPr="00CA26CB" w:rsidRDefault="00355E32" w:rsidP="00613040">
            <w:pPr>
              <w:pStyle w:val="Heading1"/>
              <w:rPr>
                <w:rFonts w:cs="Arial"/>
                <w:b w:val="0"/>
              </w:rPr>
            </w:pPr>
            <w:r w:rsidRPr="00CA26CB">
              <w:rPr>
                <w:rFonts w:cs="Arial"/>
                <w:b w:val="0"/>
              </w:rPr>
              <w:t>Bayer Australia Ltd</w:t>
            </w:r>
          </w:p>
          <w:p w:rsidR="00355E32" w:rsidRPr="00CA26CB" w:rsidRDefault="00355E32" w:rsidP="00613040">
            <w:pPr>
              <w:rPr>
                <w:rFonts w:ascii="Arial" w:hAnsi="Arial" w:cs="Arial"/>
                <w:lang w:eastAsia="en-US"/>
              </w:rPr>
            </w:pPr>
          </w:p>
          <w:p w:rsidR="00355E32" w:rsidRPr="00CA26CB" w:rsidRDefault="00355E32" w:rsidP="00613040">
            <w:pPr>
              <w:rPr>
                <w:rFonts w:ascii="Arial" w:hAnsi="Arial" w:cs="Arial"/>
                <w:lang w:eastAsia="en-US"/>
              </w:rPr>
            </w:pPr>
            <w:r w:rsidRPr="00CA26CB">
              <w:rPr>
                <w:rFonts w:ascii="Arial" w:hAnsi="Arial" w:cs="Arial"/>
                <w:lang w:eastAsia="en-US"/>
              </w:rPr>
              <w:t>(Major submission)</w:t>
            </w:r>
          </w:p>
          <w:p w:rsidR="00355E32" w:rsidRPr="00CA26CB" w:rsidRDefault="00355E32" w:rsidP="00930A7B">
            <w:pPr>
              <w:rPr>
                <w:rStyle w:val="st"/>
                <w:rFonts w:ascii="Arial" w:hAnsi="Arial" w:cs="Arial"/>
                <w:b/>
                <w:color w:val="000000"/>
              </w:rPr>
            </w:pPr>
          </w:p>
        </w:tc>
        <w:tc>
          <w:tcPr>
            <w:tcW w:w="2112" w:type="dxa"/>
          </w:tcPr>
          <w:p w:rsidR="00355E32" w:rsidRPr="00CA26CB" w:rsidRDefault="00355E32" w:rsidP="00F274E4">
            <w:pPr>
              <w:rPr>
                <w:rFonts w:ascii="Arial" w:hAnsi="Arial" w:cs="Arial"/>
              </w:rPr>
            </w:pPr>
            <w:r w:rsidRPr="00CA26CB">
              <w:rPr>
                <w:rFonts w:ascii="Arial" w:hAnsi="Arial" w:cs="Arial"/>
                <w:bCs/>
              </w:rPr>
              <w:t>Radioactive iodine refractory differentiated thyroid cancer</w:t>
            </w:r>
          </w:p>
        </w:tc>
        <w:tc>
          <w:tcPr>
            <w:tcW w:w="3231" w:type="dxa"/>
            <w:tcMar>
              <w:top w:w="28" w:type="dxa"/>
              <w:bottom w:w="28" w:type="dxa"/>
            </w:tcMar>
          </w:tcPr>
          <w:p w:rsidR="00355E32" w:rsidRPr="00CA26CB" w:rsidRDefault="00355E32" w:rsidP="00613040">
            <w:pPr>
              <w:rPr>
                <w:rFonts w:ascii="Arial" w:hAnsi="Arial" w:cs="Arial"/>
              </w:rPr>
            </w:pPr>
            <w:r w:rsidRPr="00CA26CB">
              <w:rPr>
                <w:rFonts w:ascii="Arial" w:hAnsi="Arial" w:cs="Arial"/>
              </w:rPr>
              <w:t xml:space="preserve">The resubmission sought section 85 Authority required listing for </w:t>
            </w:r>
            <w:proofErr w:type="spellStart"/>
            <w:r w:rsidRPr="00CA26CB">
              <w:rPr>
                <w:rFonts w:ascii="Arial" w:hAnsi="Arial" w:cs="Arial"/>
              </w:rPr>
              <w:t>sorafenib</w:t>
            </w:r>
            <w:proofErr w:type="spellEnd"/>
            <w:r w:rsidRPr="00CA26CB">
              <w:rPr>
                <w:rFonts w:ascii="Arial" w:hAnsi="Arial" w:cs="Arial"/>
              </w:rPr>
              <w:t xml:space="preserve"> for the treatment of locally advanced or metastatic, </w:t>
            </w:r>
            <w:r w:rsidRPr="00CA26CB">
              <w:rPr>
                <w:rFonts w:ascii="Arial" w:hAnsi="Arial" w:cs="Arial"/>
                <w:bCs/>
              </w:rPr>
              <w:t>radioactive iodine refractory differentiated thyroid cancer</w:t>
            </w:r>
            <w:r w:rsidRPr="00CA26CB">
              <w:rPr>
                <w:rFonts w:ascii="Arial" w:hAnsi="Arial" w:cs="Arial"/>
              </w:rPr>
              <w:t>. The first submission was considered at the July 2014 PBAC meeting.</w:t>
            </w:r>
          </w:p>
          <w:p w:rsidR="00355E32" w:rsidRPr="00CA26CB" w:rsidRDefault="00355E32" w:rsidP="00911E0D">
            <w:pPr>
              <w:rPr>
                <w:rFonts w:ascii="Arial" w:hAnsi="Arial" w:cs="Arial"/>
              </w:rPr>
            </w:pPr>
          </w:p>
        </w:tc>
        <w:tc>
          <w:tcPr>
            <w:tcW w:w="6865" w:type="dxa"/>
          </w:tcPr>
          <w:p w:rsidR="00355E32" w:rsidRDefault="00355E32" w:rsidP="00613040">
            <w:pPr>
              <w:rPr>
                <w:rFonts w:ascii="Arial" w:hAnsi="Arial" w:cs="Arial"/>
              </w:rPr>
            </w:pPr>
            <w:r w:rsidRPr="00CA26CB">
              <w:rPr>
                <w:rFonts w:ascii="Arial" w:hAnsi="Arial" w:cs="Arial"/>
              </w:rPr>
              <w:t xml:space="preserve">The PBAC deferred its decision on </w:t>
            </w:r>
            <w:proofErr w:type="spellStart"/>
            <w:r w:rsidRPr="00CA26CB">
              <w:rPr>
                <w:rFonts w:ascii="Arial" w:hAnsi="Arial" w:cs="Arial"/>
              </w:rPr>
              <w:t>sorafenib</w:t>
            </w:r>
            <w:proofErr w:type="spellEnd"/>
            <w:r w:rsidRPr="00CA26CB">
              <w:rPr>
                <w:rFonts w:ascii="Arial" w:hAnsi="Arial" w:cs="Arial"/>
              </w:rPr>
              <w:t xml:space="preserve"> for the treatment of locally advanced or metastatic radioactive iodine refractory differentiated thyroid cancer because the submission had not provided a reliable estimate of the cost-effectiveness of </w:t>
            </w:r>
            <w:proofErr w:type="spellStart"/>
            <w:r w:rsidRPr="00CA26CB">
              <w:rPr>
                <w:rFonts w:ascii="Arial" w:hAnsi="Arial" w:cs="Arial"/>
              </w:rPr>
              <w:t>sorafenib</w:t>
            </w:r>
            <w:proofErr w:type="spellEnd"/>
            <w:r w:rsidRPr="00CA26CB">
              <w:rPr>
                <w:rFonts w:ascii="Arial" w:hAnsi="Arial" w:cs="Arial"/>
              </w:rPr>
              <w:t xml:space="preserve"> in this setting</w:t>
            </w:r>
            <w:r>
              <w:rPr>
                <w:rFonts w:ascii="Arial" w:hAnsi="Arial" w:cs="Arial"/>
              </w:rPr>
              <w:t>. The PBAC</w:t>
            </w:r>
            <w:r w:rsidRPr="00CA26CB">
              <w:rPr>
                <w:rFonts w:ascii="Arial" w:hAnsi="Arial" w:cs="Arial"/>
              </w:rPr>
              <w:t xml:space="preserve"> wished to see the results of its request for a price reduction to an otherwise accepted sensitivity analysis of the submitted modelled economic evaluation. </w:t>
            </w:r>
          </w:p>
          <w:p w:rsidR="00355E32" w:rsidRDefault="00355E32" w:rsidP="00613040">
            <w:pPr>
              <w:rPr>
                <w:rFonts w:ascii="Arial" w:hAnsi="Arial" w:cs="Arial"/>
              </w:rPr>
            </w:pPr>
          </w:p>
          <w:p w:rsidR="00355E32" w:rsidRDefault="00355E32" w:rsidP="00613040">
            <w:pPr>
              <w:rPr>
                <w:rFonts w:ascii="Arial" w:hAnsi="Arial" w:cs="Arial"/>
              </w:rPr>
            </w:pPr>
            <w:r w:rsidRPr="00CA26CB">
              <w:rPr>
                <w:rFonts w:ascii="Arial" w:hAnsi="Arial" w:cs="Arial"/>
              </w:rPr>
              <w:t xml:space="preserve">The PBAC considered that the clinical data did not adequately demonstrate a statistically significant gain in overall survival and therefore the life-years gained of 9.9 months in the economic evaluation was implausible.  </w:t>
            </w:r>
          </w:p>
          <w:p w:rsidR="00355E32" w:rsidRPr="00CA26CB" w:rsidRDefault="00355E32" w:rsidP="00613040">
            <w:pPr>
              <w:rPr>
                <w:rFonts w:ascii="Arial" w:hAnsi="Arial" w:cs="Arial"/>
              </w:rPr>
            </w:pPr>
          </w:p>
          <w:p w:rsidR="00355E32" w:rsidRPr="00CA26CB" w:rsidRDefault="00355E32" w:rsidP="00613040">
            <w:pPr>
              <w:rPr>
                <w:rFonts w:ascii="Arial" w:hAnsi="Arial" w:cs="Arial"/>
              </w:rPr>
            </w:pPr>
            <w:r w:rsidRPr="00CA26CB">
              <w:rPr>
                <w:rFonts w:ascii="Arial" w:hAnsi="Arial" w:cs="Arial"/>
              </w:rPr>
              <w:t xml:space="preserve">On the basis of direct randomised evidence presented by the submission, for patients treated with </w:t>
            </w:r>
            <w:proofErr w:type="spellStart"/>
            <w:r w:rsidRPr="00CA26CB">
              <w:rPr>
                <w:rFonts w:ascii="Arial" w:hAnsi="Arial" w:cs="Arial"/>
              </w:rPr>
              <w:t>sorafenib</w:t>
            </w:r>
            <w:proofErr w:type="spellEnd"/>
            <w:r w:rsidRPr="00CA26CB">
              <w:rPr>
                <w:rFonts w:ascii="Arial" w:hAnsi="Arial" w:cs="Arial"/>
              </w:rPr>
              <w:t xml:space="preserve"> in comparison </w:t>
            </w:r>
            <w:r>
              <w:rPr>
                <w:rFonts w:ascii="Arial" w:hAnsi="Arial" w:cs="Arial"/>
              </w:rPr>
              <w:t>with</w:t>
            </w:r>
            <w:r w:rsidRPr="00CA26CB">
              <w:rPr>
                <w:rFonts w:ascii="Arial" w:hAnsi="Arial" w:cs="Arial"/>
              </w:rPr>
              <w:t xml:space="preserve"> placebo plus best supportive care, there would be:</w:t>
            </w:r>
          </w:p>
          <w:p w:rsidR="00355E32" w:rsidRPr="00CA26CB" w:rsidRDefault="00355E32" w:rsidP="0015704B">
            <w:pPr>
              <w:numPr>
                <w:ilvl w:val="0"/>
                <w:numId w:val="26"/>
              </w:numPr>
              <w:ind w:left="364" w:hanging="284"/>
              <w:rPr>
                <w:rFonts w:ascii="Arial" w:hAnsi="Arial" w:cs="Arial"/>
              </w:rPr>
            </w:pPr>
            <w:r w:rsidRPr="00CA26CB">
              <w:rPr>
                <w:rFonts w:ascii="Arial" w:hAnsi="Arial" w:cs="Arial"/>
              </w:rPr>
              <w:t>Approximately 5 months difference in median progression-free survival.</w:t>
            </w:r>
          </w:p>
          <w:p w:rsidR="00355E32" w:rsidRPr="00CA26CB" w:rsidRDefault="00355E32" w:rsidP="0015704B">
            <w:pPr>
              <w:numPr>
                <w:ilvl w:val="0"/>
                <w:numId w:val="26"/>
              </w:numPr>
              <w:ind w:left="364" w:hanging="284"/>
              <w:rPr>
                <w:rFonts w:ascii="Arial" w:hAnsi="Arial" w:cs="Arial"/>
              </w:rPr>
            </w:pPr>
            <w:r w:rsidRPr="00CA26CB">
              <w:rPr>
                <w:rFonts w:ascii="Arial" w:hAnsi="Arial" w:cs="Arial"/>
              </w:rPr>
              <w:t xml:space="preserve">An unknown possible difference in median overall survival. </w:t>
            </w:r>
          </w:p>
          <w:p w:rsidR="00355E32" w:rsidRDefault="00355E32" w:rsidP="0015704B">
            <w:pPr>
              <w:ind w:left="379" w:hanging="379"/>
              <w:rPr>
                <w:rFonts w:ascii="Arial" w:hAnsi="Arial" w:cs="Arial"/>
              </w:rPr>
            </w:pPr>
            <w:r w:rsidRPr="00CA26CB">
              <w:rPr>
                <w:rFonts w:ascii="Arial" w:hAnsi="Arial" w:cs="Arial"/>
              </w:rPr>
              <w:t xml:space="preserve"> </w:t>
            </w:r>
          </w:p>
          <w:p w:rsidR="00355E32" w:rsidRPr="00CA26CB" w:rsidRDefault="00355E32" w:rsidP="00613040">
            <w:pPr>
              <w:rPr>
                <w:rFonts w:ascii="Arial" w:hAnsi="Arial" w:cs="Arial"/>
              </w:rPr>
            </w:pPr>
            <w:r w:rsidRPr="00CA26CB">
              <w:rPr>
                <w:rFonts w:ascii="Arial" w:hAnsi="Arial" w:cs="Arial"/>
              </w:rPr>
              <w:lastRenderedPageBreak/>
              <w:t>For every</w:t>
            </w:r>
            <w:r w:rsidRPr="00CA26CB">
              <w:rPr>
                <w:rFonts w:ascii="Arial" w:hAnsi="Arial" w:cs="Arial"/>
                <w:i/>
              </w:rPr>
              <w:t xml:space="preserve"> </w:t>
            </w:r>
            <w:r w:rsidRPr="00CA26CB">
              <w:rPr>
                <w:rFonts w:ascii="Arial" w:hAnsi="Arial" w:cs="Arial"/>
              </w:rPr>
              <w:t xml:space="preserve">100 patients treated with </w:t>
            </w:r>
            <w:proofErr w:type="spellStart"/>
            <w:r w:rsidRPr="00CA26CB">
              <w:rPr>
                <w:rFonts w:ascii="Arial" w:hAnsi="Arial" w:cs="Arial"/>
              </w:rPr>
              <w:t>sorafenib</w:t>
            </w:r>
            <w:proofErr w:type="spellEnd"/>
            <w:r w:rsidRPr="00CA26CB">
              <w:rPr>
                <w:rFonts w:ascii="Arial" w:hAnsi="Arial" w:cs="Arial"/>
              </w:rPr>
              <w:t xml:space="preserve"> in comparison with placebo plus best supportive care:</w:t>
            </w:r>
          </w:p>
          <w:p w:rsidR="00355E32" w:rsidRPr="00CA26CB" w:rsidRDefault="00355E32" w:rsidP="0015704B">
            <w:pPr>
              <w:numPr>
                <w:ilvl w:val="0"/>
                <w:numId w:val="26"/>
              </w:numPr>
              <w:ind w:left="364" w:hanging="284"/>
              <w:rPr>
                <w:rFonts w:ascii="Arial" w:hAnsi="Arial" w:cs="Arial"/>
              </w:rPr>
            </w:pPr>
            <w:r w:rsidRPr="00CA26CB">
              <w:rPr>
                <w:rFonts w:ascii="Arial" w:hAnsi="Arial" w:cs="Arial"/>
              </w:rPr>
              <w:t xml:space="preserve">Approximately 38 additional patients would experience at least one treatment-emergent adverse event of Grade 3 or greater severity over a period of 10 – 12 months of treatment with </w:t>
            </w:r>
            <w:proofErr w:type="spellStart"/>
            <w:r w:rsidRPr="00CA26CB">
              <w:rPr>
                <w:rFonts w:ascii="Arial" w:hAnsi="Arial" w:cs="Arial"/>
              </w:rPr>
              <w:t>sorafenib</w:t>
            </w:r>
            <w:proofErr w:type="spellEnd"/>
            <w:r w:rsidRPr="00CA26CB">
              <w:rPr>
                <w:rFonts w:ascii="Arial" w:hAnsi="Arial" w:cs="Arial"/>
              </w:rPr>
              <w:t xml:space="preserve"> (compared to 8 – 9 months of observation in the placebo plus best supportive care arm).</w:t>
            </w:r>
          </w:p>
          <w:p w:rsidR="00355E32" w:rsidRPr="00CA26CB" w:rsidRDefault="00355E32" w:rsidP="0015704B">
            <w:pPr>
              <w:numPr>
                <w:ilvl w:val="0"/>
                <w:numId w:val="26"/>
              </w:numPr>
              <w:ind w:left="364" w:hanging="284"/>
              <w:rPr>
                <w:rFonts w:ascii="Arial" w:hAnsi="Arial" w:cs="Arial"/>
              </w:rPr>
            </w:pPr>
            <w:r w:rsidRPr="00CA26CB">
              <w:rPr>
                <w:rFonts w:ascii="Arial" w:hAnsi="Arial" w:cs="Arial"/>
              </w:rPr>
              <w:t xml:space="preserve">Approximately 20 additional patients would experience a hand-foot </w:t>
            </w:r>
            <w:bookmarkStart w:id="0" w:name="_GoBack"/>
            <w:bookmarkEnd w:id="0"/>
            <w:r w:rsidRPr="00CA26CB">
              <w:rPr>
                <w:rFonts w:ascii="Arial" w:hAnsi="Arial" w:cs="Arial"/>
              </w:rPr>
              <w:t xml:space="preserve">skin reaction of at least Grade 3 severity over a period of 10 – 12 months of treatment with </w:t>
            </w:r>
            <w:proofErr w:type="spellStart"/>
            <w:r w:rsidRPr="00CA26CB">
              <w:rPr>
                <w:rFonts w:ascii="Arial" w:hAnsi="Arial" w:cs="Arial"/>
              </w:rPr>
              <w:t>sorafenib</w:t>
            </w:r>
            <w:proofErr w:type="spellEnd"/>
            <w:r w:rsidRPr="00CA26CB">
              <w:rPr>
                <w:rFonts w:ascii="Arial" w:hAnsi="Arial" w:cs="Arial"/>
              </w:rPr>
              <w:t xml:space="preserve"> (compared to 8 – 9 months of observation in the placebo plus best supportive care arm).</w:t>
            </w:r>
          </w:p>
          <w:p w:rsidR="00355E32" w:rsidRPr="00CA26CB" w:rsidRDefault="00355E32" w:rsidP="0015704B">
            <w:pPr>
              <w:numPr>
                <w:ilvl w:val="0"/>
                <w:numId w:val="26"/>
              </w:numPr>
              <w:ind w:left="364" w:hanging="284"/>
              <w:rPr>
                <w:rFonts w:ascii="Arial" w:hAnsi="Arial" w:cs="Arial"/>
              </w:rPr>
            </w:pPr>
            <w:r w:rsidRPr="00CA26CB">
              <w:rPr>
                <w:rFonts w:ascii="Arial" w:hAnsi="Arial" w:cs="Arial"/>
              </w:rPr>
              <w:t xml:space="preserve">Approximately 7 additional patients would experience hypertension of at least Grade 3 severity over a period of 10 – 12 months of treatment with </w:t>
            </w:r>
            <w:proofErr w:type="spellStart"/>
            <w:r w:rsidRPr="00CA26CB">
              <w:rPr>
                <w:rFonts w:ascii="Arial" w:hAnsi="Arial" w:cs="Arial"/>
              </w:rPr>
              <w:t>sorafenib</w:t>
            </w:r>
            <w:proofErr w:type="spellEnd"/>
            <w:r w:rsidRPr="00CA26CB">
              <w:rPr>
                <w:rFonts w:ascii="Arial" w:hAnsi="Arial" w:cs="Arial"/>
              </w:rPr>
              <w:t xml:space="preserve"> (compared to 8 – 9 months of observation in the placebo plus best supportive care arm).</w:t>
            </w:r>
          </w:p>
        </w:tc>
      </w:tr>
      <w:tr w:rsidR="00355E32" w:rsidRPr="00C011B4" w:rsidTr="00613040">
        <w:trPr>
          <w:trHeight w:val="182"/>
        </w:trPr>
        <w:tc>
          <w:tcPr>
            <w:tcW w:w="3101" w:type="dxa"/>
            <w:tcMar>
              <w:top w:w="28" w:type="dxa"/>
              <w:bottom w:w="28" w:type="dxa"/>
            </w:tcMar>
          </w:tcPr>
          <w:p w:rsidR="00355E32" w:rsidRDefault="00355E32" w:rsidP="000C0ACD">
            <w:pPr>
              <w:rPr>
                <w:rFonts w:cs="Arial"/>
              </w:rPr>
            </w:pPr>
          </w:p>
        </w:tc>
        <w:tc>
          <w:tcPr>
            <w:tcW w:w="2112" w:type="dxa"/>
          </w:tcPr>
          <w:p w:rsidR="00355E32" w:rsidRPr="00CA26CB" w:rsidRDefault="00355E32" w:rsidP="00F274E4">
            <w:pPr>
              <w:rPr>
                <w:rFonts w:ascii="Arial" w:hAnsi="Arial" w:cs="Arial"/>
                <w:bCs/>
              </w:rPr>
            </w:pPr>
          </w:p>
        </w:tc>
        <w:tc>
          <w:tcPr>
            <w:tcW w:w="3231" w:type="dxa"/>
            <w:tcMar>
              <w:top w:w="28" w:type="dxa"/>
              <w:bottom w:w="28" w:type="dxa"/>
            </w:tcMar>
          </w:tcPr>
          <w:p w:rsidR="00355E32" w:rsidRPr="00CA26CB" w:rsidRDefault="00355E32" w:rsidP="00613040">
            <w:pPr>
              <w:rPr>
                <w:rFonts w:ascii="Arial" w:hAnsi="Arial" w:cs="Arial"/>
              </w:rPr>
            </w:pPr>
            <w:r w:rsidRPr="000C0ACD">
              <w:rPr>
                <w:rFonts w:ascii="Arial" w:hAnsi="Arial" w:cs="Arial"/>
                <w:bCs/>
              </w:rPr>
              <w:t>Sponsor</w:t>
            </w:r>
            <w:r w:rsidRPr="00055E86">
              <w:rPr>
                <w:rFonts w:ascii="Arial" w:hAnsi="Arial" w:cs="Arial"/>
              </w:rPr>
              <w:t xml:space="preserve"> Comment:</w:t>
            </w:r>
          </w:p>
        </w:tc>
        <w:tc>
          <w:tcPr>
            <w:tcW w:w="6865" w:type="dxa"/>
          </w:tcPr>
          <w:p w:rsidR="00355E32" w:rsidRPr="00355E32" w:rsidRDefault="00355E32" w:rsidP="00355E32">
            <w:pPr>
              <w:rPr>
                <w:rFonts w:ascii="Arial" w:hAnsi="Arial" w:cs="Arial"/>
              </w:rPr>
            </w:pPr>
            <w:r w:rsidRPr="00355E32">
              <w:rPr>
                <w:rFonts w:ascii="Arial" w:hAnsi="Arial" w:cs="Arial"/>
                <w:iCs/>
              </w:rPr>
              <w:t xml:space="preserve">The Sponsor intends to continue working with the PBAC to make </w:t>
            </w:r>
            <w:proofErr w:type="spellStart"/>
            <w:r w:rsidRPr="00355E32">
              <w:rPr>
                <w:rFonts w:ascii="Arial" w:hAnsi="Arial" w:cs="Arial"/>
                <w:iCs/>
              </w:rPr>
              <w:t>sorafenib</w:t>
            </w:r>
            <w:proofErr w:type="spellEnd"/>
            <w:r w:rsidRPr="00355E32">
              <w:rPr>
                <w:rFonts w:ascii="Arial" w:hAnsi="Arial" w:cs="Arial"/>
                <w:iCs/>
              </w:rPr>
              <w:t xml:space="preserve"> available to those Australian patients with RAI-DTC that could benefit from the product.</w:t>
            </w:r>
          </w:p>
          <w:p w:rsidR="00355E32" w:rsidRPr="00CA26CB" w:rsidRDefault="00355E32" w:rsidP="00613040">
            <w:pPr>
              <w:rPr>
                <w:rFonts w:ascii="Arial" w:hAnsi="Arial" w:cs="Arial"/>
              </w:rPr>
            </w:pPr>
          </w:p>
        </w:tc>
      </w:tr>
    </w:tbl>
    <w:p w:rsidR="00C26FE5" w:rsidRPr="00F609BF" w:rsidRDefault="00C26FE5" w:rsidP="0065234B">
      <w:pPr>
        <w:tabs>
          <w:tab w:val="left" w:pos="5210"/>
        </w:tabs>
        <w:rPr>
          <w:rFonts w:ascii="Arial" w:hAnsi="Arial" w:cs="Arial"/>
          <w:lang w:val="en-US"/>
        </w:rPr>
      </w:pPr>
    </w:p>
    <w:sectPr w:rsidR="00C26FE5" w:rsidRPr="00F609BF"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48" w:rsidRDefault="00A91548">
      <w:r>
        <w:separator/>
      </w:r>
    </w:p>
  </w:endnote>
  <w:endnote w:type="continuationSeparator" w:id="0">
    <w:p w:rsidR="00A91548" w:rsidRDefault="00A9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DC47F4">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48" w:rsidRDefault="00A91548">
      <w:r>
        <w:separator/>
      </w:r>
    </w:p>
  </w:footnote>
  <w:footnote w:type="continuationSeparator" w:id="0">
    <w:p w:rsidR="00A91548" w:rsidRDefault="00A9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Pr="00BB0500" w:rsidRDefault="0086395A" w:rsidP="00BB0500">
    <w:pPr>
      <w:pStyle w:val="Header"/>
      <w:jc w:val="center"/>
      <w:rPr>
        <w:rFonts w:ascii="Arial" w:hAnsi="Arial" w:cs="Arial"/>
        <w:b/>
      </w:rPr>
    </w:pPr>
    <w:r>
      <w:rPr>
        <w:rFonts w:ascii="Arial" w:hAnsi="Arial" w:cs="Arial"/>
        <w:b/>
      </w:rPr>
      <w:t>March 2015 PB</w:t>
    </w:r>
    <w:r w:rsidR="00BB0500" w:rsidRPr="00BB0500">
      <w:rPr>
        <w:rFonts w:ascii="Arial" w:hAnsi="Arial" w:cs="Arial"/>
        <w:b/>
      </w:rPr>
      <w:t>AC OUTCOMES - DEFERRALS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96D0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67247D"/>
    <w:multiLevelType w:val="hybridMultilevel"/>
    <w:tmpl w:val="813E94C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8"/>
  </w:num>
  <w:num w:numId="4">
    <w:abstractNumId w:val="12"/>
  </w:num>
  <w:num w:numId="5">
    <w:abstractNumId w:val="8"/>
  </w:num>
  <w:num w:numId="6">
    <w:abstractNumId w:val="3"/>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14"/>
  </w:num>
  <w:num w:numId="12">
    <w:abstractNumId w:val="16"/>
  </w:num>
  <w:num w:numId="13">
    <w:abstractNumId w:val="4"/>
  </w:num>
  <w:num w:numId="14">
    <w:abstractNumId w:val="15"/>
  </w:num>
  <w:num w:numId="15">
    <w:abstractNumId w:val="17"/>
  </w:num>
  <w:num w:numId="16">
    <w:abstractNumId w:val="13"/>
  </w:num>
  <w:num w:numId="17">
    <w:abstractNumId w:val="24"/>
  </w:num>
  <w:num w:numId="18">
    <w:abstractNumId w:val="25"/>
  </w:num>
  <w:num w:numId="19">
    <w:abstractNumId w:val="2"/>
  </w:num>
  <w:num w:numId="20">
    <w:abstractNumId w:val="9"/>
  </w:num>
  <w:num w:numId="21">
    <w:abstractNumId w:val="11"/>
  </w:num>
  <w:num w:numId="22">
    <w:abstractNumId w:val="23"/>
  </w:num>
  <w:num w:numId="23">
    <w:abstractNumId w:val="21"/>
  </w:num>
  <w:num w:numId="24">
    <w:abstractNumId w:val="5"/>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5E86"/>
    <w:rsid w:val="0005661F"/>
    <w:rsid w:val="00057006"/>
    <w:rsid w:val="000575B4"/>
    <w:rsid w:val="000601EA"/>
    <w:rsid w:val="000603CB"/>
    <w:rsid w:val="0006084C"/>
    <w:rsid w:val="000608FE"/>
    <w:rsid w:val="000615B0"/>
    <w:rsid w:val="00061E01"/>
    <w:rsid w:val="0006239E"/>
    <w:rsid w:val="0006295A"/>
    <w:rsid w:val="000643D0"/>
    <w:rsid w:val="00065195"/>
    <w:rsid w:val="0006520E"/>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7B0"/>
    <w:rsid w:val="000C0ACD"/>
    <w:rsid w:val="000C0E21"/>
    <w:rsid w:val="000C0F98"/>
    <w:rsid w:val="000C1BA1"/>
    <w:rsid w:val="000C22B0"/>
    <w:rsid w:val="000C2786"/>
    <w:rsid w:val="000C3369"/>
    <w:rsid w:val="000C3C24"/>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19A"/>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43C"/>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04B"/>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859B7"/>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5175"/>
    <w:rsid w:val="001D600F"/>
    <w:rsid w:val="001D6843"/>
    <w:rsid w:val="001D79BC"/>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394A"/>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72D4"/>
    <w:rsid w:val="002973E7"/>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5E32"/>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6FCF"/>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1EB7"/>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3FB"/>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10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53B"/>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3D8E"/>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040"/>
    <w:rsid w:val="00613E9D"/>
    <w:rsid w:val="0061423C"/>
    <w:rsid w:val="0061427C"/>
    <w:rsid w:val="0061536A"/>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4EEA"/>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1DA"/>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1DD6"/>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39C"/>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3FE9"/>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5A"/>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BF"/>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2ED7"/>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0A7B"/>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370C1"/>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548"/>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CB"/>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768"/>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7F4"/>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6C7"/>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0C5"/>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0BB0"/>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customStyle="1" w:styleId="apple-converted-space">
    <w:name w:val="apple-converted-space"/>
    <w:basedOn w:val="DefaultParagraphFont"/>
    <w:rsid w:val="00613040"/>
  </w:style>
  <w:style w:type="paragraph" w:customStyle="1" w:styleId="PBACheading1">
    <w:name w:val="PBAC heading 1"/>
    <w:qFormat/>
    <w:rsid w:val="00613040"/>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character" w:customStyle="1" w:styleId="apple-converted-space">
    <w:name w:val="apple-converted-space"/>
    <w:basedOn w:val="DefaultParagraphFont"/>
    <w:rsid w:val="00613040"/>
  </w:style>
  <w:style w:type="paragraph" w:customStyle="1" w:styleId="PBACheading1">
    <w:name w:val="PBAC heading 1"/>
    <w:qFormat/>
    <w:rsid w:val="00613040"/>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81737557">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6725388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3796314">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4D46-2EB5-4E55-BAA1-E5EF211D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2014-08-14T00:43:00Z</dcterms:created>
  <dcterms:modified xsi:type="dcterms:W3CDTF">2015-04-23T04:24:00Z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