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09"/>
        <w:gridCol w:w="3262"/>
        <w:gridCol w:w="6950"/>
      </w:tblGrid>
      <w:tr w:rsidR="00987FDA" w:rsidRPr="00F609BF" w:rsidTr="002E103D">
        <w:trPr>
          <w:tblHeader/>
        </w:trPr>
        <w:tc>
          <w:tcPr>
            <w:tcW w:w="2694" w:type="dxa"/>
            <w:tcMar>
              <w:top w:w="28" w:type="dxa"/>
              <w:bottom w:w="28" w:type="dxa"/>
            </w:tcMar>
          </w:tcPr>
          <w:p w:rsidR="00257615" w:rsidRPr="00F609BF" w:rsidRDefault="002960C3" w:rsidP="00F34C7A">
            <w:pPr>
              <w:widowControl w:val="0"/>
              <w:jc w:val="center"/>
              <w:rPr>
                <w:rFonts w:ascii="Arial" w:hAnsi="Arial" w:cs="Arial"/>
                <w:b/>
              </w:rPr>
            </w:pPr>
            <w:r w:rsidRPr="00F609BF">
              <w:rPr>
                <w:rFonts w:ascii="Arial" w:hAnsi="Arial" w:cs="Arial"/>
                <w:b/>
              </w:rPr>
              <w:t>DRUG NAME, FORM(S), STRENGTH(S)</w:t>
            </w:r>
            <w:r>
              <w:rPr>
                <w:rFonts w:ascii="Arial" w:hAnsi="Arial" w:cs="Arial"/>
                <w:b/>
              </w:rPr>
              <w:t>,</w:t>
            </w:r>
            <w:r w:rsidRPr="00F609BF">
              <w:rPr>
                <w:rFonts w:ascii="Arial" w:hAnsi="Arial" w:cs="Arial"/>
                <w:b/>
              </w:rPr>
              <w:t xml:space="preserve"> SPONSOR</w:t>
            </w:r>
            <w:r>
              <w:rPr>
                <w:rFonts w:ascii="Arial" w:hAnsi="Arial" w:cs="Arial"/>
                <w:b/>
              </w:rPr>
              <w:t>, TYPE OF SUBMISSION</w:t>
            </w:r>
          </w:p>
        </w:tc>
        <w:tc>
          <w:tcPr>
            <w:tcW w:w="2409" w:type="dxa"/>
            <w:tcMar>
              <w:top w:w="28" w:type="dxa"/>
              <w:bottom w:w="28" w:type="dxa"/>
            </w:tcMar>
          </w:tcPr>
          <w:p w:rsidR="00987FDA" w:rsidRPr="00F609BF" w:rsidRDefault="002960C3" w:rsidP="002960C3">
            <w:pPr>
              <w:widowControl w:val="0"/>
              <w:jc w:val="center"/>
              <w:rPr>
                <w:rFonts w:ascii="Arial" w:hAnsi="Arial" w:cs="Arial"/>
                <w:b/>
                <w:snapToGrid w:val="0"/>
                <w:lang w:eastAsia="en-US"/>
              </w:rPr>
            </w:pPr>
            <w:r w:rsidRPr="00F609BF">
              <w:rPr>
                <w:rFonts w:ascii="Arial" w:hAnsi="Arial" w:cs="Arial"/>
                <w:b/>
                <w:snapToGrid w:val="0"/>
                <w:lang w:eastAsia="en-US"/>
              </w:rPr>
              <w:t>DRUG TYPE AND USE</w:t>
            </w:r>
          </w:p>
          <w:p w:rsidR="00987FDA" w:rsidRPr="00F609BF" w:rsidRDefault="00987FDA" w:rsidP="002960C3">
            <w:pPr>
              <w:widowControl w:val="0"/>
              <w:jc w:val="center"/>
              <w:rPr>
                <w:rFonts w:ascii="Arial" w:hAnsi="Arial" w:cs="Arial"/>
                <w:b/>
                <w:snapToGrid w:val="0"/>
                <w:lang w:eastAsia="en-US"/>
              </w:rPr>
            </w:pPr>
          </w:p>
        </w:tc>
        <w:tc>
          <w:tcPr>
            <w:tcW w:w="3262" w:type="dxa"/>
            <w:tcMar>
              <w:top w:w="28" w:type="dxa"/>
              <w:bottom w:w="28" w:type="dxa"/>
            </w:tcMar>
          </w:tcPr>
          <w:p w:rsidR="00987FDA" w:rsidRPr="00F609BF" w:rsidRDefault="002960C3" w:rsidP="002960C3">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tc>
        <w:tc>
          <w:tcPr>
            <w:tcW w:w="6950" w:type="dxa"/>
          </w:tcPr>
          <w:p w:rsidR="00987FDA" w:rsidRPr="00F609BF" w:rsidRDefault="00987FDA" w:rsidP="00D167D0">
            <w:pPr>
              <w:pStyle w:val="Header"/>
              <w:jc w:val="center"/>
              <w:rPr>
                <w:rFonts w:ascii="Arial" w:hAnsi="Arial" w:cs="Arial"/>
                <w:b/>
                <w:snapToGrid w:val="0"/>
                <w:lang w:eastAsia="en-US"/>
              </w:rPr>
            </w:pPr>
            <w:r w:rsidRPr="00F609BF">
              <w:rPr>
                <w:rFonts w:ascii="Arial" w:hAnsi="Arial" w:cs="Arial"/>
                <w:b/>
                <w:snapToGrid w:val="0"/>
                <w:lang w:eastAsia="en-US"/>
              </w:rPr>
              <w:t xml:space="preserve">PBAC </w:t>
            </w:r>
            <w:r w:rsidR="002960C3">
              <w:rPr>
                <w:rFonts w:ascii="Arial" w:hAnsi="Arial" w:cs="Arial"/>
                <w:b/>
                <w:snapToGrid w:val="0"/>
                <w:lang w:eastAsia="en-US"/>
              </w:rPr>
              <w:t>OUTCOME</w:t>
            </w:r>
          </w:p>
        </w:tc>
      </w:tr>
      <w:tr w:rsidR="003263A0" w:rsidRPr="00C3488B" w:rsidTr="002E103D">
        <w:trPr>
          <w:cantSplit/>
          <w:trHeight w:val="896"/>
        </w:trPr>
        <w:tc>
          <w:tcPr>
            <w:tcW w:w="2694" w:type="dxa"/>
            <w:vMerge w:val="restart"/>
            <w:tcMar>
              <w:top w:w="28" w:type="dxa"/>
              <w:bottom w:w="28" w:type="dxa"/>
            </w:tcMar>
          </w:tcPr>
          <w:p w:rsidR="003263A0" w:rsidRPr="00B75794" w:rsidRDefault="003263A0" w:rsidP="00974A18">
            <w:pPr>
              <w:pStyle w:val="Heading1"/>
              <w:rPr>
                <w:rFonts w:cs="Arial"/>
              </w:rPr>
            </w:pPr>
            <w:r w:rsidRPr="00B75794">
              <w:rPr>
                <w:rFonts w:cs="Arial"/>
              </w:rPr>
              <w:t>APREMILAST</w:t>
            </w:r>
          </w:p>
          <w:p w:rsidR="003263A0" w:rsidRPr="00B75794" w:rsidRDefault="003263A0" w:rsidP="00974A18">
            <w:pPr>
              <w:pStyle w:val="Heading1"/>
              <w:rPr>
                <w:rFonts w:cs="Arial"/>
              </w:rPr>
            </w:pPr>
            <w:r w:rsidRPr="00B75794">
              <w:rPr>
                <w:rFonts w:cs="Arial"/>
                <w:b w:val="0"/>
              </w:rPr>
              <w:t>10 mg, 20 mg and 30 mg tablets</w:t>
            </w:r>
          </w:p>
          <w:p w:rsidR="003263A0" w:rsidRPr="00B75794" w:rsidRDefault="003263A0" w:rsidP="00974A18">
            <w:pPr>
              <w:rPr>
                <w:rFonts w:ascii="Arial" w:hAnsi="Arial" w:cs="Arial"/>
                <w:lang w:eastAsia="en-US"/>
              </w:rPr>
            </w:pPr>
          </w:p>
          <w:p w:rsidR="003263A0" w:rsidRPr="00B75794" w:rsidRDefault="003263A0" w:rsidP="00974A18">
            <w:pPr>
              <w:pStyle w:val="Heading1"/>
              <w:rPr>
                <w:rFonts w:cs="Arial"/>
                <w:b w:val="0"/>
              </w:rPr>
            </w:pPr>
            <w:r w:rsidRPr="00B75794">
              <w:rPr>
                <w:rFonts w:cs="Arial"/>
                <w:b w:val="0"/>
              </w:rPr>
              <w:t>Otezla</w:t>
            </w:r>
            <w:r w:rsidRPr="00B75794">
              <w:rPr>
                <w:rFonts w:cs="Arial"/>
                <w:b w:val="0"/>
                <w:vertAlign w:val="superscript"/>
              </w:rPr>
              <w:t>®</w:t>
            </w:r>
          </w:p>
          <w:p w:rsidR="003263A0" w:rsidRPr="00B75794" w:rsidRDefault="003263A0" w:rsidP="00974A18">
            <w:pPr>
              <w:pStyle w:val="Heading1"/>
              <w:rPr>
                <w:rFonts w:cs="Arial"/>
                <w:b w:val="0"/>
              </w:rPr>
            </w:pPr>
          </w:p>
          <w:p w:rsidR="003263A0" w:rsidRPr="00B75794" w:rsidRDefault="003263A0" w:rsidP="00974A18">
            <w:pPr>
              <w:pStyle w:val="Heading1"/>
              <w:rPr>
                <w:rFonts w:cs="Arial"/>
                <w:b w:val="0"/>
              </w:rPr>
            </w:pPr>
            <w:r w:rsidRPr="00B75794">
              <w:rPr>
                <w:rFonts w:cs="Arial"/>
                <w:b w:val="0"/>
              </w:rPr>
              <w:t>Celgene Pty Ltd</w:t>
            </w:r>
          </w:p>
          <w:p w:rsidR="003263A0" w:rsidRPr="00B75794" w:rsidRDefault="003263A0" w:rsidP="00974A18">
            <w:pPr>
              <w:rPr>
                <w:rFonts w:ascii="Arial" w:hAnsi="Arial" w:cs="Arial"/>
                <w:lang w:eastAsia="en-US"/>
              </w:rPr>
            </w:pPr>
          </w:p>
          <w:p w:rsidR="003263A0" w:rsidRPr="00B75794" w:rsidRDefault="003263A0" w:rsidP="00974A18">
            <w:pPr>
              <w:rPr>
                <w:rFonts w:ascii="Arial" w:hAnsi="Arial" w:cs="Arial"/>
                <w:lang w:eastAsia="en-US"/>
              </w:rPr>
            </w:pPr>
            <w:r w:rsidRPr="00B75794">
              <w:rPr>
                <w:rFonts w:ascii="Arial" w:hAnsi="Arial" w:cs="Arial"/>
                <w:lang w:eastAsia="en-US"/>
              </w:rPr>
              <w:t>(Major submission)</w:t>
            </w:r>
          </w:p>
          <w:p w:rsidR="003263A0" w:rsidRPr="00B75794" w:rsidRDefault="003263A0" w:rsidP="00974A18">
            <w:pPr>
              <w:pStyle w:val="Heading1"/>
              <w:rPr>
                <w:rFonts w:cs="Arial"/>
              </w:rPr>
            </w:pPr>
          </w:p>
        </w:tc>
        <w:tc>
          <w:tcPr>
            <w:tcW w:w="2409" w:type="dxa"/>
            <w:vMerge w:val="restart"/>
          </w:tcPr>
          <w:p w:rsidR="003263A0" w:rsidRPr="00B75794" w:rsidRDefault="003263A0" w:rsidP="00974A18">
            <w:pPr>
              <w:widowControl w:val="0"/>
              <w:rPr>
                <w:rFonts w:ascii="Arial" w:hAnsi="Arial" w:cs="Arial"/>
              </w:rPr>
            </w:pPr>
            <w:r w:rsidRPr="00B75794">
              <w:rPr>
                <w:rFonts w:ascii="Arial" w:hAnsi="Arial" w:cs="Arial"/>
              </w:rPr>
              <w:t>Moderate to severe plaque psoriasis</w:t>
            </w:r>
          </w:p>
        </w:tc>
        <w:tc>
          <w:tcPr>
            <w:tcW w:w="3262" w:type="dxa"/>
            <w:tcMar>
              <w:top w:w="28" w:type="dxa"/>
              <w:bottom w:w="28" w:type="dxa"/>
            </w:tcMar>
          </w:tcPr>
          <w:p w:rsidR="003263A0" w:rsidRPr="00B75794" w:rsidRDefault="003263A0" w:rsidP="00FF54A6">
            <w:pPr>
              <w:rPr>
                <w:rFonts w:ascii="Arial" w:hAnsi="Arial" w:cs="Arial"/>
              </w:rPr>
            </w:pPr>
            <w:r w:rsidRPr="00B75794">
              <w:rPr>
                <w:rFonts w:ascii="Arial" w:hAnsi="Arial" w:cs="Arial"/>
              </w:rPr>
              <w:t>The submission sought an Authority Required (STREAMLINED) listing for the treatment of moderate-to-severe plaque psoriasis in patients meeting certain criteria.</w:t>
            </w:r>
          </w:p>
        </w:tc>
        <w:tc>
          <w:tcPr>
            <w:tcW w:w="6950" w:type="dxa"/>
          </w:tcPr>
          <w:p w:rsidR="003263A0" w:rsidRPr="00B75794" w:rsidRDefault="003263A0" w:rsidP="00974A18">
            <w:pPr>
              <w:rPr>
                <w:rFonts w:ascii="Arial" w:hAnsi="Arial" w:cs="Arial"/>
                <w:bCs/>
                <w:lang w:val="en-GB"/>
              </w:rPr>
            </w:pPr>
            <w:r w:rsidRPr="00B75794">
              <w:rPr>
                <w:rFonts w:ascii="Arial" w:hAnsi="Arial" w:cs="Arial"/>
                <w:bCs/>
                <w:lang w:val="en-GB"/>
              </w:rPr>
              <w:t xml:space="preserve">The PBAC rejected the submission on the basis that cost-effectiveness compared </w:t>
            </w:r>
            <w:r>
              <w:rPr>
                <w:rFonts w:ascii="Arial" w:hAnsi="Arial" w:cs="Arial"/>
                <w:bCs/>
                <w:lang w:val="en-GB"/>
              </w:rPr>
              <w:t>with</w:t>
            </w:r>
            <w:r w:rsidRPr="00B75794">
              <w:rPr>
                <w:rFonts w:ascii="Arial" w:hAnsi="Arial" w:cs="Arial"/>
                <w:bCs/>
                <w:lang w:val="en-GB"/>
              </w:rPr>
              <w:t xml:space="preserve"> cyclosporin treatment had not been adequately established at the price proposed in the submission. An incremental benefit in terms of comparative efficacy and safety over cyclosporin was not evident for apremilast and so it did not appear clinically appropriate to require patients to trial an additional line of therapy before being eligible for bDMARD therapy. Therefore, the cost-utility analysis approach to the economic modelling was not considered informative. </w:t>
            </w:r>
          </w:p>
          <w:p w:rsidR="003263A0" w:rsidRPr="00B75794" w:rsidRDefault="003263A0" w:rsidP="00974A18">
            <w:pPr>
              <w:rPr>
                <w:rFonts w:ascii="Arial" w:hAnsi="Arial" w:cs="Arial"/>
                <w:bCs/>
                <w:lang w:val="en-GB"/>
              </w:rPr>
            </w:pPr>
          </w:p>
          <w:p w:rsidR="003263A0" w:rsidRDefault="003263A0" w:rsidP="00974A18">
            <w:pPr>
              <w:rPr>
                <w:rFonts w:ascii="Arial" w:hAnsi="Arial" w:cs="Arial"/>
              </w:rPr>
            </w:pPr>
            <w:r w:rsidRPr="00B75794">
              <w:rPr>
                <w:rFonts w:ascii="Arial" w:hAnsi="Arial" w:cs="Arial"/>
              </w:rPr>
              <w:t>There were no statistically significant differences in the number of patients achieving PASI 75 or PASI 50 improvement in those treated with apremilast (30 mg twice daily for 16 weeks, including</w:t>
            </w:r>
            <w:r>
              <w:rPr>
                <w:rFonts w:ascii="Arial" w:hAnsi="Arial" w:cs="Arial"/>
              </w:rPr>
              <w:t xml:space="preserve"> titration) or cyclosporin (2.5 </w:t>
            </w:r>
            <w:r w:rsidRPr="00B75794">
              <w:rPr>
                <w:rFonts w:ascii="Arial" w:hAnsi="Arial" w:cs="Arial"/>
              </w:rPr>
              <w:t>mg/kg for 10 weeks), and the point estimate from the indirect comparison in terms of PASI 50 tend</w:t>
            </w:r>
            <w:r>
              <w:rPr>
                <w:rFonts w:ascii="Arial" w:hAnsi="Arial" w:cs="Arial"/>
              </w:rPr>
              <w:t>ed</w:t>
            </w:r>
            <w:r w:rsidRPr="00B75794">
              <w:rPr>
                <w:rFonts w:ascii="Arial" w:hAnsi="Arial" w:cs="Arial"/>
              </w:rPr>
              <w:t xml:space="preserve"> towards inferiority. </w:t>
            </w:r>
          </w:p>
          <w:p w:rsidR="003263A0" w:rsidRPr="00B75794" w:rsidRDefault="003263A0" w:rsidP="00974A18">
            <w:pPr>
              <w:rPr>
                <w:rFonts w:ascii="Arial" w:hAnsi="Arial" w:cs="Arial"/>
                <w:lang w:val="en-GB"/>
              </w:rPr>
            </w:pPr>
          </w:p>
          <w:p w:rsidR="003263A0" w:rsidRPr="00B75794" w:rsidRDefault="003263A0" w:rsidP="00CA7719">
            <w:pPr>
              <w:rPr>
                <w:rFonts w:ascii="Arial" w:hAnsi="Arial" w:cs="Arial"/>
              </w:rPr>
            </w:pPr>
            <w:r w:rsidRPr="00B75794">
              <w:rPr>
                <w:rFonts w:ascii="Arial" w:hAnsi="Arial" w:cs="Arial"/>
              </w:rPr>
              <w:t>The proposed cost of treatment with apremilast was considerably higher than the cost of treatment with cyclosporin.</w:t>
            </w:r>
          </w:p>
        </w:tc>
      </w:tr>
      <w:tr w:rsidR="003263A0" w:rsidRPr="00C3488B" w:rsidTr="002E103D">
        <w:trPr>
          <w:cantSplit/>
          <w:trHeight w:val="896"/>
        </w:trPr>
        <w:tc>
          <w:tcPr>
            <w:tcW w:w="2694" w:type="dxa"/>
            <w:vMerge/>
            <w:tcMar>
              <w:top w:w="28" w:type="dxa"/>
              <w:bottom w:w="28" w:type="dxa"/>
            </w:tcMar>
          </w:tcPr>
          <w:p w:rsidR="003263A0" w:rsidRPr="00B75794" w:rsidRDefault="003263A0" w:rsidP="00F34C7A">
            <w:pPr>
              <w:pStyle w:val="Heading1"/>
              <w:keepNext w:val="0"/>
              <w:widowControl/>
              <w:rPr>
                <w:rFonts w:cs="Arial"/>
              </w:rPr>
            </w:pPr>
          </w:p>
        </w:tc>
        <w:tc>
          <w:tcPr>
            <w:tcW w:w="2409" w:type="dxa"/>
            <w:vMerge/>
          </w:tcPr>
          <w:p w:rsidR="003263A0" w:rsidRPr="00B75794" w:rsidRDefault="003263A0" w:rsidP="00F34C7A">
            <w:pPr>
              <w:rPr>
                <w:rFonts w:ascii="Arial" w:hAnsi="Arial" w:cs="Arial"/>
              </w:rPr>
            </w:pPr>
          </w:p>
        </w:tc>
        <w:tc>
          <w:tcPr>
            <w:tcW w:w="3262" w:type="dxa"/>
            <w:tcMar>
              <w:top w:w="28" w:type="dxa"/>
              <w:bottom w:w="28" w:type="dxa"/>
            </w:tcMar>
          </w:tcPr>
          <w:p w:rsidR="003263A0" w:rsidRPr="00B75794" w:rsidRDefault="003263A0" w:rsidP="00FF54A6">
            <w:pPr>
              <w:jc w:val="right"/>
              <w:rPr>
                <w:rFonts w:ascii="Arial" w:hAnsi="Arial" w:cs="Arial"/>
                <w:lang w:eastAsia="en-US"/>
              </w:rPr>
            </w:pPr>
            <w:r w:rsidRPr="00CA7719">
              <w:rPr>
                <w:rFonts w:ascii="Arial" w:hAnsi="Arial" w:cs="Arial"/>
                <w:lang w:eastAsia="en-US"/>
              </w:rPr>
              <w:t>Sponsor Comment</w:t>
            </w:r>
            <w:r>
              <w:rPr>
                <w:rFonts w:ascii="Arial" w:hAnsi="Arial" w:cs="Arial"/>
                <w:lang w:eastAsia="en-US"/>
              </w:rPr>
              <w:t>:</w:t>
            </w:r>
          </w:p>
        </w:tc>
        <w:tc>
          <w:tcPr>
            <w:tcW w:w="6950" w:type="dxa"/>
          </w:tcPr>
          <w:p w:rsidR="0025228C" w:rsidRPr="0025228C" w:rsidRDefault="0025228C" w:rsidP="0025228C">
            <w:pPr>
              <w:rPr>
                <w:rFonts w:ascii="Arial" w:hAnsi="Arial" w:cs="Arial"/>
                <w:iCs/>
              </w:rPr>
            </w:pPr>
            <w:r w:rsidRPr="0025228C">
              <w:rPr>
                <w:rFonts w:ascii="Arial" w:hAnsi="Arial" w:cs="Arial"/>
                <w:iCs/>
              </w:rPr>
              <w:t xml:space="preserve">Celgene firmly believes Apremilast offers significant clinical advantages for patients with Psoriasis and Psoriatic arthritis and is disappointed with the PBAC outcome. </w:t>
            </w:r>
          </w:p>
          <w:p w:rsidR="0025228C" w:rsidRPr="0025228C" w:rsidRDefault="0025228C" w:rsidP="0025228C">
            <w:pPr>
              <w:rPr>
                <w:rFonts w:ascii="Arial" w:hAnsi="Arial" w:cs="Arial"/>
                <w:iCs/>
              </w:rPr>
            </w:pPr>
            <w:r w:rsidRPr="0025228C">
              <w:rPr>
                <w:rFonts w:ascii="Arial" w:hAnsi="Arial" w:cs="Arial"/>
                <w:iCs/>
              </w:rPr>
              <w:t>Celgene is committed with continuing to work with the Department of Health and the PBAC to make Apremilast available for Australian patients.</w:t>
            </w:r>
          </w:p>
          <w:p w:rsidR="003263A0" w:rsidRPr="00B75794" w:rsidRDefault="003263A0" w:rsidP="00F34C7A">
            <w:pPr>
              <w:rPr>
                <w:rFonts w:ascii="Arial" w:hAnsi="Arial" w:cs="Arial"/>
              </w:rPr>
            </w:pPr>
          </w:p>
        </w:tc>
      </w:tr>
      <w:tr w:rsidR="003263A0" w:rsidRPr="00C3488B" w:rsidTr="002E103D">
        <w:trPr>
          <w:cantSplit/>
          <w:trHeight w:val="896"/>
        </w:trPr>
        <w:tc>
          <w:tcPr>
            <w:tcW w:w="2694" w:type="dxa"/>
            <w:vMerge w:val="restart"/>
            <w:tcMar>
              <w:top w:w="28" w:type="dxa"/>
              <w:bottom w:w="28" w:type="dxa"/>
            </w:tcMar>
          </w:tcPr>
          <w:p w:rsidR="003263A0" w:rsidRPr="00B75794" w:rsidRDefault="003263A0" w:rsidP="00F34C7A">
            <w:pPr>
              <w:pStyle w:val="Heading1"/>
              <w:keepNext w:val="0"/>
              <w:widowControl/>
              <w:rPr>
                <w:rFonts w:cs="Arial"/>
              </w:rPr>
            </w:pPr>
            <w:r w:rsidRPr="00B75794">
              <w:rPr>
                <w:rFonts w:cs="Arial"/>
              </w:rPr>
              <w:t>APREMILAST</w:t>
            </w:r>
          </w:p>
          <w:p w:rsidR="003263A0" w:rsidRPr="00B75794" w:rsidRDefault="003263A0" w:rsidP="00F34C7A">
            <w:pPr>
              <w:pStyle w:val="Heading1"/>
              <w:keepNext w:val="0"/>
              <w:widowControl/>
              <w:rPr>
                <w:rFonts w:cs="Arial"/>
              </w:rPr>
            </w:pPr>
            <w:r w:rsidRPr="00B75794">
              <w:rPr>
                <w:rFonts w:cs="Arial"/>
                <w:b w:val="0"/>
              </w:rPr>
              <w:t>10 mg, 20 mg and 30 mg tablets</w:t>
            </w:r>
          </w:p>
          <w:p w:rsidR="003263A0" w:rsidRPr="00B75794" w:rsidRDefault="003263A0" w:rsidP="00F34C7A">
            <w:pPr>
              <w:rPr>
                <w:rFonts w:ascii="Arial" w:hAnsi="Arial" w:cs="Arial"/>
                <w:lang w:eastAsia="en-US"/>
              </w:rPr>
            </w:pPr>
          </w:p>
          <w:p w:rsidR="003263A0" w:rsidRPr="00B75794" w:rsidRDefault="003263A0" w:rsidP="00F34C7A">
            <w:pPr>
              <w:pStyle w:val="Heading1"/>
              <w:keepNext w:val="0"/>
              <w:widowControl/>
              <w:rPr>
                <w:rFonts w:cs="Arial"/>
                <w:b w:val="0"/>
              </w:rPr>
            </w:pPr>
            <w:r w:rsidRPr="00B75794">
              <w:rPr>
                <w:rFonts w:cs="Arial"/>
                <w:b w:val="0"/>
              </w:rPr>
              <w:t>Otezla</w:t>
            </w:r>
            <w:r w:rsidRPr="00B75794">
              <w:rPr>
                <w:rFonts w:cs="Arial"/>
                <w:b w:val="0"/>
                <w:vertAlign w:val="superscript"/>
              </w:rPr>
              <w:t>®</w:t>
            </w:r>
          </w:p>
          <w:p w:rsidR="003263A0" w:rsidRPr="00B75794" w:rsidRDefault="003263A0" w:rsidP="00F34C7A">
            <w:pPr>
              <w:pStyle w:val="Heading1"/>
              <w:keepNext w:val="0"/>
              <w:widowControl/>
              <w:rPr>
                <w:rFonts w:cs="Arial"/>
                <w:b w:val="0"/>
              </w:rPr>
            </w:pPr>
          </w:p>
          <w:p w:rsidR="003263A0" w:rsidRPr="00B75794" w:rsidRDefault="003263A0" w:rsidP="00F34C7A">
            <w:pPr>
              <w:pStyle w:val="Heading1"/>
              <w:keepNext w:val="0"/>
              <w:widowControl/>
              <w:rPr>
                <w:rFonts w:cs="Arial"/>
                <w:b w:val="0"/>
              </w:rPr>
            </w:pPr>
            <w:r w:rsidRPr="00B75794">
              <w:rPr>
                <w:rFonts w:cs="Arial"/>
                <w:b w:val="0"/>
              </w:rPr>
              <w:t>Celgene Pty Ltd</w:t>
            </w:r>
          </w:p>
          <w:p w:rsidR="003263A0" w:rsidRPr="00B75794" w:rsidRDefault="003263A0" w:rsidP="00F34C7A">
            <w:pPr>
              <w:rPr>
                <w:rFonts w:ascii="Arial" w:hAnsi="Arial" w:cs="Arial"/>
                <w:lang w:eastAsia="en-US"/>
              </w:rPr>
            </w:pPr>
          </w:p>
          <w:p w:rsidR="003263A0" w:rsidRPr="00B75794" w:rsidRDefault="003263A0" w:rsidP="00F34C7A">
            <w:pPr>
              <w:rPr>
                <w:rFonts w:ascii="Arial" w:hAnsi="Arial" w:cs="Arial"/>
                <w:lang w:eastAsia="en-US"/>
              </w:rPr>
            </w:pPr>
            <w:r w:rsidRPr="00B75794">
              <w:rPr>
                <w:rFonts w:ascii="Arial" w:hAnsi="Arial" w:cs="Arial"/>
                <w:lang w:eastAsia="en-US"/>
              </w:rPr>
              <w:t>(Major submission)</w:t>
            </w:r>
          </w:p>
          <w:p w:rsidR="003263A0" w:rsidRPr="00B75794" w:rsidRDefault="003263A0" w:rsidP="00F34C7A">
            <w:pPr>
              <w:rPr>
                <w:rFonts w:ascii="Arial" w:hAnsi="Arial" w:cs="Arial"/>
                <w:highlight w:val="yellow"/>
                <w:lang w:eastAsia="en-US"/>
              </w:rPr>
            </w:pPr>
          </w:p>
          <w:p w:rsidR="003263A0" w:rsidRPr="00B75794" w:rsidRDefault="003263A0" w:rsidP="00F34C7A">
            <w:pPr>
              <w:rPr>
                <w:rFonts w:ascii="Arial" w:hAnsi="Arial" w:cs="Arial"/>
                <w:lang w:eastAsia="en-US"/>
              </w:rPr>
            </w:pPr>
          </w:p>
        </w:tc>
        <w:tc>
          <w:tcPr>
            <w:tcW w:w="2409" w:type="dxa"/>
            <w:vMerge w:val="restart"/>
          </w:tcPr>
          <w:p w:rsidR="003263A0" w:rsidRPr="00B75794" w:rsidRDefault="003263A0" w:rsidP="00F34C7A">
            <w:pPr>
              <w:rPr>
                <w:rFonts w:ascii="Arial" w:hAnsi="Arial" w:cs="Arial"/>
              </w:rPr>
            </w:pPr>
            <w:r w:rsidRPr="00B75794">
              <w:rPr>
                <w:rFonts w:ascii="Arial" w:hAnsi="Arial" w:cs="Arial"/>
              </w:rPr>
              <w:t>Psoriatic arthritis</w:t>
            </w:r>
          </w:p>
        </w:tc>
        <w:tc>
          <w:tcPr>
            <w:tcW w:w="3262" w:type="dxa"/>
            <w:tcMar>
              <w:top w:w="28" w:type="dxa"/>
              <w:bottom w:w="28" w:type="dxa"/>
            </w:tcMar>
          </w:tcPr>
          <w:p w:rsidR="003263A0" w:rsidRPr="00B75794" w:rsidRDefault="003263A0" w:rsidP="00B75794">
            <w:pPr>
              <w:rPr>
                <w:rFonts w:ascii="Arial" w:hAnsi="Arial" w:cs="Arial"/>
                <w:lang w:eastAsia="en-US"/>
              </w:rPr>
            </w:pPr>
            <w:r w:rsidRPr="00B75794">
              <w:rPr>
                <w:rFonts w:ascii="Arial" w:hAnsi="Arial" w:cs="Arial"/>
                <w:lang w:eastAsia="en-US"/>
              </w:rPr>
              <w:t>The submission sought an Authority Required (STREAMLINED) listing for the treatment of severe active psoriatic arthritis in patients meeting certain criteria.</w:t>
            </w:r>
          </w:p>
          <w:p w:rsidR="003263A0" w:rsidRPr="00B75794" w:rsidRDefault="003263A0" w:rsidP="00F34C7A">
            <w:pPr>
              <w:jc w:val="both"/>
              <w:rPr>
                <w:rFonts w:ascii="Arial" w:hAnsi="Arial" w:cs="Arial"/>
              </w:rPr>
            </w:pPr>
          </w:p>
        </w:tc>
        <w:tc>
          <w:tcPr>
            <w:tcW w:w="6950" w:type="dxa"/>
          </w:tcPr>
          <w:p w:rsidR="003263A0" w:rsidRPr="00B75794" w:rsidRDefault="003263A0" w:rsidP="00F34C7A">
            <w:pPr>
              <w:rPr>
                <w:rFonts w:ascii="Arial" w:hAnsi="Arial" w:cs="Arial"/>
              </w:rPr>
            </w:pPr>
            <w:r w:rsidRPr="00B75794">
              <w:rPr>
                <w:rFonts w:ascii="Arial" w:hAnsi="Arial" w:cs="Arial"/>
              </w:rPr>
              <w:t>The PBAC rejected the submission on the basis of unacceptable cost</w:t>
            </w:r>
            <w:r>
              <w:rPr>
                <w:rFonts w:ascii="Arial" w:hAnsi="Arial" w:cs="Arial"/>
              </w:rPr>
              <w:noBreakHyphen/>
            </w:r>
            <w:r w:rsidRPr="00B75794">
              <w:rPr>
                <w:rFonts w:ascii="Arial" w:hAnsi="Arial" w:cs="Arial"/>
              </w:rPr>
              <w:t xml:space="preserve">effectiveness compared </w:t>
            </w:r>
            <w:r>
              <w:rPr>
                <w:rFonts w:ascii="Arial" w:hAnsi="Arial" w:cs="Arial"/>
              </w:rPr>
              <w:t>with</w:t>
            </w:r>
            <w:r w:rsidRPr="00B75794">
              <w:rPr>
                <w:rFonts w:ascii="Arial" w:hAnsi="Arial" w:cs="Arial"/>
              </w:rPr>
              <w:t xml:space="preserve"> leflunomide at the price proposed and on the basis of a low clinical need for a treatment that would potentially delay treatment with more effective (but more costly) bDMARD therapy. </w:t>
            </w:r>
          </w:p>
          <w:p w:rsidR="003263A0" w:rsidRPr="00B75794" w:rsidRDefault="003263A0" w:rsidP="00F34C7A">
            <w:pPr>
              <w:rPr>
                <w:rFonts w:ascii="Arial" w:hAnsi="Arial" w:cs="Arial"/>
              </w:rPr>
            </w:pPr>
          </w:p>
          <w:p w:rsidR="003263A0" w:rsidRPr="00B75794" w:rsidRDefault="003263A0" w:rsidP="00F34C7A">
            <w:pPr>
              <w:rPr>
                <w:rFonts w:ascii="Arial" w:hAnsi="Arial" w:cs="Arial"/>
              </w:rPr>
            </w:pPr>
            <w:r w:rsidRPr="00B75794">
              <w:rPr>
                <w:rFonts w:ascii="Arial" w:hAnsi="Arial" w:cs="Arial"/>
              </w:rPr>
              <w:t>There were no statistically significant differences in the number of patients achieving ACR20 response in those treated with apremilast or leflunomide over 24 weeks.</w:t>
            </w:r>
          </w:p>
          <w:p w:rsidR="003263A0" w:rsidRPr="00B75794" w:rsidRDefault="003263A0" w:rsidP="00F34C7A">
            <w:pPr>
              <w:rPr>
                <w:rFonts w:ascii="Arial" w:hAnsi="Arial" w:cs="Arial"/>
              </w:rPr>
            </w:pPr>
          </w:p>
          <w:p w:rsidR="003263A0" w:rsidRPr="00B75794" w:rsidRDefault="003263A0" w:rsidP="00F34C7A">
            <w:pPr>
              <w:rPr>
                <w:rFonts w:ascii="Arial" w:hAnsi="Arial" w:cs="Arial"/>
              </w:rPr>
            </w:pPr>
            <w:r w:rsidRPr="00B75794">
              <w:rPr>
                <w:rFonts w:ascii="Arial" w:hAnsi="Arial" w:cs="Arial"/>
              </w:rPr>
              <w:t>The proposed cost of treatment with apremilast was considerably higher than the cost of treatment with leflunomide.</w:t>
            </w:r>
          </w:p>
        </w:tc>
      </w:tr>
      <w:tr w:rsidR="003263A0" w:rsidRPr="00C3488B" w:rsidTr="002E103D">
        <w:trPr>
          <w:cantSplit/>
          <w:trHeight w:val="896"/>
        </w:trPr>
        <w:tc>
          <w:tcPr>
            <w:tcW w:w="2694" w:type="dxa"/>
            <w:vMerge/>
            <w:tcMar>
              <w:top w:w="28" w:type="dxa"/>
              <w:bottom w:w="28" w:type="dxa"/>
            </w:tcMar>
          </w:tcPr>
          <w:p w:rsidR="003263A0" w:rsidRPr="00B75794" w:rsidRDefault="003263A0" w:rsidP="004576B3">
            <w:pPr>
              <w:pStyle w:val="Heading1"/>
              <w:rPr>
                <w:rFonts w:cs="Arial"/>
              </w:rPr>
            </w:pPr>
          </w:p>
        </w:tc>
        <w:tc>
          <w:tcPr>
            <w:tcW w:w="2409" w:type="dxa"/>
            <w:vMerge/>
          </w:tcPr>
          <w:p w:rsidR="003263A0" w:rsidRPr="00B75794" w:rsidRDefault="003263A0" w:rsidP="00150916">
            <w:pPr>
              <w:widowControl w:val="0"/>
              <w:rPr>
                <w:rFonts w:ascii="Arial" w:hAnsi="Arial" w:cs="Arial"/>
              </w:rPr>
            </w:pPr>
          </w:p>
        </w:tc>
        <w:tc>
          <w:tcPr>
            <w:tcW w:w="3262" w:type="dxa"/>
            <w:tcMar>
              <w:top w:w="28" w:type="dxa"/>
              <w:bottom w:w="28" w:type="dxa"/>
            </w:tcMar>
          </w:tcPr>
          <w:p w:rsidR="003263A0" w:rsidRPr="00B75794" w:rsidRDefault="003263A0" w:rsidP="00FF54A6">
            <w:pPr>
              <w:jc w:val="right"/>
              <w:rPr>
                <w:rFonts w:ascii="Arial" w:hAnsi="Arial" w:cs="Arial"/>
              </w:rPr>
            </w:pPr>
            <w:r w:rsidRPr="00B75794">
              <w:rPr>
                <w:rFonts w:ascii="Arial" w:hAnsi="Arial" w:cs="Arial"/>
              </w:rPr>
              <w:t>Sponsor Comment:</w:t>
            </w:r>
          </w:p>
        </w:tc>
        <w:tc>
          <w:tcPr>
            <w:tcW w:w="6950" w:type="dxa"/>
          </w:tcPr>
          <w:p w:rsidR="0025228C" w:rsidRPr="0025228C" w:rsidRDefault="0025228C" w:rsidP="0025228C">
            <w:pPr>
              <w:rPr>
                <w:rFonts w:ascii="Arial" w:hAnsi="Arial" w:cs="Arial"/>
                <w:bCs/>
                <w:iCs/>
              </w:rPr>
            </w:pPr>
            <w:r w:rsidRPr="0025228C">
              <w:rPr>
                <w:rFonts w:ascii="Arial" w:hAnsi="Arial" w:cs="Arial"/>
                <w:bCs/>
                <w:iCs/>
              </w:rPr>
              <w:t xml:space="preserve">Celgene firmly believes Apremilast offers significant clinical advantages for patients with Psoriasis and Psoriatic arthritis and is disappointed with the PBAC outcome. </w:t>
            </w:r>
          </w:p>
          <w:p w:rsidR="0025228C" w:rsidRPr="0025228C" w:rsidRDefault="0025228C" w:rsidP="0025228C">
            <w:pPr>
              <w:rPr>
                <w:rFonts w:ascii="Arial" w:hAnsi="Arial" w:cs="Arial"/>
                <w:bCs/>
                <w:iCs/>
              </w:rPr>
            </w:pPr>
            <w:r w:rsidRPr="0025228C">
              <w:rPr>
                <w:rFonts w:ascii="Arial" w:hAnsi="Arial" w:cs="Arial"/>
                <w:bCs/>
                <w:iCs/>
              </w:rPr>
              <w:t>Celgene is committed with continuing to work with the Department of Health and the PBAC to make Apremilast available for Australian patients.</w:t>
            </w:r>
          </w:p>
          <w:p w:rsidR="003263A0" w:rsidRPr="00B75794" w:rsidRDefault="003263A0" w:rsidP="004576B3">
            <w:pPr>
              <w:rPr>
                <w:rFonts w:ascii="Arial" w:hAnsi="Arial" w:cs="Arial"/>
                <w:bCs/>
                <w:lang w:val="en-GB"/>
              </w:rPr>
            </w:pPr>
          </w:p>
        </w:tc>
      </w:tr>
      <w:tr w:rsidR="003263A0" w:rsidRPr="00C3488B" w:rsidTr="002E103D">
        <w:trPr>
          <w:cantSplit/>
          <w:trHeight w:val="896"/>
        </w:trPr>
        <w:tc>
          <w:tcPr>
            <w:tcW w:w="2694" w:type="dxa"/>
            <w:vMerge w:val="restart"/>
            <w:tcMar>
              <w:top w:w="28" w:type="dxa"/>
              <w:bottom w:w="28" w:type="dxa"/>
            </w:tcMar>
          </w:tcPr>
          <w:p w:rsidR="003263A0" w:rsidRPr="00B75794" w:rsidRDefault="003263A0" w:rsidP="008012A6">
            <w:pPr>
              <w:pStyle w:val="Heading1"/>
              <w:keepNext w:val="0"/>
              <w:rPr>
                <w:rFonts w:cs="Arial"/>
              </w:rPr>
            </w:pPr>
            <w:r w:rsidRPr="00B75794">
              <w:rPr>
                <w:rFonts w:cs="Arial"/>
              </w:rPr>
              <w:t>ASUNAPREVIR</w:t>
            </w:r>
          </w:p>
          <w:p w:rsidR="003263A0" w:rsidRPr="00B75794" w:rsidRDefault="003263A0" w:rsidP="008012A6">
            <w:pPr>
              <w:pStyle w:val="Heading1"/>
              <w:keepNext w:val="0"/>
              <w:rPr>
                <w:rFonts w:cs="Arial"/>
                <w:b w:val="0"/>
              </w:rPr>
            </w:pPr>
            <w:r w:rsidRPr="00B75794">
              <w:rPr>
                <w:rFonts w:cs="Arial"/>
                <w:b w:val="0"/>
              </w:rPr>
              <w:t>100 mg capsule, 56</w:t>
            </w:r>
          </w:p>
          <w:p w:rsidR="003263A0" w:rsidRPr="00B75794" w:rsidRDefault="003263A0" w:rsidP="008012A6">
            <w:pPr>
              <w:pStyle w:val="Heading1"/>
              <w:keepNext w:val="0"/>
              <w:rPr>
                <w:rFonts w:cs="Arial"/>
                <w:b w:val="0"/>
              </w:rPr>
            </w:pPr>
          </w:p>
          <w:p w:rsidR="003263A0" w:rsidRPr="00B75794" w:rsidRDefault="003263A0" w:rsidP="008012A6">
            <w:pPr>
              <w:pStyle w:val="Heading1"/>
              <w:keepNext w:val="0"/>
              <w:rPr>
                <w:rFonts w:cs="Arial"/>
                <w:b w:val="0"/>
              </w:rPr>
            </w:pPr>
            <w:r w:rsidRPr="00B75794">
              <w:rPr>
                <w:rFonts w:cs="Arial"/>
                <w:b w:val="0"/>
              </w:rPr>
              <w:t>Sunvepra</w:t>
            </w:r>
            <w:r w:rsidRPr="003263A0">
              <w:rPr>
                <w:rFonts w:cs="Arial"/>
                <w:b w:val="0"/>
                <w:vertAlign w:val="superscript"/>
              </w:rPr>
              <w:t>®</w:t>
            </w:r>
          </w:p>
          <w:p w:rsidR="003263A0" w:rsidRPr="00B75794" w:rsidRDefault="003263A0" w:rsidP="008012A6">
            <w:pPr>
              <w:pStyle w:val="Heading1"/>
              <w:keepNext w:val="0"/>
              <w:rPr>
                <w:rFonts w:cs="Arial"/>
                <w:b w:val="0"/>
              </w:rPr>
            </w:pPr>
          </w:p>
          <w:p w:rsidR="003263A0" w:rsidRPr="00B75794" w:rsidRDefault="003263A0" w:rsidP="008012A6">
            <w:pPr>
              <w:pStyle w:val="Heading1"/>
              <w:keepNext w:val="0"/>
              <w:rPr>
                <w:rFonts w:cs="Arial"/>
                <w:b w:val="0"/>
              </w:rPr>
            </w:pPr>
            <w:r w:rsidRPr="00B75794">
              <w:rPr>
                <w:rFonts w:cs="Arial"/>
                <w:b w:val="0"/>
              </w:rPr>
              <w:t>Bristol-Myers Squibb Australia Pty Ltd</w:t>
            </w:r>
          </w:p>
          <w:p w:rsidR="003263A0" w:rsidRPr="00B75794" w:rsidRDefault="003263A0" w:rsidP="008012A6">
            <w:pPr>
              <w:rPr>
                <w:rFonts w:ascii="Arial" w:hAnsi="Arial" w:cs="Arial"/>
                <w:lang w:eastAsia="en-US"/>
              </w:rPr>
            </w:pPr>
          </w:p>
          <w:p w:rsidR="003263A0" w:rsidRPr="00B75794" w:rsidRDefault="003263A0" w:rsidP="008012A6">
            <w:pPr>
              <w:rPr>
                <w:rFonts w:ascii="Arial" w:hAnsi="Arial" w:cs="Arial"/>
                <w:lang w:eastAsia="en-US"/>
              </w:rPr>
            </w:pPr>
            <w:r w:rsidRPr="00B75794">
              <w:rPr>
                <w:rFonts w:ascii="Arial" w:hAnsi="Arial" w:cs="Arial"/>
                <w:lang w:eastAsia="en-US"/>
              </w:rPr>
              <w:t>(Major Submission)</w:t>
            </w:r>
          </w:p>
        </w:tc>
        <w:tc>
          <w:tcPr>
            <w:tcW w:w="2409" w:type="dxa"/>
            <w:vMerge w:val="restart"/>
          </w:tcPr>
          <w:p w:rsidR="003263A0" w:rsidRPr="00B75794" w:rsidRDefault="003263A0" w:rsidP="008012A6">
            <w:pPr>
              <w:widowControl w:val="0"/>
              <w:rPr>
                <w:rFonts w:ascii="Arial" w:hAnsi="Arial" w:cs="Arial"/>
              </w:rPr>
            </w:pPr>
            <w:r w:rsidRPr="00B75794">
              <w:rPr>
                <w:rFonts w:ascii="Arial" w:hAnsi="Arial" w:cs="Arial"/>
              </w:rPr>
              <w:t>Hepatitis C</w:t>
            </w:r>
          </w:p>
        </w:tc>
        <w:tc>
          <w:tcPr>
            <w:tcW w:w="3262" w:type="dxa"/>
            <w:tcMar>
              <w:top w:w="28" w:type="dxa"/>
              <w:bottom w:w="28" w:type="dxa"/>
            </w:tcMar>
          </w:tcPr>
          <w:p w:rsidR="003263A0" w:rsidRPr="00B75794" w:rsidRDefault="003263A0" w:rsidP="00FF54A6">
            <w:pPr>
              <w:rPr>
                <w:rFonts w:ascii="Arial" w:hAnsi="Arial" w:cs="Arial"/>
              </w:rPr>
            </w:pPr>
            <w:r w:rsidRPr="00B75794">
              <w:rPr>
                <w:rFonts w:ascii="Arial" w:hAnsi="Arial" w:cs="Arial"/>
                <w:color w:val="000000"/>
              </w:rPr>
              <w:t>T</w:t>
            </w:r>
            <w:r w:rsidR="00FF54A6">
              <w:rPr>
                <w:rFonts w:ascii="Arial" w:hAnsi="Arial" w:cs="Arial"/>
                <w:color w:val="000000"/>
              </w:rPr>
              <w:t>he submission sought an</w:t>
            </w:r>
            <w:r w:rsidRPr="00B75794">
              <w:rPr>
                <w:rFonts w:ascii="Arial" w:hAnsi="Arial" w:cs="Arial"/>
                <w:color w:val="000000"/>
              </w:rPr>
              <w:t xml:space="preserve"> Authority Required (STREAMLINED) listing for the treatment of chronic genotype 1b hepatitis C virus infection.</w:t>
            </w:r>
          </w:p>
        </w:tc>
        <w:tc>
          <w:tcPr>
            <w:tcW w:w="6950" w:type="dxa"/>
          </w:tcPr>
          <w:p w:rsidR="003263A0" w:rsidRPr="00B75794" w:rsidRDefault="003263A0" w:rsidP="008012A6">
            <w:pPr>
              <w:snapToGrid w:val="0"/>
              <w:rPr>
                <w:rFonts w:ascii="Arial" w:hAnsi="Arial" w:cs="Arial"/>
              </w:rPr>
            </w:pPr>
            <w:r w:rsidRPr="00B75794">
              <w:rPr>
                <w:rFonts w:ascii="Arial" w:hAnsi="Arial" w:cs="Arial"/>
              </w:rPr>
              <w:t xml:space="preserve">The PBAC rejected the submission for the Authority Required (Streamlined) listing for asunaprevir for the treatment of chronic genotype 1b hepatitis C virus infection.  While asunaprevir (in combination with daclatasvir) was an effective interferon-free treatment, the PBAC considered that this combination is inferior to other treatments for chronic hepatitis C recommended by the PBAC at the March 2015 meeting.  </w:t>
            </w:r>
          </w:p>
        </w:tc>
      </w:tr>
      <w:tr w:rsidR="003263A0" w:rsidRPr="00C3488B" w:rsidTr="002E103D">
        <w:trPr>
          <w:cantSplit/>
          <w:trHeight w:val="896"/>
        </w:trPr>
        <w:tc>
          <w:tcPr>
            <w:tcW w:w="2694" w:type="dxa"/>
            <w:vMerge/>
            <w:tcMar>
              <w:top w:w="28" w:type="dxa"/>
              <w:bottom w:w="28" w:type="dxa"/>
            </w:tcMar>
          </w:tcPr>
          <w:p w:rsidR="003263A0" w:rsidRPr="00B75794" w:rsidRDefault="003263A0" w:rsidP="00150916">
            <w:pPr>
              <w:pStyle w:val="Heading1"/>
              <w:keepNext w:val="0"/>
              <w:rPr>
                <w:rFonts w:cs="Arial"/>
              </w:rPr>
            </w:pPr>
          </w:p>
        </w:tc>
        <w:tc>
          <w:tcPr>
            <w:tcW w:w="2409" w:type="dxa"/>
            <w:vMerge/>
          </w:tcPr>
          <w:p w:rsidR="003263A0" w:rsidRPr="00B75794" w:rsidRDefault="003263A0" w:rsidP="00150916">
            <w:pPr>
              <w:widowControl w:val="0"/>
              <w:rPr>
                <w:rFonts w:ascii="Arial" w:hAnsi="Arial" w:cs="Arial"/>
              </w:rPr>
            </w:pPr>
          </w:p>
        </w:tc>
        <w:tc>
          <w:tcPr>
            <w:tcW w:w="3262" w:type="dxa"/>
            <w:tcMar>
              <w:top w:w="28" w:type="dxa"/>
              <w:bottom w:w="28" w:type="dxa"/>
            </w:tcMar>
          </w:tcPr>
          <w:p w:rsidR="003263A0" w:rsidRPr="00B75794" w:rsidRDefault="003263A0" w:rsidP="00FF54A6">
            <w:pPr>
              <w:jc w:val="right"/>
              <w:rPr>
                <w:rFonts w:ascii="Arial" w:hAnsi="Arial" w:cs="Arial"/>
                <w:color w:val="000000"/>
              </w:rPr>
            </w:pPr>
            <w:r w:rsidRPr="00B75794">
              <w:rPr>
                <w:rFonts w:ascii="Arial" w:hAnsi="Arial" w:cs="Arial"/>
                <w:color w:val="000000"/>
              </w:rPr>
              <w:t>Sponsor Comment:</w:t>
            </w:r>
          </w:p>
        </w:tc>
        <w:tc>
          <w:tcPr>
            <w:tcW w:w="6950" w:type="dxa"/>
          </w:tcPr>
          <w:p w:rsidR="00B2583F" w:rsidRPr="00B2583F" w:rsidRDefault="00B2583F" w:rsidP="00B2583F">
            <w:pPr>
              <w:snapToGrid w:val="0"/>
              <w:rPr>
                <w:rFonts w:ascii="Arial" w:hAnsi="Arial" w:cs="Arial"/>
              </w:rPr>
            </w:pPr>
            <w:r w:rsidRPr="00B2583F">
              <w:rPr>
                <w:rFonts w:ascii="Arial" w:hAnsi="Arial" w:cs="Arial"/>
              </w:rPr>
              <w:t>Bristol-Myers Squibb is disappointed with the PBACs decision to reject DCV+ASV. However remains committed to working with the department to provide access to new medicin</w:t>
            </w:r>
            <w:r>
              <w:rPr>
                <w:rFonts w:ascii="Arial" w:hAnsi="Arial" w:cs="Arial"/>
              </w:rPr>
              <w:t>es for HCV as soon as possible.</w:t>
            </w:r>
          </w:p>
          <w:p w:rsidR="003263A0" w:rsidRPr="00B75794" w:rsidRDefault="003263A0" w:rsidP="00150916">
            <w:pPr>
              <w:snapToGrid w:val="0"/>
              <w:rPr>
                <w:rFonts w:ascii="Arial" w:hAnsi="Arial" w:cs="Arial"/>
              </w:rPr>
            </w:pPr>
          </w:p>
        </w:tc>
      </w:tr>
      <w:tr w:rsidR="003263A0" w:rsidRPr="00C3488B" w:rsidTr="002E103D">
        <w:trPr>
          <w:cantSplit/>
          <w:trHeight w:val="896"/>
        </w:trPr>
        <w:tc>
          <w:tcPr>
            <w:tcW w:w="2694" w:type="dxa"/>
            <w:vMerge w:val="restart"/>
            <w:tcMar>
              <w:top w:w="28" w:type="dxa"/>
              <w:bottom w:w="28" w:type="dxa"/>
            </w:tcMar>
          </w:tcPr>
          <w:p w:rsidR="003263A0" w:rsidRPr="00B75794" w:rsidRDefault="003263A0" w:rsidP="003263A0">
            <w:pPr>
              <w:pStyle w:val="Heading1"/>
              <w:keepNext w:val="0"/>
              <w:rPr>
                <w:rFonts w:cs="Arial"/>
              </w:rPr>
            </w:pPr>
            <w:r w:rsidRPr="00B75794">
              <w:rPr>
                <w:rFonts w:cs="Arial"/>
              </w:rPr>
              <w:lastRenderedPageBreak/>
              <w:t>BRENTUXIMAB VEDOTIN</w:t>
            </w:r>
          </w:p>
          <w:p w:rsidR="003263A0" w:rsidRPr="00B75794" w:rsidRDefault="003263A0" w:rsidP="003263A0">
            <w:pPr>
              <w:pStyle w:val="Heading1"/>
              <w:keepNext w:val="0"/>
              <w:rPr>
                <w:rFonts w:cs="Arial"/>
                <w:b w:val="0"/>
              </w:rPr>
            </w:pPr>
            <w:r w:rsidRPr="00B75794">
              <w:rPr>
                <w:rFonts w:cs="Arial"/>
                <w:b w:val="0"/>
              </w:rPr>
              <w:t xml:space="preserve">50 mg </w:t>
            </w:r>
            <w:r w:rsidR="00EE3F20">
              <w:rPr>
                <w:rFonts w:cs="Arial"/>
                <w:b w:val="0"/>
              </w:rPr>
              <w:t>powder for injection</w:t>
            </w:r>
          </w:p>
          <w:p w:rsidR="003263A0" w:rsidRPr="00B75794" w:rsidRDefault="003263A0" w:rsidP="003263A0">
            <w:pPr>
              <w:pStyle w:val="Heading1"/>
              <w:keepNext w:val="0"/>
              <w:rPr>
                <w:rFonts w:cs="Arial"/>
                <w:b w:val="0"/>
              </w:rPr>
            </w:pPr>
          </w:p>
          <w:p w:rsidR="003263A0" w:rsidRPr="00B75794" w:rsidRDefault="003263A0" w:rsidP="003263A0">
            <w:pPr>
              <w:pStyle w:val="Heading1"/>
              <w:keepNext w:val="0"/>
              <w:rPr>
                <w:rFonts w:cs="Arial"/>
                <w:b w:val="0"/>
              </w:rPr>
            </w:pPr>
            <w:r w:rsidRPr="00B75794">
              <w:rPr>
                <w:rFonts w:cs="Arial"/>
                <w:b w:val="0"/>
              </w:rPr>
              <w:t>Adcetris</w:t>
            </w:r>
            <w:r w:rsidRPr="003263A0">
              <w:rPr>
                <w:rFonts w:cs="Arial"/>
                <w:b w:val="0"/>
                <w:vertAlign w:val="superscript"/>
              </w:rPr>
              <w:t>®</w:t>
            </w:r>
          </w:p>
          <w:p w:rsidR="003263A0" w:rsidRPr="00B75794" w:rsidRDefault="003263A0" w:rsidP="003263A0">
            <w:pPr>
              <w:pStyle w:val="Heading1"/>
              <w:keepNext w:val="0"/>
              <w:rPr>
                <w:rFonts w:cs="Arial"/>
                <w:b w:val="0"/>
              </w:rPr>
            </w:pPr>
          </w:p>
          <w:p w:rsidR="003263A0" w:rsidRPr="00B75794" w:rsidRDefault="003263A0" w:rsidP="003263A0">
            <w:pPr>
              <w:pStyle w:val="Heading1"/>
              <w:keepNext w:val="0"/>
              <w:rPr>
                <w:rFonts w:cs="Arial"/>
                <w:b w:val="0"/>
              </w:rPr>
            </w:pPr>
            <w:r w:rsidRPr="00B75794">
              <w:rPr>
                <w:rFonts w:cs="Arial"/>
                <w:b w:val="0"/>
              </w:rPr>
              <w:t>Takeda Pharmaceuticals Australia Pty Ltd.</w:t>
            </w:r>
          </w:p>
          <w:p w:rsidR="003263A0" w:rsidRPr="00B75794" w:rsidRDefault="003263A0" w:rsidP="003263A0">
            <w:pPr>
              <w:rPr>
                <w:rFonts w:ascii="Arial" w:hAnsi="Arial" w:cs="Arial"/>
                <w:lang w:eastAsia="en-US"/>
              </w:rPr>
            </w:pPr>
          </w:p>
          <w:p w:rsidR="003263A0" w:rsidRPr="00B75794" w:rsidRDefault="003263A0" w:rsidP="003263A0">
            <w:pPr>
              <w:rPr>
                <w:rFonts w:ascii="Arial" w:hAnsi="Arial" w:cs="Arial"/>
                <w:lang w:eastAsia="en-US"/>
              </w:rPr>
            </w:pPr>
            <w:r w:rsidRPr="00B75794">
              <w:rPr>
                <w:rFonts w:ascii="Arial" w:hAnsi="Arial" w:cs="Arial"/>
                <w:lang w:eastAsia="en-US"/>
              </w:rPr>
              <w:t>(Major Submission)</w:t>
            </w:r>
          </w:p>
        </w:tc>
        <w:tc>
          <w:tcPr>
            <w:tcW w:w="2409" w:type="dxa"/>
            <w:vMerge w:val="restart"/>
          </w:tcPr>
          <w:p w:rsidR="003263A0" w:rsidRPr="00B75794" w:rsidRDefault="003263A0" w:rsidP="003263A0">
            <w:pPr>
              <w:widowControl w:val="0"/>
              <w:rPr>
                <w:rFonts w:ascii="Arial" w:hAnsi="Arial" w:cs="Arial"/>
              </w:rPr>
            </w:pPr>
            <w:r w:rsidRPr="00B75794">
              <w:rPr>
                <w:rFonts w:ascii="Arial" w:hAnsi="Arial" w:cs="Arial"/>
                <w:color w:val="000000"/>
              </w:rPr>
              <w:t>Hodgkin Lymphoma</w:t>
            </w:r>
          </w:p>
        </w:tc>
        <w:tc>
          <w:tcPr>
            <w:tcW w:w="3262" w:type="dxa"/>
            <w:tcMar>
              <w:top w:w="28" w:type="dxa"/>
              <w:bottom w:w="28" w:type="dxa"/>
            </w:tcMar>
          </w:tcPr>
          <w:p w:rsidR="003263A0" w:rsidRPr="00B75794" w:rsidRDefault="003263A0" w:rsidP="00EE3F20">
            <w:pPr>
              <w:rPr>
                <w:rFonts w:ascii="Arial" w:hAnsi="Arial" w:cs="Arial"/>
                <w:color w:val="000000"/>
              </w:rPr>
            </w:pPr>
            <w:r w:rsidRPr="00B75794">
              <w:rPr>
                <w:rFonts w:ascii="Arial" w:hAnsi="Arial" w:cs="Arial"/>
                <w:color w:val="000000"/>
              </w:rPr>
              <w:t xml:space="preserve">The submission </w:t>
            </w:r>
            <w:r w:rsidR="00EE3F20">
              <w:rPr>
                <w:rFonts w:ascii="Arial" w:hAnsi="Arial" w:cs="Arial"/>
                <w:color w:val="000000"/>
              </w:rPr>
              <w:t xml:space="preserve">sought </w:t>
            </w:r>
            <w:r w:rsidRPr="00B75794">
              <w:rPr>
                <w:rFonts w:ascii="Arial" w:hAnsi="Arial" w:cs="Arial"/>
                <w:color w:val="000000"/>
              </w:rPr>
              <w:t>Section 100</w:t>
            </w:r>
            <w:r w:rsidR="00EE3F20">
              <w:rPr>
                <w:rFonts w:ascii="Arial" w:hAnsi="Arial" w:cs="Arial"/>
                <w:color w:val="000000"/>
              </w:rPr>
              <w:t xml:space="preserve"> (</w:t>
            </w:r>
            <w:r w:rsidRPr="00B75794">
              <w:rPr>
                <w:rFonts w:ascii="Arial" w:hAnsi="Arial" w:cs="Arial"/>
                <w:color w:val="000000"/>
              </w:rPr>
              <w:t>Efficient Funding of Chemotherapy</w:t>
            </w:r>
            <w:r w:rsidR="00EE3F20">
              <w:rPr>
                <w:rFonts w:ascii="Arial" w:hAnsi="Arial" w:cs="Arial"/>
                <w:color w:val="000000"/>
              </w:rPr>
              <w:t>)</w:t>
            </w:r>
            <w:r w:rsidRPr="00B75794">
              <w:rPr>
                <w:rFonts w:ascii="Arial" w:hAnsi="Arial" w:cs="Arial"/>
                <w:color w:val="000000"/>
              </w:rPr>
              <w:t xml:space="preserve"> listing for brentuximab vedotin for the treatment of adult patients with relapsed or refractory CD30+ Hodgkin Lymphoma following autologous stem cell transplant</w:t>
            </w:r>
            <w:r w:rsidR="00EE3F20">
              <w:rPr>
                <w:rFonts w:ascii="Arial" w:hAnsi="Arial" w:cs="Arial"/>
                <w:color w:val="000000"/>
              </w:rPr>
              <w:t>.</w:t>
            </w:r>
            <w:r w:rsidRPr="00B75794">
              <w:rPr>
                <w:rFonts w:ascii="Arial" w:hAnsi="Arial" w:cs="Arial"/>
                <w:color w:val="000000"/>
              </w:rPr>
              <w:t xml:space="preserve"> The submission also requested that the PBAC consider whether the Rule of Rescue is applicable.</w:t>
            </w:r>
          </w:p>
        </w:tc>
        <w:tc>
          <w:tcPr>
            <w:tcW w:w="6950" w:type="dxa"/>
          </w:tcPr>
          <w:p w:rsidR="003263A0" w:rsidRPr="00B75794" w:rsidRDefault="003263A0" w:rsidP="003263A0">
            <w:pPr>
              <w:snapToGrid w:val="0"/>
              <w:rPr>
                <w:rFonts w:ascii="Arial" w:hAnsi="Arial" w:cs="Arial"/>
              </w:rPr>
            </w:pPr>
            <w:r w:rsidRPr="00B75794">
              <w:rPr>
                <w:rFonts w:ascii="Arial" w:hAnsi="Arial" w:cs="Arial"/>
              </w:rPr>
              <w:t xml:space="preserve">The PBAC </w:t>
            </w:r>
            <w:r w:rsidR="00165869">
              <w:rPr>
                <w:rFonts w:ascii="Arial" w:hAnsi="Arial" w:cs="Arial"/>
              </w:rPr>
              <w:t>rejected the submission to</w:t>
            </w:r>
            <w:r w:rsidRPr="00B75794">
              <w:rPr>
                <w:rFonts w:ascii="Arial" w:hAnsi="Arial" w:cs="Arial"/>
              </w:rPr>
              <w:t xml:space="preserve"> extend the listing of brentuximab vedotin to the treatment of relapsed or refractory Hodgkin Lymphoma following autologous stem cell transplant because the clinical place was not well defined and the submission’s estimate of cost effectiveness was not reliable. The PBAC also noted the low quality of the clinical data presented. Further, the PBAC was concerned that the range of restrictions</w:t>
            </w:r>
            <w:r w:rsidR="0047709F">
              <w:rPr>
                <w:rFonts w:ascii="Arial" w:hAnsi="Arial" w:cs="Arial"/>
              </w:rPr>
              <w:t xml:space="preserve"> proposed by the </w:t>
            </w:r>
            <w:r w:rsidR="00F076F3">
              <w:rPr>
                <w:rFonts w:ascii="Arial" w:hAnsi="Arial" w:cs="Arial"/>
              </w:rPr>
              <w:t xml:space="preserve">sponsor </w:t>
            </w:r>
            <w:r w:rsidR="00F076F3" w:rsidRPr="00B75794">
              <w:rPr>
                <w:rFonts w:ascii="Arial" w:hAnsi="Arial" w:cs="Arial"/>
              </w:rPr>
              <w:t>would</w:t>
            </w:r>
            <w:r w:rsidRPr="00B75794">
              <w:rPr>
                <w:rFonts w:ascii="Arial" w:hAnsi="Arial" w:cs="Arial"/>
              </w:rPr>
              <w:t xml:space="preserve"> exclude some patient groups who could derive significant benefit from this drug.  </w:t>
            </w:r>
          </w:p>
          <w:p w:rsidR="003263A0" w:rsidRPr="00B75794" w:rsidRDefault="003263A0" w:rsidP="003263A0">
            <w:pPr>
              <w:snapToGrid w:val="0"/>
              <w:rPr>
                <w:rFonts w:ascii="Arial" w:hAnsi="Arial" w:cs="Arial"/>
              </w:rPr>
            </w:pPr>
          </w:p>
          <w:p w:rsidR="003263A0" w:rsidRDefault="003263A0" w:rsidP="003263A0">
            <w:pPr>
              <w:snapToGrid w:val="0"/>
              <w:rPr>
                <w:rFonts w:ascii="Arial" w:hAnsi="Arial" w:cs="Arial"/>
              </w:rPr>
            </w:pPr>
            <w:r w:rsidRPr="00B75794">
              <w:rPr>
                <w:rFonts w:ascii="Arial" w:hAnsi="Arial" w:cs="Arial"/>
              </w:rPr>
              <w:t>The PBAC noted the high clinical need for effective treatments for Hodgkin Lymphoma.</w:t>
            </w:r>
          </w:p>
          <w:p w:rsidR="00EE3F20" w:rsidRDefault="00EE3F20" w:rsidP="003263A0">
            <w:pPr>
              <w:snapToGrid w:val="0"/>
              <w:rPr>
                <w:rFonts w:ascii="Arial" w:hAnsi="Arial" w:cs="Arial"/>
              </w:rPr>
            </w:pPr>
          </w:p>
          <w:p w:rsidR="00D34AB8" w:rsidRPr="00D34AB8" w:rsidRDefault="00D34AB8" w:rsidP="00D34AB8">
            <w:pPr>
              <w:snapToGrid w:val="0"/>
              <w:rPr>
                <w:rFonts w:ascii="Arial" w:hAnsi="Arial" w:cs="Arial"/>
              </w:rPr>
            </w:pPr>
            <w:r w:rsidRPr="00D34AB8">
              <w:rPr>
                <w:rFonts w:ascii="Arial" w:hAnsi="Arial" w:cs="Arial"/>
              </w:rPr>
              <w:t xml:space="preserve">The PBAC considered that brentuximab vedotin is an effective treatment, but that the magnitude of the gains in </w:t>
            </w:r>
            <w:r>
              <w:rPr>
                <w:rFonts w:ascii="Arial" w:hAnsi="Arial" w:cs="Arial"/>
              </w:rPr>
              <w:t>progression-free survival</w:t>
            </w:r>
            <w:r w:rsidRPr="00D34AB8">
              <w:rPr>
                <w:rFonts w:ascii="Arial" w:hAnsi="Arial" w:cs="Arial"/>
              </w:rPr>
              <w:t xml:space="preserve"> and overall survival were difficult to quantify given the poor quality of the data</w:t>
            </w:r>
            <w:r w:rsidR="000A3AA4">
              <w:rPr>
                <w:rFonts w:ascii="Arial" w:hAnsi="Arial" w:cs="Arial"/>
              </w:rPr>
              <w:t xml:space="preserve"> submitted</w:t>
            </w:r>
            <w:r w:rsidRPr="00D34AB8">
              <w:rPr>
                <w:rFonts w:ascii="Arial" w:hAnsi="Arial" w:cs="Arial"/>
              </w:rPr>
              <w:t xml:space="preserve">. The PBAC considered that brentuximab vedotin is not a cure, but rather provides a “bridge” to enable some patients to undergo a potentially curative allogeneic </w:t>
            </w:r>
            <w:r w:rsidR="0047709F">
              <w:rPr>
                <w:rFonts w:ascii="Arial" w:hAnsi="Arial" w:cs="Arial"/>
              </w:rPr>
              <w:t>stem cell transplant</w:t>
            </w:r>
            <w:r w:rsidRPr="00D34AB8">
              <w:rPr>
                <w:rFonts w:ascii="Arial" w:hAnsi="Arial" w:cs="Arial"/>
              </w:rPr>
              <w:t xml:space="preserve">. It also provides palliative benefit to responding patients who do not have an allogeneic </w:t>
            </w:r>
            <w:r w:rsidR="0047709F">
              <w:rPr>
                <w:rFonts w:ascii="Arial" w:hAnsi="Arial" w:cs="Arial"/>
              </w:rPr>
              <w:t>stem cell transplant</w:t>
            </w:r>
            <w:r w:rsidRPr="00D34AB8">
              <w:rPr>
                <w:rFonts w:ascii="Arial" w:hAnsi="Arial" w:cs="Arial"/>
              </w:rPr>
              <w:t xml:space="preserve"> option.</w:t>
            </w:r>
          </w:p>
          <w:p w:rsidR="00D34AB8" w:rsidRPr="00D34AB8" w:rsidRDefault="00D34AB8" w:rsidP="00D34AB8">
            <w:pPr>
              <w:snapToGrid w:val="0"/>
              <w:rPr>
                <w:rFonts w:ascii="Arial" w:hAnsi="Arial" w:cs="Arial"/>
              </w:rPr>
            </w:pPr>
          </w:p>
          <w:p w:rsidR="00D34AB8" w:rsidRPr="00B75794" w:rsidRDefault="00D34AB8" w:rsidP="000A3AA4">
            <w:pPr>
              <w:snapToGrid w:val="0"/>
              <w:rPr>
                <w:rFonts w:ascii="Arial" w:hAnsi="Arial" w:cs="Arial"/>
              </w:rPr>
            </w:pPr>
            <w:r w:rsidRPr="00D34AB8">
              <w:rPr>
                <w:rFonts w:ascii="Arial" w:hAnsi="Arial" w:cs="Arial"/>
              </w:rPr>
              <w:t xml:space="preserve">The PBAC considered that brentuximab vedotin is </w:t>
            </w:r>
            <w:r>
              <w:rPr>
                <w:rFonts w:ascii="Arial" w:hAnsi="Arial" w:cs="Arial"/>
              </w:rPr>
              <w:t>less toxic than salvage therapy</w:t>
            </w:r>
            <w:r w:rsidR="000A3AA4">
              <w:rPr>
                <w:rFonts w:ascii="Arial" w:hAnsi="Arial" w:cs="Arial"/>
              </w:rPr>
              <w:t>, however b</w:t>
            </w:r>
            <w:r w:rsidR="000A3AA4" w:rsidRPr="000A3AA4">
              <w:rPr>
                <w:rFonts w:ascii="Arial" w:hAnsi="Arial" w:cs="Arial"/>
              </w:rPr>
              <w:t xml:space="preserve">ased on the information presented in the submission, the PBAC was not able to reliably </w:t>
            </w:r>
            <w:r w:rsidR="000A3AA4">
              <w:rPr>
                <w:rFonts w:ascii="Arial" w:hAnsi="Arial" w:cs="Arial"/>
              </w:rPr>
              <w:t>quantify</w:t>
            </w:r>
            <w:r w:rsidR="000A3AA4" w:rsidRPr="000A3AA4">
              <w:rPr>
                <w:rFonts w:ascii="Arial" w:hAnsi="Arial" w:cs="Arial"/>
              </w:rPr>
              <w:t xml:space="preserve"> the comparative harms of brentuximab vedotin compared with salvage chemotherapy.</w:t>
            </w:r>
          </w:p>
        </w:tc>
      </w:tr>
      <w:tr w:rsidR="003263A0" w:rsidRPr="00C3488B" w:rsidTr="002E103D">
        <w:trPr>
          <w:cantSplit/>
          <w:trHeight w:val="896"/>
        </w:trPr>
        <w:tc>
          <w:tcPr>
            <w:tcW w:w="2694" w:type="dxa"/>
            <w:vMerge/>
            <w:tcMar>
              <w:top w:w="28" w:type="dxa"/>
              <w:bottom w:w="28" w:type="dxa"/>
            </w:tcMar>
          </w:tcPr>
          <w:p w:rsidR="003263A0" w:rsidRPr="00B75794" w:rsidRDefault="003263A0" w:rsidP="003263A0">
            <w:pPr>
              <w:pStyle w:val="Heading1"/>
              <w:keepNext w:val="0"/>
              <w:rPr>
                <w:rFonts w:cs="Arial"/>
              </w:rPr>
            </w:pPr>
          </w:p>
        </w:tc>
        <w:tc>
          <w:tcPr>
            <w:tcW w:w="2409" w:type="dxa"/>
            <w:vMerge/>
          </w:tcPr>
          <w:p w:rsidR="003263A0" w:rsidRPr="00B75794" w:rsidRDefault="003263A0" w:rsidP="003263A0">
            <w:pPr>
              <w:widowControl w:val="0"/>
              <w:rPr>
                <w:rFonts w:ascii="Arial" w:hAnsi="Arial" w:cs="Arial"/>
              </w:rPr>
            </w:pPr>
          </w:p>
        </w:tc>
        <w:tc>
          <w:tcPr>
            <w:tcW w:w="3262" w:type="dxa"/>
            <w:tcMar>
              <w:top w:w="28" w:type="dxa"/>
              <w:bottom w:w="28" w:type="dxa"/>
            </w:tcMar>
          </w:tcPr>
          <w:p w:rsidR="003263A0" w:rsidRPr="00B75794" w:rsidRDefault="003263A0" w:rsidP="00FF54A6">
            <w:pPr>
              <w:jc w:val="right"/>
              <w:rPr>
                <w:rFonts w:ascii="Arial" w:hAnsi="Arial" w:cs="Arial"/>
                <w:color w:val="000000"/>
              </w:rPr>
            </w:pPr>
            <w:r w:rsidRPr="00B75794">
              <w:rPr>
                <w:rFonts w:ascii="Arial" w:hAnsi="Arial" w:cs="Arial"/>
                <w:snapToGrid w:val="0"/>
                <w:lang w:eastAsia="en-US"/>
              </w:rPr>
              <w:t>Sponsor Comment:</w:t>
            </w:r>
          </w:p>
        </w:tc>
        <w:tc>
          <w:tcPr>
            <w:tcW w:w="6950" w:type="dxa"/>
          </w:tcPr>
          <w:p w:rsidR="00B61B40" w:rsidRPr="00B61B40" w:rsidRDefault="00B61B40" w:rsidP="00B61B40">
            <w:pPr>
              <w:snapToGrid w:val="0"/>
              <w:rPr>
                <w:rFonts w:ascii="Arial" w:hAnsi="Arial" w:cs="Arial"/>
                <w:iCs/>
              </w:rPr>
            </w:pPr>
            <w:r w:rsidRPr="00B61B40">
              <w:rPr>
                <w:rFonts w:ascii="Arial" w:hAnsi="Arial" w:cs="Arial"/>
                <w:iCs/>
              </w:rPr>
              <w:t xml:space="preserve">Takeda Australia will continue to work with the PBAC to enable the listing of Adcetris on the PBS for Australian patients with relapsed or refractory Hodgkin lymphoma after autologous stem cell transplant. </w:t>
            </w:r>
          </w:p>
          <w:p w:rsidR="003263A0" w:rsidRPr="00B75794" w:rsidRDefault="003263A0" w:rsidP="003263A0">
            <w:pPr>
              <w:snapToGrid w:val="0"/>
              <w:rPr>
                <w:rFonts w:ascii="Arial" w:hAnsi="Arial" w:cs="Arial"/>
              </w:rPr>
            </w:pPr>
          </w:p>
        </w:tc>
      </w:tr>
      <w:tr w:rsidR="003263A0" w:rsidRPr="00C3488B" w:rsidTr="002E103D">
        <w:trPr>
          <w:cantSplit/>
          <w:trHeight w:val="896"/>
        </w:trPr>
        <w:tc>
          <w:tcPr>
            <w:tcW w:w="2694" w:type="dxa"/>
            <w:vMerge w:val="restart"/>
            <w:tcMar>
              <w:top w:w="28" w:type="dxa"/>
              <w:bottom w:w="28" w:type="dxa"/>
            </w:tcMar>
          </w:tcPr>
          <w:p w:rsidR="003263A0" w:rsidRPr="00B75794" w:rsidRDefault="003263A0" w:rsidP="003263A0">
            <w:pPr>
              <w:pStyle w:val="Heading1"/>
              <w:keepNext w:val="0"/>
              <w:rPr>
                <w:rFonts w:cs="Arial"/>
              </w:rPr>
            </w:pPr>
            <w:r w:rsidRPr="00B75794">
              <w:rPr>
                <w:rFonts w:cs="Arial"/>
              </w:rPr>
              <w:lastRenderedPageBreak/>
              <w:t>DEXAMETHASONE</w:t>
            </w:r>
          </w:p>
          <w:p w:rsidR="003263A0" w:rsidRPr="00B75794" w:rsidRDefault="003263A0" w:rsidP="003263A0">
            <w:pPr>
              <w:pStyle w:val="Heading1"/>
              <w:keepNext w:val="0"/>
              <w:rPr>
                <w:rFonts w:cs="Arial"/>
                <w:b w:val="0"/>
              </w:rPr>
            </w:pPr>
            <w:r w:rsidRPr="00B75794">
              <w:rPr>
                <w:rFonts w:cs="Arial"/>
                <w:b w:val="0"/>
              </w:rPr>
              <w:t>700 µg implant</w:t>
            </w:r>
          </w:p>
          <w:p w:rsidR="003263A0" w:rsidRPr="00B75794" w:rsidRDefault="003263A0" w:rsidP="003263A0">
            <w:pPr>
              <w:rPr>
                <w:rFonts w:ascii="Arial" w:hAnsi="Arial" w:cs="Arial"/>
                <w:lang w:eastAsia="en-US"/>
              </w:rPr>
            </w:pPr>
          </w:p>
          <w:p w:rsidR="003263A0" w:rsidRPr="00B75794" w:rsidRDefault="003263A0" w:rsidP="003263A0">
            <w:pPr>
              <w:pStyle w:val="Heading1"/>
              <w:keepNext w:val="0"/>
              <w:rPr>
                <w:rFonts w:cs="Arial"/>
                <w:b w:val="0"/>
              </w:rPr>
            </w:pPr>
            <w:r w:rsidRPr="00B75794">
              <w:rPr>
                <w:rFonts w:cs="Arial"/>
                <w:b w:val="0"/>
              </w:rPr>
              <w:t>Ozurdex</w:t>
            </w:r>
            <w:r w:rsidRPr="003263A0">
              <w:rPr>
                <w:rFonts w:cs="Arial"/>
                <w:b w:val="0"/>
                <w:vertAlign w:val="superscript"/>
              </w:rPr>
              <w:t>®</w:t>
            </w:r>
          </w:p>
          <w:p w:rsidR="003263A0" w:rsidRPr="00B75794" w:rsidRDefault="003263A0" w:rsidP="003263A0">
            <w:pPr>
              <w:rPr>
                <w:rFonts w:ascii="Arial" w:hAnsi="Arial" w:cs="Arial"/>
                <w:lang w:eastAsia="en-US"/>
              </w:rPr>
            </w:pPr>
          </w:p>
          <w:p w:rsidR="003263A0" w:rsidRPr="00B75794" w:rsidRDefault="003263A0" w:rsidP="003263A0">
            <w:pPr>
              <w:pStyle w:val="Heading1"/>
              <w:keepNext w:val="0"/>
              <w:rPr>
                <w:rFonts w:cs="Arial"/>
                <w:b w:val="0"/>
              </w:rPr>
            </w:pPr>
            <w:r w:rsidRPr="00B75794">
              <w:rPr>
                <w:rFonts w:cs="Arial"/>
                <w:b w:val="0"/>
              </w:rPr>
              <w:t xml:space="preserve">Allergan Australia Pty Limited </w:t>
            </w:r>
          </w:p>
          <w:p w:rsidR="003263A0" w:rsidRPr="00B75794" w:rsidRDefault="003263A0" w:rsidP="003263A0">
            <w:pPr>
              <w:pStyle w:val="Heading1"/>
              <w:keepNext w:val="0"/>
              <w:rPr>
                <w:rFonts w:cs="Arial"/>
                <w:b w:val="0"/>
              </w:rPr>
            </w:pPr>
          </w:p>
          <w:p w:rsidR="003263A0" w:rsidRPr="00B75794" w:rsidRDefault="003263A0" w:rsidP="003263A0">
            <w:pPr>
              <w:pStyle w:val="Heading1"/>
              <w:keepNext w:val="0"/>
              <w:rPr>
                <w:rFonts w:cs="Arial"/>
              </w:rPr>
            </w:pPr>
            <w:r w:rsidRPr="00B75794">
              <w:rPr>
                <w:rFonts w:cs="Arial"/>
                <w:b w:val="0"/>
              </w:rPr>
              <w:t>(Major Submission)</w:t>
            </w:r>
          </w:p>
        </w:tc>
        <w:tc>
          <w:tcPr>
            <w:tcW w:w="2409" w:type="dxa"/>
            <w:vMerge w:val="restart"/>
          </w:tcPr>
          <w:p w:rsidR="003263A0" w:rsidRPr="00B75794" w:rsidRDefault="003263A0" w:rsidP="003263A0">
            <w:pPr>
              <w:widowControl w:val="0"/>
              <w:rPr>
                <w:rFonts w:ascii="Arial" w:hAnsi="Arial" w:cs="Arial"/>
              </w:rPr>
            </w:pPr>
            <w:r w:rsidRPr="00B75794">
              <w:rPr>
                <w:rFonts w:ascii="Arial" w:hAnsi="Arial" w:cs="Arial"/>
              </w:rPr>
              <w:t>Diabetic macular oedema</w:t>
            </w:r>
          </w:p>
        </w:tc>
        <w:tc>
          <w:tcPr>
            <w:tcW w:w="3262" w:type="dxa"/>
            <w:tcMar>
              <w:top w:w="28" w:type="dxa"/>
              <w:bottom w:w="28" w:type="dxa"/>
            </w:tcMar>
          </w:tcPr>
          <w:p w:rsidR="003263A0" w:rsidRPr="00B75794" w:rsidRDefault="003263A0" w:rsidP="00EE3F20">
            <w:pPr>
              <w:rPr>
                <w:rFonts w:ascii="Arial" w:hAnsi="Arial" w:cs="Arial"/>
              </w:rPr>
            </w:pPr>
            <w:r w:rsidRPr="00B75794">
              <w:rPr>
                <w:rFonts w:ascii="Arial" w:hAnsi="Arial" w:cs="Arial"/>
              </w:rPr>
              <w:t xml:space="preserve">The submission </w:t>
            </w:r>
            <w:r w:rsidR="00EE3F20">
              <w:rPr>
                <w:rFonts w:ascii="Arial" w:hAnsi="Arial" w:cs="Arial"/>
              </w:rPr>
              <w:t>sought</w:t>
            </w:r>
            <w:r w:rsidRPr="00B75794">
              <w:rPr>
                <w:rFonts w:ascii="Arial" w:hAnsi="Arial" w:cs="Arial"/>
              </w:rPr>
              <w:t xml:space="preserve"> an Authority Required (streamlined) listing for dexamethasone posterior segment drug delivery system (referred to in the submission as dexamethasone implant) for the treatment of vision impairment due to centre-involving diabetic macular oedema.</w:t>
            </w:r>
          </w:p>
        </w:tc>
        <w:tc>
          <w:tcPr>
            <w:tcW w:w="6950" w:type="dxa"/>
          </w:tcPr>
          <w:p w:rsidR="003263A0" w:rsidRPr="00B75794" w:rsidRDefault="003263A0" w:rsidP="003263A0">
            <w:pPr>
              <w:snapToGrid w:val="0"/>
              <w:rPr>
                <w:rFonts w:ascii="Arial" w:hAnsi="Arial" w:cs="Arial"/>
              </w:rPr>
            </w:pPr>
            <w:r w:rsidRPr="00B75794">
              <w:rPr>
                <w:rFonts w:ascii="Arial" w:hAnsi="Arial" w:cs="Arial"/>
              </w:rPr>
              <w:t>The PBAC rejected the submission to list dexamethasone implant for the treatment of diabetic macular oedema on the basis that the evidence presented did not conclusively establish clinical non-inferiority of dexamethasone implant compared with ranibizumab and bevacizumab.</w:t>
            </w:r>
          </w:p>
          <w:p w:rsidR="003263A0" w:rsidRPr="00B75794" w:rsidRDefault="003263A0" w:rsidP="003263A0">
            <w:pPr>
              <w:snapToGrid w:val="0"/>
              <w:rPr>
                <w:rFonts w:ascii="Arial" w:hAnsi="Arial" w:cs="Arial"/>
              </w:rPr>
            </w:pPr>
          </w:p>
          <w:p w:rsidR="003263A0" w:rsidRPr="00B75794" w:rsidRDefault="003263A0" w:rsidP="003263A0">
            <w:pPr>
              <w:snapToGrid w:val="0"/>
              <w:rPr>
                <w:rFonts w:ascii="Arial" w:hAnsi="Arial" w:cs="Arial"/>
              </w:rPr>
            </w:pPr>
            <w:r w:rsidRPr="00B75794">
              <w:rPr>
                <w:rFonts w:ascii="Arial" w:hAnsi="Arial" w:cs="Arial"/>
              </w:rPr>
              <w:t xml:space="preserve">The PBAC considered that the eligible patient population and clinical place of dexamethasone implant were not well-defined.  Although the intended PBS population was clarified as being patients with vision impairment due to centre-involving </w:t>
            </w:r>
            <w:r w:rsidR="00EE3F20" w:rsidRPr="00EE3F20">
              <w:rPr>
                <w:rFonts w:ascii="Arial" w:hAnsi="Arial" w:cs="Arial"/>
              </w:rPr>
              <w:t>diabetic macular oedema</w:t>
            </w:r>
            <w:r w:rsidRPr="00B75794">
              <w:rPr>
                <w:rFonts w:ascii="Arial" w:hAnsi="Arial" w:cs="Arial"/>
              </w:rPr>
              <w:t xml:space="preserve"> who also have pseudophakic lens or who are also scheduled for cataract surgery, the PBAC noted that the TGA delegate and other regulatory agencies also contemplated second-line use by patients who are considered insufficiently responsive to, or unsuitable for, non-corticosteroid therapy.</w:t>
            </w:r>
          </w:p>
        </w:tc>
      </w:tr>
      <w:tr w:rsidR="003263A0" w:rsidRPr="00C3488B" w:rsidTr="002E103D">
        <w:trPr>
          <w:cantSplit/>
          <w:trHeight w:val="896"/>
        </w:trPr>
        <w:tc>
          <w:tcPr>
            <w:tcW w:w="2694" w:type="dxa"/>
            <w:vMerge/>
            <w:tcMar>
              <w:top w:w="28" w:type="dxa"/>
              <w:bottom w:w="28" w:type="dxa"/>
            </w:tcMar>
          </w:tcPr>
          <w:p w:rsidR="003263A0" w:rsidRPr="00B75794" w:rsidRDefault="003263A0" w:rsidP="003263A0">
            <w:pPr>
              <w:pStyle w:val="Heading1"/>
              <w:keepNext w:val="0"/>
              <w:rPr>
                <w:rFonts w:cs="Arial"/>
              </w:rPr>
            </w:pPr>
          </w:p>
        </w:tc>
        <w:tc>
          <w:tcPr>
            <w:tcW w:w="2409" w:type="dxa"/>
            <w:vMerge/>
          </w:tcPr>
          <w:p w:rsidR="003263A0" w:rsidRPr="00B75794" w:rsidRDefault="003263A0" w:rsidP="003263A0">
            <w:pPr>
              <w:widowControl w:val="0"/>
              <w:rPr>
                <w:rFonts w:ascii="Arial" w:hAnsi="Arial" w:cs="Arial"/>
              </w:rPr>
            </w:pPr>
          </w:p>
        </w:tc>
        <w:tc>
          <w:tcPr>
            <w:tcW w:w="3262" w:type="dxa"/>
            <w:tcMar>
              <w:top w:w="28" w:type="dxa"/>
              <w:bottom w:w="28" w:type="dxa"/>
            </w:tcMar>
          </w:tcPr>
          <w:p w:rsidR="003263A0" w:rsidRPr="00B75794" w:rsidRDefault="003263A0" w:rsidP="00FF54A6">
            <w:pPr>
              <w:jc w:val="right"/>
              <w:rPr>
                <w:rFonts w:ascii="Arial" w:hAnsi="Arial" w:cs="Arial"/>
              </w:rPr>
            </w:pPr>
            <w:r w:rsidRPr="003263A0">
              <w:rPr>
                <w:rFonts w:ascii="Arial" w:hAnsi="Arial" w:cs="Arial"/>
              </w:rPr>
              <w:t>Sponsor Comment</w:t>
            </w:r>
            <w:r>
              <w:rPr>
                <w:rFonts w:ascii="Arial" w:hAnsi="Arial" w:cs="Arial"/>
              </w:rPr>
              <w:t>:</w:t>
            </w:r>
          </w:p>
        </w:tc>
        <w:tc>
          <w:tcPr>
            <w:tcW w:w="6950" w:type="dxa"/>
          </w:tcPr>
          <w:p w:rsidR="003263A0" w:rsidRPr="00347BA3" w:rsidRDefault="00347BA3" w:rsidP="003263A0">
            <w:pPr>
              <w:snapToGrid w:val="0"/>
              <w:rPr>
                <w:rFonts w:ascii="Arial" w:hAnsi="Arial" w:cs="Arial"/>
              </w:rPr>
            </w:pPr>
            <w:r>
              <w:rPr>
                <w:rFonts w:ascii="Arial" w:hAnsi="Arial" w:cs="Arial"/>
                <w:bCs/>
              </w:rPr>
              <w:t>Allergan is disappointed with the</w:t>
            </w:r>
            <w:r w:rsidRPr="00347BA3">
              <w:rPr>
                <w:rFonts w:ascii="Arial" w:hAnsi="Arial" w:cs="Arial"/>
                <w:bCs/>
              </w:rPr>
              <w:t xml:space="preserve"> outcome</w:t>
            </w:r>
            <w:r>
              <w:rPr>
                <w:rFonts w:ascii="Arial" w:hAnsi="Arial" w:cs="Arial"/>
                <w:bCs/>
              </w:rPr>
              <w:t>.</w:t>
            </w:r>
            <w:r w:rsidRPr="00347BA3">
              <w:rPr>
                <w:rFonts w:ascii="Arial" w:hAnsi="Arial" w:cs="Arial"/>
                <w:bCs/>
              </w:rPr>
              <w:t xml:space="preserve"> Allergan is committed to ensuring patients with diabetic macular oedema have access to dexamethasone implant. Allergan will engage with PBAC to understand and address the issues raised in the PBAC minutes</w:t>
            </w:r>
            <w:r w:rsidRPr="00347BA3">
              <w:rPr>
                <w:rFonts w:ascii="Arial" w:hAnsi="Arial" w:cs="Arial"/>
              </w:rPr>
              <w:t>.</w:t>
            </w:r>
          </w:p>
        </w:tc>
      </w:tr>
      <w:tr w:rsidR="00202F44" w:rsidRPr="00C3488B" w:rsidTr="002E103D">
        <w:trPr>
          <w:cantSplit/>
          <w:trHeight w:val="896"/>
        </w:trPr>
        <w:tc>
          <w:tcPr>
            <w:tcW w:w="2694" w:type="dxa"/>
            <w:vMerge w:val="restart"/>
            <w:tcMar>
              <w:top w:w="28" w:type="dxa"/>
              <w:bottom w:w="28" w:type="dxa"/>
            </w:tcMar>
          </w:tcPr>
          <w:p w:rsidR="00202F44" w:rsidRDefault="00202F44" w:rsidP="00202F44">
            <w:pPr>
              <w:pStyle w:val="Heading1"/>
              <w:rPr>
                <w:rFonts w:cs="Arial"/>
              </w:rPr>
            </w:pPr>
            <w:r w:rsidRPr="00202F44">
              <w:rPr>
                <w:rFonts w:cs="Arial"/>
              </w:rPr>
              <w:lastRenderedPageBreak/>
              <w:t xml:space="preserve">ETANERCEPT, </w:t>
            </w:r>
          </w:p>
          <w:p w:rsidR="00202F44" w:rsidRPr="00202F44" w:rsidRDefault="00202F44" w:rsidP="00202F44">
            <w:pPr>
              <w:pStyle w:val="Heading1"/>
              <w:rPr>
                <w:rFonts w:cs="Arial"/>
                <w:b w:val="0"/>
              </w:rPr>
            </w:pPr>
            <w:r w:rsidRPr="00202F44">
              <w:rPr>
                <w:rFonts w:cs="Arial"/>
                <w:b w:val="0"/>
              </w:rPr>
              <w:t xml:space="preserve">injection set containing 4 vials powder for injection 25 mg and 4 pre-filled syringes solvent 1 mL; </w:t>
            </w:r>
          </w:p>
          <w:p w:rsidR="00202F44" w:rsidRPr="00202F44" w:rsidRDefault="00202F44" w:rsidP="00202F44">
            <w:pPr>
              <w:pStyle w:val="Heading1"/>
              <w:rPr>
                <w:rFonts w:cs="Arial"/>
                <w:b w:val="0"/>
              </w:rPr>
            </w:pPr>
            <w:r w:rsidRPr="00202F44">
              <w:rPr>
                <w:rFonts w:cs="Arial"/>
                <w:b w:val="0"/>
              </w:rPr>
              <w:t>injections 50 mg in 1 mL single use pre-filled syringes; injection 50 mg in 1 mL single use auto-injector,</w:t>
            </w:r>
          </w:p>
          <w:p w:rsidR="00202F44" w:rsidRPr="00202F44" w:rsidRDefault="00202F44" w:rsidP="00202F44">
            <w:pPr>
              <w:pStyle w:val="Heading1"/>
              <w:rPr>
                <w:rFonts w:cs="Arial"/>
                <w:b w:val="0"/>
              </w:rPr>
            </w:pPr>
          </w:p>
          <w:p w:rsidR="00202F44" w:rsidRPr="00202F44" w:rsidRDefault="00202F44" w:rsidP="00202F44">
            <w:pPr>
              <w:pStyle w:val="Heading1"/>
              <w:rPr>
                <w:rFonts w:cs="Arial"/>
                <w:b w:val="0"/>
              </w:rPr>
            </w:pPr>
            <w:r w:rsidRPr="00202F44">
              <w:rPr>
                <w:rFonts w:cs="Arial"/>
                <w:b w:val="0"/>
              </w:rPr>
              <w:t>Enbrel</w:t>
            </w:r>
            <w:r w:rsidRPr="00202F44">
              <w:rPr>
                <w:rFonts w:cs="Arial"/>
                <w:b w:val="0"/>
                <w:vertAlign w:val="superscript"/>
              </w:rPr>
              <w:t>®</w:t>
            </w:r>
            <w:r w:rsidRPr="00202F44">
              <w:rPr>
                <w:rFonts w:cs="Arial"/>
                <w:b w:val="0"/>
              </w:rPr>
              <w:t xml:space="preserve">, </w:t>
            </w:r>
          </w:p>
          <w:p w:rsidR="00202F44" w:rsidRPr="00202F44" w:rsidRDefault="00202F44" w:rsidP="00202F44">
            <w:pPr>
              <w:pStyle w:val="Heading1"/>
              <w:rPr>
                <w:rFonts w:cs="Arial"/>
                <w:b w:val="0"/>
              </w:rPr>
            </w:pPr>
          </w:p>
          <w:p w:rsidR="00202F44" w:rsidRDefault="00202F44" w:rsidP="00202F44">
            <w:pPr>
              <w:pStyle w:val="Heading1"/>
              <w:rPr>
                <w:rFonts w:cs="Arial"/>
                <w:b w:val="0"/>
              </w:rPr>
            </w:pPr>
            <w:r w:rsidRPr="00202F44">
              <w:rPr>
                <w:rFonts w:cs="Arial"/>
                <w:b w:val="0"/>
              </w:rPr>
              <w:t>Pfizer Australia Pty Ltd</w:t>
            </w:r>
          </w:p>
          <w:p w:rsidR="00202F44" w:rsidRDefault="00202F44" w:rsidP="00202F44">
            <w:pPr>
              <w:rPr>
                <w:lang w:eastAsia="en-US"/>
              </w:rPr>
            </w:pPr>
          </w:p>
          <w:p w:rsidR="00202F44" w:rsidRPr="00202F44" w:rsidRDefault="00202F44" w:rsidP="00202F44">
            <w:pPr>
              <w:rPr>
                <w:rFonts w:ascii="Arial" w:hAnsi="Arial" w:cs="Arial"/>
                <w:snapToGrid w:val="0"/>
                <w:lang w:eastAsia="en-US"/>
              </w:rPr>
            </w:pPr>
            <w:r w:rsidRPr="00202F44">
              <w:rPr>
                <w:rFonts w:ascii="Arial" w:hAnsi="Arial" w:cs="Arial"/>
                <w:snapToGrid w:val="0"/>
                <w:lang w:eastAsia="en-US"/>
              </w:rPr>
              <w:t>(Major submission)</w:t>
            </w:r>
          </w:p>
          <w:p w:rsidR="002114D8" w:rsidRDefault="002114D8" w:rsidP="003263A0">
            <w:pPr>
              <w:pStyle w:val="Heading1"/>
              <w:keepNext w:val="0"/>
              <w:rPr>
                <w:rFonts w:cs="Arial"/>
              </w:rPr>
            </w:pPr>
          </w:p>
          <w:p w:rsidR="002114D8" w:rsidRPr="002114D8" w:rsidRDefault="002114D8" w:rsidP="002114D8">
            <w:pPr>
              <w:rPr>
                <w:lang w:eastAsia="en-US"/>
              </w:rPr>
            </w:pPr>
          </w:p>
          <w:p w:rsidR="002114D8" w:rsidRPr="002114D8" w:rsidRDefault="002114D8" w:rsidP="002114D8">
            <w:pPr>
              <w:rPr>
                <w:lang w:eastAsia="en-US"/>
              </w:rPr>
            </w:pPr>
          </w:p>
          <w:p w:rsidR="002114D8" w:rsidRPr="002114D8" w:rsidRDefault="002114D8" w:rsidP="002114D8">
            <w:pPr>
              <w:rPr>
                <w:lang w:eastAsia="en-US"/>
              </w:rPr>
            </w:pPr>
          </w:p>
          <w:p w:rsidR="002114D8" w:rsidRPr="002114D8" w:rsidRDefault="002114D8" w:rsidP="002114D8">
            <w:pPr>
              <w:rPr>
                <w:lang w:eastAsia="en-US"/>
              </w:rPr>
            </w:pPr>
          </w:p>
          <w:p w:rsidR="002114D8" w:rsidRPr="002114D8" w:rsidRDefault="002114D8" w:rsidP="002114D8">
            <w:pPr>
              <w:rPr>
                <w:lang w:eastAsia="en-US"/>
              </w:rPr>
            </w:pPr>
          </w:p>
          <w:p w:rsidR="002114D8" w:rsidRDefault="002114D8" w:rsidP="002114D8">
            <w:pPr>
              <w:rPr>
                <w:lang w:eastAsia="en-US"/>
              </w:rPr>
            </w:pPr>
          </w:p>
          <w:p w:rsidR="00202F44" w:rsidRPr="002E103D" w:rsidRDefault="00202F44" w:rsidP="002E103D">
            <w:pPr>
              <w:rPr>
                <w:lang w:eastAsia="en-US"/>
              </w:rPr>
            </w:pPr>
          </w:p>
        </w:tc>
        <w:tc>
          <w:tcPr>
            <w:tcW w:w="2409" w:type="dxa"/>
            <w:vMerge w:val="restart"/>
          </w:tcPr>
          <w:p w:rsidR="00202F44" w:rsidRPr="00B75794" w:rsidRDefault="00202F44" w:rsidP="003263A0">
            <w:pPr>
              <w:widowControl w:val="0"/>
              <w:rPr>
                <w:rFonts w:ascii="Arial" w:hAnsi="Arial" w:cs="Arial"/>
              </w:rPr>
            </w:pPr>
          </w:p>
        </w:tc>
        <w:tc>
          <w:tcPr>
            <w:tcW w:w="3262" w:type="dxa"/>
            <w:tcMar>
              <w:top w:w="28" w:type="dxa"/>
              <w:bottom w:w="28" w:type="dxa"/>
            </w:tcMar>
          </w:tcPr>
          <w:p w:rsidR="00202F44" w:rsidRPr="003263A0" w:rsidRDefault="00202F44" w:rsidP="00202F44">
            <w:pPr>
              <w:rPr>
                <w:rFonts w:ascii="Arial" w:hAnsi="Arial" w:cs="Arial"/>
              </w:rPr>
            </w:pPr>
            <w:r>
              <w:rPr>
                <w:rFonts w:ascii="Arial" w:hAnsi="Arial" w:cs="Arial"/>
              </w:rPr>
              <w:t>T</w:t>
            </w:r>
            <w:r w:rsidRPr="00202F44">
              <w:rPr>
                <w:rFonts w:ascii="Arial" w:hAnsi="Arial" w:cs="Arial"/>
              </w:rPr>
              <w:t>he submission sought to extend etanercept’s current listing by adding a new general schedule Authority Required indication for the treatment of non-radiographic axial spondyloarthritis</w:t>
            </w:r>
          </w:p>
        </w:tc>
        <w:tc>
          <w:tcPr>
            <w:tcW w:w="6950" w:type="dxa"/>
          </w:tcPr>
          <w:p w:rsidR="00E03AF5" w:rsidRPr="00E03AF5" w:rsidRDefault="00E03AF5" w:rsidP="00E03AF5">
            <w:pPr>
              <w:widowControl w:val="0"/>
              <w:jc w:val="both"/>
              <w:rPr>
                <w:rFonts w:ascii="Arial" w:hAnsi="Arial" w:cs="Arial"/>
                <w:snapToGrid w:val="0"/>
                <w:szCs w:val="22"/>
              </w:rPr>
            </w:pPr>
            <w:r w:rsidRPr="00E03AF5">
              <w:rPr>
                <w:rFonts w:ascii="Arial" w:hAnsi="Arial" w:cs="Arial"/>
                <w:snapToGrid w:val="0"/>
                <w:szCs w:val="22"/>
              </w:rPr>
              <w:t>The PBAC rejected the submission on the basis that although the trial data suggested short term efficacy, the available evidence did not enable PBAC to characterise the likely magnitude of benefit with respect to patient relevant outcomes additional to the ASAS 40 (such as disease progression) in patients with non-radiographic axial spondyloarthritis (nr-axSpA). Even if the natural history of this condition was well characterised, the short term data and economic analysis did not allow PBAC to define a population in whom treatment could be expected to be cost effective</w:t>
            </w:r>
            <w:r>
              <w:rPr>
                <w:rFonts w:ascii="Arial" w:hAnsi="Arial" w:cs="Arial"/>
                <w:snapToGrid w:val="0"/>
                <w:szCs w:val="22"/>
              </w:rPr>
              <w:t xml:space="preserve"> at the sponsor’s asking price</w:t>
            </w:r>
            <w:r w:rsidRPr="00E03AF5">
              <w:rPr>
                <w:rFonts w:ascii="Arial" w:hAnsi="Arial" w:cs="Arial"/>
                <w:snapToGrid w:val="0"/>
                <w:szCs w:val="22"/>
              </w:rPr>
              <w:t xml:space="preserve">. </w:t>
            </w:r>
          </w:p>
          <w:p w:rsidR="00E03AF5" w:rsidRPr="00E03AF5" w:rsidRDefault="00E03AF5" w:rsidP="00E03AF5">
            <w:pPr>
              <w:widowControl w:val="0"/>
              <w:jc w:val="both"/>
              <w:rPr>
                <w:rFonts w:ascii="Arial" w:hAnsi="Arial" w:cs="Arial"/>
                <w:snapToGrid w:val="0"/>
                <w:szCs w:val="22"/>
              </w:rPr>
            </w:pPr>
          </w:p>
          <w:p w:rsidR="00E03AF5" w:rsidRPr="00E03AF5" w:rsidRDefault="00E03AF5" w:rsidP="00E03AF5">
            <w:pPr>
              <w:widowControl w:val="0"/>
              <w:jc w:val="both"/>
              <w:rPr>
                <w:rFonts w:ascii="Arial" w:hAnsi="Arial" w:cs="Arial"/>
                <w:snapToGrid w:val="0"/>
                <w:szCs w:val="22"/>
              </w:rPr>
            </w:pPr>
            <w:r w:rsidRPr="00E03AF5">
              <w:rPr>
                <w:rFonts w:ascii="Arial" w:hAnsi="Arial" w:cs="Arial"/>
                <w:snapToGrid w:val="0"/>
                <w:szCs w:val="22"/>
              </w:rPr>
              <w:t>On the basis of Trial 1031 presented by the submission, for every 100 patients treated with etanercept in comparison to placebo:</w:t>
            </w:r>
          </w:p>
          <w:p w:rsidR="00E03AF5" w:rsidRPr="00E03AF5" w:rsidRDefault="00E03AF5" w:rsidP="00E03AF5">
            <w:pPr>
              <w:widowControl w:val="0"/>
              <w:numPr>
                <w:ilvl w:val="0"/>
                <w:numId w:val="41"/>
              </w:numPr>
              <w:ind w:left="284" w:hanging="284"/>
              <w:jc w:val="both"/>
              <w:rPr>
                <w:rFonts w:ascii="Arial" w:hAnsi="Arial" w:cs="Arial"/>
                <w:snapToGrid w:val="0"/>
                <w:szCs w:val="22"/>
              </w:rPr>
            </w:pPr>
            <w:r w:rsidRPr="00E03AF5">
              <w:rPr>
                <w:rFonts w:ascii="Arial" w:hAnsi="Arial" w:cs="Arial"/>
                <w:snapToGrid w:val="0"/>
                <w:szCs w:val="22"/>
              </w:rPr>
              <w:t xml:space="preserve">Approximately 17 additional patients would have experienced response, in terms of the ASAS 40, over 12 weeks. </w:t>
            </w:r>
          </w:p>
          <w:p w:rsidR="00E03AF5" w:rsidRPr="00E03AF5" w:rsidRDefault="00E03AF5" w:rsidP="00E03AF5">
            <w:pPr>
              <w:widowControl w:val="0"/>
              <w:numPr>
                <w:ilvl w:val="0"/>
                <w:numId w:val="41"/>
              </w:numPr>
              <w:ind w:left="284" w:hanging="284"/>
              <w:jc w:val="both"/>
              <w:rPr>
                <w:rFonts w:ascii="Arial" w:hAnsi="Arial" w:cs="Arial"/>
                <w:snapToGrid w:val="0"/>
                <w:szCs w:val="22"/>
              </w:rPr>
            </w:pPr>
            <w:r w:rsidRPr="00E03AF5">
              <w:rPr>
                <w:rFonts w:ascii="Arial" w:hAnsi="Arial" w:cs="Arial"/>
                <w:snapToGrid w:val="0"/>
                <w:szCs w:val="22"/>
              </w:rPr>
              <w:t>Between 0 and 9 additional patients would have experienced an eye disorder over 12 weeks.</w:t>
            </w:r>
          </w:p>
          <w:p w:rsidR="00E03AF5" w:rsidRPr="00E03AF5" w:rsidRDefault="00E03AF5" w:rsidP="00E03AF5">
            <w:pPr>
              <w:widowControl w:val="0"/>
              <w:numPr>
                <w:ilvl w:val="0"/>
                <w:numId w:val="41"/>
              </w:numPr>
              <w:ind w:left="284" w:hanging="284"/>
              <w:jc w:val="both"/>
              <w:rPr>
                <w:rFonts w:ascii="Arial" w:hAnsi="Arial" w:cs="Arial"/>
                <w:snapToGrid w:val="0"/>
                <w:szCs w:val="22"/>
              </w:rPr>
            </w:pPr>
            <w:r w:rsidRPr="00E03AF5">
              <w:rPr>
                <w:rFonts w:ascii="Arial" w:hAnsi="Arial" w:cs="Arial"/>
                <w:snapToGrid w:val="0"/>
                <w:szCs w:val="22"/>
              </w:rPr>
              <w:t>Between 1 and 12 additional patients would have experienced injection site erythema over 12 weeks.</w:t>
            </w:r>
          </w:p>
          <w:p w:rsidR="00202F44" w:rsidRPr="00B75794" w:rsidRDefault="00E03AF5" w:rsidP="00E03AF5">
            <w:pPr>
              <w:widowControl w:val="0"/>
              <w:numPr>
                <w:ilvl w:val="0"/>
                <w:numId w:val="41"/>
              </w:numPr>
              <w:ind w:left="284" w:hanging="284"/>
              <w:jc w:val="both"/>
              <w:rPr>
                <w:rFonts w:ascii="Arial" w:hAnsi="Arial" w:cs="Arial"/>
              </w:rPr>
            </w:pPr>
            <w:r w:rsidRPr="00E03AF5">
              <w:rPr>
                <w:rFonts w:ascii="Arial" w:hAnsi="Arial" w:cs="Arial"/>
                <w:snapToGrid w:val="0"/>
                <w:szCs w:val="22"/>
              </w:rPr>
              <w:t xml:space="preserve">Between 2 and 11 additional patients would have experienced an injection site reaction over 12 weeks. </w:t>
            </w:r>
          </w:p>
        </w:tc>
      </w:tr>
      <w:tr w:rsidR="00202F44" w:rsidRPr="00C3488B" w:rsidTr="002E103D">
        <w:trPr>
          <w:cantSplit/>
          <w:trHeight w:val="896"/>
        </w:trPr>
        <w:tc>
          <w:tcPr>
            <w:tcW w:w="2694" w:type="dxa"/>
            <w:vMerge/>
            <w:tcMar>
              <w:top w:w="28" w:type="dxa"/>
              <w:bottom w:w="28" w:type="dxa"/>
            </w:tcMar>
          </w:tcPr>
          <w:p w:rsidR="00202F44" w:rsidRPr="00B75794" w:rsidRDefault="00202F44" w:rsidP="003263A0">
            <w:pPr>
              <w:pStyle w:val="Heading1"/>
              <w:keepNext w:val="0"/>
              <w:rPr>
                <w:rFonts w:cs="Arial"/>
              </w:rPr>
            </w:pPr>
          </w:p>
        </w:tc>
        <w:tc>
          <w:tcPr>
            <w:tcW w:w="2409" w:type="dxa"/>
            <w:vMerge/>
          </w:tcPr>
          <w:p w:rsidR="00202F44" w:rsidRPr="00B75794" w:rsidRDefault="00202F44" w:rsidP="003263A0">
            <w:pPr>
              <w:widowControl w:val="0"/>
              <w:rPr>
                <w:rFonts w:ascii="Arial" w:hAnsi="Arial" w:cs="Arial"/>
              </w:rPr>
            </w:pPr>
          </w:p>
        </w:tc>
        <w:tc>
          <w:tcPr>
            <w:tcW w:w="3262" w:type="dxa"/>
            <w:tcMar>
              <w:top w:w="28" w:type="dxa"/>
              <w:bottom w:w="28" w:type="dxa"/>
            </w:tcMar>
          </w:tcPr>
          <w:p w:rsidR="00202F44" w:rsidRPr="003263A0" w:rsidRDefault="00202F44" w:rsidP="00FF54A6">
            <w:pPr>
              <w:jc w:val="right"/>
              <w:rPr>
                <w:rFonts w:ascii="Arial" w:hAnsi="Arial" w:cs="Arial"/>
              </w:rPr>
            </w:pPr>
            <w:r w:rsidRPr="00202F44">
              <w:rPr>
                <w:rFonts w:ascii="Arial" w:hAnsi="Arial" w:cs="Arial"/>
              </w:rPr>
              <w:t>Sponsor Comment</w:t>
            </w:r>
            <w:r>
              <w:rPr>
                <w:rFonts w:ascii="Arial" w:hAnsi="Arial" w:cs="Arial"/>
              </w:rPr>
              <w:t>:</w:t>
            </w:r>
          </w:p>
        </w:tc>
        <w:tc>
          <w:tcPr>
            <w:tcW w:w="6950" w:type="dxa"/>
          </w:tcPr>
          <w:p w:rsidR="00202F44" w:rsidRPr="00B75794" w:rsidRDefault="007561A6" w:rsidP="003263A0">
            <w:pPr>
              <w:snapToGrid w:val="0"/>
              <w:rPr>
                <w:rFonts w:ascii="Arial" w:hAnsi="Arial" w:cs="Arial"/>
              </w:rPr>
            </w:pPr>
            <w:r w:rsidRPr="007561A6">
              <w:rPr>
                <w:rFonts w:ascii="Arial" w:hAnsi="Arial" w:cs="Arial"/>
                <w:lang w:val="en-US"/>
              </w:rPr>
              <w:t>The sponsor is disappointed with the PBAC outcome and plans to work with the PBAC to make etanercept available for patients with nonradiographic axial spondyloarthritis</w:t>
            </w:r>
            <w:r>
              <w:rPr>
                <w:rFonts w:ascii="Arial" w:hAnsi="Arial" w:cs="Arial"/>
                <w:lang w:val="en-US"/>
              </w:rPr>
              <w:t>.</w:t>
            </w:r>
          </w:p>
        </w:tc>
      </w:tr>
      <w:tr w:rsidR="002E103D" w:rsidTr="00CE5AA5">
        <w:tblPrEx>
          <w:tblCellMar>
            <w:left w:w="0" w:type="dxa"/>
            <w:right w:w="0" w:type="dxa"/>
          </w:tblCellMar>
          <w:tblLook w:val="04A0" w:firstRow="1" w:lastRow="0" w:firstColumn="1" w:lastColumn="0" w:noHBand="0" w:noVBand="1"/>
        </w:tblPrEx>
        <w:trPr>
          <w:cantSplit/>
          <w:trHeight w:val="896"/>
        </w:trPr>
        <w:tc>
          <w:tcPr>
            <w:tcW w:w="2694" w:type="dxa"/>
            <w:tcMar>
              <w:top w:w="28" w:type="dxa"/>
              <w:left w:w="108" w:type="dxa"/>
              <w:bottom w:w="28" w:type="dxa"/>
              <w:right w:w="108" w:type="dxa"/>
            </w:tcMar>
          </w:tcPr>
          <w:p w:rsidR="002E103D" w:rsidRPr="002E103D" w:rsidRDefault="002E103D" w:rsidP="00FA65C8">
            <w:pPr>
              <w:pStyle w:val="Heading1"/>
            </w:pPr>
            <w:r w:rsidRPr="002E103D">
              <w:lastRenderedPageBreak/>
              <w:t>EVOLOCUMAB</w:t>
            </w:r>
          </w:p>
          <w:p w:rsidR="002E103D" w:rsidRPr="002E103D" w:rsidRDefault="002E103D" w:rsidP="00FA65C8">
            <w:pPr>
              <w:rPr>
                <w:lang w:eastAsia="en-US"/>
              </w:rPr>
            </w:pPr>
          </w:p>
          <w:p w:rsidR="002E103D" w:rsidRPr="002E103D" w:rsidRDefault="002E103D" w:rsidP="00FA65C8">
            <w:pPr>
              <w:pStyle w:val="Heading1"/>
              <w:rPr>
                <w:b w:val="0"/>
                <w:bCs/>
              </w:rPr>
            </w:pPr>
            <w:r w:rsidRPr="002E103D">
              <w:rPr>
                <w:b w:val="0"/>
              </w:rPr>
              <w:t>140 mg pre-filled injection pen</w:t>
            </w:r>
          </w:p>
          <w:p w:rsidR="002E103D" w:rsidRPr="002E103D" w:rsidRDefault="002E103D" w:rsidP="00FA65C8">
            <w:pPr>
              <w:pStyle w:val="Heading1"/>
              <w:rPr>
                <w:b w:val="0"/>
                <w:bCs/>
              </w:rPr>
            </w:pPr>
          </w:p>
          <w:p w:rsidR="002E103D" w:rsidRPr="002E103D" w:rsidRDefault="002E103D" w:rsidP="00FA65C8">
            <w:pPr>
              <w:pStyle w:val="Heading1"/>
              <w:rPr>
                <w:b w:val="0"/>
                <w:bCs/>
              </w:rPr>
            </w:pPr>
            <w:r w:rsidRPr="002E103D">
              <w:rPr>
                <w:b w:val="0"/>
              </w:rPr>
              <w:t>Amgen Pty Ltd</w:t>
            </w:r>
          </w:p>
          <w:p w:rsidR="002E103D" w:rsidRPr="002E103D" w:rsidRDefault="002E103D" w:rsidP="00FA65C8">
            <w:pPr>
              <w:rPr>
                <w:rFonts w:ascii="Arial" w:hAnsi="Arial" w:cs="Arial"/>
              </w:rPr>
            </w:pPr>
          </w:p>
          <w:p w:rsidR="002E103D" w:rsidRPr="002E103D" w:rsidRDefault="002E103D" w:rsidP="00FA65C8">
            <w:pPr>
              <w:pStyle w:val="Heading1"/>
              <w:rPr>
                <w:rFonts w:ascii="Calibri" w:hAnsi="Calibri"/>
                <w:b w:val="0"/>
                <w:bCs/>
              </w:rPr>
            </w:pPr>
            <w:r w:rsidRPr="002E103D">
              <w:rPr>
                <w:b w:val="0"/>
              </w:rPr>
              <w:t>(Major Submission)</w:t>
            </w:r>
          </w:p>
        </w:tc>
        <w:tc>
          <w:tcPr>
            <w:tcW w:w="2409" w:type="dxa"/>
            <w:tcMar>
              <w:top w:w="0" w:type="dxa"/>
              <w:left w:w="108" w:type="dxa"/>
              <w:bottom w:w="0" w:type="dxa"/>
              <w:right w:w="108" w:type="dxa"/>
            </w:tcMar>
            <w:hideMark/>
          </w:tcPr>
          <w:p w:rsidR="002E103D" w:rsidRPr="002E103D" w:rsidRDefault="002E103D" w:rsidP="00FA65C8">
            <w:pPr>
              <w:rPr>
                <w:rFonts w:ascii="Arial" w:hAnsi="Arial" w:cs="Arial"/>
                <w:color w:val="000000"/>
              </w:rPr>
            </w:pPr>
            <w:r w:rsidRPr="002E103D">
              <w:rPr>
                <w:rFonts w:ascii="Arial" w:hAnsi="Arial" w:cs="Arial"/>
              </w:rPr>
              <w:t>Hypercholesterolaemia</w:t>
            </w:r>
          </w:p>
        </w:tc>
        <w:tc>
          <w:tcPr>
            <w:tcW w:w="3262" w:type="dxa"/>
            <w:tcMar>
              <w:top w:w="28" w:type="dxa"/>
              <w:left w:w="108" w:type="dxa"/>
              <w:bottom w:w="28" w:type="dxa"/>
              <w:right w:w="108" w:type="dxa"/>
            </w:tcMar>
            <w:hideMark/>
          </w:tcPr>
          <w:p w:rsidR="002E103D" w:rsidRPr="002E103D" w:rsidRDefault="002E103D" w:rsidP="00FA65C8">
            <w:r w:rsidRPr="002E103D">
              <w:rPr>
                <w:rFonts w:ascii="Arial" w:hAnsi="Arial" w:cs="Arial"/>
              </w:rPr>
              <w:t>The submission sought to open a dialogue regarding the potential future listing of evolocumab on the PBS for the treatment of hypercholesterolaemia.</w:t>
            </w:r>
          </w:p>
        </w:tc>
        <w:tc>
          <w:tcPr>
            <w:tcW w:w="6950" w:type="dxa"/>
            <w:tcMar>
              <w:top w:w="0" w:type="dxa"/>
              <w:left w:w="108" w:type="dxa"/>
              <w:bottom w:w="0" w:type="dxa"/>
              <w:right w:w="108" w:type="dxa"/>
            </w:tcMar>
          </w:tcPr>
          <w:p w:rsidR="002E103D" w:rsidRPr="002E103D" w:rsidRDefault="002E103D" w:rsidP="00FA65C8">
            <w:pPr>
              <w:snapToGrid w:val="0"/>
              <w:rPr>
                <w:rFonts w:ascii="Arial" w:hAnsi="Arial" w:cs="Arial"/>
                <w:lang w:val="en-US"/>
              </w:rPr>
            </w:pPr>
            <w:r w:rsidRPr="002E103D">
              <w:rPr>
                <w:rFonts w:ascii="Arial" w:hAnsi="Arial" w:cs="Arial"/>
                <w:lang w:val="en-US"/>
              </w:rPr>
              <w:t>The PBAC rejected the request to list evolocumab for the treatment of hypercholesterolaemia on the basis of unestablished clinical place in therapy and the uncertainty surrounding its use in clinical practice.</w:t>
            </w:r>
          </w:p>
          <w:p w:rsidR="002E103D" w:rsidRPr="002E103D" w:rsidRDefault="002E103D" w:rsidP="00FA65C8">
            <w:pPr>
              <w:snapToGrid w:val="0"/>
              <w:rPr>
                <w:rFonts w:ascii="Arial" w:hAnsi="Arial" w:cs="Arial"/>
                <w:lang w:val="en-US"/>
              </w:rPr>
            </w:pPr>
          </w:p>
          <w:p w:rsidR="002E103D" w:rsidRPr="002E103D" w:rsidRDefault="002E103D" w:rsidP="00FA65C8">
            <w:pPr>
              <w:snapToGrid w:val="0"/>
            </w:pPr>
            <w:r w:rsidRPr="002E103D">
              <w:rPr>
                <w:rFonts w:ascii="Arial" w:hAnsi="Arial" w:cs="Arial"/>
                <w:lang w:val="en-US"/>
              </w:rPr>
              <w:t>The PBAC noted that the submission was made under the TGA-PBAC parallel process with the TGA Delegate’s consideration expected in late 2015. Accordingly, the PBAC noted that there were no TGA documents available during the time of PBAC consideration to determine the indication of the drug and its clinical place in therapy.</w:t>
            </w:r>
          </w:p>
        </w:tc>
      </w:tr>
      <w:tr w:rsidR="002E103D" w:rsidTr="00CE5AA5">
        <w:tblPrEx>
          <w:tblCellMar>
            <w:left w:w="0" w:type="dxa"/>
            <w:right w:w="0" w:type="dxa"/>
          </w:tblCellMar>
          <w:tblLook w:val="04A0" w:firstRow="1" w:lastRow="0" w:firstColumn="1" w:lastColumn="0" w:noHBand="0" w:noVBand="1"/>
        </w:tblPrEx>
        <w:trPr>
          <w:cantSplit/>
          <w:trHeight w:val="1369"/>
        </w:trPr>
        <w:tc>
          <w:tcPr>
            <w:tcW w:w="2694" w:type="dxa"/>
            <w:tcMar>
              <w:top w:w="28" w:type="dxa"/>
              <w:left w:w="108" w:type="dxa"/>
              <w:bottom w:w="28" w:type="dxa"/>
              <w:right w:w="108" w:type="dxa"/>
            </w:tcMar>
            <w:vAlign w:val="center"/>
            <w:hideMark/>
          </w:tcPr>
          <w:p w:rsidR="002E103D" w:rsidRPr="002E103D" w:rsidRDefault="002E103D" w:rsidP="00FA65C8"/>
        </w:tc>
        <w:tc>
          <w:tcPr>
            <w:tcW w:w="2409" w:type="dxa"/>
            <w:tcMar>
              <w:top w:w="0" w:type="dxa"/>
              <w:left w:w="108" w:type="dxa"/>
              <w:bottom w:w="0" w:type="dxa"/>
              <w:right w:w="108" w:type="dxa"/>
            </w:tcMar>
            <w:vAlign w:val="center"/>
            <w:hideMark/>
          </w:tcPr>
          <w:p w:rsidR="002E103D" w:rsidRPr="002E103D" w:rsidRDefault="002E103D" w:rsidP="00FA65C8"/>
        </w:tc>
        <w:tc>
          <w:tcPr>
            <w:tcW w:w="3262" w:type="dxa"/>
            <w:tcMar>
              <w:top w:w="28" w:type="dxa"/>
              <w:left w:w="108" w:type="dxa"/>
              <w:bottom w:w="28" w:type="dxa"/>
              <w:right w:w="108" w:type="dxa"/>
            </w:tcMar>
            <w:hideMark/>
          </w:tcPr>
          <w:p w:rsidR="002E103D" w:rsidRPr="002E103D" w:rsidRDefault="002E103D" w:rsidP="00FA65C8">
            <w:pPr>
              <w:jc w:val="right"/>
              <w:rPr>
                <w:rFonts w:ascii="Arial" w:hAnsi="Arial" w:cs="Arial"/>
              </w:rPr>
            </w:pPr>
            <w:r w:rsidRPr="002E103D">
              <w:rPr>
                <w:rFonts w:ascii="Arial" w:hAnsi="Arial" w:cs="Arial"/>
              </w:rPr>
              <w:t>Sponsor Comment:</w:t>
            </w:r>
          </w:p>
        </w:tc>
        <w:tc>
          <w:tcPr>
            <w:tcW w:w="6950" w:type="dxa"/>
            <w:tcMar>
              <w:top w:w="0" w:type="dxa"/>
              <w:left w:w="108" w:type="dxa"/>
              <w:bottom w:w="0" w:type="dxa"/>
              <w:right w:w="108" w:type="dxa"/>
            </w:tcMar>
            <w:hideMark/>
          </w:tcPr>
          <w:p w:rsidR="002E103D" w:rsidRPr="002E103D" w:rsidRDefault="002E103D" w:rsidP="00FA65C8">
            <w:pPr>
              <w:pStyle w:val="PBACHeading1"/>
              <w:rPr>
                <w:b w:val="0"/>
                <w:bCs/>
                <w:sz w:val="20"/>
                <w:szCs w:val="20"/>
                <w:lang w:val="en-US"/>
              </w:rPr>
            </w:pPr>
            <w:r w:rsidRPr="002E103D">
              <w:rPr>
                <w:b w:val="0"/>
                <w:sz w:val="20"/>
                <w:szCs w:val="20"/>
                <w:lang w:val="en-US"/>
              </w:rPr>
              <w:t>The intent of submitting this dossier through the TGA-PBAC parallel</w:t>
            </w:r>
          </w:p>
          <w:p w:rsidR="002E103D" w:rsidRPr="002E103D" w:rsidRDefault="002E103D" w:rsidP="00FA65C8">
            <w:pPr>
              <w:pStyle w:val="PBACHeading1"/>
              <w:rPr>
                <w:b w:val="0"/>
                <w:bCs/>
                <w:sz w:val="20"/>
                <w:szCs w:val="20"/>
                <w:lang w:val="en-US"/>
              </w:rPr>
            </w:pPr>
            <w:r w:rsidRPr="002E103D">
              <w:rPr>
                <w:b w:val="0"/>
                <w:sz w:val="20"/>
                <w:szCs w:val="20"/>
                <w:lang w:val="en-US"/>
              </w:rPr>
              <w:t>process was to open a dialogue in good faith with the PBAC to work</w:t>
            </w:r>
          </w:p>
          <w:p w:rsidR="002E103D" w:rsidRPr="002E103D" w:rsidRDefault="002E103D" w:rsidP="00FA65C8">
            <w:pPr>
              <w:pStyle w:val="PBACHeading1"/>
              <w:rPr>
                <w:b w:val="0"/>
                <w:bCs/>
                <w:sz w:val="20"/>
                <w:szCs w:val="20"/>
                <w:lang w:val="en-US"/>
              </w:rPr>
            </w:pPr>
            <w:r w:rsidRPr="002E103D">
              <w:rPr>
                <w:b w:val="0"/>
                <w:sz w:val="20"/>
                <w:szCs w:val="20"/>
                <w:lang w:val="en-US"/>
              </w:rPr>
              <w:t xml:space="preserve">collaboratively and ensure the best interests of patients were served. </w:t>
            </w:r>
          </w:p>
          <w:p w:rsidR="002E103D" w:rsidRPr="002E103D" w:rsidRDefault="002E103D" w:rsidP="00FA65C8">
            <w:pPr>
              <w:pStyle w:val="PBACHeading1"/>
              <w:rPr>
                <w:b w:val="0"/>
                <w:bCs/>
                <w:sz w:val="20"/>
                <w:szCs w:val="20"/>
                <w:lang w:val="en-US"/>
              </w:rPr>
            </w:pPr>
            <w:r w:rsidRPr="002E103D">
              <w:rPr>
                <w:b w:val="0"/>
                <w:sz w:val="20"/>
                <w:szCs w:val="20"/>
                <w:lang w:val="en-US"/>
              </w:rPr>
              <w:t>Amgen intends to continue to work constructively and collaboratively</w:t>
            </w:r>
          </w:p>
          <w:p w:rsidR="002E103D" w:rsidRPr="002E103D" w:rsidRDefault="002E103D" w:rsidP="00FA65C8">
            <w:pPr>
              <w:pStyle w:val="PBACHeading1"/>
              <w:rPr>
                <w:b w:val="0"/>
                <w:bCs/>
                <w:sz w:val="20"/>
                <w:szCs w:val="20"/>
                <w:lang w:val="en-US"/>
              </w:rPr>
            </w:pPr>
            <w:r w:rsidRPr="002E103D">
              <w:rPr>
                <w:b w:val="0"/>
                <w:sz w:val="20"/>
                <w:szCs w:val="20"/>
                <w:lang w:val="en-US"/>
              </w:rPr>
              <w:t>with the PBAC to secure PBS listing of evolocumab for Australian</w:t>
            </w:r>
          </w:p>
          <w:p w:rsidR="002E103D" w:rsidRPr="002E103D" w:rsidRDefault="002E103D" w:rsidP="00FA65C8">
            <w:pPr>
              <w:pStyle w:val="PBACHeading1"/>
              <w:rPr>
                <w:b w:val="0"/>
                <w:bCs/>
                <w:sz w:val="20"/>
                <w:szCs w:val="20"/>
                <w:lang w:val="en-US"/>
              </w:rPr>
            </w:pPr>
            <w:r w:rsidRPr="002E103D">
              <w:rPr>
                <w:b w:val="0"/>
                <w:sz w:val="20"/>
                <w:szCs w:val="20"/>
                <w:lang w:val="en-US"/>
              </w:rPr>
              <w:t>patients.</w:t>
            </w:r>
          </w:p>
        </w:tc>
      </w:tr>
      <w:tr w:rsidR="003263A0" w:rsidRPr="00732820" w:rsidTr="002E103D">
        <w:trPr>
          <w:cantSplit/>
          <w:trHeight w:val="896"/>
        </w:trPr>
        <w:tc>
          <w:tcPr>
            <w:tcW w:w="2694" w:type="dxa"/>
            <w:vMerge w:val="restart"/>
            <w:tcMar>
              <w:top w:w="28" w:type="dxa"/>
              <w:bottom w:w="28" w:type="dxa"/>
            </w:tcMar>
          </w:tcPr>
          <w:p w:rsidR="003263A0" w:rsidRDefault="003263A0" w:rsidP="003263A0">
            <w:pPr>
              <w:pStyle w:val="Heading1"/>
              <w:keepNext w:val="0"/>
              <w:rPr>
                <w:rFonts w:cs="Arial"/>
              </w:rPr>
            </w:pPr>
            <w:r w:rsidRPr="00B75794">
              <w:rPr>
                <w:rFonts w:cs="Arial"/>
              </w:rPr>
              <w:lastRenderedPageBreak/>
              <w:t xml:space="preserve">IDELALISIB, </w:t>
            </w:r>
          </w:p>
          <w:p w:rsidR="003263A0" w:rsidRPr="00B75794" w:rsidRDefault="003263A0" w:rsidP="003263A0">
            <w:pPr>
              <w:pStyle w:val="Heading1"/>
              <w:keepNext w:val="0"/>
              <w:rPr>
                <w:rFonts w:cs="Arial"/>
                <w:b w:val="0"/>
              </w:rPr>
            </w:pPr>
            <w:r w:rsidRPr="00B75794">
              <w:rPr>
                <w:rFonts w:cs="Arial"/>
                <w:b w:val="0"/>
              </w:rPr>
              <w:t xml:space="preserve">100 </w:t>
            </w:r>
            <w:r>
              <w:rPr>
                <w:rFonts w:cs="Arial"/>
                <w:b w:val="0"/>
              </w:rPr>
              <w:t>m</w:t>
            </w:r>
            <w:r w:rsidRPr="00B75794">
              <w:rPr>
                <w:rFonts w:cs="Arial"/>
                <w:b w:val="0"/>
              </w:rPr>
              <w:t>g</w:t>
            </w:r>
            <w:r>
              <w:rPr>
                <w:rFonts w:cs="Arial"/>
                <w:b w:val="0"/>
              </w:rPr>
              <w:t xml:space="preserve"> and 150 mg</w:t>
            </w:r>
            <w:r w:rsidRPr="00B75794">
              <w:rPr>
                <w:rFonts w:cs="Arial"/>
                <w:b w:val="0"/>
              </w:rPr>
              <w:t xml:space="preserve"> </w:t>
            </w:r>
            <w:r>
              <w:rPr>
                <w:rFonts w:cs="Arial"/>
                <w:b w:val="0"/>
              </w:rPr>
              <w:t>t</w:t>
            </w:r>
            <w:r w:rsidRPr="00B75794">
              <w:rPr>
                <w:rFonts w:cs="Arial"/>
                <w:b w:val="0"/>
              </w:rPr>
              <w:t xml:space="preserve">ablet </w:t>
            </w:r>
          </w:p>
          <w:p w:rsidR="003263A0" w:rsidRPr="003263A0" w:rsidRDefault="003263A0" w:rsidP="003263A0">
            <w:pPr>
              <w:pStyle w:val="Heading1"/>
              <w:keepNext w:val="0"/>
              <w:rPr>
                <w:rFonts w:cs="Arial"/>
                <w:b w:val="0"/>
              </w:rPr>
            </w:pPr>
          </w:p>
          <w:p w:rsidR="003263A0" w:rsidRPr="003263A0" w:rsidRDefault="003263A0" w:rsidP="003263A0">
            <w:pPr>
              <w:pStyle w:val="Heading1"/>
              <w:keepNext w:val="0"/>
              <w:rPr>
                <w:rFonts w:cs="Arial"/>
                <w:b w:val="0"/>
              </w:rPr>
            </w:pPr>
            <w:r w:rsidRPr="003263A0">
              <w:rPr>
                <w:rFonts w:cs="Arial"/>
                <w:b w:val="0"/>
              </w:rPr>
              <w:t>Zydelig</w:t>
            </w:r>
            <w:r w:rsidRPr="003263A0">
              <w:rPr>
                <w:rFonts w:cs="Arial"/>
                <w:b w:val="0"/>
                <w:vertAlign w:val="superscript"/>
              </w:rPr>
              <w:t>®</w:t>
            </w:r>
            <w:r w:rsidRPr="003263A0">
              <w:rPr>
                <w:rFonts w:cs="Arial"/>
                <w:b w:val="0"/>
              </w:rPr>
              <w:t xml:space="preserve">, </w:t>
            </w:r>
          </w:p>
          <w:p w:rsidR="003263A0" w:rsidRPr="003263A0" w:rsidRDefault="003263A0" w:rsidP="003263A0">
            <w:pPr>
              <w:pStyle w:val="Heading1"/>
              <w:keepNext w:val="0"/>
              <w:rPr>
                <w:rFonts w:cs="Arial"/>
                <w:b w:val="0"/>
              </w:rPr>
            </w:pPr>
          </w:p>
          <w:p w:rsidR="003263A0" w:rsidRPr="003263A0" w:rsidRDefault="003263A0" w:rsidP="003263A0">
            <w:pPr>
              <w:pStyle w:val="Heading1"/>
              <w:keepNext w:val="0"/>
              <w:rPr>
                <w:rFonts w:cs="Arial"/>
                <w:b w:val="0"/>
              </w:rPr>
            </w:pPr>
            <w:r w:rsidRPr="003263A0">
              <w:rPr>
                <w:rFonts w:cs="Arial"/>
                <w:b w:val="0"/>
              </w:rPr>
              <w:t>Gilead Sciences Pty Ltd.</w:t>
            </w:r>
          </w:p>
          <w:p w:rsidR="003263A0" w:rsidRPr="003263A0" w:rsidRDefault="003263A0" w:rsidP="003263A0">
            <w:pPr>
              <w:rPr>
                <w:rFonts w:ascii="Arial" w:hAnsi="Arial" w:cs="Arial"/>
                <w:lang w:eastAsia="en-US"/>
              </w:rPr>
            </w:pPr>
          </w:p>
          <w:p w:rsidR="002E103D" w:rsidRDefault="003263A0" w:rsidP="003263A0">
            <w:pPr>
              <w:pStyle w:val="Heading1"/>
              <w:keepNext w:val="0"/>
              <w:rPr>
                <w:rFonts w:cs="Arial"/>
              </w:rPr>
            </w:pPr>
            <w:r w:rsidRPr="003263A0">
              <w:rPr>
                <w:rFonts w:cs="Arial"/>
                <w:b w:val="0"/>
              </w:rPr>
              <w:t>(Major submission)</w:t>
            </w:r>
          </w:p>
          <w:p w:rsidR="002E103D" w:rsidRPr="002E103D" w:rsidRDefault="002E103D" w:rsidP="002E103D">
            <w:pPr>
              <w:rPr>
                <w:lang w:eastAsia="en-US"/>
              </w:rPr>
            </w:pPr>
          </w:p>
          <w:p w:rsidR="002E103D" w:rsidRPr="002E103D" w:rsidRDefault="002E103D" w:rsidP="002E103D">
            <w:pPr>
              <w:rPr>
                <w:lang w:eastAsia="en-US"/>
              </w:rPr>
            </w:pPr>
          </w:p>
          <w:p w:rsidR="002E103D" w:rsidRPr="002E103D" w:rsidRDefault="002E103D" w:rsidP="002E103D">
            <w:pPr>
              <w:rPr>
                <w:lang w:eastAsia="en-US"/>
              </w:rPr>
            </w:pPr>
          </w:p>
          <w:p w:rsidR="002E103D" w:rsidRPr="002E103D" w:rsidRDefault="002E103D" w:rsidP="002E103D">
            <w:pPr>
              <w:rPr>
                <w:lang w:eastAsia="en-US"/>
              </w:rPr>
            </w:pPr>
          </w:p>
          <w:p w:rsidR="002E103D" w:rsidRPr="002E103D" w:rsidRDefault="002E103D" w:rsidP="002E103D">
            <w:pPr>
              <w:rPr>
                <w:lang w:eastAsia="en-US"/>
              </w:rPr>
            </w:pPr>
          </w:p>
          <w:p w:rsidR="002E103D" w:rsidRPr="002E103D" w:rsidRDefault="002E103D" w:rsidP="002E103D">
            <w:pPr>
              <w:rPr>
                <w:lang w:eastAsia="en-US"/>
              </w:rPr>
            </w:pPr>
          </w:p>
          <w:p w:rsidR="002E103D" w:rsidRPr="002E103D" w:rsidRDefault="002E103D" w:rsidP="002E103D">
            <w:pPr>
              <w:rPr>
                <w:lang w:eastAsia="en-US"/>
              </w:rPr>
            </w:pPr>
          </w:p>
          <w:p w:rsidR="002E103D" w:rsidRPr="002E103D" w:rsidRDefault="002E103D" w:rsidP="002E103D">
            <w:pPr>
              <w:rPr>
                <w:lang w:eastAsia="en-US"/>
              </w:rPr>
            </w:pPr>
          </w:p>
          <w:p w:rsidR="002E103D" w:rsidRPr="002E103D" w:rsidRDefault="002E103D" w:rsidP="002E103D">
            <w:pPr>
              <w:rPr>
                <w:lang w:eastAsia="en-US"/>
              </w:rPr>
            </w:pPr>
          </w:p>
          <w:p w:rsidR="002E103D" w:rsidRPr="002E103D" w:rsidRDefault="002E103D" w:rsidP="002E103D">
            <w:pPr>
              <w:rPr>
                <w:lang w:eastAsia="en-US"/>
              </w:rPr>
            </w:pPr>
          </w:p>
          <w:p w:rsidR="002E103D" w:rsidRPr="002E103D" w:rsidRDefault="002E103D" w:rsidP="002E103D">
            <w:pPr>
              <w:rPr>
                <w:lang w:eastAsia="en-US"/>
              </w:rPr>
            </w:pPr>
          </w:p>
          <w:p w:rsidR="002E103D" w:rsidRPr="002E103D" w:rsidRDefault="002E103D" w:rsidP="002E103D">
            <w:pPr>
              <w:rPr>
                <w:lang w:eastAsia="en-US"/>
              </w:rPr>
            </w:pPr>
          </w:p>
          <w:p w:rsidR="002E103D" w:rsidRPr="002E103D" w:rsidRDefault="002E103D" w:rsidP="002E103D">
            <w:pPr>
              <w:rPr>
                <w:lang w:eastAsia="en-US"/>
              </w:rPr>
            </w:pPr>
          </w:p>
          <w:p w:rsidR="002E103D" w:rsidRDefault="002E103D" w:rsidP="002E103D">
            <w:pPr>
              <w:rPr>
                <w:lang w:eastAsia="en-US"/>
              </w:rPr>
            </w:pPr>
          </w:p>
          <w:p w:rsidR="002E103D" w:rsidRDefault="002E103D" w:rsidP="002E103D">
            <w:pPr>
              <w:rPr>
                <w:lang w:eastAsia="en-US"/>
              </w:rPr>
            </w:pPr>
          </w:p>
          <w:p w:rsidR="003263A0" w:rsidRPr="002E103D" w:rsidRDefault="003263A0" w:rsidP="002E103D">
            <w:pPr>
              <w:rPr>
                <w:lang w:eastAsia="en-US"/>
              </w:rPr>
            </w:pPr>
          </w:p>
        </w:tc>
        <w:tc>
          <w:tcPr>
            <w:tcW w:w="2409" w:type="dxa"/>
            <w:vMerge w:val="restart"/>
          </w:tcPr>
          <w:p w:rsidR="003263A0" w:rsidRPr="00B75794" w:rsidRDefault="003263A0" w:rsidP="003263A0">
            <w:pPr>
              <w:widowControl w:val="0"/>
              <w:rPr>
                <w:rFonts w:ascii="Arial" w:hAnsi="Arial" w:cs="Arial"/>
                <w:snapToGrid w:val="0"/>
                <w:lang w:eastAsia="en-US"/>
              </w:rPr>
            </w:pPr>
            <w:r w:rsidRPr="00B75794">
              <w:rPr>
                <w:rFonts w:ascii="Arial" w:hAnsi="Arial" w:cs="Arial"/>
                <w:snapToGrid w:val="0"/>
                <w:lang w:eastAsia="en-US"/>
              </w:rPr>
              <w:t>chronic lymphocytic leukaemia</w:t>
            </w:r>
          </w:p>
        </w:tc>
        <w:tc>
          <w:tcPr>
            <w:tcW w:w="3262" w:type="dxa"/>
            <w:tcMar>
              <w:top w:w="28" w:type="dxa"/>
              <w:bottom w:w="28" w:type="dxa"/>
            </w:tcMar>
          </w:tcPr>
          <w:p w:rsidR="003263A0" w:rsidRPr="00B75794" w:rsidRDefault="003263A0" w:rsidP="000A3AA4">
            <w:pPr>
              <w:rPr>
                <w:rFonts w:ascii="Arial" w:hAnsi="Arial" w:cs="Arial"/>
                <w:snapToGrid w:val="0"/>
                <w:lang w:eastAsia="en-US"/>
              </w:rPr>
            </w:pPr>
            <w:r w:rsidRPr="00B75794">
              <w:rPr>
                <w:rFonts w:ascii="Arial" w:hAnsi="Arial" w:cs="Arial"/>
                <w:snapToGrid w:val="0"/>
                <w:lang w:eastAsia="en-US"/>
              </w:rPr>
              <w:t xml:space="preserve">The submission </w:t>
            </w:r>
            <w:r w:rsidR="000A3AA4">
              <w:rPr>
                <w:rFonts w:ascii="Arial" w:hAnsi="Arial" w:cs="Arial"/>
                <w:snapToGrid w:val="0"/>
                <w:lang w:eastAsia="en-US"/>
              </w:rPr>
              <w:t>sought Section </w:t>
            </w:r>
            <w:r w:rsidRPr="00B75794">
              <w:rPr>
                <w:rFonts w:ascii="Arial" w:hAnsi="Arial" w:cs="Arial"/>
                <w:snapToGrid w:val="0"/>
                <w:lang w:eastAsia="en-US"/>
              </w:rPr>
              <w:t>85 Authority Required listing for idelalisib for the second-line treatment of chronic lymphocytic leukaemia.</w:t>
            </w:r>
          </w:p>
        </w:tc>
        <w:tc>
          <w:tcPr>
            <w:tcW w:w="6950" w:type="dxa"/>
          </w:tcPr>
          <w:p w:rsidR="003263A0" w:rsidRPr="00B75794" w:rsidRDefault="003263A0" w:rsidP="003263A0">
            <w:pPr>
              <w:snapToGrid w:val="0"/>
              <w:rPr>
                <w:rFonts w:ascii="Arial" w:hAnsi="Arial" w:cs="Arial"/>
                <w:snapToGrid w:val="0"/>
                <w:lang w:eastAsia="en-US"/>
              </w:rPr>
            </w:pPr>
            <w:r w:rsidRPr="00B75794">
              <w:rPr>
                <w:rFonts w:ascii="Arial" w:hAnsi="Arial" w:cs="Arial"/>
                <w:snapToGrid w:val="0"/>
                <w:lang w:eastAsia="en-US"/>
              </w:rPr>
              <w:t xml:space="preserve">The PBAC </w:t>
            </w:r>
            <w:r w:rsidR="00165869">
              <w:rPr>
                <w:rFonts w:ascii="Arial" w:hAnsi="Arial" w:cs="Arial"/>
                <w:snapToGrid w:val="0"/>
                <w:lang w:eastAsia="en-US"/>
              </w:rPr>
              <w:t xml:space="preserve">rejected the submission to </w:t>
            </w:r>
            <w:r w:rsidRPr="00B75794">
              <w:rPr>
                <w:rFonts w:ascii="Arial" w:hAnsi="Arial" w:cs="Arial"/>
                <w:snapToGrid w:val="0"/>
                <w:lang w:eastAsia="en-US"/>
              </w:rPr>
              <w:t>list</w:t>
            </w:r>
            <w:r w:rsidR="00165869">
              <w:rPr>
                <w:rFonts w:ascii="Arial" w:hAnsi="Arial" w:cs="Arial"/>
                <w:snapToGrid w:val="0"/>
                <w:lang w:eastAsia="en-US"/>
              </w:rPr>
              <w:t xml:space="preserve"> </w:t>
            </w:r>
            <w:r w:rsidRPr="00B75794">
              <w:rPr>
                <w:rFonts w:ascii="Arial" w:hAnsi="Arial" w:cs="Arial"/>
                <w:snapToGrid w:val="0"/>
                <w:lang w:eastAsia="en-US"/>
              </w:rPr>
              <w:t xml:space="preserve">idelalisib for the treatment of patients with chronic lymphocytic leukaemia because the patient population was not adequately defined, the nominated comparator was inappropriate, and the economic evaluation required amendment. Therefore the cost-effectiveness could not be estimated in the context of a drug with a high cost compared with current care. </w:t>
            </w:r>
          </w:p>
          <w:p w:rsidR="003263A0" w:rsidRPr="00B75794" w:rsidRDefault="003263A0" w:rsidP="003263A0">
            <w:pPr>
              <w:snapToGrid w:val="0"/>
              <w:rPr>
                <w:rFonts w:ascii="Arial" w:hAnsi="Arial" w:cs="Arial"/>
                <w:snapToGrid w:val="0"/>
                <w:lang w:eastAsia="en-US"/>
              </w:rPr>
            </w:pPr>
          </w:p>
          <w:p w:rsidR="003263A0" w:rsidRDefault="003263A0" w:rsidP="003263A0">
            <w:pPr>
              <w:snapToGrid w:val="0"/>
              <w:rPr>
                <w:rFonts w:ascii="Arial" w:hAnsi="Arial" w:cs="Arial"/>
                <w:snapToGrid w:val="0"/>
                <w:lang w:eastAsia="en-US"/>
              </w:rPr>
            </w:pPr>
            <w:r w:rsidRPr="00B75794">
              <w:rPr>
                <w:rFonts w:ascii="Arial" w:hAnsi="Arial" w:cs="Arial"/>
                <w:snapToGrid w:val="0"/>
                <w:lang w:eastAsia="en-US"/>
              </w:rPr>
              <w:t>The PBAC considered that idelalisib is an active drug that provides an additional avenue of therapy for patients with relapsed chronic lymphocytic leukaemia for whom chemo-immunotherapy is not suitable.</w:t>
            </w:r>
          </w:p>
          <w:p w:rsidR="00165869" w:rsidRDefault="00165869" w:rsidP="003263A0">
            <w:pPr>
              <w:snapToGrid w:val="0"/>
              <w:rPr>
                <w:rFonts w:ascii="Arial" w:hAnsi="Arial" w:cs="Arial"/>
                <w:snapToGrid w:val="0"/>
                <w:lang w:eastAsia="en-US"/>
              </w:rPr>
            </w:pPr>
          </w:p>
          <w:p w:rsidR="00165869" w:rsidRPr="00165869" w:rsidRDefault="00165869" w:rsidP="00165869">
            <w:pPr>
              <w:snapToGrid w:val="0"/>
              <w:rPr>
                <w:rFonts w:ascii="Arial" w:hAnsi="Arial" w:cs="Arial"/>
                <w:snapToGrid w:val="0"/>
                <w:lang w:eastAsia="en-US"/>
              </w:rPr>
            </w:pPr>
            <w:r w:rsidRPr="00165869">
              <w:rPr>
                <w:rFonts w:ascii="Arial" w:hAnsi="Arial" w:cs="Arial"/>
                <w:snapToGrid w:val="0"/>
                <w:lang w:eastAsia="en-US"/>
              </w:rPr>
              <w:t>On the basis of direct comparison evidence presented by the submission, over a median duration of follow-up of 6.1 months, for every 100 patients treated with idelalisib plus rituximab in comparison to placebo plus rituximab:</w:t>
            </w:r>
          </w:p>
          <w:p w:rsidR="00165869" w:rsidRPr="00165869" w:rsidRDefault="00165869" w:rsidP="00165869">
            <w:pPr>
              <w:numPr>
                <w:ilvl w:val="0"/>
                <w:numId w:val="41"/>
              </w:numPr>
              <w:ind w:left="364" w:hanging="284"/>
              <w:jc w:val="both"/>
              <w:rPr>
                <w:rFonts w:ascii="Arial" w:hAnsi="Arial" w:cs="Arial"/>
                <w:snapToGrid w:val="0"/>
                <w:lang w:eastAsia="en-US"/>
              </w:rPr>
            </w:pPr>
            <w:r w:rsidRPr="00165869">
              <w:rPr>
                <w:rFonts w:ascii="Arial" w:hAnsi="Arial" w:cs="Arial"/>
                <w:snapToGrid w:val="0"/>
                <w:lang w:eastAsia="en-US"/>
              </w:rPr>
              <w:t>Approximately 39 fewer patients would have progressed disease.</w:t>
            </w:r>
          </w:p>
          <w:p w:rsidR="00165869" w:rsidRPr="00165869" w:rsidRDefault="00165869" w:rsidP="00165869">
            <w:pPr>
              <w:numPr>
                <w:ilvl w:val="0"/>
                <w:numId w:val="41"/>
              </w:numPr>
              <w:ind w:left="364" w:hanging="284"/>
              <w:jc w:val="both"/>
              <w:rPr>
                <w:rFonts w:ascii="Arial" w:hAnsi="Arial" w:cs="Arial"/>
                <w:snapToGrid w:val="0"/>
                <w:lang w:eastAsia="en-US"/>
              </w:rPr>
            </w:pPr>
            <w:r w:rsidRPr="00165869">
              <w:rPr>
                <w:rFonts w:ascii="Arial" w:hAnsi="Arial" w:cs="Arial"/>
                <w:snapToGrid w:val="0"/>
                <w:lang w:eastAsia="en-US"/>
              </w:rPr>
              <w:t>Approximately 18 additional patients would have fever (pyrexia).</w:t>
            </w:r>
          </w:p>
          <w:p w:rsidR="00165869" w:rsidRPr="00165869" w:rsidRDefault="00165869" w:rsidP="00165869">
            <w:pPr>
              <w:snapToGrid w:val="0"/>
              <w:rPr>
                <w:rFonts w:ascii="Arial" w:hAnsi="Arial" w:cs="Arial"/>
                <w:snapToGrid w:val="0"/>
                <w:lang w:eastAsia="en-US"/>
              </w:rPr>
            </w:pPr>
          </w:p>
          <w:p w:rsidR="00165869" w:rsidRPr="00B75794" w:rsidRDefault="00165869" w:rsidP="00165869">
            <w:pPr>
              <w:snapToGrid w:val="0"/>
              <w:rPr>
                <w:rFonts w:ascii="Arial" w:hAnsi="Arial" w:cs="Arial"/>
                <w:snapToGrid w:val="0"/>
                <w:lang w:eastAsia="en-US"/>
              </w:rPr>
            </w:pPr>
            <w:r w:rsidRPr="00165869">
              <w:rPr>
                <w:rFonts w:ascii="Arial" w:hAnsi="Arial" w:cs="Arial"/>
                <w:snapToGrid w:val="0"/>
                <w:lang w:eastAsia="en-US"/>
              </w:rPr>
              <w:t>For every 100 patients treated with idelalisib plus rituximab, over a median duration of follow-up of 8.3 months, approximately 9 will experience significant diarrhoea and 4 or 5 will develop colitis, two side effects that were not seen in patients treated with rituximab alone</w:t>
            </w:r>
          </w:p>
        </w:tc>
      </w:tr>
      <w:tr w:rsidR="003263A0" w:rsidRPr="00732820" w:rsidTr="002E103D">
        <w:trPr>
          <w:cantSplit/>
          <w:trHeight w:val="544"/>
        </w:trPr>
        <w:tc>
          <w:tcPr>
            <w:tcW w:w="2694" w:type="dxa"/>
            <w:vMerge/>
            <w:tcMar>
              <w:top w:w="28" w:type="dxa"/>
              <w:bottom w:w="28" w:type="dxa"/>
            </w:tcMar>
          </w:tcPr>
          <w:p w:rsidR="003263A0" w:rsidRPr="00B75794" w:rsidRDefault="003263A0" w:rsidP="003263A0">
            <w:pPr>
              <w:pStyle w:val="Heading1"/>
              <w:keepNext w:val="0"/>
              <w:rPr>
                <w:rFonts w:cs="Arial"/>
              </w:rPr>
            </w:pPr>
          </w:p>
        </w:tc>
        <w:tc>
          <w:tcPr>
            <w:tcW w:w="2409" w:type="dxa"/>
            <w:vMerge/>
          </w:tcPr>
          <w:p w:rsidR="003263A0" w:rsidRPr="00B75794" w:rsidRDefault="003263A0" w:rsidP="003263A0">
            <w:pPr>
              <w:widowControl w:val="0"/>
              <w:jc w:val="center"/>
              <w:rPr>
                <w:rFonts w:ascii="Arial" w:hAnsi="Arial" w:cs="Arial"/>
                <w:snapToGrid w:val="0"/>
                <w:lang w:eastAsia="en-US"/>
              </w:rPr>
            </w:pPr>
          </w:p>
        </w:tc>
        <w:tc>
          <w:tcPr>
            <w:tcW w:w="3262" w:type="dxa"/>
            <w:tcMar>
              <w:top w:w="28" w:type="dxa"/>
              <w:bottom w:w="28" w:type="dxa"/>
            </w:tcMar>
          </w:tcPr>
          <w:p w:rsidR="003263A0" w:rsidRPr="00B75794" w:rsidRDefault="003263A0" w:rsidP="00FF54A6">
            <w:pPr>
              <w:jc w:val="right"/>
              <w:rPr>
                <w:rFonts w:ascii="Arial" w:hAnsi="Arial" w:cs="Arial"/>
                <w:snapToGrid w:val="0"/>
                <w:lang w:eastAsia="en-US"/>
              </w:rPr>
            </w:pPr>
            <w:r w:rsidRPr="00B75794">
              <w:rPr>
                <w:rFonts w:ascii="Arial" w:hAnsi="Arial" w:cs="Arial"/>
                <w:snapToGrid w:val="0"/>
                <w:lang w:eastAsia="en-US"/>
              </w:rPr>
              <w:t>Sponsor Comment:</w:t>
            </w:r>
          </w:p>
        </w:tc>
        <w:tc>
          <w:tcPr>
            <w:tcW w:w="6950" w:type="dxa"/>
          </w:tcPr>
          <w:p w:rsidR="003263A0" w:rsidRPr="00B75794" w:rsidRDefault="003F62D3" w:rsidP="003263A0">
            <w:pPr>
              <w:snapToGrid w:val="0"/>
              <w:rPr>
                <w:rFonts w:ascii="Arial" w:hAnsi="Arial" w:cs="Arial"/>
                <w:snapToGrid w:val="0"/>
                <w:lang w:eastAsia="en-US"/>
              </w:rPr>
            </w:pPr>
            <w:r w:rsidRPr="003F62D3">
              <w:rPr>
                <w:rFonts w:ascii="Arial" w:hAnsi="Arial" w:cs="Arial"/>
                <w:iCs/>
                <w:snapToGrid w:val="0"/>
                <w:lang w:eastAsia="en-US"/>
              </w:rPr>
              <w:t>The sponsor had no comment.</w:t>
            </w:r>
          </w:p>
        </w:tc>
      </w:tr>
      <w:tr w:rsidR="00681E82" w:rsidRPr="00732820" w:rsidTr="002E103D">
        <w:trPr>
          <w:cantSplit/>
          <w:trHeight w:val="896"/>
        </w:trPr>
        <w:tc>
          <w:tcPr>
            <w:tcW w:w="2694" w:type="dxa"/>
            <w:vMerge w:val="restart"/>
            <w:tcMar>
              <w:top w:w="28" w:type="dxa"/>
              <w:bottom w:w="28" w:type="dxa"/>
            </w:tcMar>
          </w:tcPr>
          <w:p w:rsidR="00681E82" w:rsidRPr="00B75794" w:rsidRDefault="003263A0" w:rsidP="003263A0">
            <w:pPr>
              <w:pStyle w:val="Heading1"/>
              <w:keepNext w:val="0"/>
              <w:rPr>
                <w:rFonts w:cs="Arial"/>
                <w:b w:val="0"/>
              </w:rPr>
            </w:pPr>
            <w:r w:rsidRPr="00B75794">
              <w:rPr>
                <w:rFonts w:cs="Arial"/>
              </w:rPr>
              <w:lastRenderedPageBreak/>
              <w:t>IDELALISIB</w:t>
            </w:r>
            <w:r w:rsidRPr="00B75794">
              <w:rPr>
                <w:rFonts w:cs="Arial"/>
                <w:b w:val="0"/>
              </w:rPr>
              <w:t xml:space="preserve"> </w:t>
            </w:r>
          </w:p>
          <w:p w:rsidR="00681E82" w:rsidRPr="00B75794" w:rsidRDefault="00681E82" w:rsidP="003263A0">
            <w:pPr>
              <w:pStyle w:val="Heading1"/>
              <w:keepNext w:val="0"/>
              <w:rPr>
                <w:rFonts w:cs="Arial"/>
                <w:b w:val="0"/>
              </w:rPr>
            </w:pPr>
            <w:r w:rsidRPr="00B75794">
              <w:rPr>
                <w:rFonts w:cs="Arial"/>
                <w:b w:val="0"/>
              </w:rPr>
              <w:t xml:space="preserve">100 </w:t>
            </w:r>
            <w:r w:rsidR="003263A0">
              <w:rPr>
                <w:rFonts w:cs="Arial"/>
                <w:b w:val="0"/>
              </w:rPr>
              <w:t>m</w:t>
            </w:r>
            <w:r w:rsidRPr="00B75794">
              <w:rPr>
                <w:rFonts w:cs="Arial"/>
                <w:b w:val="0"/>
              </w:rPr>
              <w:t>g</w:t>
            </w:r>
            <w:r w:rsidR="003263A0">
              <w:rPr>
                <w:rFonts w:cs="Arial"/>
                <w:b w:val="0"/>
              </w:rPr>
              <w:t xml:space="preserve"> and 150 mg</w:t>
            </w:r>
            <w:r w:rsidRPr="00B75794">
              <w:rPr>
                <w:rFonts w:cs="Arial"/>
                <w:b w:val="0"/>
              </w:rPr>
              <w:t xml:space="preserve"> </w:t>
            </w:r>
            <w:r w:rsidR="003263A0">
              <w:rPr>
                <w:rFonts w:cs="Arial"/>
                <w:b w:val="0"/>
              </w:rPr>
              <w:t>t</w:t>
            </w:r>
            <w:r w:rsidRPr="00B75794">
              <w:rPr>
                <w:rFonts w:cs="Arial"/>
                <w:b w:val="0"/>
              </w:rPr>
              <w:t xml:space="preserve">ablet </w:t>
            </w:r>
          </w:p>
          <w:p w:rsidR="00681E82" w:rsidRPr="00B75794" w:rsidRDefault="00681E82" w:rsidP="003263A0">
            <w:pPr>
              <w:pStyle w:val="Heading1"/>
              <w:keepNext w:val="0"/>
              <w:rPr>
                <w:rFonts w:cs="Arial"/>
                <w:b w:val="0"/>
              </w:rPr>
            </w:pPr>
          </w:p>
          <w:p w:rsidR="00681E82" w:rsidRPr="00B75794" w:rsidRDefault="00681E82" w:rsidP="003263A0">
            <w:pPr>
              <w:pStyle w:val="Heading1"/>
              <w:keepNext w:val="0"/>
              <w:rPr>
                <w:rFonts w:cs="Arial"/>
                <w:b w:val="0"/>
              </w:rPr>
            </w:pPr>
            <w:r w:rsidRPr="00B75794">
              <w:rPr>
                <w:rFonts w:cs="Arial"/>
                <w:b w:val="0"/>
              </w:rPr>
              <w:t>Zydelig</w:t>
            </w:r>
            <w:r w:rsidRPr="003263A0">
              <w:rPr>
                <w:rFonts w:cs="Arial"/>
                <w:b w:val="0"/>
                <w:vertAlign w:val="superscript"/>
              </w:rPr>
              <w:t>®</w:t>
            </w:r>
            <w:r w:rsidRPr="00B75794">
              <w:rPr>
                <w:rFonts w:cs="Arial"/>
                <w:b w:val="0"/>
              </w:rPr>
              <w:t xml:space="preserve">, </w:t>
            </w:r>
          </w:p>
          <w:p w:rsidR="00681E82" w:rsidRPr="00B75794" w:rsidRDefault="00681E82" w:rsidP="003263A0">
            <w:pPr>
              <w:pStyle w:val="Heading1"/>
              <w:keepNext w:val="0"/>
              <w:rPr>
                <w:rFonts w:cs="Arial"/>
                <w:b w:val="0"/>
              </w:rPr>
            </w:pPr>
          </w:p>
          <w:p w:rsidR="00681E82" w:rsidRPr="00B75794" w:rsidRDefault="00681E82" w:rsidP="003263A0">
            <w:pPr>
              <w:pStyle w:val="Heading1"/>
              <w:keepNext w:val="0"/>
              <w:rPr>
                <w:rFonts w:cs="Arial"/>
                <w:b w:val="0"/>
              </w:rPr>
            </w:pPr>
            <w:r w:rsidRPr="00B75794">
              <w:rPr>
                <w:rFonts w:cs="Arial"/>
                <w:b w:val="0"/>
              </w:rPr>
              <w:t>Gilead Sciences Pty Ltd.</w:t>
            </w:r>
          </w:p>
          <w:p w:rsidR="00681E82" w:rsidRPr="00B75794" w:rsidRDefault="00681E82" w:rsidP="003263A0">
            <w:pPr>
              <w:rPr>
                <w:rFonts w:ascii="Arial" w:hAnsi="Arial" w:cs="Arial"/>
                <w:lang w:eastAsia="en-US"/>
              </w:rPr>
            </w:pPr>
          </w:p>
          <w:p w:rsidR="00681E82" w:rsidRPr="00B75794" w:rsidRDefault="00681E82" w:rsidP="003263A0">
            <w:pPr>
              <w:rPr>
                <w:rFonts w:ascii="Arial" w:hAnsi="Arial" w:cs="Arial"/>
                <w:lang w:eastAsia="en-US"/>
              </w:rPr>
            </w:pPr>
            <w:r w:rsidRPr="00B75794">
              <w:rPr>
                <w:rFonts w:ascii="Arial" w:hAnsi="Arial" w:cs="Arial"/>
                <w:lang w:eastAsia="en-US"/>
              </w:rPr>
              <w:t>(Major submission)</w:t>
            </w:r>
          </w:p>
        </w:tc>
        <w:tc>
          <w:tcPr>
            <w:tcW w:w="2409" w:type="dxa"/>
            <w:vMerge w:val="restart"/>
          </w:tcPr>
          <w:p w:rsidR="00681E82" w:rsidRPr="00B75794" w:rsidRDefault="00681E82" w:rsidP="00165869">
            <w:pPr>
              <w:widowControl w:val="0"/>
              <w:rPr>
                <w:rFonts w:ascii="Arial" w:hAnsi="Arial" w:cs="Arial"/>
                <w:snapToGrid w:val="0"/>
                <w:lang w:eastAsia="en-US"/>
              </w:rPr>
            </w:pPr>
            <w:r w:rsidRPr="00B75794">
              <w:rPr>
                <w:rFonts w:ascii="Arial" w:hAnsi="Arial" w:cs="Arial"/>
                <w:snapToGrid w:val="0"/>
                <w:lang w:eastAsia="en-US"/>
              </w:rPr>
              <w:t>Non-Hodgkin's lymphoma</w:t>
            </w:r>
          </w:p>
        </w:tc>
        <w:tc>
          <w:tcPr>
            <w:tcW w:w="3262" w:type="dxa"/>
            <w:tcMar>
              <w:top w:w="28" w:type="dxa"/>
              <w:bottom w:w="28" w:type="dxa"/>
            </w:tcMar>
          </w:tcPr>
          <w:p w:rsidR="00681E82" w:rsidRPr="00B75794" w:rsidRDefault="00165869" w:rsidP="00165869">
            <w:pPr>
              <w:rPr>
                <w:rFonts w:ascii="Arial" w:hAnsi="Arial" w:cs="Arial"/>
                <w:snapToGrid w:val="0"/>
                <w:lang w:eastAsia="en-US"/>
              </w:rPr>
            </w:pPr>
            <w:r>
              <w:rPr>
                <w:rFonts w:ascii="Arial" w:hAnsi="Arial" w:cs="Arial"/>
                <w:snapToGrid w:val="0"/>
                <w:lang w:eastAsia="en-US"/>
              </w:rPr>
              <w:t xml:space="preserve">The submission sought </w:t>
            </w:r>
            <w:r w:rsidR="00681E82" w:rsidRPr="00B75794">
              <w:rPr>
                <w:rFonts w:ascii="Arial" w:hAnsi="Arial" w:cs="Arial"/>
                <w:snapToGrid w:val="0"/>
                <w:lang w:eastAsia="en-US"/>
              </w:rPr>
              <w:t>Section 85 Authority Required (STREAMLINED) listing for the treatment of indolent subtypes of B-cell non-Hodgkin's lymphoma in patients with progressive disease despite previous treatment.</w:t>
            </w:r>
          </w:p>
        </w:tc>
        <w:tc>
          <w:tcPr>
            <w:tcW w:w="6950" w:type="dxa"/>
          </w:tcPr>
          <w:p w:rsidR="00681E82" w:rsidRDefault="00681E82" w:rsidP="003263A0">
            <w:pPr>
              <w:snapToGrid w:val="0"/>
              <w:rPr>
                <w:rFonts w:ascii="Arial" w:hAnsi="Arial" w:cs="Arial"/>
                <w:snapToGrid w:val="0"/>
                <w:lang w:eastAsia="en-US"/>
              </w:rPr>
            </w:pPr>
            <w:r w:rsidRPr="00B75794">
              <w:rPr>
                <w:rFonts w:ascii="Arial" w:hAnsi="Arial" w:cs="Arial"/>
                <w:snapToGrid w:val="0"/>
                <w:lang w:eastAsia="en-US"/>
              </w:rPr>
              <w:t xml:space="preserve">The </w:t>
            </w:r>
            <w:r w:rsidR="00165869" w:rsidRPr="00165869">
              <w:rPr>
                <w:rFonts w:ascii="Arial" w:hAnsi="Arial" w:cs="Arial"/>
                <w:snapToGrid w:val="0"/>
                <w:lang w:eastAsia="en-US"/>
              </w:rPr>
              <w:t xml:space="preserve">PBAC rejected the submission to list </w:t>
            </w:r>
            <w:r w:rsidRPr="00B75794">
              <w:rPr>
                <w:rFonts w:ascii="Arial" w:hAnsi="Arial" w:cs="Arial"/>
                <w:snapToGrid w:val="0"/>
                <w:lang w:eastAsia="en-US"/>
              </w:rPr>
              <w:t>idelalisib for the treatment of patients with indolent Non-Hodgkin’s Lymphoma on the basis that the comparative effectiveness could not be established because the submission had not provided information about a comparable population treated with best supportive care. Therefore the cost-effect</w:t>
            </w:r>
            <w:r w:rsidR="0047709F">
              <w:rPr>
                <w:rFonts w:ascii="Arial" w:hAnsi="Arial" w:cs="Arial"/>
                <w:snapToGrid w:val="0"/>
                <w:lang w:eastAsia="en-US"/>
              </w:rPr>
              <w:t>iveness could not be estimated.</w:t>
            </w:r>
          </w:p>
          <w:p w:rsidR="0047709F" w:rsidRPr="00B75794" w:rsidRDefault="0047709F" w:rsidP="003263A0">
            <w:pPr>
              <w:snapToGrid w:val="0"/>
              <w:rPr>
                <w:rFonts w:ascii="Arial" w:hAnsi="Arial" w:cs="Arial"/>
                <w:snapToGrid w:val="0"/>
                <w:lang w:eastAsia="en-US"/>
              </w:rPr>
            </w:pPr>
          </w:p>
          <w:p w:rsidR="00681E82" w:rsidRDefault="00681E82" w:rsidP="003263A0">
            <w:pPr>
              <w:snapToGrid w:val="0"/>
              <w:rPr>
                <w:rFonts w:ascii="Arial" w:hAnsi="Arial" w:cs="Arial"/>
                <w:snapToGrid w:val="0"/>
                <w:lang w:eastAsia="en-US"/>
              </w:rPr>
            </w:pPr>
            <w:r w:rsidRPr="00B75794">
              <w:rPr>
                <w:rFonts w:ascii="Arial" w:hAnsi="Arial" w:cs="Arial"/>
                <w:snapToGrid w:val="0"/>
                <w:lang w:eastAsia="en-US"/>
              </w:rPr>
              <w:t>The PBAC agreed that there is a high unmet clinical need for an effective treatment for patients with indolent Non-Hodgkin’s Lymphoma refractory to both rituximab and an alkylating agent. However, the PBAC considered that the application was deficient, because the data were of poor quality and did not provide a reliable basis for decision-making.</w:t>
            </w:r>
          </w:p>
          <w:p w:rsidR="00165869" w:rsidRDefault="00165869" w:rsidP="003263A0">
            <w:pPr>
              <w:snapToGrid w:val="0"/>
              <w:rPr>
                <w:rFonts w:ascii="Arial" w:hAnsi="Arial" w:cs="Arial"/>
                <w:snapToGrid w:val="0"/>
                <w:lang w:eastAsia="en-US"/>
              </w:rPr>
            </w:pPr>
          </w:p>
          <w:p w:rsidR="00165869" w:rsidRPr="00B75794" w:rsidRDefault="00165869" w:rsidP="00165869">
            <w:pPr>
              <w:snapToGrid w:val="0"/>
              <w:rPr>
                <w:rFonts w:ascii="Arial" w:hAnsi="Arial" w:cs="Arial"/>
                <w:snapToGrid w:val="0"/>
                <w:lang w:eastAsia="en-US"/>
              </w:rPr>
            </w:pPr>
            <w:r w:rsidRPr="00165869">
              <w:rPr>
                <w:rFonts w:ascii="Arial" w:hAnsi="Arial" w:cs="Arial"/>
                <w:snapToGrid w:val="0"/>
                <w:lang w:eastAsia="en-US"/>
              </w:rPr>
              <w:t>In the absence of suitable data to inform the effectiveness of best supportive care</w:t>
            </w:r>
            <w:r>
              <w:rPr>
                <w:rFonts w:ascii="Arial" w:hAnsi="Arial" w:cs="Arial"/>
                <w:snapToGrid w:val="0"/>
                <w:lang w:eastAsia="en-US"/>
              </w:rPr>
              <w:t>, t</w:t>
            </w:r>
            <w:r w:rsidRPr="00165869">
              <w:rPr>
                <w:rFonts w:ascii="Arial" w:hAnsi="Arial" w:cs="Arial"/>
                <w:snapToGrid w:val="0"/>
                <w:lang w:eastAsia="en-US"/>
              </w:rPr>
              <w:t>he comparative efficacy and safety of idelalsib could not be estimated.</w:t>
            </w:r>
          </w:p>
        </w:tc>
      </w:tr>
      <w:tr w:rsidR="00681E82" w:rsidRPr="00395B97" w:rsidTr="002E103D">
        <w:trPr>
          <w:cantSplit/>
          <w:trHeight w:val="465"/>
        </w:trPr>
        <w:tc>
          <w:tcPr>
            <w:tcW w:w="2694" w:type="dxa"/>
            <w:vMerge/>
            <w:tcMar>
              <w:top w:w="28" w:type="dxa"/>
              <w:bottom w:w="28" w:type="dxa"/>
            </w:tcMar>
          </w:tcPr>
          <w:p w:rsidR="00681E82" w:rsidRPr="00B75794" w:rsidRDefault="00681E82" w:rsidP="00335779">
            <w:pPr>
              <w:rPr>
                <w:rFonts w:ascii="Arial" w:hAnsi="Arial" w:cs="Arial"/>
              </w:rPr>
            </w:pPr>
          </w:p>
        </w:tc>
        <w:tc>
          <w:tcPr>
            <w:tcW w:w="2409" w:type="dxa"/>
            <w:vMerge/>
          </w:tcPr>
          <w:p w:rsidR="00681E82" w:rsidRPr="00B75794" w:rsidRDefault="00681E82" w:rsidP="00335779">
            <w:pPr>
              <w:widowControl w:val="0"/>
              <w:rPr>
                <w:rFonts w:ascii="Arial" w:hAnsi="Arial" w:cs="Arial"/>
                <w:snapToGrid w:val="0"/>
                <w:lang w:eastAsia="en-US"/>
              </w:rPr>
            </w:pPr>
          </w:p>
        </w:tc>
        <w:tc>
          <w:tcPr>
            <w:tcW w:w="3262" w:type="dxa"/>
            <w:tcMar>
              <w:top w:w="28" w:type="dxa"/>
              <w:bottom w:w="28" w:type="dxa"/>
            </w:tcMar>
          </w:tcPr>
          <w:p w:rsidR="00681E82" w:rsidRPr="00B75794" w:rsidRDefault="00681E82" w:rsidP="00845DB3">
            <w:pPr>
              <w:pStyle w:val="ListParagraph"/>
              <w:ind w:left="0"/>
              <w:jc w:val="right"/>
              <w:rPr>
                <w:rFonts w:ascii="Arial" w:hAnsi="Arial" w:cs="Arial"/>
                <w:snapToGrid w:val="0"/>
                <w:sz w:val="20"/>
                <w:szCs w:val="20"/>
                <w:lang w:eastAsia="en-US"/>
              </w:rPr>
            </w:pPr>
            <w:r w:rsidRPr="00B75794">
              <w:rPr>
                <w:rFonts w:ascii="Arial" w:hAnsi="Arial" w:cs="Arial"/>
                <w:snapToGrid w:val="0"/>
                <w:sz w:val="20"/>
                <w:szCs w:val="20"/>
                <w:lang w:eastAsia="en-US"/>
              </w:rPr>
              <w:t>Sponsor Comment:</w:t>
            </w:r>
          </w:p>
        </w:tc>
        <w:tc>
          <w:tcPr>
            <w:tcW w:w="6950" w:type="dxa"/>
          </w:tcPr>
          <w:p w:rsidR="00681E82" w:rsidRPr="00B740EA" w:rsidRDefault="00B740EA" w:rsidP="000E1E84">
            <w:pPr>
              <w:pStyle w:val="ListParagraph"/>
              <w:ind w:left="0"/>
              <w:jc w:val="both"/>
              <w:rPr>
                <w:rFonts w:ascii="Arial" w:hAnsi="Arial" w:cs="Arial"/>
                <w:iCs/>
                <w:sz w:val="20"/>
                <w:szCs w:val="20"/>
              </w:rPr>
            </w:pPr>
            <w:r w:rsidRPr="00B740EA">
              <w:rPr>
                <w:rFonts w:ascii="Arial" w:hAnsi="Arial" w:cs="Arial"/>
                <w:iCs/>
                <w:sz w:val="20"/>
                <w:szCs w:val="20"/>
                <w:lang w:val="en-US"/>
              </w:rPr>
              <w:t xml:space="preserve">The application relied on a single-arm study and while Gilead acknowledges a single arm trial is not an </w:t>
            </w:r>
            <w:r>
              <w:rPr>
                <w:rFonts w:ascii="Arial" w:hAnsi="Arial" w:cs="Arial"/>
                <w:iCs/>
                <w:sz w:val="20"/>
                <w:szCs w:val="20"/>
                <w:lang w:val="en-US"/>
              </w:rPr>
              <w:t xml:space="preserve">ideal basis for decision making, Gilead considers that </w:t>
            </w:r>
            <w:r w:rsidRPr="00B740EA">
              <w:rPr>
                <w:rFonts w:ascii="Arial" w:hAnsi="Arial" w:cs="Arial"/>
                <w:iCs/>
                <w:sz w:val="20"/>
                <w:szCs w:val="20"/>
                <w:lang w:val="en-US"/>
              </w:rPr>
              <w:t>in this highly heterogenous population who have exhausted treatment options, the study design was appropriate and well conducted despite the obvious limitations.</w:t>
            </w:r>
          </w:p>
        </w:tc>
      </w:tr>
      <w:tr w:rsidR="003263A0" w:rsidRPr="00C3488B" w:rsidTr="002E103D">
        <w:trPr>
          <w:cantSplit/>
          <w:trHeight w:val="465"/>
        </w:trPr>
        <w:tc>
          <w:tcPr>
            <w:tcW w:w="2694" w:type="dxa"/>
            <w:vMerge w:val="restart"/>
            <w:tcMar>
              <w:top w:w="28" w:type="dxa"/>
              <w:bottom w:w="28" w:type="dxa"/>
            </w:tcMar>
          </w:tcPr>
          <w:p w:rsidR="003263A0" w:rsidRPr="00B75794" w:rsidRDefault="003263A0" w:rsidP="008012A6">
            <w:pPr>
              <w:rPr>
                <w:rFonts w:ascii="Arial" w:hAnsi="Arial" w:cs="Arial"/>
                <w:b/>
              </w:rPr>
            </w:pPr>
            <w:r w:rsidRPr="00B75794">
              <w:rPr>
                <w:rFonts w:ascii="Arial" w:hAnsi="Arial" w:cs="Arial"/>
                <w:b/>
              </w:rPr>
              <w:t xml:space="preserve">IMATINIB </w:t>
            </w:r>
          </w:p>
          <w:p w:rsidR="003263A0" w:rsidRPr="00B75794" w:rsidRDefault="003263A0" w:rsidP="008012A6">
            <w:pPr>
              <w:rPr>
                <w:rFonts w:ascii="Arial" w:hAnsi="Arial" w:cs="Arial"/>
              </w:rPr>
            </w:pPr>
            <w:r w:rsidRPr="00B75794">
              <w:rPr>
                <w:rFonts w:ascii="Arial" w:hAnsi="Arial" w:cs="Arial"/>
              </w:rPr>
              <w:t>100 mg and 400 mg tablets (as mesylate)</w:t>
            </w:r>
          </w:p>
          <w:p w:rsidR="003263A0" w:rsidRPr="00B75794" w:rsidRDefault="003263A0" w:rsidP="008012A6">
            <w:pPr>
              <w:rPr>
                <w:rFonts w:ascii="Arial" w:hAnsi="Arial" w:cs="Arial"/>
              </w:rPr>
            </w:pPr>
          </w:p>
          <w:p w:rsidR="003263A0" w:rsidRPr="00B75794" w:rsidRDefault="003263A0" w:rsidP="008012A6">
            <w:pPr>
              <w:rPr>
                <w:rFonts w:ascii="Arial" w:hAnsi="Arial" w:cs="Arial"/>
              </w:rPr>
            </w:pPr>
            <w:r w:rsidRPr="00B75794">
              <w:rPr>
                <w:rFonts w:ascii="Arial" w:hAnsi="Arial" w:cs="Arial"/>
              </w:rPr>
              <w:t xml:space="preserve">Glivec®, Novartis </w:t>
            </w:r>
          </w:p>
          <w:p w:rsidR="003263A0" w:rsidRPr="00B75794" w:rsidRDefault="003263A0" w:rsidP="008012A6">
            <w:pPr>
              <w:rPr>
                <w:rFonts w:ascii="Arial" w:hAnsi="Arial" w:cs="Arial"/>
              </w:rPr>
            </w:pPr>
          </w:p>
          <w:p w:rsidR="003263A0" w:rsidRPr="00B75794" w:rsidRDefault="003263A0" w:rsidP="008012A6">
            <w:pPr>
              <w:rPr>
                <w:rFonts w:ascii="Arial" w:hAnsi="Arial" w:cs="Arial"/>
              </w:rPr>
            </w:pPr>
            <w:r w:rsidRPr="00B75794">
              <w:rPr>
                <w:rFonts w:ascii="Arial" w:hAnsi="Arial" w:cs="Arial"/>
              </w:rPr>
              <w:t xml:space="preserve">Pharmaceuticals Australia </w:t>
            </w:r>
          </w:p>
          <w:p w:rsidR="003263A0" w:rsidRPr="00B75794" w:rsidRDefault="003263A0" w:rsidP="008012A6">
            <w:pPr>
              <w:rPr>
                <w:rFonts w:ascii="Arial" w:hAnsi="Arial" w:cs="Arial"/>
              </w:rPr>
            </w:pPr>
            <w:r w:rsidRPr="00B75794">
              <w:rPr>
                <w:rFonts w:ascii="Arial" w:hAnsi="Arial" w:cs="Arial"/>
              </w:rPr>
              <w:t>Pty Ltd</w:t>
            </w:r>
          </w:p>
        </w:tc>
        <w:tc>
          <w:tcPr>
            <w:tcW w:w="2409" w:type="dxa"/>
            <w:vMerge w:val="restart"/>
          </w:tcPr>
          <w:p w:rsidR="003263A0" w:rsidRPr="00B75794" w:rsidRDefault="00165869" w:rsidP="00165869">
            <w:pPr>
              <w:rPr>
                <w:rFonts w:ascii="Arial" w:hAnsi="Arial" w:cs="Arial"/>
              </w:rPr>
            </w:pPr>
            <w:r>
              <w:rPr>
                <w:rFonts w:ascii="Arial" w:hAnsi="Arial" w:cs="Arial"/>
                <w:snapToGrid w:val="0"/>
                <w:lang w:eastAsia="en-US"/>
              </w:rPr>
              <w:t>G</w:t>
            </w:r>
            <w:r w:rsidR="003263A0" w:rsidRPr="00B75794">
              <w:rPr>
                <w:rFonts w:ascii="Arial" w:hAnsi="Arial" w:cs="Arial"/>
                <w:snapToGrid w:val="0"/>
                <w:lang w:eastAsia="en-US"/>
              </w:rPr>
              <w:t>astrointestinal stromal tumor</w:t>
            </w:r>
          </w:p>
        </w:tc>
        <w:tc>
          <w:tcPr>
            <w:tcW w:w="3262" w:type="dxa"/>
            <w:tcMar>
              <w:top w:w="28" w:type="dxa"/>
              <w:bottom w:w="28" w:type="dxa"/>
            </w:tcMar>
          </w:tcPr>
          <w:p w:rsidR="003263A0" w:rsidRPr="00B75794" w:rsidRDefault="003263A0" w:rsidP="00165869">
            <w:pPr>
              <w:rPr>
                <w:rFonts w:ascii="Arial" w:hAnsi="Arial" w:cs="Arial"/>
              </w:rPr>
            </w:pPr>
            <w:r w:rsidRPr="00B75794">
              <w:rPr>
                <w:rFonts w:ascii="Arial" w:hAnsi="Arial" w:cs="Arial"/>
                <w:snapToGrid w:val="0"/>
                <w:lang w:eastAsia="en-US"/>
              </w:rPr>
              <w:t xml:space="preserve">The submission sought to change the pack size </w:t>
            </w:r>
            <w:r w:rsidR="00165869">
              <w:rPr>
                <w:rFonts w:ascii="Arial" w:hAnsi="Arial" w:cs="Arial"/>
                <w:snapToGrid w:val="0"/>
                <w:lang w:eastAsia="en-US"/>
              </w:rPr>
              <w:t>for</w:t>
            </w:r>
            <w:r w:rsidRPr="00B75794">
              <w:rPr>
                <w:rFonts w:ascii="Arial" w:hAnsi="Arial" w:cs="Arial"/>
                <w:snapToGrid w:val="0"/>
                <w:lang w:eastAsia="en-US"/>
              </w:rPr>
              <w:t xml:space="preserve"> imatinib for </w:t>
            </w:r>
            <w:r w:rsidR="00165869">
              <w:rPr>
                <w:rFonts w:ascii="Arial" w:hAnsi="Arial" w:cs="Arial"/>
                <w:snapToGrid w:val="0"/>
                <w:lang w:eastAsia="en-US"/>
              </w:rPr>
              <w:t xml:space="preserve">the </w:t>
            </w:r>
            <w:r w:rsidRPr="00B75794">
              <w:rPr>
                <w:rFonts w:ascii="Arial" w:hAnsi="Arial" w:cs="Arial"/>
                <w:snapToGrid w:val="0"/>
                <w:lang w:eastAsia="en-US"/>
              </w:rPr>
              <w:t xml:space="preserve">treatment of patients with gastrointestinal stromal tumor in both metastatic and adjuvant settings. </w:t>
            </w:r>
          </w:p>
        </w:tc>
        <w:tc>
          <w:tcPr>
            <w:tcW w:w="6950" w:type="dxa"/>
          </w:tcPr>
          <w:p w:rsidR="003263A0" w:rsidRPr="00B75794" w:rsidRDefault="003263A0" w:rsidP="00165869">
            <w:pPr>
              <w:pStyle w:val="ListParagraph"/>
              <w:ind w:left="33"/>
              <w:rPr>
                <w:rFonts w:ascii="Arial" w:hAnsi="Arial" w:cs="Arial"/>
                <w:iCs/>
                <w:sz w:val="20"/>
                <w:szCs w:val="20"/>
              </w:rPr>
            </w:pPr>
            <w:r w:rsidRPr="00B75794">
              <w:rPr>
                <w:rFonts w:ascii="Arial" w:hAnsi="Arial" w:cs="Arial"/>
                <w:iCs/>
                <w:sz w:val="20"/>
                <w:szCs w:val="20"/>
              </w:rPr>
              <w:t>The PBAC advised the Minster that there is no community need for the listing of alternative pack sizes of imatinib, namely 56 tablets per pack for 100 mg strength</w:t>
            </w:r>
            <w:r w:rsidR="00165869">
              <w:rPr>
                <w:rFonts w:ascii="Arial" w:hAnsi="Arial" w:cs="Arial"/>
                <w:iCs/>
                <w:sz w:val="20"/>
                <w:szCs w:val="20"/>
              </w:rPr>
              <w:t>,</w:t>
            </w:r>
            <w:r w:rsidRPr="00B75794">
              <w:rPr>
                <w:rFonts w:ascii="Arial" w:hAnsi="Arial" w:cs="Arial"/>
                <w:iCs/>
                <w:sz w:val="20"/>
                <w:szCs w:val="20"/>
              </w:rPr>
              <w:t xml:space="preserve"> and 28 tablets per pack for 400 mg strength</w:t>
            </w:r>
            <w:r w:rsidR="00165869">
              <w:rPr>
                <w:rFonts w:ascii="Arial" w:hAnsi="Arial" w:cs="Arial"/>
                <w:iCs/>
                <w:sz w:val="20"/>
                <w:szCs w:val="20"/>
              </w:rPr>
              <w:t>,</w:t>
            </w:r>
            <w:r w:rsidRPr="00B75794">
              <w:rPr>
                <w:rFonts w:ascii="Arial" w:hAnsi="Arial" w:cs="Arial"/>
                <w:iCs/>
                <w:sz w:val="20"/>
                <w:szCs w:val="20"/>
              </w:rPr>
              <w:t xml:space="preserve"> for</w:t>
            </w:r>
            <w:r w:rsidR="00165869">
              <w:rPr>
                <w:rFonts w:ascii="Arial" w:hAnsi="Arial" w:cs="Arial"/>
                <w:iCs/>
                <w:sz w:val="20"/>
                <w:szCs w:val="20"/>
              </w:rPr>
              <w:t xml:space="preserve"> the</w:t>
            </w:r>
            <w:r w:rsidRPr="00B75794">
              <w:rPr>
                <w:rFonts w:ascii="Arial" w:hAnsi="Arial" w:cs="Arial"/>
                <w:iCs/>
                <w:sz w:val="20"/>
                <w:szCs w:val="20"/>
              </w:rPr>
              <w:t xml:space="preserve"> treatment of patients with gastrointestinal stromal tumor in both metastatic and adjuvant settings</w:t>
            </w:r>
            <w:r w:rsidR="00165869">
              <w:rPr>
                <w:rFonts w:ascii="Arial" w:hAnsi="Arial" w:cs="Arial"/>
                <w:iCs/>
                <w:sz w:val="20"/>
                <w:szCs w:val="20"/>
              </w:rPr>
              <w:t>.</w:t>
            </w:r>
          </w:p>
        </w:tc>
      </w:tr>
      <w:tr w:rsidR="003263A0" w:rsidRPr="00395B97" w:rsidTr="002E103D">
        <w:trPr>
          <w:cantSplit/>
          <w:trHeight w:val="465"/>
        </w:trPr>
        <w:tc>
          <w:tcPr>
            <w:tcW w:w="2694" w:type="dxa"/>
            <w:vMerge/>
            <w:tcMar>
              <w:top w:w="28" w:type="dxa"/>
              <w:bottom w:w="28" w:type="dxa"/>
            </w:tcMar>
          </w:tcPr>
          <w:p w:rsidR="003263A0" w:rsidRPr="00B75794" w:rsidRDefault="003263A0" w:rsidP="008012A6">
            <w:pPr>
              <w:rPr>
                <w:rFonts w:ascii="Arial" w:hAnsi="Arial" w:cs="Arial"/>
                <w:b/>
              </w:rPr>
            </w:pPr>
          </w:p>
        </w:tc>
        <w:tc>
          <w:tcPr>
            <w:tcW w:w="2409" w:type="dxa"/>
            <w:vMerge/>
          </w:tcPr>
          <w:p w:rsidR="003263A0" w:rsidRPr="00B75794" w:rsidRDefault="003263A0" w:rsidP="008012A6">
            <w:pPr>
              <w:rPr>
                <w:rFonts w:ascii="Arial" w:hAnsi="Arial" w:cs="Arial"/>
                <w:snapToGrid w:val="0"/>
                <w:lang w:eastAsia="en-US"/>
              </w:rPr>
            </w:pPr>
          </w:p>
        </w:tc>
        <w:tc>
          <w:tcPr>
            <w:tcW w:w="3262" w:type="dxa"/>
            <w:tcMar>
              <w:top w:w="28" w:type="dxa"/>
              <w:bottom w:w="28" w:type="dxa"/>
            </w:tcMar>
          </w:tcPr>
          <w:p w:rsidR="003263A0" w:rsidRPr="00B75794" w:rsidRDefault="003263A0" w:rsidP="00FF54A6">
            <w:pPr>
              <w:jc w:val="right"/>
              <w:rPr>
                <w:rFonts w:ascii="Arial" w:hAnsi="Arial" w:cs="Arial"/>
                <w:snapToGrid w:val="0"/>
                <w:lang w:eastAsia="en-US"/>
              </w:rPr>
            </w:pPr>
            <w:r w:rsidRPr="00B75794">
              <w:rPr>
                <w:rFonts w:ascii="Arial" w:hAnsi="Arial" w:cs="Arial"/>
                <w:snapToGrid w:val="0"/>
                <w:lang w:eastAsia="en-US"/>
              </w:rPr>
              <w:t>Sponsor Comment:</w:t>
            </w:r>
          </w:p>
        </w:tc>
        <w:tc>
          <w:tcPr>
            <w:tcW w:w="6950" w:type="dxa"/>
          </w:tcPr>
          <w:p w:rsidR="003263A0" w:rsidRPr="00B75794" w:rsidRDefault="0038708C" w:rsidP="008012A6">
            <w:pPr>
              <w:pStyle w:val="ListParagraph"/>
              <w:ind w:left="177"/>
              <w:rPr>
                <w:rFonts w:ascii="Arial" w:hAnsi="Arial" w:cs="Arial"/>
                <w:iCs/>
                <w:sz w:val="20"/>
                <w:szCs w:val="20"/>
              </w:rPr>
            </w:pPr>
            <w:r w:rsidRPr="0038708C">
              <w:rPr>
                <w:rFonts w:ascii="Arial" w:hAnsi="Arial" w:cs="Arial"/>
                <w:iCs/>
                <w:sz w:val="20"/>
                <w:szCs w:val="20"/>
              </w:rPr>
              <w:t>The sponsor had no comment.</w:t>
            </w:r>
          </w:p>
        </w:tc>
      </w:tr>
      <w:tr w:rsidR="0019111A" w:rsidRPr="00E15BA9" w:rsidTr="0019111A">
        <w:trPr>
          <w:trHeight w:val="2993"/>
        </w:trPr>
        <w:tc>
          <w:tcPr>
            <w:tcW w:w="2694" w:type="dxa"/>
            <w:vMerge w:val="restart"/>
            <w:tcMar>
              <w:top w:w="28" w:type="dxa"/>
              <w:bottom w:w="28" w:type="dxa"/>
            </w:tcMar>
          </w:tcPr>
          <w:p w:rsidR="0019111A" w:rsidRPr="00B75794" w:rsidRDefault="0019111A" w:rsidP="003263A0">
            <w:pPr>
              <w:pStyle w:val="Heading1"/>
              <w:keepNext w:val="0"/>
              <w:widowControl/>
              <w:rPr>
                <w:rFonts w:cs="Arial"/>
                <w:b w:val="0"/>
              </w:rPr>
            </w:pPr>
            <w:r w:rsidRPr="00B75794">
              <w:rPr>
                <w:rFonts w:cs="Arial"/>
              </w:rPr>
              <w:lastRenderedPageBreak/>
              <w:t>LIGNOCAINE</w:t>
            </w:r>
            <w:r w:rsidRPr="00B75794">
              <w:rPr>
                <w:rFonts w:cs="Arial"/>
              </w:rPr>
              <w:br/>
            </w:r>
            <w:r w:rsidRPr="00B75794">
              <w:rPr>
                <w:rFonts w:cs="Arial"/>
                <w:b w:val="0"/>
              </w:rPr>
              <w:t xml:space="preserve">5% patch: dermal, 30 </w:t>
            </w:r>
          </w:p>
          <w:p w:rsidR="0019111A" w:rsidRPr="00B75794" w:rsidRDefault="0019111A" w:rsidP="003263A0">
            <w:pPr>
              <w:pStyle w:val="Heading1"/>
              <w:keepNext w:val="0"/>
              <w:widowControl/>
              <w:rPr>
                <w:rFonts w:cs="Arial"/>
                <w:b w:val="0"/>
              </w:rPr>
            </w:pPr>
            <w:r w:rsidRPr="00B75794">
              <w:rPr>
                <w:rFonts w:cs="Arial"/>
                <w:b w:val="0"/>
              </w:rPr>
              <w:br/>
              <w:t>Versatis</w:t>
            </w:r>
            <w:r w:rsidRPr="00B75794">
              <w:rPr>
                <w:rFonts w:cs="Arial"/>
                <w:b w:val="0"/>
                <w:vertAlign w:val="superscript"/>
              </w:rPr>
              <w:t>®</w:t>
            </w:r>
            <w:r w:rsidRPr="00B75794">
              <w:rPr>
                <w:rFonts w:cs="Arial"/>
                <w:b w:val="0"/>
              </w:rPr>
              <w:t>,</w:t>
            </w:r>
          </w:p>
          <w:p w:rsidR="0019111A" w:rsidRPr="00B75794" w:rsidRDefault="0019111A" w:rsidP="003263A0">
            <w:pPr>
              <w:pStyle w:val="Heading1"/>
              <w:keepNext w:val="0"/>
              <w:widowControl/>
              <w:rPr>
                <w:rFonts w:cs="Arial"/>
                <w:b w:val="0"/>
              </w:rPr>
            </w:pPr>
          </w:p>
          <w:p w:rsidR="0019111A" w:rsidRDefault="0019111A" w:rsidP="003263A0">
            <w:pPr>
              <w:pStyle w:val="Heading1"/>
              <w:keepNext w:val="0"/>
              <w:widowControl/>
              <w:rPr>
                <w:rFonts w:cs="Arial"/>
                <w:b w:val="0"/>
              </w:rPr>
            </w:pPr>
            <w:r w:rsidRPr="00B75794">
              <w:rPr>
                <w:rFonts w:cs="Arial"/>
                <w:b w:val="0"/>
              </w:rPr>
              <w:t>bioCSL Pty Ltd</w:t>
            </w:r>
          </w:p>
          <w:p w:rsidR="0019111A" w:rsidRDefault="0019111A" w:rsidP="003263A0">
            <w:pPr>
              <w:rPr>
                <w:lang w:eastAsia="en-US"/>
              </w:rPr>
            </w:pPr>
          </w:p>
          <w:p w:rsidR="0019111A" w:rsidRPr="003263A0" w:rsidRDefault="0019111A" w:rsidP="003263A0">
            <w:pPr>
              <w:rPr>
                <w:rFonts w:ascii="Arial" w:hAnsi="Arial" w:cs="Arial"/>
                <w:snapToGrid w:val="0"/>
                <w:lang w:eastAsia="en-US"/>
              </w:rPr>
            </w:pPr>
            <w:r w:rsidRPr="003263A0">
              <w:rPr>
                <w:rFonts w:ascii="Arial" w:hAnsi="Arial" w:cs="Arial"/>
                <w:snapToGrid w:val="0"/>
                <w:lang w:eastAsia="en-US"/>
              </w:rPr>
              <w:t>(Major submission)</w:t>
            </w:r>
          </w:p>
          <w:p w:rsidR="0019111A" w:rsidRPr="00B75794" w:rsidRDefault="0019111A" w:rsidP="003263A0">
            <w:pPr>
              <w:rPr>
                <w:rFonts w:ascii="Arial" w:hAnsi="Arial" w:cs="Arial"/>
              </w:rPr>
            </w:pPr>
          </w:p>
        </w:tc>
        <w:tc>
          <w:tcPr>
            <w:tcW w:w="2409" w:type="dxa"/>
            <w:vMerge w:val="restart"/>
          </w:tcPr>
          <w:p w:rsidR="0019111A" w:rsidRPr="00B75794" w:rsidRDefault="0019111A" w:rsidP="003263A0">
            <w:pPr>
              <w:widowControl w:val="0"/>
              <w:rPr>
                <w:rFonts w:ascii="Arial" w:hAnsi="Arial" w:cs="Arial"/>
                <w:snapToGrid w:val="0"/>
                <w:lang w:eastAsia="en-US"/>
              </w:rPr>
            </w:pPr>
            <w:r w:rsidRPr="00B75794">
              <w:rPr>
                <w:rFonts w:ascii="Arial" w:hAnsi="Arial" w:cs="Arial"/>
                <w:snapToGrid w:val="0"/>
                <w:lang w:eastAsia="en-US"/>
              </w:rPr>
              <w:t xml:space="preserve">Post-herpetic neuralgia </w:t>
            </w:r>
          </w:p>
          <w:p w:rsidR="0019111A" w:rsidRPr="00B75794" w:rsidRDefault="0019111A" w:rsidP="003263A0">
            <w:pPr>
              <w:widowControl w:val="0"/>
              <w:rPr>
                <w:rFonts w:ascii="Arial" w:hAnsi="Arial" w:cs="Arial"/>
                <w:snapToGrid w:val="0"/>
                <w:lang w:eastAsia="en-US"/>
              </w:rPr>
            </w:pPr>
          </w:p>
        </w:tc>
        <w:tc>
          <w:tcPr>
            <w:tcW w:w="3262" w:type="dxa"/>
            <w:tcMar>
              <w:top w:w="28" w:type="dxa"/>
              <w:bottom w:w="28" w:type="dxa"/>
            </w:tcMar>
          </w:tcPr>
          <w:p w:rsidR="0019111A" w:rsidRPr="00B75794" w:rsidRDefault="0019111A" w:rsidP="003263A0">
            <w:pPr>
              <w:widowControl w:val="0"/>
              <w:rPr>
                <w:rFonts w:ascii="Arial" w:hAnsi="Arial" w:cs="Arial"/>
                <w:snapToGrid w:val="0"/>
                <w:lang w:eastAsia="en-US"/>
              </w:rPr>
            </w:pPr>
            <w:r w:rsidRPr="00B75794">
              <w:rPr>
                <w:rFonts w:ascii="Arial" w:hAnsi="Arial" w:cs="Arial"/>
                <w:snapToGrid w:val="0"/>
                <w:lang w:eastAsia="en-US"/>
              </w:rPr>
              <w:t>T</w:t>
            </w:r>
            <w:r>
              <w:rPr>
                <w:rFonts w:ascii="Arial" w:hAnsi="Arial" w:cs="Arial"/>
                <w:snapToGrid w:val="0"/>
                <w:lang w:eastAsia="en-US"/>
              </w:rPr>
              <w:t>he submission sought</w:t>
            </w:r>
            <w:r w:rsidRPr="00B75794">
              <w:rPr>
                <w:rFonts w:ascii="Arial" w:hAnsi="Arial" w:cs="Arial"/>
                <w:snapToGrid w:val="0"/>
                <w:lang w:eastAsia="en-US"/>
              </w:rPr>
              <w:t xml:space="preserve"> Authority Required (STREAMLINED) listing for lignocaine 5% w/w dermal patch for the treatment </w:t>
            </w:r>
            <w:r>
              <w:rPr>
                <w:rFonts w:ascii="Arial" w:hAnsi="Arial" w:cs="Arial"/>
                <w:snapToGrid w:val="0"/>
                <w:lang w:eastAsia="en-US"/>
              </w:rPr>
              <w:t>of post</w:t>
            </w:r>
            <w:r>
              <w:rPr>
                <w:rFonts w:ascii="Arial" w:hAnsi="Arial" w:cs="Arial"/>
                <w:snapToGrid w:val="0"/>
                <w:lang w:eastAsia="en-US"/>
              </w:rPr>
              <w:noBreakHyphen/>
            </w:r>
            <w:r w:rsidRPr="00B75794">
              <w:rPr>
                <w:rFonts w:ascii="Arial" w:hAnsi="Arial" w:cs="Arial"/>
                <w:snapToGrid w:val="0"/>
                <w:lang w:eastAsia="en-US"/>
              </w:rPr>
              <w:t>herpetic neuralgia.</w:t>
            </w:r>
          </w:p>
          <w:p w:rsidR="0019111A" w:rsidRPr="00B75794" w:rsidRDefault="0019111A" w:rsidP="003263A0">
            <w:pPr>
              <w:pStyle w:val="ListParagraph"/>
              <w:ind w:left="0"/>
              <w:jc w:val="right"/>
              <w:rPr>
                <w:rFonts w:ascii="Arial" w:hAnsi="Arial" w:cs="Arial"/>
                <w:snapToGrid w:val="0"/>
                <w:sz w:val="20"/>
                <w:szCs w:val="20"/>
                <w:lang w:eastAsia="en-US"/>
              </w:rPr>
            </w:pPr>
          </w:p>
        </w:tc>
        <w:tc>
          <w:tcPr>
            <w:tcW w:w="6950" w:type="dxa"/>
          </w:tcPr>
          <w:p w:rsidR="0019111A" w:rsidRPr="00B75794" w:rsidRDefault="0019111A" w:rsidP="003263A0">
            <w:pPr>
              <w:rPr>
                <w:rFonts w:ascii="Arial" w:eastAsia="SimSun" w:hAnsi="Arial" w:cs="Arial"/>
                <w:iCs/>
              </w:rPr>
            </w:pPr>
            <w:r w:rsidRPr="00B75794">
              <w:rPr>
                <w:rFonts w:ascii="Arial" w:eastAsia="SimSun" w:hAnsi="Arial" w:cs="Arial"/>
                <w:iCs/>
              </w:rPr>
              <w:t xml:space="preserve">The PBAC rejected the request to list lignocaine patch for the treatment of patients with post-herpetic neuralgia </w:t>
            </w:r>
            <w:r>
              <w:rPr>
                <w:rFonts w:ascii="Arial" w:eastAsia="SimSun" w:hAnsi="Arial" w:cs="Arial"/>
                <w:iCs/>
              </w:rPr>
              <w:t>on the basis of uncertain cost</w:t>
            </w:r>
            <w:r>
              <w:rPr>
                <w:rFonts w:ascii="Arial" w:eastAsia="SimSun" w:hAnsi="Arial" w:cs="Arial"/>
                <w:iCs/>
              </w:rPr>
              <w:noBreakHyphen/>
            </w:r>
            <w:r w:rsidRPr="00B75794">
              <w:rPr>
                <w:rFonts w:ascii="Arial" w:eastAsia="SimSun" w:hAnsi="Arial" w:cs="Arial"/>
                <w:iCs/>
              </w:rPr>
              <w:t xml:space="preserve">effectiveness compared with pregabalin. </w:t>
            </w:r>
          </w:p>
          <w:p w:rsidR="0019111A" w:rsidRPr="00B75794" w:rsidRDefault="0019111A" w:rsidP="003263A0">
            <w:pPr>
              <w:rPr>
                <w:rFonts w:ascii="Arial" w:eastAsia="SimSun" w:hAnsi="Arial" w:cs="Arial"/>
                <w:iCs/>
              </w:rPr>
            </w:pPr>
          </w:p>
          <w:p w:rsidR="0019111A" w:rsidRPr="00B75794" w:rsidRDefault="0019111A" w:rsidP="003263A0">
            <w:pPr>
              <w:rPr>
                <w:rFonts w:ascii="Arial" w:eastAsia="SimSun" w:hAnsi="Arial" w:cs="Arial"/>
                <w:iCs/>
              </w:rPr>
            </w:pPr>
            <w:r w:rsidRPr="00B75794">
              <w:rPr>
                <w:rFonts w:ascii="Arial" w:eastAsia="SimSun" w:hAnsi="Arial" w:cs="Arial"/>
                <w:iCs/>
              </w:rPr>
              <w:t xml:space="preserve">The PBAC considered that there is a potential clinical need for the lignocaine patch for the treatment of </w:t>
            </w:r>
            <w:r w:rsidRPr="00E35C3D">
              <w:rPr>
                <w:rFonts w:ascii="Arial" w:eastAsia="SimSun" w:hAnsi="Arial" w:cs="Arial"/>
                <w:iCs/>
              </w:rPr>
              <w:t>post-herpetic neuralgia</w:t>
            </w:r>
            <w:r w:rsidRPr="00B75794">
              <w:rPr>
                <w:rFonts w:ascii="Arial" w:eastAsia="SimSun" w:hAnsi="Arial" w:cs="Arial"/>
                <w:iCs/>
              </w:rPr>
              <w:t xml:space="preserve"> and acknowledged the safety and quality use of medicine issues relating to the use of systemic therapies for this condition. However, the PBAC considered that the submission did not provide a confident basis that recommending lignocaine at the requested price would be cost-effective. </w:t>
            </w:r>
          </w:p>
          <w:p w:rsidR="0019111A" w:rsidRPr="00B75794" w:rsidRDefault="0019111A" w:rsidP="003263A0">
            <w:pPr>
              <w:pStyle w:val="ListParagraph"/>
              <w:rPr>
                <w:rFonts w:ascii="Arial" w:hAnsi="Arial" w:cs="Arial"/>
                <w:iCs/>
                <w:sz w:val="20"/>
                <w:szCs w:val="20"/>
              </w:rPr>
            </w:pPr>
          </w:p>
          <w:p w:rsidR="0019111A" w:rsidRPr="00B75794" w:rsidRDefault="0019111A" w:rsidP="003263A0">
            <w:pPr>
              <w:rPr>
                <w:rFonts w:ascii="Arial" w:eastAsia="SimSun" w:hAnsi="Arial" w:cs="Arial"/>
                <w:iCs/>
              </w:rPr>
            </w:pPr>
            <w:r w:rsidRPr="00B75794">
              <w:rPr>
                <w:rFonts w:ascii="Arial" w:eastAsia="SimSun" w:hAnsi="Arial" w:cs="Arial"/>
                <w:iCs/>
              </w:rPr>
              <w:t xml:space="preserve">The PBAC noted that non-inferiority between lignocaine patch and pregabalin was not demonstrated based on the pre-defined non-inferiority margin for the </w:t>
            </w:r>
            <w:r w:rsidRPr="00E35C3D">
              <w:rPr>
                <w:rFonts w:ascii="Arial" w:eastAsia="SimSun" w:hAnsi="Arial" w:cs="Arial"/>
                <w:iCs/>
              </w:rPr>
              <w:t>post-herpetic neuralgia</w:t>
            </w:r>
            <w:r w:rsidRPr="00B75794">
              <w:rPr>
                <w:rFonts w:ascii="Arial" w:eastAsia="SimSun" w:hAnsi="Arial" w:cs="Arial"/>
                <w:iCs/>
              </w:rPr>
              <w:t xml:space="preserve"> and diabetic polyneuropathy population in the pivotal trial KF10004/03. Given that the trial failed the primary outcome, the PBAC considered that subgroup analyses and analyses of secondary outcomes </w:t>
            </w:r>
            <w:r>
              <w:rPr>
                <w:rFonts w:ascii="Arial" w:eastAsia="SimSun" w:hAnsi="Arial" w:cs="Arial"/>
                <w:iCs/>
              </w:rPr>
              <w:t>we</w:t>
            </w:r>
            <w:r w:rsidRPr="00B75794">
              <w:rPr>
                <w:rFonts w:ascii="Arial" w:eastAsia="SimSun" w:hAnsi="Arial" w:cs="Arial"/>
                <w:iCs/>
              </w:rPr>
              <w:t>re unreliable and should be interpreted with caution.</w:t>
            </w:r>
          </w:p>
          <w:p w:rsidR="0019111A" w:rsidRPr="00B75794" w:rsidRDefault="0019111A" w:rsidP="003263A0">
            <w:pPr>
              <w:pStyle w:val="ListParagraph"/>
              <w:rPr>
                <w:rFonts w:ascii="Arial" w:hAnsi="Arial" w:cs="Arial"/>
                <w:iCs/>
                <w:sz w:val="20"/>
                <w:szCs w:val="20"/>
              </w:rPr>
            </w:pPr>
          </w:p>
          <w:p w:rsidR="0019111A" w:rsidRPr="00B75794" w:rsidRDefault="0019111A" w:rsidP="00E35C3D">
            <w:pPr>
              <w:rPr>
                <w:rFonts w:ascii="Arial" w:eastAsia="SimSun" w:hAnsi="Arial" w:cs="Arial"/>
                <w:iCs/>
              </w:rPr>
            </w:pPr>
            <w:r w:rsidRPr="00B75794">
              <w:rPr>
                <w:rFonts w:ascii="Arial" w:eastAsia="SimSun" w:hAnsi="Arial" w:cs="Arial"/>
                <w:iCs/>
              </w:rPr>
              <w:t xml:space="preserve">The PBAC considered that while lignocaine patch appeared to be associated with fewer adverse events and discontinuations due to adverse events, compared </w:t>
            </w:r>
            <w:r>
              <w:rPr>
                <w:rFonts w:ascii="Arial" w:eastAsia="SimSun" w:hAnsi="Arial" w:cs="Arial"/>
                <w:iCs/>
              </w:rPr>
              <w:t>with</w:t>
            </w:r>
            <w:r w:rsidRPr="00B75794">
              <w:rPr>
                <w:rFonts w:ascii="Arial" w:eastAsia="SimSun" w:hAnsi="Arial" w:cs="Arial"/>
                <w:iCs/>
              </w:rPr>
              <w:t xml:space="preserve"> pregabalin during the first 4 weeks, differences in the safety profile were likely to be overestimated due to the open-label design of the trial and that patients who discontinued pregabalin due to adverse events during the comparative phase were allowed to switch to lignocaine.</w:t>
            </w:r>
          </w:p>
        </w:tc>
      </w:tr>
      <w:tr w:rsidR="0019111A" w:rsidRPr="00E15BA9" w:rsidTr="002E103D">
        <w:trPr>
          <w:trHeight w:val="2992"/>
        </w:trPr>
        <w:tc>
          <w:tcPr>
            <w:tcW w:w="2694" w:type="dxa"/>
            <w:vMerge/>
            <w:tcMar>
              <w:top w:w="28" w:type="dxa"/>
              <w:bottom w:w="28" w:type="dxa"/>
            </w:tcMar>
          </w:tcPr>
          <w:p w:rsidR="0019111A" w:rsidRPr="00B75794" w:rsidRDefault="0019111A" w:rsidP="003263A0">
            <w:pPr>
              <w:pStyle w:val="Heading1"/>
              <w:keepNext w:val="0"/>
              <w:widowControl/>
              <w:rPr>
                <w:rFonts w:cs="Arial"/>
              </w:rPr>
            </w:pPr>
          </w:p>
        </w:tc>
        <w:tc>
          <w:tcPr>
            <w:tcW w:w="2409" w:type="dxa"/>
            <w:vMerge/>
          </w:tcPr>
          <w:p w:rsidR="0019111A" w:rsidRPr="00B75794" w:rsidRDefault="0019111A" w:rsidP="003263A0">
            <w:pPr>
              <w:widowControl w:val="0"/>
              <w:rPr>
                <w:rFonts w:ascii="Arial" w:hAnsi="Arial" w:cs="Arial"/>
                <w:snapToGrid w:val="0"/>
                <w:lang w:eastAsia="en-US"/>
              </w:rPr>
            </w:pPr>
          </w:p>
        </w:tc>
        <w:tc>
          <w:tcPr>
            <w:tcW w:w="3262" w:type="dxa"/>
            <w:tcMar>
              <w:top w:w="28" w:type="dxa"/>
              <w:bottom w:w="28" w:type="dxa"/>
            </w:tcMar>
          </w:tcPr>
          <w:p w:rsidR="0019111A" w:rsidRPr="00B75794" w:rsidRDefault="0019111A" w:rsidP="003263A0">
            <w:pPr>
              <w:widowControl w:val="0"/>
              <w:rPr>
                <w:rFonts w:ascii="Arial" w:hAnsi="Arial" w:cs="Arial"/>
                <w:snapToGrid w:val="0"/>
                <w:lang w:eastAsia="en-US"/>
              </w:rPr>
            </w:pPr>
            <w:bookmarkStart w:id="0" w:name="_GoBack"/>
            <w:bookmarkEnd w:id="0"/>
            <w:r w:rsidRPr="00B75794">
              <w:rPr>
                <w:rFonts w:ascii="Arial" w:hAnsi="Arial" w:cs="Arial"/>
                <w:snapToGrid w:val="0"/>
                <w:lang w:eastAsia="en-US"/>
              </w:rPr>
              <w:t>Sponsor Comment:</w:t>
            </w:r>
          </w:p>
        </w:tc>
        <w:tc>
          <w:tcPr>
            <w:tcW w:w="6950" w:type="dxa"/>
          </w:tcPr>
          <w:p w:rsidR="0019111A" w:rsidRPr="00D71CD6" w:rsidRDefault="0019111A" w:rsidP="0019111A">
            <w:pPr>
              <w:rPr>
                <w:rFonts w:ascii="Arial" w:eastAsia="SimSun" w:hAnsi="Arial" w:cs="Arial"/>
                <w:iCs/>
              </w:rPr>
            </w:pPr>
            <w:r w:rsidRPr="00D71CD6">
              <w:rPr>
                <w:rFonts w:ascii="Arial" w:eastAsia="SimSun" w:hAnsi="Arial" w:cs="Arial"/>
                <w:iCs/>
              </w:rPr>
              <w:t xml:space="preserve">bioCSL is disappointed with the outcome but welcomes  the PBAC’s acknowledgement of the potential clinical need for VERSATIS which offers a topical treatment option for post herpetic neuralgia, a debilitating condition occurring predominantly in the elderly.  bioCSL considers undue weight was placed on the results of the pivotal trial not meeting the pre-defined non-inferiority outcome in the overall per-protocol trial population which included patients with diabetic polyneuropathy, a condition for which VERSATIS is not registered in Australia.  bioCSL also notes that the differences in safety profile between VERSATIS and pregabalin reflect the topical versus systemic nature of the two therapies. </w:t>
            </w:r>
          </w:p>
          <w:p w:rsidR="0019111A" w:rsidRPr="00B75794" w:rsidRDefault="0019111A" w:rsidP="003263A0">
            <w:pPr>
              <w:rPr>
                <w:rFonts w:ascii="Arial" w:eastAsia="SimSun" w:hAnsi="Arial" w:cs="Arial"/>
                <w:iCs/>
              </w:rPr>
            </w:pPr>
          </w:p>
        </w:tc>
      </w:tr>
      <w:tr w:rsidR="002E103D" w:rsidRPr="00B75794" w:rsidTr="00CE5AA5">
        <w:trPr>
          <w:trHeight w:val="4339"/>
        </w:trPr>
        <w:tc>
          <w:tcPr>
            <w:tcW w:w="2694" w:type="dxa"/>
            <w:vMerge w:val="restart"/>
            <w:tcMar>
              <w:top w:w="28" w:type="dxa"/>
              <w:bottom w:w="28" w:type="dxa"/>
            </w:tcMar>
          </w:tcPr>
          <w:p w:rsidR="002E103D" w:rsidRDefault="002E103D" w:rsidP="00FA65C8">
            <w:pPr>
              <w:pStyle w:val="Heading1"/>
              <w:keepLines/>
              <w:rPr>
                <w:rFonts w:cs="Arial"/>
              </w:rPr>
            </w:pPr>
            <w:r w:rsidRPr="00B75794">
              <w:rPr>
                <w:rFonts w:cs="Arial"/>
              </w:rPr>
              <w:t>NETUPITANT</w:t>
            </w:r>
          </w:p>
          <w:p w:rsidR="002E103D" w:rsidRPr="00B75794" w:rsidRDefault="002E103D" w:rsidP="00FA65C8">
            <w:pPr>
              <w:pStyle w:val="Heading1"/>
              <w:keepLines/>
              <w:rPr>
                <w:rFonts w:cs="Arial"/>
              </w:rPr>
            </w:pPr>
            <w:r w:rsidRPr="00B75794">
              <w:rPr>
                <w:rFonts w:cs="Arial"/>
              </w:rPr>
              <w:t>/PALONOSETRON</w:t>
            </w:r>
          </w:p>
          <w:p w:rsidR="002E103D" w:rsidRPr="00B75794" w:rsidRDefault="002E103D" w:rsidP="00FA65C8">
            <w:pPr>
              <w:pStyle w:val="Heading1"/>
              <w:keepLines/>
              <w:rPr>
                <w:rFonts w:cs="Arial"/>
                <w:b w:val="0"/>
              </w:rPr>
            </w:pPr>
            <w:r w:rsidRPr="00B75794">
              <w:rPr>
                <w:rFonts w:cs="Arial"/>
                <w:b w:val="0"/>
              </w:rPr>
              <w:t>netupitant 300 mg + palonosetron 500 mcg capsule, 1</w:t>
            </w:r>
          </w:p>
          <w:p w:rsidR="002E103D" w:rsidRPr="00B75794" w:rsidRDefault="002E103D" w:rsidP="00FA65C8">
            <w:pPr>
              <w:pStyle w:val="Heading1"/>
              <w:keepLines/>
              <w:rPr>
                <w:rFonts w:cs="Arial"/>
                <w:b w:val="0"/>
              </w:rPr>
            </w:pPr>
          </w:p>
          <w:p w:rsidR="002E103D" w:rsidRPr="00B75794" w:rsidRDefault="002E103D" w:rsidP="00FA65C8">
            <w:pPr>
              <w:pStyle w:val="Heading1"/>
              <w:keepLines/>
              <w:rPr>
                <w:rFonts w:cs="Arial"/>
                <w:b w:val="0"/>
              </w:rPr>
            </w:pPr>
            <w:r w:rsidRPr="00B75794">
              <w:rPr>
                <w:rFonts w:cs="Arial"/>
                <w:b w:val="0"/>
              </w:rPr>
              <w:t>Akynzeo</w:t>
            </w:r>
            <w:r w:rsidRPr="00FF54A6">
              <w:rPr>
                <w:rFonts w:cs="Arial"/>
                <w:b w:val="0"/>
                <w:vertAlign w:val="superscript"/>
              </w:rPr>
              <w:t>®</w:t>
            </w:r>
            <w:r w:rsidRPr="00B75794">
              <w:rPr>
                <w:rFonts w:cs="Arial"/>
                <w:b w:val="0"/>
              </w:rPr>
              <w:t xml:space="preserve">, </w:t>
            </w:r>
          </w:p>
          <w:p w:rsidR="002E103D" w:rsidRPr="00B75794" w:rsidRDefault="002E103D" w:rsidP="00FA65C8">
            <w:pPr>
              <w:pStyle w:val="Heading1"/>
              <w:keepLines/>
              <w:rPr>
                <w:rFonts w:cs="Arial"/>
                <w:b w:val="0"/>
              </w:rPr>
            </w:pPr>
          </w:p>
          <w:p w:rsidR="002E103D" w:rsidRDefault="002E103D" w:rsidP="00FA65C8">
            <w:pPr>
              <w:pStyle w:val="Heading1"/>
              <w:keepLines/>
              <w:rPr>
                <w:rFonts w:cs="Arial"/>
              </w:rPr>
            </w:pPr>
            <w:r w:rsidRPr="00B75794">
              <w:rPr>
                <w:rFonts w:cs="Arial"/>
                <w:b w:val="0"/>
              </w:rPr>
              <w:t>Specialised Therapeutics</w:t>
            </w:r>
          </w:p>
          <w:p w:rsidR="002E103D" w:rsidRPr="002E103D" w:rsidRDefault="002E103D" w:rsidP="00FA65C8">
            <w:pPr>
              <w:rPr>
                <w:lang w:eastAsia="en-US"/>
              </w:rPr>
            </w:pPr>
          </w:p>
          <w:p w:rsidR="002E103D" w:rsidRPr="002E103D" w:rsidRDefault="002E103D" w:rsidP="00FA65C8">
            <w:pPr>
              <w:rPr>
                <w:lang w:eastAsia="en-US"/>
              </w:rPr>
            </w:pPr>
          </w:p>
          <w:p w:rsidR="002E103D" w:rsidRPr="002E103D" w:rsidRDefault="002E103D" w:rsidP="00FA65C8">
            <w:pPr>
              <w:rPr>
                <w:lang w:eastAsia="en-US"/>
              </w:rPr>
            </w:pPr>
          </w:p>
          <w:p w:rsidR="002E103D" w:rsidRPr="002E103D" w:rsidRDefault="002E103D" w:rsidP="00FA65C8">
            <w:pPr>
              <w:rPr>
                <w:lang w:eastAsia="en-US"/>
              </w:rPr>
            </w:pPr>
          </w:p>
          <w:p w:rsidR="002E103D" w:rsidRPr="002E103D" w:rsidRDefault="002E103D" w:rsidP="00FA65C8">
            <w:pPr>
              <w:rPr>
                <w:lang w:eastAsia="en-US"/>
              </w:rPr>
            </w:pPr>
          </w:p>
          <w:p w:rsidR="002E103D" w:rsidRPr="002E103D" w:rsidRDefault="002E103D" w:rsidP="00FA65C8">
            <w:pPr>
              <w:rPr>
                <w:lang w:eastAsia="en-US"/>
              </w:rPr>
            </w:pPr>
          </w:p>
          <w:p w:rsidR="002E103D" w:rsidRPr="002E103D" w:rsidRDefault="002E103D" w:rsidP="00FA65C8">
            <w:pPr>
              <w:rPr>
                <w:lang w:eastAsia="en-US"/>
              </w:rPr>
            </w:pPr>
          </w:p>
          <w:p w:rsidR="002E103D" w:rsidRPr="002E103D" w:rsidRDefault="002E103D" w:rsidP="00FA65C8">
            <w:pPr>
              <w:rPr>
                <w:lang w:eastAsia="en-US"/>
              </w:rPr>
            </w:pPr>
          </w:p>
          <w:p w:rsidR="002E103D" w:rsidRPr="002E103D" w:rsidRDefault="002E103D" w:rsidP="00FA65C8">
            <w:pPr>
              <w:rPr>
                <w:lang w:eastAsia="en-US"/>
              </w:rPr>
            </w:pPr>
          </w:p>
          <w:p w:rsidR="002E103D" w:rsidRDefault="002E103D" w:rsidP="00FA65C8">
            <w:pPr>
              <w:rPr>
                <w:lang w:eastAsia="en-US"/>
              </w:rPr>
            </w:pPr>
          </w:p>
          <w:p w:rsidR="002E103D" w:rsidRDefault="002E103D" w:rsidP="00FA65C8">
            <w:pPr>
              <w:rPr>
                <w:lang w:eastAsia="en-US"/>
              </w:rPr>
            </w:pPr>
          </w:p>
          <w:p w:rsidR="002E103D" w:rsidRPr="002E103D" w:rsidRDefault="002E103D" w:rsidP="00FA65C8">
            <w:pPr>
              <w:rPr>
                <w:lang w:eastAsia="en-US"/>
              </w:rPr>
            </w:pPr>
          </w:p>
        </w:tc>
        <w:tc>
          <w:tcPr>
            <w:tcW w:w="2409" w:type="dxa"/>
            <w:vMerge w:val="restart"/>
          </w:tcPr>
          <w:p w:rsidR="002E103D" w:rsidRPr="00B75794" w:rsidRDefault="002E103D" w:rsidP="00FA65C8">
            <w:pPr>
              <w:keepNext/>
              <w:keepLines/>
              <w:widowControl w:val="0"/>
              <w:rPr>
                <w:rFonts w:ascii="Arial" w:hAnsi="Arial" w:cs="Arial"/>
                <w:snapToGrid w:val="0"/>
                <w:lang w:eastAsia="en-US"/>
              </w:rPr>
            </w:pPr>
            <w:r w:rsidRPr="00B75794">
              <w:rPr>
                <w:rFonts w:ascii="Arial" w:hAnsi="Arial" w:cs="Arial"/>
                <w:snapToGrid w:val="0"/>
                <w:lang w:eastAsia="en-US"/>
              </w:rPr>
              <w:t>Acute and delayed chemotherapy induced nausea and vomiting</w:t>
            </w:r>
          </w:p>
        </w:tc>
        <w:tc>
          <w:tcPr>
            <w:tcW w:w="3262" w:type="dxa"/>
            <w:tcMar>
              <w:top w:w="28" w:type="dxa"/>
              <w:bottom w:w="28" w:type="dxa"/>
            </w:tcMar>
          </w:tcPr>
          <w:p w:rsidR="002E103D" w:rsidRPr="00B75794" w:rsidRDefault="002E103D" w:rsidP="00FA65C8">
            <w:pPr>
              <w:keepNext/>
              <w:keepLines/>
              <w:widowControl w:val="0"/>
              <w:rPr>
                <w:rFonts w:ascii="Arial" w:hAnsi="Arial" w:cs="Arial"/>
                <w:snapToGrid w:val="0"/>
                <w:lang w:eastAsia="en-US"/>
              </w:rPr>
            </w:pPr>
            <w:r w:rsidRPr="00B75794">
              <w:rPr>
                <w:rFonts w:ascii="Arial" w:hAnsi="Arial" w:cs="Arial"/>
                <w:snapToGrid w:val="0"/>
                <w:lang w:eastAsia="en-US"/>
              </w:rPr>
              <w:t xml:space="preserve">The submission </w:t>
            </w:r>
            <w:r>
              <w:rPr>
                <w:rFonts w:ascii="Arial" w:hAnsi="Arial" w:cs="Arial"/>
                <w:snapToGrid w:val="0"/>
                <w:lang w:eastAsia="en-US"/>
              </w:rPr>
              <w:t>sought</w:t>
            </w:r>
            <w:r w:rsidRPr="00B75794">
              <w:rPr>
                <w:rFonts w:ascii="Arial" w:hAnsi="Arial" w:cs="Arial"/>
                <w:snapToGrid w:val="0"/>
                <w:lang w:eastAsia="en-US"/>
              </w:rPr>
              <w:t xml:space="preserve"> Authority Required (STREAMLINED) listing for netupitant</w:t>
            </w:r>
            <w:r>
              <w:rPr>
                <w:rFonts w:ascii="Arial" w:hAnsi="Arial" w:cs="Arial"/>
                <w:snapToGrid w:val="0"/>
                <w:lang w:eastAsia="en-US"/>
              </w:rPr>
              <w:t xml:space="preserve"> with </w:t>
            </w:r>
            <w:r w:rsidRPr="00B75794">
              <w:rPr>
                <w:rFonts w:ascii="Arial" w:hAnsi="Arial" w:cs="Arial"/>
                <w:snapToGrid w:val="0"/>
                <w:lang w:eastAsia="en-US"/>
              </w:rPr>
              <w:t>palonosetron fixed dose combination for the prevention of acute and delayed chemotherapy induced nausea and vomiting (1-5 days after initiating chemotherapy) associated with patients scheduled to receive:</w:t>
            </w:r>
          </w:p>
          <w:p w:rsidR="002E103D" w:rsidRPr="00B75794" w:rsidRDefault="002E103D" w:rsidP="00FA65C8">
            <w:pPr>
              <w:keepNext/>
              <w:keepLines/>
              <w:widowControl w:val="0"/>
              <w:rPr>
                <w:rFonts w:ascii="Arial" w:hAnsi="Arial" w:cs="Arial"/>
                <w:snapToGrid w:val="0"/>
                <w:lang w:eastAsia="en-US"/>
              </w:rPr>
            </w:pPr>
            <w:r w:rsidRPr="00B75794">
              <w:rPr>
                <w:rFonts w:ascii="Arial" w:hAnsi="Arial" w:cs="Arial"/>
                <w:snapToGrid w:val="0"/>
                <w:lang w:eastAsia="en-US"/>
              </w:rPr>
              <w:t>• Highly emetogenic chemotherapy</w:t>
            </w:r>
          </w:p>
          <w:p w:rsidR="002E103D" w:rsidRPr="00B75794" w:rsidRDefault="002E103D" w:rsidP="00FA65C8">
            <w:pPr>
              <w:keepNext/>
              <w:keepLines/>
              <w:widowControl w:val="0"/>
              <w:rPr>
                <w:rFonts w:ascii="Arial" w:hAnsi="Arial" w:cs="Arial"/>
                <w:snapToGrid w:val="0"/>
                <w:lang w:eastAsia="en-US"/>
              </w:rPr>
            </w:pPr>
            <w:r w:rsidRPr="00B75794">
              <w:rPr>
                <w:rFonts w:ascii="Arial" w:hAnsi="Arial" w:cs="Arial"/>
                <w:snapToGrid w:val="0"/>
                <w:lang w:eastAsia="en-US"/>
              </w:rPr>
              <w:t>•  Anthracycline plus cyclophosphamide chemotherapy for patients with breast cancer, or</w:t>
            </w:r>
          </w:p>
          <w:p w:rsidR="002E103D" w:rsidRPr="00B75794" w:rsidRDefault="002E103D" w:rsidP="00FA65C8">
            <w:pPr>
              <w:keepNext/>
              <w:keepLines/>
              <w:widowControl w:val="0"/>
              <w:rPr>
                <w:rFonts w:ascii="Arial" w:hAnsi="Arial" w:cs="Arial"/>
                <w:snapToGrid w:val="0"/>
                <w:lang w:eastAsia="en-US"/>
              </w:rPr>
            </w:pPr>
            <w:r w:rsidRPr="00B75794">
              <w:rPr>
                <w:rFonts w:ascii="Arial" w:hAnsi="Arial" w:cs="Arial"/>
                <w:snapToGrid w:val="0"/>
                <w:lang w:eastAsia="en-US"/>
              </w:rPr>
              <w:t>• Moderately emetogenic chemotherapy with a prior episode of chemotherapy induced nausea and vomiting.</w:t>
            </w:r>
          </w:p>
        </w:tc>
        <w:tc>
          <w:tcPr>
            <w:tcW w:w="6950" w:type="dxa"/>
          </w:tcPr>
          <w:p w:rsidR="002E103D" w:rsidRPr="00B75794" w:rsidRDefault="002E103D" w:rsidP="00FA65C8">
            <w:pPr>
              <w:keepNext/>
              <w:keepLines/>
              <w:rPr>
                <w:rFonts w:ascii="Arial" w:eastAsia="SimSun" w:hAnsi="Arial" w:cs="Arial"/>
                <w:iCs/>
              </w:rPr>
            </w:pPr>
            <w:r w:rsidRPr="00B75794">
              <w:rPr>
                <w:rFonts w:ascii="Arial" w:eastAsia="SimSun" w:hAnsi="Arial" w:cs="Arial"/>
                <w:iCs/>
              </w:rPr>
              <w:t>The PBAC rejected the submission to list netupitant with palonosetron</w:t>
            </w:r>
            <w:r>
              <w:rPr>
                <w:rFonts w:ascii="Arial" w:eastAsia="SimSun" w:hAnsi="Arial" w:cs="Arial"/>
                <w:iCs/>
              </w:rPr>
              <w:t xml:space="preserve"> </w:t>
            </w:r>
            <w:r w:rsidRPr="00B75794">
              <w:rPr>
                <w:rFonts w:ascii="Arial" w:eastAsia="SimSun" w:hAnsi="Arial" w:cs="Arial"/>
                <w:iCs/>
              </w:rPr>
              <w:t xml:space="preserve">on the PBS for the prevention and treatment of chemotherapy induced nausea and vomiting. In making its recommendation, the PBAC considered that there was </w:t>
            </w:r>
            <w:r>
              <w:rPr>
                <w:rFonts w:ascii="Arial" w:eastAsia="SimSun" w:hAnsi="Arial" w:cs="Arial"/>
                <w:iCs/>
              </w:rPr>
              <w:t xml:space="preserve">no </w:t>
            </w:r>
            <w:r w:rsidRPr="00B75794">
              <w:rPr>
                <w:rFonts w:ascii="Arial" w:eastAsia="SimSun" w:hAnsi="Arial" w:cs="Arial"/>
                <w:iCs/>
              </w:rPr>
              <w:t xml:space="preserve">unmet clinical need for this product, and that there was a lack of evidence of the effectiveness of </w:t>
            </w:r>
            <w:r w:rsidRPr="00E35C3D">
              <w:rPr>
                <w:rFonts w:ascii="Arial" w:eastAsia="SimSun" w:hAnsi="Arial" w:cs="Arial"/>
                <w:iCs/>
              </w:rPr>
              <w:t>netupitant with palonosetron</w:t>
            </w:r>
            <w:r w:rsidRPr="00B75794">
              <w:rPr>
                <w:rFonts w:ascii="Arial" w:eastAsia="SimSun" w:hAnsi="Arial" w:cs="Arial"/>
                <w:iCs/>
              </w:rPr>
              <w:t xml:space="preserve"> for patients scheduled to receive moderately emetogenic chemotherapy. The evidence also did not reflect the appropriate comparative use, as aprepitant in combination with a </w:t>
            </w:r>
            <w:r w:rsidRPr="00E35C3D">
              <w:rPr>
                <w:rFonts w:ascii="Arial" w:eastAsia="SimSun" w:hAnsi="Arial" w:cs="Arial"/>
                <w:iCs/>
              </w:rPr>
              <w:t xml:space="preserve">serotonin </w:t>
            </w:r>
            <w:r w:rsidRPr="00B75794">
              <w:rPr>
                <w:rFonts w:ascii="Arial" w:eastAsia="SimSun" w:hAnsi="Arial" w:cs="Arial"/>
                <w:iCs/>
              </w:rPr>
              <w:t>receptor antagonist is not the appropriate comparator for patients scheduled to receive moderately emetogenic chemotherapy.</w:t>
            </w:r>
          </w:p>
        </w:tc>
      </w:tr>
      <w:tr w:rsidR="002E103D" w:rsidRPr="00B75794" w:rsidTr="00CE5AA5">
        <w:trPr>
          <w:trHeight w:val="465"/>
        </w:trPr>
        <w:tc>
          <w:tcPr>
            <w:tcW w:w="2694" w:type="dxa"/>
            <w:vMerge/>
            <w:tcMar>
              <w:top w:w="28" w:type="dxa"/>
              <w:bottom w:w="28" w:type="dxa"/>
            </w:tcMar>
          </w:tcPr>
          <w:p w:rsidR="002E103D" w:rsidRPr="00B75794" w:rsidRDefault="002E103D" w:rsidP="00FA65C8">
            <w:pPr>
              <w:pStyle w:val="Heading1"/>
              <w:keepNext w:val="0"/>
              <w:rPr>
                <w:rFonts w:cs="Arial"/>
              </w:rPr>
            </w:pPr>
          </w:p>
        </w:tc>
        <w:tc>
          <w:tcPr>
            <w:tcW w:w="2409" w:type="dxa"/>
            <w:vMerge/>
          </w:tcPr>
          <w:p w:rsidR="002E103D" w:rsidRPr="00B75794" w:rsidRDefault="002E103D" w:rsidP="00FA65C8">
            <w:pPr>
              <w:widowControl w:val="0"/>
              <w:rPr>
                <w:rFonts w:ascii="Arial" w:hAnsi="Arial" w:cs="Arial"/>
                <w:snapToGrid w:val="0"/>
                <w:lang w:eastAsia="en-US"/>
              </w:rPr>
            </w:pPr>
          </w:p>
        </w:tc>
        <w:tc>
          <w:tcPr>
            <w:tcW w:w="3262" w:type="dxa"/>
            <w:tcMar>
              <w:top w:w="28" w:type="dxa"/>
              <w:bottom w:w="28" w:type="dxa"/>
            </w:tcMar>
          </w:tcPr>
          <w:p w:rsidR="002E103D" w:rsidRPr="00B75794" w:rsidRDefault="002E103D" w:rsidP="00FA65C8">
            <w:pPr>
              <w:widowControl w:val="0"/>
              <w:rPr>
                <w:rFonts w:ascii="Arial" w:hAnsi="Arial" w:cs="Arial"/>
                <w:snapToGrid w:val="0"/>
                <w:lang w:eastAsia="en-US"/>
              </w:rPr>
            </w:pPr>
            <w:r w:rsidRPr="00B75794">
              <w:rPr>
                <w:rFonts w:ascii="Arial" w:hAnsi="Arial" w:cs="Arial"/>
                <w:snapToGrid w:val="0"/>
                <w:lang w:eastAsia="en-US"/>
              </w:rPr>
              <w:t>Sponsor Comment:</w:t>
            </w:r>
          </w:p>
        </w:tc>
        <w:tc>
          <w:tcPr>
            <w:tcW w:w="6950" w:type="dxa"/>
          </w:tcPr>
          <w:p w:rsidR="002E103D" w:rsidRPr="00B75794" w:rsidRDefault="002E103D" w:rsidP="00FA65C8">
            <w:pPr>
              <w:rPr>
                <w:rFonts w:ascii="Arial" w:eastAsia="SimSun" w:hAnsi="Arial" w:cs="Arial"/>
                <w:iCs/>
                <w:u w:val="single"/>
              </w:rPr>
            </w:pPr>
            <w:r w:rsidRPr="0061536A">
              <w:rPr>
                <w:rFonts w:ascii="Arial" w:hAnsi="Arial" w:cs="Arial"/>
                <w:iCs/>
              </w:rPr>
              <w:t>The sponsor had no comment.</w:t>
            </w:r>
          </w:p>
        </w:tc>
      </w:tr>
      <w:tr w:rsidR="002E103D" w:rsidTr="00CE5AA5">
        <w:tblPrEx>
          <w:tblCellMar>
            <w:left w:w="0" w:type="dxa"/>
            <w:right w:w="0" w:type="dxa"/>
          </w:tblCellMar>
          <w:tblLook w:val="04A0" w:firstRow="1" w:lastRow="0" w:firstColumn="1" w:lastColumn="0" w:noHBand="0" w:noVBand="1"/>
        </w:tblPrEx>
        <w:trPr>
          <w:trHeight w:val="968"/>
        </w:trPr>
        <w:tc>
          <w:tcPr>
            <w:tcW w:w="2694" w:type="dxa"/>
            <w:vMerge w:val="restart"/>
            <w:tcMar>
              <w:top w:w="28" w:type="dxa"/>
              <w:left w:w="108" w:type="dxa"/>
              <w:bottom w:w="28" w:type="dxa"/>
              <w:right w:w="108" w:type="dxa"/>
            </w:tcMar>
          </w:tcPr>
          <w:p w:rsidR="002E103D" w:rsidRDefault="002E103D" w:rsidP="00FA65C8">
            <w:pPr>
              <w:pStyle w:val="Heading1"/>
              <w:rPr>
                <w:rFonts w:ascii="Arial Bold" w:hAnsi="Arial Bold"/>
                <w:sz w:val="22"/>
                <w:szCs w:val="22"/>
              </w:rPr>
            </w:pPr>
            <w:r>
              <w:lastRenderedPageBreak/>
              <w:t xml:space="preserve">NINTEDANIB </w:t>
            </w:r>
          </w:p>
          <w:p w:rsidR="002E103D" w:rsidRDefault="002E103D" w:rsidP="00FA65C8">
            <w:pPr>
              <w:pStyle w:val="Heading1"/>
              <w:rPr>
                <w:b w:val="0"/>
                <w:bCs/>
              </w:rPr>
            </w:pPr>
            <w:r>
              <w:rPr>
                <w:b w:val="0"/>
              </w:rPr>
              <w:t xml:space="preserve">100 mg capsule, 60; </w:t>
            </w:r>
          </w:p>
          <w:p w:rsidR="002E103D" w:rsidRDefault="002E103D" w:rsidP="00FA65C8">
            <w:pPr>
              <w:pStyle w:val="Heading1"/>
              <w:rPr>
                <w:b w:val="0"/>
                <w:bCs/>
              </w:rPr>
            </w:pPr>
            <w:r>
              <w:rPr>
                <w:b w:val="0"/>
              </w:rPr>
              <w:t xml:space="preserve">150 mg capsule, 60 </w:t>
            </w:r>
          </w:p>
          <w:p w:rsidR="002E103D" w:rsidRDefault="002E103D" w:rsidP="00FA65C8">
            <w:pPr>
              <w:rPr>
                <w:rFonts w:ascii="Arial" w:hAnsi="Arial" w:cs="Arial"/>
                <w:sz w:val="14"/>
                <w:szCs w:val="14"/>
              </w:rPr>
            </w:pPr>
          </w:p>
          <w:p w:rsidR="002E103D" w:rsidRDefault="002E103D" w:rsidP="00FA65C8">
            <w:pPr>
              <w:pStyle w:val="Heading1"/>
              <w:rPr>
                <w:b w:val="0"/>
                <w:bCs/>
                <w:vertAlign w:val="superscript"/>
              </w:rPr>
            </w:pPr>
            <w:r>
              <w:rPr>
                <w:b w:val="0"/>
              </w:rPr>
              <w:t>Ofev</w:t>
            </w:r>
            <w:r>
              <w:rPr>
                <w:b w:val="0"/>
                <w:vertAlign w:val="superscript"/>
              </w:rPr>
              <w:t>®</w:t>
            </w:r>
          </w:p>
          <w:p w:rsidR="002E103D" w:rsidRDefault="002E103D" w:rsidP="00FA65C8">
            <w:pPr>
              <w:rPr>
                <w:sz w:val="14"/>
                <w:szCs w:val="14"/>
              </w:rPr>
            </w:pPr>
          </w:p>
          <w:p w:rsidR="002E103D" w:rsidRDefault="002E103D" w:rsidP="00FA65C8">
            <w:pPr>
              <w:pStyle w:val="Heading1"/>
              <w:rPr>
                <w:b w:val="0"/>
                <w:bCs/>
              </w:rPr>
            </w:pPr>
            <w:r>
              <w:rPr>
                <w:b w:val="0"/>
              </w:rPr>
              <w:t>Boehringer Ingelheim Pty Ltd</w:t>
            </w:r>
          </w:p>
          <w:p w:rsidR="002E103D" w:rsidRDefault="002E103D" w:rsidP="00FA65C8">
            <w:pPr>
              <w:pStyle w:val="Heading1"/>
              <w:rPr>
                <w:sz w:val="14"/>
                <w:szCs w:val="14"/>
              </w:rPr>
            </w:pPr>
          </w:p>
          <w:p w:rsidR="002E103D" w:rsidRDefault="002E103D" w:rsidP="00FA65C8">
            <w:pPr>
              <w:rPr>
                <w:rFonts w:ascii="Arial" w:hAnsi="Arial" w:cs="Arial"/>
              </w:rPr>
            </w:pPr>
            <w:r>
              <w:rPr>
                <w:rFonts w:ascii="Arial" w:hAnsi="Arial" w:cs="Arial"/>
              </w:rPr>
              <w:t>(Major Submission)</w:t>
            </w:r>
          </w:p>
        </w:tc>
        <w:tc>
          <w:tcPr>
            <w:tcW w:w="2409" w:type="dxa"/>
            <w:vMerge w:val="restart"/>
            <w:tcMar>
              <w:top w:w="0" w:type="dxa"/>
              <w:left w:w="108" w:type="dxa"/>
              <w:bottom w:w="0" w:type="dxa"/>
              <w:right w:w="108" w:type="dxa"/>
            </w:tcMar>
            <w:hideMark/>
          </w:tcPr>
          <w:p w:rsidR="002E103D" w:rsidRDefault="002E103D" w:rsidP="00FA65C8">
            <w:pPr>
              <w:rPr>
                <w:rFonts w:ascii="Arial" w:hAnsi="Arial" w:cs="Arial"/>
                <w:snapToGrid w:val="0"/>
              </w:rPr>
            </w:pPr>
            <w:r>
              <w:rPr>
                <w:rFonts w:ascii="Arial" w:hAnsi="Arial" w:cs="Arial"/>
                <w:snapToGrid w:val="0"/>
              </w:rPr>
              <w:t>Idiopathic pulmonary fibrosis (IPF)</w:t>
            </w:r>
          </w:p>
        </w:tc>
        <w:tc>
          <w:tcPr>
            <w:tcW w:w="3262" w:type="dxa"/>
            <w:tcMar>
              <w:top w:w="28" w:type="dxa"/>
              <w:left w:w="108" w:type="dxa"/>
              <w:bottom w:w="28" w:type="dxa"/>
              <w:right w:w="108" w:type="dxa"/>
            </w:tcMar>
            <w:hideMark/>
          </w:tcPr>
          <w:p w:rsidR="002E103D" w:rsidRDefault="002E103D" w:rsidP="00FA65C8">
            <w:pPr>
              <w:rPr>
                <w:rFonts w:ascii="Arial" w:hAnsi="Arial" w:cs="Arial"/>
                <w:snapToGrid w:val="0"/>
              </w:rPr>
            </w:pPr>
            <w:r>
              <w:rPr>
                <w:rFonts w:ascii="Arial" w:hAnsi="Arial" w:cs="Arial"/>
                <w:snapToGrid w:val="0"/>
              </w:rPr>
              <w:t xml:space="preserve">To submission sought Authority Required listing for nintedanib for treatment of </w:t>
            </w:r>
            <w:r>
              <w:rPr>
                <w:rFonts w:ascii="Arial" w:hAnsi="Arial" w:cs="Arial"/>
              </w:rPr>
              <w:t>idiopathic pulmonary fibrosis</w:t>
            </w:r>
            <w:r>
              <w:rPr>
                <w:rFonts w:ascii="Arial" w:hAnsi="Arial" w:cs="Arial"/>
                <w:snapToGrid w:val="0"/>
              </w:rPr>
              <w:t>.</w:t>
            </w:r>
          </w:p>
        </w:tc>
        <w:tc>
          <w:tcPr>
            <w:tcW w:w="6950" w:type="dxa"/>
            <w:tcMar>
              <w:top w:w="0" w:type="dxa"/>
              <w:left w:w="108" w:type="dxa"/>
              <w:bottom w:w="0" w:type="dxa"/>
              <w:right w:w="108" w:type="dxa"/>
            </w:tcMar>
            <w:hideMark/>
          </w:tcPr>
          <w:p w:rsidR="002E103D" w:rsidRDefault="002E103D" w:rsidP="00FA65C8">
            <w:pPr>
              <w:pageBreakBefore/>
              <w:rPr>
                <w:rFonts w:ascii="Arial" w:hAnsi="Arial" w:cs="Arial"/>
                <w:snapToGrid w:val="0"/>
              </w:rPr>
            </w:pPr>
            <w:r>
              <w:rPr>
                <w:rFonts w:ascii="Arial" w:hAnsi="Arial" w:cs="Arial"/>
                <w:snapToGrid w:val="0"/>
              </w:rPr>
              <w:t>The PBAC rejected the request to list nintedanib for the treatment of patients with IPF on the basis of an uncertain estimate of comparative effectiveness, as measured by the effect on clinically relevant outcomes, including acute IPF exacerbations and overall survival, and a resulting very high and uncertain estimate of cost effectiveness.</w:t>
            </w:r>
          </w:p>
        </w:tc>
      </w:tr>
      <w:tr w:rsidR="002E103D" w:rsidTr="00CE5AA5">
        <w:tblPrEx>
          <w:tblCellMar>
            <w:left w:w="0" w:type="dxa"/>
            <w:right w:w="0" w:type="dxa"/>
          </w:tblCellMar>
          <w:tblLook w:val="04A0" w:firstRow="1" w:lastRow="0" w:firstColumn="1" w:lastColumn="0" w:noHBand="0" w:noVBand="1"/>
        </w:tblPrEx>
        <w:trPr>
          <w:trHeight w:val="1050"/>
        </w:trPr>
        <w:tc>
          <w:tcPr>
            <w:tcW w:w="2694" w:type="dxa"/>
            <w:vMerge/>
            <w:vAlign w:val="center"/>
            <w:hideMark/>
          </w:tcPr>
          <w:p w:rsidR="002E103D" w:rsidRDefault="002E103D" w:rsidP="00FA65C8">
            <w:pPr>
              <w:rPr>
                <w:rFonts w:ascii="Arial" w:hAnsi="Arial" w:cs="Arial"/>
              </w:rPr>
            </w:pPr>
          </w:p>
        </w:tc>
        <w:tc>
          <w:tcPr>
            <w:tcW w:w="2409" w:type="dxa"/>
            <w:vMerge/>
            <w:vAlign w:val="center"/>
            <w:hideMark/>
          </w:tcPr>
          <w:p w:rsidR="002E103D" w:rsidRDefault="002E103D" w:rsidP="00FA65C8">
            <w:pPr>
              <w:rPr>
                <w:rFonts w:ascii="Arial" w:hAnsi="Arial" w:cs="Arial"/>
                <w:snapToGrid w:val="0"/>
              </w:rPr>
            </w:pPr>
          </w:p>
        </w:tc>
        <w:tc>
          <w:tcPr>
            <w:tcW w:w="3262" w:type="dxa"/>
            <w:tcMar>
              <w:top w:w="28" w:type="dxa"/>
              <w:left w:w="108" w:type="dxa"/>
              <w:bottom w:w="28" w:type="dxa"/>
              <w:right w:w="108" w:type="dxa"/>
            </w:tcMar>
            <w:hideMark/>
          </w:tcPr>
          <w:p w:rsidR="002E103D" w:rsidRDefault="002E103D" w:rsidP="00FA65C8">
            <w:pPr>
              <w:jc w:val="right"/>
              <w:rPr>
                <w:rFonts w:ascii="Arial" w:hAnsi="Arial" w:cs="Arial"/>
                <w:snapToGrid w:val="0"/>
              </w:rPr>
            </w:pPr>
            <w:r>
              <w:rPr>
                <w:rFonts w:ascii="Arial" w:hAnsi="Arial" w:cs="Arial"/>
                <w:snapToGrid w:val="0"/>
              </w:rPr>
              <w:t>Sponsor Comment:</w:t>
            </w:r>
          </w:p>
        </w:tc>
        <w:tc>
          <w:tcPr>
            <w:tcW w:w="6950" w:type="dxa"/>
            <w:tcMar>
              <w:top w:w="0" w:type="dxa"/>
              <w:left w:w="108" w:type="dxa"/>
              <w:bottom w:w="0" w:type="dxa"/>
              <w:right w:w="108" w:type="dxa"/>
            </w:tcMar>
            <w:hideMark/>
          </w:tcPr>
          <w:p w:rsidR="002E103D" w:rsidRDefault="002E103D" w:rsidP="00FA65C8">
            <w:pPr>
              <w:pageBreakBefore/>
              <w:rPr>
                <w:rFonts w:ascii="Arial" w:hAnsi="Arial" w:cs="Arial"/>
                <w:snapToGrid w:val="0"/>
              </w:rPr>
            </w:pPr>
            <w:r>
              <w:rPr>
                <w:rFonts w:ascii="Arial" w:hAnsi="Arial" w:cs="Arial"/>
                <w:snapToGrid w:val="0"/>
              </w:rPr>
              <w:t>The Sponsor had no comment.</w:t>
            </w:r>
          </w:p>
        </w:tc>
      </w:tr>
      <w:tr w:rsidR="002E103D" w:rsidTr="00CE5AA5">
        <w:tblPrEx>
          <w:tblCellMar>
            <w:left w:w="0" w:type="dxa"/>
            <w:right w:w="0" w:type="dxa"/>
          </w:tblCellMar>
          <w:tblLook w:val="04A0" w:firstRow="1" w:lastRow="0" w:firstColumn="1" w:lastColumn="0" w:noHBand="0" w:noVBand="1"/>
        </w:tblPrEx>
        <w:trPr>
          <w:trHeight w:val="1148"/>
        </w:trPr>
        <w:tc>
          <w:tcPr>
            <w:tcW w:w="2694" w:type="dxa"/>
            <w:vMerge w:val="restart"/>
            <w:tcMar>
              <w:top w:w="28" w:type="dxa"/>
              <w:left w:w="108" w:type="dxa"/>
              <w:bottom w:w="28" w:type="dxa"/>
              <w:right w:w="108" w:type="dxa"/>
            </w:tcMar>
          </w:tcPr>
          <w:p w:rsidR="002E103D" w:rsidRDefault="002E103D" w:rsidP="00FA65C8">
            <w:pPr>
              <w:pStyle w:val="Heading1"/>
              <w:rPr>
                <w:rFonts w:ascii="Arial Bold" w:hAnsi="Arial Bold"/>
                <w:sz w:val="22"/>
                <w:szCs w:val="22"/>
              </w:rPr>
            </w:pPr>
            <w:r>
              <w:t xml:space="preserve">NINTEDANIB </w:t>
            </w:r>
          </w:p>
          <w:p w:rsidR="002E103D" w:rsidRDefault="002E103D" w:rsidP="00FA65C8">
            <w:pPr>
              <w:pStyle w:val="Heading1"/>
              <w:rPr>
                <w:b w:val="0"/>
                <w:bCs/>
              </w:rPr>
            </w:pPr>
            <w:r>
              <w:rPr>
                <w:b w:val="0"/>
              </w:rPr>
              <w:t xml:space="preserve">100 mg capsule, 60; </w:t>
            </w:r>
          </w:p>
          <w:p w:rsidR="002E103D" w:rsidRDefault="002E103D" w:rsidP="00FA65C8">
            <w:pPr>
              <w:pStyle w:val="Heading1"/>
              <w:rPr>
                <w:b w:val="0"/>
                <w:bCs/>
              </w:rPr>
            </w:pPr>
            <w:r>
              <w:rPr>
                <w:b w:val="0"/>
              </w:rPr>
              <w:t xml:space="preserve">150 mg capsule, 60 </w:t>
            </w:r>
          </w:p>
          <w:p w:rsidR="002E103D" w:rsidRDefault="002E103D" w:rsidP="00FA65C8">
            <w:pPr>
              <w:rPr>
                <w:rFonts w:ascii="Arial" w:hAnsi="Arial" w:cs="Arial"/>
              </w:rPr>
            </w:pPr>
          </w:p>
          <w:p w:rsidR="002E103D" w:rsidRDefault="002E103D" w:rsidP="00FA65C8">
            <w:pPr>
              <w:pStyle w:val="Heading1"/>
              <w:rPr>
                <w:b w:val="0"/>
                <w:bCs/>
              </w:rPr>
            </w:pPr>
            <w:r>
              <w:rPr>
                <w:b w:val="0"/>
              </w:rPr>
              <w:t>Ofev</w:t>
            </w:r>
            <w:r>
              <w:rPr>
                <w:b w:val="0"/>
                <w:vertAlign w:val="superscript"/>
              </w:rPr>
              <w:t>®</w:t>
            </w:r>
            <w:r>
              <w:rPr>
                <w:b w:val="0"/>
              </w:rPr>
              <w:t xml:space="preserve">, </w:t>
            </w:r>
          </w:p>
          <w:p w:rsidR="002E103D" w:rsidRDefault="002E103D" w:rsidP="00FA65C8">
            <w:pPr>
              <w:rPr>
                <w:rFonts w:ascii="Arial" w:hAnsi="Arial" w:cs="Arial"/>
              </w:rPr>
            </w:pPr>
          </w:p>
          <w:p w:rsidR="002E103D" w:rsidRDefault="002E103D" w:rsidP="00FA65C8">
            <w:pPr>
              <w:pStyle w:val="Heading1"/>
              <w:rPr>
                <w:b w:val="0"/>
                <w:bCs/>
              </w:rPr>
            </w:pPr>
            <w:r>
              <w:rPr>
                <w:b w:val="0"/>
              </w:rPr>
              <w:t>Boehringer Ingelheim Pty Ltd</w:t>
            </w:r>
          </w:p>
          <w:p w:rsidR="002E103D" w:rsidRDefault="002E103D" w:rsidP="00FA65C8">
            <w:pPr>
              <w:pStyle w:val="Heading1"/>
              <w:rPr>
                <w:rFonts w:ascii="Arial Bold" w:hAnsi="Arial Bold"/>
              </w:rPr>
            </w:pPr>
          </w:p>
          <w:p w:rsidR="002E103D" w:rsidRDefault="002E103D" w:rsidP="00FA65C8">
            <w:pPr>
              <w:rPr>
                <w:rFonts w:ascii="Arial" w:hAnsi="Arial" w:cs="Arial"/>
              </w:rPr>
            </w:pPr>
            <w:r>
              <w:rPr>
                <w:rFonts w:ascii="Arial" w:hAnsi="Arial" w:cs="Arial"/>
              </w:rPr>
              <w:t>(Major Submission)</w:t>
            </w:r>
          </w:p>
          <w:p w:rsidR="002E103D" w:rsidRDefault="002E103D" w:rsidP="002E103D">
            <w:pPr>
              <w:rPr>
                <w:rFonts w:ascii="Arial" w:hAnsi="Arial" w:cs="Arial"/>
              </w:rPr>
            </w:pPr>
          </w:p>
          <w:p w:rsidR="002E103D" w:rsidRPr="002E103D" w:rsidRDefault="002E103D" w:rsidP="002E103D">
            <w:pPr>
              <w:rPr>
                <w:rFonts w:ascii="Arial" w:hAnsi="Arial" w:cs="Arial"/>
              </w:rPr>
            </w:pPr>
          </w:p>
        </w:tc>
        <w:tc>
          <w:tcPr>
            <w:tcW w:w="2409" w:type="dxa"/>
            <w:vMerge w:val="restart"/>
            <w:tcMar>
              <w:top w:w="0" w:type="dxa"/>
              <w:left w:w="108" w:type="dxa"/>
              <w:bottom w:w="0" w:type="dxa"/>
              <w:right w:w="108" w:type="dxa"/>
            </w:tcMar>
            <w:hideMark/>
          </w:tcPr>
          <w:p w:rsidR="002E103D" w:rsidRDefault="002E103D" w:rsidP="00FA65C8">
            <w:pPr>
              <w:rPr>
                <w:rFonts w:ascii="Arial" w:hAnsi="Arial" w:cs="Arial"/>
                <w:snapToGrid w:val="0"/>
              </w:rPr>
            </w:pPr>
            <w:r>
              <w:rPr>
                <w:rFonts w:ascii="Arial" w:hAnsi="Arial" w:cs="Arial"/>
              </w:rPr>
              <w:t>Non-small cell lung cancer (NSCLC)</w:t>
            </w:r>
          </w:p>
        </w:tc>
        <w:tc>
          <w:tcPr>
            <w:tcW w:w="3262" w:type="dxa"/>
            <w:tcMar>
              <w:top w:w="28" w:type="dxa"/>
              <w:left w:w="108" w:type="dxa"/>
              <w:bottom w:w="28" w:type="dxa"/>
              <w:right w:w="108" w:type="dxa"/>
            </w:tcMar>
            <w:hideMark/>
          </w:tcPr>
          <w:p w:rsidR="002E103D" w:rsidRDefault="002E103D" w:rsidP="00FA65C8">
            <w:pPr>
              <w:rPr>
                <w:rFonts w:ascii="Arial" w:hAnsi="Arial" w:cs="Arial"/>
              </w:rPr>
            </w:pPr>
            <w:r>
              <w:rPr>
                <w:rFonts w:ascii="Arial" w:hAnsi="Arial" w:cs="Arial"/>
              </w:rPr>
              <w:t>The submission sought Authority Required listing for nintedanib in combination with docetaxel for second line treatment of non-small cell lung cancer in patients with adenocarcinoma histology.</w:t>
            </w:r>
          </w:p>
        </w:tc>
        <w:tc>
          <w:tcPr>
            <w:tcW w:w="6950" w:type="dxa"/>
            <w:tcMar>
              <w:top w:w="0" w:type="dxa"/>
              <w:left w:w="108" w:type="dxa"/>
              <w:bottom w:w="0" w:type="dxa"/>
              <w:right w:w="108" w:type="dxa"/>
            </w:tcMar>
            <w:hideMark/>
          </w:tcPr>
          <w:p w:rsidR="002E103D" w:rsidRDefault="002E103D" w:rsidP="00FA65C8">
            <w:pPr>
              <w:pageBreakBefore/>
              <w:rPr>
                <w:rFonts w:ascii="Arial" w:hAnsi="Arial" w:cs="Arial"/>
                <w:snapToGrid w:val="0"/>
              </w:rPr>
            </w:pPr>
            <w:r>
              <w:rPr>
                <w:rFonts w:ascii="Arial" w:hAnsi="Arial" w:cs="Arial"/>
                <w:snapToGrid w:val="0"/>
              </w:rPr>
              <w:t>The PBAC rejected the request to list nintedanib (in combination with docetaxel) for the treatment of patients with NSCLC on the basis that the submission did not demonstrate non-inferior effectiveness compared with pemetrexed. In addition, the cost utility analysis presented in the submission was inconsistent with the clinical claim of non-inferior efficacy and inferior safety of nintedanib (in combination with docetaxel) to pemetrexed.</w:t>
            </w:r>
          </w:p>
        </w:tc>
      </w:tr>
      <w:tr w:rsidR="002E103D" w:rsidTr="00CE5AA5">
        <w:tblPrEx>
          <w:tblCellMar>
            <w:left w:w="0" w:type="dxa"/>
            <w:right w:w="0" w:type="dxa"/>
          </w:tblCellMar>
          <w:tblLook w:val="04A0" w:firstRow="1" w:lastRow="0" w:firstColumn="1" w:lastColumn="0" w:noHBand="0" w:noVBand="1"/>
        </w:tblPrEx>
        <w:trPr>
          <w:trHeight w:val="1147"/>
        </w:trPr>
        <w:tc>
          <w:tcPr>
            <w:tcW w:w="2694" w:type="dxa"/>
            <w:vMerge/>
            <w:vAlign w:val="center"/>
            <w:hideMark/>
          </w:tcPr>
          <w:p w:rsidR="002E103D" w:rsidRDefault="002E103D" w:rsidP="00FA65C8">
            <w:pPr>
              <w:rPr>
                <w:rFonts w:ascii="Arial" w:hAnsi="Arial" w:cs="Arial"/>
              </w:rPr>
            </w:pPr>
          </w:p>
        </w:tc>
        <w:tc>
          <w:tcPr>
            <w:tcW w:w="2409" w:type="dxa"/>
            <w:vMerge/>
            <w:vAlign w:val="center"/>
            <w:hideMark/>
          </w:tcPr>
          <w:p w:rsidR="002E103D" w:rsidRDefault="002E103D" w:rsidP="00FA65C8">
            <w:pPr>
              <w:rPr>
                <w:rFonts w:ascii="Arial" w:hAnsi="Arial" w:cs="Arial"/>
                <w:snapToGrid w:val="0"/>
              </w:rPr>
            </w:pPr>
          </w:p>
        </w:tc>
        <w:tc>
          <w:tcPr>
            <w:tcW w:w="3262" w:type="dxa"/>
            <w:tcMar>
              <w:top w:w="28" w:type="dxa"/>
              <w:left w:w="108" w:type="dxa"/>
              <w:bottom w:w="28" w:type="dxa"/>
              <w:right w:w="108" w:type="dxa"/>
            </w:tcMar>
            <w:hideMark/>
          </w:tcPr>
          <w:p w:rsidR="002E103D" w:rsidRDefault="002E103D" w:rsidP="00FA65C8">
            <w:pPr>
              <w:jc w:val="right"/>
              <w:rPr>
                <w:rFonts w:ascii="Arial" w:hAnsi="Arial" w:cs="Arial"/>
              </w:rPr>
            </w:pPr>
            <w:r>
              <w:rPr>
                <w:rFonts w:ascii="Arial" w:hAnsi="Arial" w:cs="Arial"/>
                <w:snapToGrid w:val="0"/>
              </w:rPr>
              <w:t>Sponsor Comment:</w:t>
            </w:r>
          </w:p>
        </w:tc>
        <w:tc>
          <w:tcPr>
            <w:tcW w:w="6950" w:type="dxa"/>
            <w:tcMar>
              <w:top w:w="0" w:type="dxa"/>
              <w:left w:w="108" w:type="dxa"/>
              <w:bottom w:w="0" w:type="dxa"/>
              <w:right w:w="108" w:type="dxa"/>
            </w:tcMar>
            <w:hideMark/>
          </w:tcPr>
          <w:p w:rsidR="002E103D" w:rsidRDefault="002E103D" w:rsidP="00FA65C8">
            <w:pPr>
              <w:pageBreakBefore/>
              <w:rPr>
                <w:rFonts w:ascii="Arial" w:hAnsi="Arial" w:cs="Arial"/>
                <w:snapToGrid w:val="0"/>
              </w:rPr>
            </w:pPr>
            <w:r>
              <w:rPr>
                <w:rFonts w:ascii="Arial" w:hAnsi="Arial" w:cs="Arial"/>
                <w:snapToGrid w:val="0"/>
              </w:rPr>
              <w:t>The Sponsor had no comment.</w:t>
            </w:r>
          </w:p>
        </w:tc>
      </w:tr>
      <w:tr w:rsidR="00681E82" w:rsidRPr="00E15BA9" w:rsidTr="00CE5AA5">
        <w:trPr>
          <w:trHeight w:val="1776"/>
        </w:trPr>
        <w:tc>
          <w:tcPr>
            <w:tcW w:w="2694" w:type="dxa"/>
            <w:tcMar>
              <w:top w:w="28" w:type="dxa"/>
              <w:bottom w:w="28" w:type="dxa"/>
            </w:tcMar>
          </w:tcPr>
          <w:p w:rsidR="0046573B" w:rsidRDefault="0046573B" w:rsidP="00EE3F20">
            <w:pPr>
              <w:pStyle w:val="Heading1"/>
              <w:keepNext w:val="0"/>
              <w:pageBreakBefore/>
              <w:rPr>
                <w:rFonts w:cs="Arial"/>
                <w:caps/>
              </w:rPr>
            </w:pPr>
            <w:r>
              <w:rPr>
                <w:rFonts w:cs="Arial"/>
                <w:caps/>
              </w:rPr>
              <w:lastRenderedPageBreak/>
              <w:t>OXYCODONE HYDROCHLORIDE</w:t>
            </w:r>
            <w:r w:rsidR="00681E82" w:rsidRPr="00B75794">
              <w:rPr>
                <w:rFonts w:cs="Arial"/>
                <w:caps/>
              </w:rPr>
              <w:t xml:space="preserve"> </w:t>
            </w:r>
          </w:p>
          <w:p w:rsidR="00681E82" w:rsidRPr="0046573B" w:rsidRDefault="00681E82" w:rsidP="00EE3F20">
            <w:pPr>
              <w:pStyle w:val="Heading1"/>
              <w:keepNext w:val="0"/>
              <w:pageBreakBefore/>
              <w:rPr>
                <w:rFonts w:cs="Arial"/>
                <w:b w:val="0"/>
              </w:rPr>
            </w:pPr>
            <w:r w:rsidRPr="0046573B">
              <w:rPr>
                <w:rFonts w:cs="Arial"/>
                <w:b w:val="0"/>
                <w:caps/>
              </w:rPr>
              <w:t xml:space="preserve">5 </w:t>
            </w:r>
            <w:r w:rsidRPr="0046573B">
              <w:rPr>
                <w:rFonts w:cs="Arial"/>
                <w:b w:val="0"/>
              </w:rPr>
              <w:t>mg</w:t>
            </w:r>
            <w:r w:rsidR="0046573B">
              <w:rPr>
                <w:rFonts w:cs="Arial"/>
                <w:b w:val="0"/>
              </w:rPr>
              <w:t>,</w:t>
            </w:r>
            <w:r w:rsidR="0046573B">
              <w:t xml:space="preserve"> </w:t>
            </w:r>
            <w:r w:rsidR="0046573B" w:rsidRPr="0046573B">
              <w:rPr>
                <w:rFonts w:cs="Arial"/>
                <w:b w:val="0"/>
              </w:rPr>
              <w:t>modified release tablet,</w:t>
            </w:r>
          </w:p>
          <w:p w:rsidR="00681E82" w:rsidRPr="0046573B" w:rsidRDefault="00681E82" w:rsidP="00EE3F20">
            <w:pPr>
              <w:pStyle w:val="Heading1"/>
              <w:keepNext w:val="0"/>
              <w:pageBreakBefore/>
              <w:rPr>
                <w:rFonts w:cs="Arial"/>
                <w:b w:val="0"/>
              </w:rPr>
            </w:pPr>
          </w:p>
          <w:p w:rsidR="00681E82" w:rsidRPr="0046573B" w:rsidRDefault="00681E82" w:rsidP="00EE3F20">
            <w:pPr>
              <w:pStyle w:val="Heading1"/>
              <w:keepNext w:val="0"/>
              <w:pageBreakBefore/>
              <w:rPr>
                <w:rFonts w:cs="Arial"/>
                <w:b w:val="0"/>
              </w:rPr>
            </w:pPr>
            <w:r w:rsidRPr="0046573B">
              <w:rPr>
                <w:rFonts w:cs="Arial"/>
                <w:b w:val="0"/>
              </w:rPr>
              <w:t>Oxycodone Sandoz</w:t>
            </w:r>
            <w:r w:rsidRPr="0046573B">
              <w:rPr>
                <w:rFonts w:cs="Arial"/>
                <w:b w:val="0"/>
                <w:vertAlign w:val="superscript"/>
              </w:rPr>
              <w:t>®</w:t>
            </w:r>
            <w:r w:rsidRPr="0046573B">
              <w:rPr>
                <w:rFonts w:cs="Arial"/>
                <w:b w:val="0"/>
              </w:rPr>
              <w:t xml:space="preserve">, </w:t>
            </w:r>
          </w:p>
          <w:p w:rsidR="00681E82" w:rsidRPr="0046573B" w:rsidRDefault="00681E82" w:rsidP="00EE3F20">
            <w:pPr>
              <w:pStyle w:val="Heading1"/>
              <w:keepNext w:val="0"/>
              <w:pageBreakBefore/>
              <w:rPr>
                <w:rFonts w:cs="Arial"/>
                <w:b w:val="0"/>
              </w:rPr>
            </w:pPr>
          </w:p>
          <w:p w:rsidR="00681E82" w:rsidRPr="0046573B" w:rsidRDefault="00681E82" w:rsidP="00EE3F20">
            <w:pPr>
              <w:pStyle w:val="Heading1"/>
              <w:keepNext w:val="0"/>
              <w:pageBreakBefore/>
              <w:rPr>
                <w:rFonts w:cs="Arial"/>
                <w:b w:val="0"/>
              </w:rPr>
            </w:pPr>
            <w:r w:rsidRPr="0046573B">
              <w:rPr>
                <w:rFonts w:cs="Arial"/>
                <w:b w:val="0"/>
              </w:rPr>
              <w:t>Sandoz Pty Ltd</w:t>
            </w:r>
          </w:p>
          <w:p w:rsidR="00681E82" w:rsidRPr="00B75794" w:rsidRDefault="00681E82" w:rsidP="00EE3F20">
            <w:pPr>
              <w:pageBreakBefore/>
              <w:rPr>
                <w:rFonts w:ascii="Arial" w:hAnsi="Arial" w:cs="Arial"/>
                <w:lang w:eastAsia="en-US"/>
              </w:rPr>
            </w:pPr>
          </w:p>
          <w:p w:rsidR="00681E82" w:rsidRPr="00B75794" w:rsidRDefault="00681E82" w:rsidP="00EE3F20">
            <w:pPr>
              <w:pageBreakBefore/>
              <w:rPr>
                <w:rFonts w:ascii="Arial" w:hAnsi="Arial" w:cs="Arial"/>
                <w:lang w:eastAsia="en-US"/>
              </w:rPr>
            </w:pPr>
            <w:r w:rsidRPr="00B75794">
              <w:rPr>
                <w:rFonts w:ascii="Arial" w:hAnsi="Arial" w:cs="Arial"/>
                <w:lang w:eastAsia="en-US"/>
              </w:rPr>
              <w:t>(Minor submission)</w:t>
            </w:r>
          </w:p>
        </w:tc>
        <w:tc>
          <w:tcPr>
            <w:tcW w:w="2409" w:type="dxa"/>
          </w:tcPr>
          <w:p w:rsidR="00681E82" w:rsidRPr="00B75794" w:rsidRDefault="00681E82" w:rsidP="0046573B">
            <w:pPr>
              <w:pageBreakBefore/>
              <w:widowControl w:val="0"/>
              <w:rPr>
                <w:rFonts w:ascii="Arial" w:hAnsi="Arial" w:cs="Arial"/>
                <w:snapToGrid w:val="0"/>
              </w:rPr>
            </w:pPr>
            <w:r w:rsidRPr="00B75794">
              <w:rPr>
                <w:rFonts w:ascii="Arial" w:hAnsi="Arial" w:cs="Arial"/>
                <w:snapToGrid w:val="0"/>
              </w:rPr>
              <w:t xml:space="preserve">Pain </w:t>
            </w:r>
          </w:p>
        </w:tc>
        <w:tc>
          <w:tcPr>
            <w:tcW w:w="3262" w:type="dxa"/>
            <w:tcMar>
              <w:top w:w="28" w:type="dxa"/>
              <w:bottom w:w="28" w:type="dxa"/>
            </w:tcMar>
          </w:tcPr>
          <w:p w:rsidR="00681E82" w:rsidRPr="00B75794" w:rsidRDefault="00681E82" w:rsidP="0046573B">
            <w:pPr>
              <w:pageBreakBefore/>
              <w:contextualSpacing/>
              <w:rPr>
                <w:rFonts w:ascii="Arial" w:hAnsi="Arial" w:cs="Arial"/>
                <w:snapToGrid w:val="0"/>
              </w:rPr>
            </w:pPr>
            <w:r w:rsidRPr="00B75794">
              <w:rPr>
                <w:rFonts w:ascii="Arial" w:hAnsi="Arial" w:cs="Arial"/>
                <w:snapToGrid w:val="0"/>
              </w:rPr>
              <w:t xml:space="preserve">The submission </w:t>
            </w:r>
            <w:r w:rsidR="0046573B">
              <w:rPr>
                <w:rFonts w:ascii="Arial" w:hAnsi="Arial" w:cs="Arial"/>
                <w:snapToGrid w:val="0"/>
              </w:rPr>
              <w:t xml:space="preserve">sought </w:t>
            </w:r>
            <w:r w:rsidRPr="00B75794">
              <w:rPr>
                <w:rFonts w:ascii="Arial" w:hAnsi="Arial" w:cs="Arial"/>
                <w:snapToGrid w:val="0"/>
              </w:rPr>
              <w:t>PBS listing of a 5 mg strength of modified release oxycodone</w:t>
            </w:r>
            <w:r w:rsidR="0046573B">
              <w:rPr>
                <w:rFonts w:ascii="Arial" w:hAnsi="Arial" w:cs="Arial"/>
                <w:snapToGrid w:val="0"/>
              </w:rPr>
              <w:t>.</w:t>
            </w:r>
          </w:p>
        </w:tc>
        <w:tc>
          <w:tcPr>
            <w:tcW w:w="6950" w:type="dxa"/>
          </w:tcPr>
          <w:p w:rsidR="0046573B" w:rsidRDefault="00681E82" w:rsidP="00EE3F20">
            <w:pPr>
              <w:pageBreakBefore/>
              <w:contextualSpacing/>
              <w:rPr>
                <w:rFonts w:ascii="Arial" w:hAnsi="Arial" w:cs="Arial"/>
                <w:snapToGrid w:val="0"/>
              </w:rPr>
            </w:pPr>
            <w:r w:rsidRPr="00B75794">
              <w:rPr>
                <w:rFonts w:ascii="Arial" w:hAnsi="Arial" w:cs="Arial"/>
                <w:snapToGrid w:val="0"/>
              </w:rPr>
              <w:t>The PBAC rejected the proposed General schedule listing of the oxycodone 5 mg strength.</w:t>
            </w:r>
            <w:r w:rsidR="0046573B">
              <w:rPr>
                <w:rFonts w:ascii="Arial" w:hAnsi="Arial" w:cs="Arial"/>
                <w:snapToGrid w:val="0"/>
              </w:rPr>
              <w:t xml:space="preserve">  </w:t>
            </w:r>
            <w:r w:rsidR="0046573B" w:rsidRPr="0046573B">
              <w:rPr>
                <w:rFonts w:ascii="Arial" w:hAnsi="Arial" w:cs="Arial"/>
                <w:snapToGrid w:val="0"/>
              </w:rPr>
              <w:t>The PBAC noted that another sponsor’s 5mg presentation of oxycodone had been removed from the PBS at the request of that sponsor.  The PBAC recalled that as a standard part of a request to delist a product from the PBS, it must be established that there is no pressing clinical need for the product in question.  Having been satisfied that this was the case for oxycodone 5mg, the PBAC considered that this submission had not established a convincing argument that a clinical need for this strength now existed.</w:t>
            </w:r>
          </w:p>
          <w:p w:rsidR="00681E82" w:rsidRPr="00B75794" w:rsidRDefault="00681E82" w:rsidP="00EE3F20">
            <w:pPr>
              <w:pageBreakBefore/>
              <w:contextualSpacing/>
              <w:rPr>
                <w:rFonts w:ascii="Arial" w:hAnsi="Arial" w:cs="Arial"/>
                <w:snapToGrid w:val="0"/>
              </w:rPr>
            </w:pPr>
          </w:p>
        </w:tc>
      </w:tr>
      <w:tr w:rsidR="00681E82" w:rsidRPr="006D5F62" w:rsidTr="00CE5AA5">
        <w:trPr>
          <w:trHeight w:val="465"/>
        </w:trPr>
        <w:tc>
          <w:tcPr>
            <w:tcW w:w="2694" w:type="dxa"/>
            <w:tcMar>
              <w:top w:w="28" w:type="dxa"/>
              <w:bottom w:w="28" w:type="dxa"/>
            </w:tcMar>
          </w:tcPr>
          <w:p w:rsidR="00681E82" w:rsidRPr="00B75794" w:rsidRDefault="00681E82" w:rsidP="00EE3F20">
            <w:pPr>
              <w:pStyle w:val="Heading1"/>
              <w:keepNext w:val="0"/>
              <w:rPr>
                <w:rFonts w:cs="Arial"/>
                <w:caps/>
              </w:rPr>
            </w:pPr>
          </w:p>
        </w:tc>
        <w:tc>
          <w:tcPr>
            <w:tcW w:w="2409" w:type="dxa"/>
          </w:tcPr>
          <w:p w:rsidR="00681E82" w:rsidRPr="00B75794" w:rsidRDefault="00681E82" w:rsidP="00EE3F20">
            <w:pPr>
              <w:widowControl w:val="0"/>
              <w:rPr>
                <w:rFonts w:ascii="Arial" w:hAnsi="Arial" w:cs="Arial"/>
                <w:snapToGrid w:val="0"/>
              </w:rPr>
            </w:pPr>
          </w:p>
        </w:tc>
        <w:tc>
          <w:tcPr>
            <w:tcW w:w="3262" w:type="dxa"/>
            <w:tcMar>
              <w:top w:w="28" w:type="dxa"/>
              <w:bottom w:w="28" w:type="dxa"/>
            </w:tcMar>
          </w:tcPr>
          <w:p w:rsidR="00681E82" w:rsidRPr="00B75794" w:rsidRDefault="00681E82" w:rsidP="00EE3F20">
            <w:pPr>
              <w:contextualSpacing/>
              <w:jc w:val="right"/>
              <w:rPr>
                <w:rFonts w:ascii="Arial" w:hAnsi="Arial" w:cs="Arial"/>
                <w:snapToGrid w:val="0"/>
              </w:rPr>
            </w:pPr>
            <w:r w:rsidRPr="00B75794">
              <w:rPr>
                <w:rFonts w:ascii="Arial" w:hAnsi="Arial" w:cs="Arial"/>
                <w:snapToGrid w:val="0"/>
                <w:lang w:eastAsia="en-US"/>
              </w:rPr>
              <w:t>Sponsor Comment:</w:t>
            </w:r>
          </w:p>
        </w:tc>
        <w:tc>
          <w:tcPr>
            <w:tcW w:w="6950" w:type="dxa"/>
          </w:tcPr>
          <w:p w:rsidR="00681E82" w:rsidRPr="00B75794" w:rsidRDefault="0038708C" w:rsidP="00EE3F20">
            <w:pPr>
              <w:contextualSpacing/>
              <w:jc w:val="both"/>
              <w:rPr>
                <w:rFonts w:ascii="Arial" w:hAnsi="Arial" w:cs="Arial"/>
                <w:snapToGrid w:val="0"/>
              </w:rPr>
            </w:pPr>
            <w:r w:rsidRPr="0038708C">
              <w:rPr>
                <w:rFonts w:ascii="Arial" w:hAnsi="Arial" w:cs="Arial"/>
                <w:iCs/>
                <w:snapToGrid w:val="0"/>
              </w:rPr>
              <w:t>The sponsor had no comment.</w:t>
            </w:r>
          </w:p>
        </w:tc>
      </w:tr>
      <w:tr w:rsidR="003263A0" w:rsidRPr="006D5F62" w:rsidTr="00CE5AA5">
        <w:trPr>
          <w:trHeight w:val="465"/>
        </w:trPr>
        <w:tc>
          <w:tcPr>
            <w:tcW w:w="2694" w:type="dxa"/>
            <w:vMerge w:val="restart"/>
            <w:tcMar>
              <w:top w:w="28" w:type="dxa"/>
              <w:bottom w:w="28" w:type="dxa"/>
            </w:tcMar>
          </w:tcPr>
          <w:p w:rsidR="003263A0" w:rsidRPr="00B75794" w:rsidRDefault="003263A0" w:rsidP="003263A0">
            <w:pPr>
              <w:pStyle w:val="Heading1"/>
              <w:keepNext w:val="0"/>
              <w:rPr>
                <w:rFonts w:cs="Arial"/>
                <w:caps/>
              </w:rPr>
            </w:pPr>
            <w:r w:rsidRPr="00B75794">
              <w:rPr>
                <w:rFonts w:cs="Arial"/>
                <w:caps/>
              </w:rPr>
              <w:t>PNEUMOCOCCAL CONJUGATE VACCINE</w:t>
            </w:r>
            <w:r w:rsidRPr="00B75794">
              <w:rPr>
                <w:rFonts w:cs="Arial"/>
                <w:caps/>
              </w:rPr>
              <w:br/>
              <w:t>13-valent adsorbed</w:t>
            </w:r>
          </w:p>
          <w:p w:rsidR="003263A0" w:rsidRPr="00B75794" w:rsidRDefault="003263A0" w:rsidP="003263A0">
            <w:pPr>
              <w:pStyle w:val="Heading1"/>
              <w:keepNext w:val="0"/>
              <w:rPr>
                <w:rFonts w:cs="Arial"/>
                <w:b w:val="0"/>
              </w:rPr>
            </w:pPr>
            <w:r w:rsidRPr="00B75794">
              <w:rPr>
                <w:rFonts w:cs="Arial"/>
                <w:b w:val="0"/>
              </w:rPr>
              <w:t>pre-filled syringe</w:t>
            </w:r>
            <w:r w:rsidRPr="00B75794">
              <w:rPr>
                <w:rFonts w:cs="Arial"/>
                <w:b w:val="0"/>
                <w:caps/>
              </w:rPr>
              <w:t xml:space="preserve">, </w:t>
            </w:r>
            <w:r w:rsidRPr="00B75794">
              <w:rPr>
                <w:rFonts w:cs="Arial"/>
                <w:b w:val="0"/>
              </w:rPr>
              <w:t>0.5 mL</w:t>
            </w:r>
            <w:r w:rsidRPr="00B75794">
              <w:rPr>
                <w:rFonts w:cs="Arial"/>
                <w:b w:val="0"/>
                <w:caps/>
              </w:rPr>
              <w:br/>
            </w:r>
          </w:p>
          <w:p w:rsidR="003263A0" w:rsidRPr="0046573B" w:rsidRDefault="003263A0" w:rsidP="003263A0">
            <w:pPr>
              <w:pStyle w:val="Heading1"/>
              <w:keepNext w:val="0"/>
              <w:rPr>
                <w:rFonts w:cs="Arial"/>
                <w:b w:val="0"/>
                <w:caps/>
              </w:rPr>
            </w:pPr>
            <w:r w:rsidRPr="00B75794">
              <w:rPr>
                <w:rFonts w:cs="Arial"/>
                <w:b w:val="0"/>
              </w:rPr>
              <w:t>Prevenar 13</w:t>
            </w:r>
            <w:r w:rsidRPr="00B75794">
              <w:rPr>
                <w:rFonts w:cs="Arial"/>
                <w:b w:val="0"/>
                <w:caps/>
                <w:vertAlign w:val="superscript"/>
              </w:rPr>
              <w:t>®</w:t>
            </w:r>
            <w:r w:rsidR="0046573B">
              <w:rPr>
                <w:rFonts w:cs="Arial"/>
                <w:b w:val="0"/>
                <w:caps/>
              </w:rPr>
              <w:t>,</w:t>
            </w:r>
          </w:p>
          <w:p w:rsidR="003263A0" w:rsidRPr="00B75794" w:rsidRDefault="003263A0" w:rsidP="003263A0">
            <w:pPr>
              <w:pStyle w:val="Heading1"/>
              <w:keepNext w:val="0"/>
              <w:rPr>
                <w:rFonts w:cs="Arial"/>
                <w:b w:val="0"/>
                <w:caps/>
              </w:rPr>
            </w:pPr>
          </w:p>
          <w:p w:rsidR="003263A0" w:rsidRPr="00B75794" w:rsidRDefault="003263A0" w:rsidP="003263A0">
            <w:pPr>
              <w:pStyle w:val="Heading1"/>
              <w:keepNext w:val="0"/>
              <w:rPr>
                <w:rFonts w:cs="Arial"/>
                <w:b w:val="0"/>
                <w:caps/>
              </w:rPr>
            </w:pPr>
            <w:r w:rsidRPr="00B75794">
              <w:rPr>
                <w:rFonts w:cs="Arial"/>
                <w:b w:val="0"/>
              </w:rPr>
              <w:t>Pfizer</w:t>
            </w:r>
          </w:p>
          <w:p w:rsidR="003263A0" w:rsidRPr="00B75794" w:rsidRDefault="003263A0" w:rsidP="003263A0">
            <w:pPr>
              <w:rPr>
                <w:rFonts w:ascii="Arial" w:hAnsi="Arial" w:cs="Arial"/>
                <w:lang w:eastAsia="en-US"/>
              </w:rPr>
            </w:pPr>
          </w:p>
          <w:p w:rsidR="003263A0" w:rsidRPr="00B75794" w:rsidRDefault="003263A0" w:rsidP="003263A0">
            <w:pPr>
              <w:rPr>
                <w:rFonts w:ascii="Arial" w:hAnsi="Arial" w:cs="Arial"/>
                <w:lang w:eastAsia="en-US"/>
              </w:rPr>
            </w:pPr>
            <w:r w:rsidRPr="00B75794">
              <w:rPr>
                <w:rFonts w:ascii="Arial" w:hAnsi="Arial" w:cs="Arial"/>
                <w:lang w:eastAsia="en-US"/>
              </w:rPr>
              <w:t>(Major submission)</w:t>
            </w:r>
          </w:p>
        </w:tc>
        <w:tc>
          <w:tcPr>
            <w:tcW w:w="2409" w:type="dxa"/>
            <w:vMerge w:val="restart"/>
          </w:tcPr>
          <w:p w:rsidR="003263A0" w:rsidRPr="00B75794" w:rsidRDefault="003263A0" w:rsidP="003263A0">
            <w:pPr>
              <w:widowControl w:val="0"/>
              <w:rPr>
                <w:rFonts w:ascii="Arial" w:hAnsi="Arial" w:cs="Arial"/>
                <w:snapToGrid w:val="0"/>
                <w:lang w:eastAsia="en-US"/>
              </w:rPr>
            </w:pPr>
            <w:r w:rsidRPr="00B75794">
              <w:rPr>
                <w:rFonts w:ascii="Arial" w:hAnsi="Arial" w:cs="Arial"/>
                <w:snapToGrid w:val="0"/>
              </w:rPr>
              <w:t>pneumococcal pneumonia and invasive pneumococcal</w:t>
            </w:r>
          </w:p>
        </w:tc>
        <w:tc>
          <w:tcPr>
            <w:tcW w:w="3262" w:type="dxa"/>
            <w:tcMar>
              <w:top w:w="28" w:type="dxa"/>
              <w:bottom w:w="28" w:type="dxa"/>
            </w:tcMar>
          </w:tcPr>
          <w:p w:rsidR="003263A0" w:rsidRPr="00B75794" w:rsidRDefault="003263A0" w:rsidP="00FF54A6">
            <w:pPr>
              <w:contextualSpacing/>
              <w:rPr>
                <w:rFonts w:ascii="Arial" w:hAnsi="Arial" w:cs="Arial"/>
                <w:snapToGrid w:val="0"/>
              </w:rPr>
            </w:pPr>
            <w:r w:rsidRPr="00B75794">
              <w:rPr>
                <w:rFonts w:ascii="Arial" w:hAnsi="Arial" w:cs="Arial"/>
                <w:snapToGrid w:val="0"/>
              </w:rPr>
              <w:t>The major submission sought National Immunisation Program listing for 13</w:t>
            </w:r>
            <w:r w:rsidRPr="00B75794">
              <w:rPr>
                <w:rFonts w:ascii="Arial" w:hAnsi="Arial" w:cs="Arial"/>
                <w:snapToGrid w:val="0"/>
              </w:rPr>
              <w:noBreakHyphen/>
              <w:t xml:space="preserve">valent pneumococcal conjugate vaccine (13vPCV) for </w:t>
            </w:r>
            <w:r w:rsidR="008B7AE9">
              <w:rPr>
                <w:rFonts w:ascii="Arial" w:hAnsi="Arial" w:cs="Arial"/>
                <w:snapToGrid w:val="0"/>
              </w:rPr>
              <w:t xml:space="preserve">the </w:t>
            </w:r>
            <w:r w:rsidRPr="00B75794">
              <w:rPr>
                <w:rFonts w:ascii="Arial" w:hAnsi="Arial" w:cs="Arial"/>
                <w:snapToGrid w:val="0"/>
              </w:rPr>
              <w:t xml:space="preserve">prevention of pneumococcal pneumonia and invasive pneumococcal disease in adults. </w:t>
            </w:r>
          </w:p>
          <w:p w:rsidR="003263A0" w:rsidRPr="00B75794" w:rsidRDefault="003263A0" w:rsidP="00FF54A6">
            <w:pPr>
              <w:widowControl w:val="0"/>
              <w:rPr>
                <w:rFonts w:ascii="Arial" w:hAnsi="Arial" w:cs="Arial"/>
                <w:snapToGrid w:val="0"/>
                <w:lang w:eastAsia="en-US"/>
              </w:rPr>
            </w:pPr>
          </w:p>
        </w:tc>
        <w:tc>
          <w:tcPr>
            <w:tcW w:w="6950" w:type="dxa"/>
          </w:tcPr>
          <w:p w:rsidR="003263A0" w:rsidRPr="00B75794" w:rsidRDefault="003263A0" w:rsidP="00FF54A6">
            <w:pPr>
              <w:contextualSpacing/>
              <w:rPr>
                <w:rFonts w:ascii="Arial" w:hAnsi="Arial" w:cs="Arial"/>
                <w:snapToGrid w:val="0"/>
              </w:rPr>
            </w:pPr>
            <w:r w:rsidRPr="00B75794">
              <w:rPr>
                <w:rFonts w:ascii="Arial" w:hAnsi="Arial" w:cs="Arial"/>
                <w:snapToGrid w:val="0"/>
              </w:rPr>
              <w:t>The PBAC rejected the submission to list pneumococcal conjugate vaccine, 13-valent absorbed (13vPCV) for the prevention of pneumococcal disease on the National Immunisation Program (NIP) for the requested population on the basis of uncertain cost</w:t>
            </w:r>
            <w:r w:rsidRPr="00B75794">
              <w:rPr>
                <w:rFonts w:ascii="Arial" w:hAnsi="Arial" w:cs="Arial"/>
                <w:snapToGrid w:val="0"/>
              </w:rPr>
              <w:noBreakHyphen/>
              <w:t xml:space="preserve">effectiveness. While the PBAC considered that 13vPCV is likely to be superior to the first dose of pneumococcal polysaccharide vaccine, 23-valent (23vPPV) in terms of prevention of </w:t>
            </w:r>
            <w:r w:rsidR="008B7AE9">
              <w:rPr>
                <w:rFonts w:ascii="Arial" w:hAnsi="Arial" w:cs="Arial"/>
                <w:snapToGrid w:val="0"/>
              </w:rPr>
              <w:t>vaccine type</w:t>
            </w:r>
            <w:r w:rsidRPr="00B75794">
              <w:rPr>
                <w:rFonts w:ascii="Arial" w:hAnsi="Arial" w:cs="Arial"/>
                <w:snapToGrid w:val="0"/>
              </w:rPr>
              <w:t xml:space="preserve"> pneumonia, the submission did not provide a confident basis that recommending 13vPCV at the requested price would be cost</w:t>
            </w:r>
            <w:r w:rsidRPr="00B75794">
              <w:rPr>
                <w:rFonts w:ascii="Arial" w:hAnsi="Arial" w:cs="Arial"/>
                <w:snapToGrid w:val="0"/>
              </w:rPr>
              <w:noBreakHyphen/>
              <w:t>effective.</w:t>
            </w:r>
          </w:p>
          <w:p w:rsidR="003263A0" w:rsidRPr="00B75794" w:rsidRDefault="003263A0" w:rsidP="00FF54A6">
            <w:pPr>
              <w:contextualSpacing/>
              <w:rPr>
                <w:rFonts w:ascii="Arial" w:hAnsi="Arial" w:cs="Arial"/>
                <w:snapToGrid w:val="0"/>
              </w:rPr>
            </w:pPr>
          </w:p>
          <w:p w:rsidR="003263A0" w:rsidRPr="00B75794" w:rsidRDefault="003263A0" w:rsidP="00FF54A6">
            <w:pPr>
              <w:contextualSpacing/>
              <w:rPr>
                <w:rFonts w:ascii="Arial" w:hAnsi="Arial" w:cs="Arial"/>
                <w:snapToGrid w:val="0"/>
              </w:rPr>
            </w:pPr>
            <w:r w:rsidRPr="00B75794">
              <w:rPr>
                <w:rFonts w:ascii="Arial" w:hAnsi="Arial" w:cs="Arial"/>
                <w:snapToGrid w:val="0"/>
              </w:rPr>
              <w:t xml:space="preserve">Based on a qualitative indirect comparison using placebo/no vaccine as the common comparator, it was not clear whether 13vPCV was worse or better than 23vPPV in the prevention of invasive pneumococcal disease. </w:t>
            </w:r>
          </w:p>
          <w:p w:rsidR="003263A0" w:rsidRPr="00B75794" w:rsidRDefault="003263A0" w:rsidP="00FF54A6">
            <w:pPr>
              <w:ind w:left="709"/>
              <w:rPr>
                <w:rFonts w:ascii="Arial" w:hAnsi="Arial" w:cs="Arial"/>
                <w:snapToGrid w:val="0"/>
              </w:rPr>
            </w:pPr>
          </w:p>
          <w:p w:rsidR="003263A0" w:rsidRPr="00B75794" w:rsidRDefault="003263A0" w:rsidP="00FF54A6">
            <w:pPr>
              <w:contextualSpacing/>
              <w:rPr>
                <w:rFonts w:ascii="Arial" w:hAnsi="Arial" w:cs="Arial"/>
                <w:snapToGrid w:val="0"/>
              </w:rPr>
            </w:pPr>
            <w:r w:rsidRPr="00B75794">
              <w:rPr>
                <w:rFonts w:ascii="Arial" w:hAnsi="Arial" w:cs="Arial"/>
                <w:snapToGrid w:val="0"/>
              </w:rPr>
              <w:t xml:space="preserve">On the basis of a trial comparing 13vPCV with placebo, 1,057 adults aged ≥65 years would need to be vaccinated with 13vPCV to prevent one case of vaccine type pneumonia. Clinical trial data assessing the effect of 23vPPV in the prevention of </w:t>
            </w:r>
            <w:r w:rsidR="008B7AE9" w:rsidRPr="008B7AE9">
              <w:rPr>
                <w:rFonts w:ascii="Arial" w:hAnsi="Arial" w:cs="Arial"/>
                <w:snapToGrid w:val="0"/>
              </w:rPr>
              <w:t>vaccine type</w:t>
            </w:r>
            <w:r w:rsidRPr="00B75794">
              <w:rPr>
                <w:rFonts w:ascii="Arial" w:hAnsi="Arial" w:cs="Arial"/>
                <w:snapToGrid w:val="0"/>
              </w:rPr>
              <w:t xml:space="preserve"> pneumonia were not available.</w:t>
            </w:r>
          </w:p>
          <w:p w:rsidR="003263A0" w:rsidRPr="00B75794" w:rsidRDefault="003263A0" w:rsidP="00FF54A6">
            <w:pPr>
              <w:ind w:left="720"/>
              <w:contextualSpacing/>
              <w:rPr>
                <w:rFonts w:ascii="Arial" w:hAnsi="Arial" w:cs="Arial"/>
                <w:snapToGrid w:val="0"/>
              </w:rPr>
            </w:pPr>
          </w:p>
          <w:p w:rsidR="003263A0" w:rsidRPr="00B75794" w:rsidRDefault="003263A0" w:rsidP="00F747BF">
            <w:pPr>
              <w:contextualSpacing/>
              <w:rPr>
                <w:rFonts w:ascii="Arial" w:hAnsi="Arial" w:cs="Arial"/>
                <w:snapToGrid w:val="0"/>
                <w:lang w:eastAsia="en-US"/>
              </w:rPr>
            </w:pPr>
            <w:r w:rsidRPr="00B75794">
              <w:rPr>
                <w:rFonts w:ascii="Arial" w:hAnsi="Arial" w:cs="Arial"/>
                <w:snapToGrid w:val="0"/>
              </w:rPr>
              <w:t>On the basis of head-to-head immunogenicity trials and the presented indirect comparison, in subjects naïve to 23vPPV the frequency of adverse effects appeared to be comparable.</w:t>
            </w:r>
          </w:p>
        </w:tc>
      </w:tr>
      <w:tr w:rsidR="003263A0" w:rsidRPr="006D5F62" w:rsidTr="00CE5AA5">
        <w:trPr>
          <w:trHeight w:val="465"/>
        </w:trPr>
        <w:tc>
          <w:tcPr>
            <w:tcW w:w="2694" w:type="dxa"/>
            <w:vMerge/>
            <w:tcMar>
              <w:top w:w="28" w:type="dxa"/>
              <w:bottom w:w="28" w:type="dxa"/>
            </w:tcMar>
          </w:tcPr>
          <w:p w:rsidR="003263A0" w:rsidRPr="00B75794" w:rsidRDefault="003263A0" w:rsidP="00647AB3">
            <w:pPr>
              <w:pStyle w:val="Heading1"/>
              <w:rPr>
                <w:rFonts w:cs="Arial"/>
                <w:caps/>
              </w:rPr>
            </w:pPr>
          </w:p>
        </w:tc>
        <w:tc>
          <w:tcPr>
            <w:tcW w:w="2409" w:type="dxa"/>
            <w:vMerge/>
          </w:tcPr>
          <w:p w:rsidR="003263A0" w:rsidRPr="00B75794" w:rsidRDefault="003263A0" w:rsidP="00A128C2">
            <w:pPr>
              <w:widowControl w:val="0"/>
              <w:rPr>
                <w:rFonts w:ascii="Arial" w:hAnsi="Arial" w:cs="Arial"/>
                <w:snapToGrid w:val="0"/>
              </w:rPr>
            </w:pPr>
          </w:p>
        </w:tc>
        <w:tc>
          <w:tcPr>
            <w:tcW w:w="3262" w:type="dxa"/>
            <w:tcMar>
              <w:top w:w="28" w:type="dxa"/>
              <w:bottom w:w="28" w:type="dxa"/>
            </w:tcMar>
          </w:tcPr>
          <w:p w:rsidR="003263A0" w:rsidRPr="00B75794" w:rsidRDefault="00FF54A6" w:rsidP="00FF54A6">
            <w:pPr>
              <w:contextualSpacing/>
              <w:jc w:val="right"/>
              <w:rPr>
                <w:rFonts w:ascii="Arial" w:hAnsi="Arial" w:cs="Arial"/>
                <w:snapToGrid w:val="0"/>
              </w:rPr>
            </w:pPr>
            <w:r>
              <w:rPr>
                <w:rFonts w:ascii="Arial" w:hAnsi="Arial" w:cs="Arial"/>
                <w:snapToGrid w:val="0"/>
              </w:rPr>
              <w:t>Sponsor comment:</w:t>
            </w:r>
          </w:p>
        </w:tc>
        <w:tc>
          <w:tcPr>
            <w:tcW w:w="6950" w:type="dxa"/>
          </w:tcPr>
          <w:p w:rsidR="00221696" w:rsidRPr="00221696" w:rsidRDefault="00221696" w:rsidP="00221696">
            <w:pPr>
              <w:contextualSpacing/>
              <w:jc w:val="both"/>
              <w:rPr>
                <w:rFonts w:ascii="Arial" w:hAnsi="Arial" w:cs="Arial"/>
                <w:snapToGrid w:val="0"/>
                <w:lang w:val="en-US"/>
              </w:rPr>
            </w:pPr>
            <w:r w:rsidRPr="00221696">
              <w:rPr>
                <w:rFonts w:ascii="Arial" w:hAnsi="Arial" w:cs="Arial"/>
                <w:snapToGrid w:val="0"/>
              </w:rPr>
              <w:t>Pfizer Australia is disappointed with the outcome. Due to the significant burden of pneumococcal pneumonia in older Australians, the Sponsor is willing to work with the PBAC to ensure timely and equitable access to Prevenar 13.</w:t>
            </w:r>
          </w:p>
          <w:p w:rsidR="003263A0" w:rsidRPr="00B75794" w:rsidRDefault="003263A0" w:rsidP="00647AB3">
            <w:pPr>
              <w:contextualSpacing/>
              <w:jc w:val="both"/>
              <w:rPr>
                <w:rFonts w:ascii="Arial" w:hAnsi="Arial" w:cs="Arial"/>
                <w:snapToGrid w:val="0"/>
              </w:rPr>
            </w:pPr>
          </w:p>
        </w:tc>
      </w:tr>
      <w:tr w:rsidR="003263A0" w:rsidRPr="00CF201C" w:rsidTr="00CE5AA5">
        <w:trPr>
          <w:trHeight w:val="465"/>
        </w:trPr>
        <w:tc>
          <w:tcPr>
            <w:tcW w:w="2694" w:type="dxa"/>
            <w:vMerge w:val="restart"/>
            <w:tcMar>
              <w:top w:w="28" w:type="dxa"/>
              <w:bottom w:w="28" w:type="dxa"/>
            </w:tcMar>
          </w:tcPr>
          <w:p w:rsidR="003263A0" w:rsidRPr="00B75794" w:rsidRDefault="003263A0" w:rsidP="00FF54A6">
            <w:pPr>
              <w:pStyle w:val="Heading1"/>
              <w:keepLines/>
              <w:pageBreakBefore/>
              <w:rPr>
                <w:rFonts w:cs="Arial"/>
              </w:rPr>
            </w:pPr>
            <w:r w:rsidRPr="00B75794">
              <w:rPr>
                <w:rFonts w:cs="Arial"/>
              </w:rPr>
              <w:lastRenderedPageBreak/>
              <w:t>REGORAFENIB</w:t>
            </w:r>
          </w:p>
          <w:p w:rsidR="003263A0" w:rsidRPr="00B75794" w:rsidRDefault="003263A0" w:rsidP="00FF54A6">
            <w:pPr>
              <w:pStyle w:val="Heading1"/>
              <w:keepLines/>
              <w:pageBreakBefore/>
              <w:rPr>
                <w:rFonts w:cs="Arial"/>
                <w:b w:val="0"/>
              </w:rPr>
            </w:pPr>
            <w:r w:rsidRPr="00B75794">
              <w:rPr>
                <w:rFonts w:cs="Arial"/>
                <w:b w:val="0"/>
              </w:rPr>
              <w:t>40 mg tablet, 84</w:t>
            </w:r>
          </w:p>
          <w:p w:rsidR="003263A0" w:rsidRPr="00B75794" w:rsidRDefault="003263A0" w:rsidP="00FF54A6">
            <w:pPr>
              <w:keepNext/>
              <w:keepLines/>
              <w:pageBreakBefore/>
              <w:rPr>
                <w:rFonts w:ascii="Arial" w:hAnsi="Arial" w:cs="Arial"/>
                <w:lang w:eastAsia="en-US"/>
              </w:rPr>
            </w:pPr>
          </w:p>
          <w:p w:rsidR="003263A0" w:rsidRPr="00B75794" w:rsidRDefault="003263A0" w:rsidP="00FF54A6">
            <w:pPr>
              <w:pStyle w:val="Heading1"/>
              <w:keepLines/>
              <w:pageBreakBefore/>
              <w:rPr>
                <w:rFonts w:cs="Arial"/>
                <w:b w:val="0"/>
              </w:rPr>
            </w:pPr>
            <w:r w:rsidRPr="00B75794">
              <w:rPr>
                <w:rFonts w:cs="Arial"/>
                <w:b w:val="0"/>
              </w:rPr>
              <w:t>Stivarga</w:t>
            </w:r>
            <w:r w:rsidRPr="00B75794">
              <w:rPr>
                <w:rFonts w:cs="Arial"/>
                <w:b w:val="0"/>
                <w:vertAlign w:val="superscript"/>
              </w:rPr>
              <w:t>®</w:t>
            </w:r>
            <w:r w:rsidRPr="00B75794">
              <w:rPr>
                <w:rFonts w:cs="Arial"/>
                <w:b w:val="0"/>
              </w:rPr>
              <w:t xml:space="preserve">, </w:t>
            </w:r>
          </w:p>
          <w:p w:rsidR="003263A0" w:rsidRPr="00B75794" w:rsidRDefault="003263A0" w:rsidP="00FF54A6">
            <w:pPr>
              <w:pStyle w:val="Heading1"/>
              <w:keepLines/>
              <w:pageBreakBefore/>
              <w:rPr>
                <w:rFonts w:cs="Arial"/>
                <w:b w:val="0"/>
              </w:rPr>
            </w:pPr>
          </w:p>
          <w:p w:rsidR="003263A0" w:rsidRPr="00B75794" w:rsidRDefault="003263A0" w:rsidP="00FF54A6">
            <w:pPr>
              <w:pStyle w:val="Heading1"/>
              <w:keepLines/>
              <w:pageBreakBefore/>
              <w:rPr>
                <w:rFonts w:cs="Arial"/>
                <w:b w:val="0"/>
              </w:rPr>
            </w:pPr>
            <w:r w:rsidRPr="00B75794">
              <w:rPr>
                <w:rFonts w:cs="Arial"/>
                <w:b w:val="0"/>
              </w:rPr>
              <w:t>Bayer Australia Ltd</w:t>
            </w:r>
          </w:p>
          <w:p w:rsidR="003263A0" w:rsidRPr="00B75794" w:rsidRDefault="003263A0" w:rsidP="00FF54A6">
            <w:pPr>
              <w:keepNext/>
              <w:keepLines/>
              <w:pageBreakBefore/>
              <w:rPr>
                <w:rFonts w:ascii="Arial" w:hAnsi="Arial" w:cs="Arial"/>
                <w:lang w:eastAsia="en-US"/>
              </w:rPr>
            </w:pPr>
          </w:p>
          <w:p w:rsidR="003263A0" w:rsidRPr="00B75794" w:rsidRDefault="003263A0" w:rsidP="00FF54A6">
            <w:pPr>
              <w:keepNext/>
              <w:keepLines/>
              <w:pageBreakBefore/>
              <w:rPr>
                <w:rFonts w:ascii="Arial" w:hAnsi="Arial" w:cs="Arial"/>
                <w:lang w:eastAsia="en-US"/>
              </w:rPr>
            </w:pPr>
            <w:r w:rsidRPr="00B75794">
              <w:rPr>
                <w:rFonts w:ascii="Arial" w:hAnsi="Arial" w:cs="Arial"/>
                <w:lang w:eastAsia="en-US"/>
              </w:rPr>
              <w:t>(Major Submission)</w:t>
            </w:r>
          </w:p>
        </w:tc>
        <w:tc>
          <w:tcPr>
            <w:tcW w:w="2409" w:type="dxa"/>
            <w:vMerge w:val="restart"/>
          </w:tcPr>
          <w:p w:rsidR="003263A0" w:rsidRPr="00B75794" w:rsidRDefault="003263A0" w:rsidP="008B7AE9">
            <w:pPr>
              <w:keepNext/>
              <w:keepLines/>
              <w:pageBreakBefore/>
              <w:widowControl w:val="0"/>
              <w:rPr>
                <w:rFonts w:ascii="Arial" w:hAnsi="Arial" w:cs="Arial"/>
                <w:snapToGrid w:val="0"/>
                <w:lang w:eastAsia="en-US"/>
              </w:rPr>
            </w:pPr>
            <w:r w:rsidRPr="00B75794">
              <w:rPr>
                <w:rFonts w:ascii="Arial" w:hAnsi="Arial" w:cs="Arial"/>
                <w:snapToGrid w:val="0"/>
                <w:lang w:eastAsia="en-US"/>
              </w:rPr>
              <w:t>Gastrointestinal stromal tumours</w:t>
            </w:r>
          </w:p>
        </w:tc>
        <w:tc>
          <w:tcPr>
            <w:tcW w:w="3262" w:type="dxa"/>
            <w:tcMar>
              <w:top w:w="28" w:type="dxa"/>
              <w:bottom w:w="28" w:type="dxa"/>
            </w:tcMar>
          </w:tcPr>
          <w:p w:rsidR="003263A0" w:rsidRPr="00B75794" w:rsidRDefault="003263A0" w:rsidP="008B7AE9">
            <w:pPr>
              <w:keepNext/>
              <w:keepLines/>
              <w:pageBreakBefore/>
              <w:widowControl w:val="0"/>
              <w:rPr>
                <w:rFonts w:ascii="Arial" w:hAnsi="Arial" w:cs="Arial"/>
                <w:snapToGrid w:val="0"/>
                <w:lang w:eastAsia="en-US"/>
              </w:rPr>
            </w:pPr>
            <w:r w:rsidRPr="00B75794">
              <w:rPr>
                <w:rFonts w:ascii="Arial" w:hAnsi="Arial" w:cs="Arial"/>
                <w:snapToGrid w:val="0"/>
                <w:lang w:eastAsia="en-US"/>
              </w:rPr>
              <w:t>The submission sought section 85 Authority required listing for regorafenib for treatment of gastrointestinal stromal tumours.</w:t>
            </w:r>
          </w:p>
        </w:tc>
        <w:tc>
          <w:tcPr>
            <w:tcW w:w="6950" w:type="dxa"/>
          </w:tcPr>
          <w:p w:rsidR="003263A0" w:rsidRPr="00B75794" w:rsidRDefault="003263A0" w:rsidP="00FF54A6">
            <w:pPr>
              <w:keepNext/>
              <w:keepLines/>
              <w:pageBreakBefore/>
              <w:rPr>
                <w:rFonts w:ascii="Arial" w:hAnsi="Arial" w:cs="Arial"/>
              </w:rPr>
            </w:pPr>
            <w:r w:rsidRPr="00B75794">
              <w:rPr>
                <w:rFonts w:ascii="Arial" w:hAnsi="Arial" w:cs="Arial"/>
              </w:rPr>
              <w:t>The PBAC rejected the request to list regorafenib for the treatment of patients with gastrointestinal stromal tumours on the basis of uncertain efficacy and cost-effectiveness.</w:t>
            </w:r>
          </w:p>
          <w:p w:rsidR="003263A0" w:rsidRPr="00B75794" w:rsidRDefault="003263A0" w:rsidP="00FF54A6">
            <w:pPr>
              <w:keepNext/>
              <w:keepLines/>
              <w:pageBreakBefore/>
              <w:rPr>
                <w:rFonts w:ascii="Arial" w:hAnsi="Arial" w:cs="Arial"/>
              </w:rPr>
            </w:pPr>
          </w:p>
          <w:p w:rsidR="003263A0" w:rsidRPr="00B75794" w:rsidRDefault="003263A0" w:rsidP="00FF54A6">
            <w:pPr>
              <w:keepNext/>
              <w:keepLines/>
              <w:pageBreakBefore/>
              <w:rPr>
                <w:rFonts w:ascii="Arial" w:hAnsi="Arial" w:cs="Arial"/>
              </w:rPr>
            </w:pPr>
            <w:r w:rsidRPr="00B75794">
              <w:rPr>
                <w:rFonts w:ascii="Arial" w:hAnsi="Arial" w:cs="Arial"/>
              </w:rPr>
              <w:t xml:space="preserve">On the basis of direct randomised evidence presented by the submission, for patients treated with regorafenib in comparison </w:t>
            </w:r>
            <w:r w:rsidR="00F747BF">
              <w:rPr>
                <w:rFonts w:ascii="Arial" w:hAnsi="Arial" w:cs="Arial"/>
              </w:rPr>
              <w:t>with</w:t>
            </w:r>
            <w:r w:rsidRPr="00B75794">
              <w:rPr>
                <w:rFonts w:ascii="Arial" w:hAnsi="Arial" w:cs="Arial"/>
              </w:rPr>
              <w:t xml:space="preserve"> best supportive care</w:t>
            </w:r>
            <w:r w:rsidR="008B7AE9">
              <w:rPr>
                <w:rFonts w:ascii="Arial" w:hAnsi="Arial" w:cs="Arial"/>
              </w:rPr>
              <w:t>,</w:t>
            </w:r>
            <w:r w:rsidRPr="00B75794">
              <w:rPr>
                <w:rFonts w:ascii="Arial" w:hAnsi="Arial" w:cs="Arial"/>
              </w:rPr>
              <w:t xml:space="preserve"> there would be:</w:t>
            </w:r>
          </w:p>
          <w:p w:rsidR="003263A0" w:rsidRPr="00B75794" w:rsidRDefault="003263A0" w:rsidP="008B7AE9">
            <w:pPr>
              <w:keepNext/>
              <w:keepLines/>
              <w:pageBreakBefore/>
              <w:numPr>
                <w:ilvl w:val="0"/>
                <w:numId w:val="41"/>
              </w:numPr>
              <w:ind w:left="364" w:hanging="284"/>
              <w:rPr>
                <w:rFonts w:ascii="Arial" w:hAnsi="Arial" w:cs="Arial"/>
              </w:rPr>
            </w:pPr>
            <w:r w:rsidRPr="00B75794">
              <w:rPr>
                <w:rFonts w:ascii="Arial" w:hAnsi="Arial" w:cs="Arial"/>
              </w:rPr>
              <w:t>Approximately 3.9 months difference in median progression-free survival.</w:t>
            </w:r>
          </w:p>
          <w:p w:rsidR="003263A0" w:rsidRPr="00B75794" w:rsidRDefault="003263A0" w:rsidP="00FF54A6">
            <w:pPr>
              <w:keepNext/>
              <w:keepLines/>
              <w:pageBreakBefore/>
              <w:numPr>
                <w:ilvl w:val="0"/>
                <w:numId w:val="41"/>
              </w:numPr>
              <w:ind w:left="364" w:hanging="284"/>
              <w:jc w:val="both"/>
              <w:rPr>
                <w:rFonts w:ascii="Arial" w:hAnsi="Arial" w:cs="Arial"/>
              </w:rPr>
            </w:pPr>
            <w:r w:rsidRPr="00B75794">
              <w:rPr>
                <w:rFonts w:ascii="Arial" w:hAnsi="Arial" w:cs="Arial"/>
              </w:rPr>
              <w:t>An unknown possible difference in median overall survival.</w:t>
            </w:r>
          </w:p>
          <w:p w:rsidR="003263A0" w:rsidRPr="00B75794" w:rsidRDefault="003263A0" w:rsidP="00FF54A6">
            <w:pPr>
              <w:keepNext/>
              <w:keepLines/>
              <w:pageBreakBefore/>
              <w:rPr>
                <w:rFonts w:ascii="Arial" w:hAnsi="Arial" w:cs="Arial"/>
              </w:rPr>
            </w:pPr>
          </w:p>
          <w:p w:rsidR="003263A0" w:rsidRPr="00B75794" w:rsidRDefault="003263A0" w:rsidP="00FF54A6">
            <w:pPr>
              <w:keepNext/>
              <w:keepLines/>
              <w:pageBreakBefore/>
              <w:rPr>
                <w:rFonts w:ascii="Arial" w:hAnsi="Arial" w:cs="Arial"/>
              </w:rPr>
            </w:pPr>
            <w:r w:rsidRPr="00B75794">
              <w:rPr>
                <w:rFonts w:ascii="Arial" w:hAnsi="Arial" w:cs="Arial"/>
              </w:rPr>
              <w:t xml:space="preserve">On the basis of direct randomised evidence presented by the submission, for every 100 patients treated with regorafenib in comparison </w:t>
            </w:r>
            <w:r w:rsidR="00F747BF">
              <w:rPr>
                <w:rFonts w:ascii="Arial" w:hAnsi="Arial" w:cs="Arial"/>
              </w:rPr>
              <w:t>with</w:t>
            </w:r>
            <w:r w:rsidRPr="00B75794">
              <w:rPr>
                <w:rFonts w:ascii="Arial" w:hAnsi="Arial" w:cs="Arial"/>
              </w:rPr>
              <w:t xml:space="preserve"> </w:t>
            </w:r>
            <w:r w:rsidR="00F747BF" w:rsidRPr="00F747BF">
              <w:rPr>
                <w:rFonts w:ascii="Arial" w:hAnsi="Arial" w:cs="Arial"/>
              </w:rPr>
              <w:t>best supportive care</w:t>
            </w:r>
            <w:r w:rsidRPr="00B75794">
              <w:rPr>
                <w:rFonts w:ascii="Arial" w:hAnsi="Arial" w:cs="Arial"/>
              </w:rPr>
              <w:t>:</w:t>
            </w:r>
          </w:p>
          <w:p w:rsidR="003263A0" w:rsidRPr="00B75794" w:rsidRDefault="003263A0" w:rsidP="00FF54A6">
            <w:pPr>
              <w:keepNext/>
              <w:keepLines/>
              <w:pageBreakBefore/>
              <w:numPr>
                <w:ilvl w:val="0"/>
                <w:numId w:val="41"/>
              </w:numPr>
              <w:ind w:left="364" w:hanging="284"/>
              <w:jc w:val="both"/>
              <w:rPr>
                <w:rFonts w:ascii="Arial" w:hAnsi="Arial" w:cs="Arial"/>
              </w:rPr>
            </w:pPr>
            <w:r w:rsidRPr="00B75794">
              <w:rPr>
                <w:rFonts w:ascii="Arial" w:hAnsi="Arial" w:cs="Arial"/>
              </w:rPr>
              <w:t>Approximately 51 additional patients would experience at least one treatment-emergent adverse event of at least Grade 3 severity.</w:t>
            </w:r>
          </w:p>
          <w:p w:rsidR="003263A0" w:rsidRPr="00B75794" w:rsidRDefault="003263A0" w:rsidP="00FF54A6">
            <w:pPr>
              <w:keepNext/>
              <w:keepLines/>
              <w:pageBreakBefore/>
              <w:numPr>
                <w:ilvl w:val="0"/>
                <w:numId w:val="41"/>
              </w:numPr>
              <w:ind w:left="364" w:hanging="284"/>
              <w:jc w:val="both"/>
              <w:rPr>
                <w:rFonts w:ascii="Arial" w:hAnsi="Arial" w:cs="Arial"/>
              </w:rPr>
            </w:pPr>
            <w:r w:rsidRPr="00B75794">
              <w:rPr>
                <w:rFonts w:ascii="Arial" w:hAnsi="Arial" w:cs="Arial"/>
              </w:rPr>
              <w:t>Approximately 20 additional patients would experience a hand-foot skin reaction of at least Grade 3 severity.</w:t>
            </w:r>
          </w:p>
          <w:p w:rsidR="003263A0" w:rsidRPr="00B75794" w:rsidRDefault="003263A0" w:rsidP="00FF54A6">
            <w:pPr>
              <w:keepNext/>
              <w:keepLines/>
              <w:pageBreakBefore/>
              <w:numPr>
                <w:ilvl w:val="0"/>
                <w:numId w:val="41"/>
              </w:numPr>
              <w:ind w:left="364" w:hanging="284"/>
              <w:jc w:val="both"/>
              <w:rPr>
                <w:rFonts w:ascii="Arial" w:hAnsi="Arial" w:cs="Arial"/>
              </w:rPr>
            </w:pPr>
            <w:r w:rsidRPr="00B75794">
              <w:rPr>
                <w:rFonts w:ascii="Arial" w:hAnsi="Arial" w:cs="Arial"/>
              </w:rPr>
              <w:t>Approximately 20 additional patients would experience hypertension of at least Grade 3 severity.</w:t>
            </w:r>
          </w:p>
          <w:p w:rsidR="003263A0" w:rsidRPr="00B75794" w:rsidRDefault="003263A0" w:rsidP="00FF54A6">
            <w:pPr>
              <w:keepNext/>
              <w:keepLines/>
              <w:pageBreakBefore/>
              <w:rPr>
                <w:rFonts w:ascii="Arial" w:hAnsi="Arial" w:cs="Arial"/>
              </w:rPr>
            </w:pPr>
          </w:p>
          <w:p w:rsidR="003263A0" w:rsidRPr="00B75794" w:rsidRDefault="003263A0" w:rsidP="000210DF">
            <w:pPr>
              <w:keepNext/>
              <w:keepLines/>
              <w:pageBreakBefore/>
              <w:rPr>
                <w:rFonts w:ascii="Arial" w:hAnsi="Arial" w:cs="Arial"/>
              </w:rPr>
            </w:pPr>
            <w:r w:rsidRPr="00B75794">
              <w:rPr>
                <w:rFonts w:ascii="Arial" w:hAnsi="Arial" w:cs="Arial"/>
              </w:rPr>
              <w:t xml:space="preserve">The PBAC accepted that regorafenib provides a clinical benefit to patients in terms of </w:t>
            </w:r>
            <w:r w:rsidR="00F747BF" w:rsidRPr="00F747BF">
              <w:rPr>
                <w:rFonts w:ascii="Arial" w:hAnsi="Arial" w:cs="Arial"/>
              </w:rPr>
              <w:t>progression-free survival</w:t>
            </w:r>
            <w:r w:rsidRPr="00B75794">
              <w:rPr>
                <w:rFonts w:ascii="Arial" w:hAnsi="Arial" w:cs="Arial"/>
              </w:rPr>
              <w:t xml:space="preserve"> but considered that any increase in</w:t>
            </w:r>
            <w:r w:rsidR="00F747BF">
              <w:rPr>
                <w:rFonts w:ascii="Arial" w:hAnsi="Arial" w:cs="Arial"/>
              </w:rPr>
              <w:t xml:space="preserve"> overall survival</w:t>
            </w:r>
            <w:r w:rsidRPr="00B75794">
              <w:rPr>
                <w:rFonts w:ascii="Arial" w:hAnsi="Arial" w:cs="Arial"/>
              </w:rPr>
              <w:t xml:space="preserve"> was unknown and the adverse effect profile of regorafenib was not adequately reflected in the </w:t>
            </w:r>
            <w:r w:rsidR="00F076F3">
              <w:rPr>
                <w:rFonts w:ascii="Arial" w:hAnsi="Arial" w:cs="Arial"/>
              </w:rPr>
              <w:t>sponsor’s</w:t>
            </w:r>
            <w:r w:rsidR="000210DF">
              <w:rPr>
                <w:rFonts w:ascii="Arial" w:hAnsi="Arial" w:cs="Arial"/>
              </w:rPr>
              <w:t xml:space="preserve"> economic analysis</w:t>
            </w:r>
            <w:r w:rsidRPr="00B75794">
              <w:rPr>
                <w:rFonts w:ascii="Arial" w:hAnsi="Arial" w:cs="Arial"/>
              </w:rPr>
              <w:t xml:space="preserve">.  Given the small clinical benefit due to </w:t>
            </w:r>
            <w:r w:rsidR="00F747BF" w:rsidRPr="00F747BF">
              <w:rPr>
                <w:rFonts w:ascii="Arial" w:hAnsi="Arial" w:cs="Arial"/>
              </w:rPr>
              <w:t>progression-free survival</w:t>
            </w:r>
            <w:r w:rsidRPr="00B75794">
              <w:rPr>
                <w:rFonts w:ascii="Arial" w:hAnsi="Arial" w:cs="Arial"/>
              </w:rPr>
              <w:t xml:space="preserve"> and the unfavourable safety profile of regorafenib, the PBAC considered that the incremental cost effectiveness per quality-adjusted life-year gained was highly uncertain.</w:t>
            </w:r>
          </w:p>
        </w:tc>
      </w:tr>
      <w:tr w:rsidR="003263A0" w:rsidRPr="006D5F62" w:rsidTr="00CE5AA5">
        <w:trPr>
          <w:trHeight w:val="465"/>
        </w:trPr>
        <w:tc>
          <w:tcPr>
            <w:tcW w:w="2694" w:type="dxa"/>
            <w:vMerge/>
            <w:tcMar>
              <w:top w:w="28" w:type="dxa"/>
              <w:bottom w:w="28" w:type="dxa"/>
            </w:tcMar>
          </w:tcPr>
          <w:p w:rsidR="003263A0" w:rsidRPr="00B75794" w:rsidRDefault="003263A0" w:rsidP="00FF54A6">
            <w:pPr>
              <w:pStyle w:val="Heading1"/>
              <w:keepLines/>
              <w:rPr>
                <w:rFonts w:cs="Arial"/>
              </w:rPr>
            </w:pPr>
          </w:p>
        </w:tc>
        <w:tc>
          <w:tcPr>
            <w:tcW w:w="2409" w:type="dxa"/>
            <w:vMerge/>
          </w:tcPr>
          <w:p w:rsidR="003263A0" w:rsidRPr="00B75794" w:rsidRDefault="003263A0" w:rsidP="00FF54A6">
            <w:pPr>
              <w:keepNext/>
              <w:keepLines/>
              <w:widowControl w:val="0"/>
              <w:rPr>
                <w:rFonts w:ascii="Arial" w:hAnsi="Arial" w:cs="Arial"/>
                <w:snapToGrid w:val="0"/>
                <w:lang w:eastAsia="en-US"/>
              </w:rPr>
            </w:pPr>
          </w:p>
        </w:tc>
        <w:tc>
          <w:tcPr>
            <w:tcW w:w="3262" w:type="dxa"/>
            <w:tcMar>
              <w:top w:w="28" w:type="dxa"/>
              <w:bottom w:w="28" w:type="dxa"/>
            </w:tcMar>
          </w:tcPr>
          <w:p w:rsidR="003263A0" w:rsidRPr="00B75794" w:rsidRDefault="003263A0" w:rsidP="00FF54A6">
            <w:pPr>
              <w:keepNext/>
              <w:keepLines/>
              <w:widowControl w:val="0"/>
              <w:rPr>
                <w:rFonts w:ascii="Arial" w:hAnsi="Arial" w:cs="Arial"/>
                <w:snapToGrid w:val="0"/>
                <w:lang w:eastAsia="en-US"/>
              </w:rPr>
            </w:pPr>
            <w:r w:rsidRPr="00B75794">
              <w:rPr>
                <w:rFonts w:ascii="Arial" w:hAnsi="Arial" w:cs="Arial"/>
                <w:snapToGrid w:val="0"/>
                <w:lang w:eastAsia="en-US"/>
              </w:rPr>
              <w:t>Sponsor Comment:</w:t>
            </w:r>
          </w:p>
        </w:tc>
        <w:tc>
          <w:tcPr>
            <w:tcW w:w="6950" w:type="dxa"/>
          </w:tcPr>
          <w:p w:rsidR="003263A0" w:rsidRPr="00B75794" w:rsidRDefault="00E607D0" w:rsidP="00FF54A6">
            <w:pPr>
              <w:keepNext/>
              <w:keepLines/>
              <w:rPr>
                <w:rFonts w:ascii="Arial" w:hAnsi="Arial" w:cs="Arial"/>
              </w:rPr>
            </w:pPr>
            <w:r w:rsidRPr="00E607D0">
              <w:rPr>
                <w:rFonts w:ascii="Arial" w:hAnsi="Arial" w:cs="Arial"/>
              </w:rPr>
              <w:t>The Sponsor intends to continue working with the PBAC to make regorafenib available to those Australian patients that could benefit from the product</w:t>
            </w:r>
          </w:p>
        </w:tc>
      </w:tr>
      <w:tr w:rsidR="003263A0" w:rsidRPr="006D5F62" w:rsidTr="00CE5AA5">
        <w:trPr>
          <w:trHeight w:val="465"/>
        </w:trPr>
        <w:tc>
          <w:tcPr>
            <w:tcW w:w="2694" w:type="dxa"/>
            <w:vMerge w:val="restart"/>
            <w:tcMar>
              <w:top w:w="28" w:type="dxa"/>
              <w:bottom w:w="28" w:type="dxa"/>
            </w:tcMar>
          </w:tcPr>
          <w:p w:rsidR="003263A0" w:rsidRPr="00B75794" w:rsidRDefault="003263A0" w:rsidP="00EE3F20">
            <w:pPr>
              <w:pStyle w:val="Heading1"/>
              <w:keepLines/>
              <w:pageBreakBefore/>
              <w:rPr>
                <w:rFonts w:cs="Arial"/>
              </w:rPr>
            </w:pPr>
            <w:r w:rsidRPr="00B75794">
              <w:rPr>
                <w:rFonts w:cs="Arial"/>
              </w:rPr>
              <w:lastRenderedPageBreak/>
              <w:t>RIBAVIRIN</w:t>
            </w:r>
          </w:p>
          <w:p w:rsidR="003263A0" w:rsidRPr="00B75794" w:rsidRDefault="003263A0" w:rsidP="00EE3F20">
            <w:pPr>
              <w:pStyle w:val="Heading1"/>
              <w:keepLines/>
              <w:pageBreakBefore/>
              <w:rPr>
                <w:rFonts w:cs="Arial"/>
                <w:b w:val="0"/>
              </w:rPr>
            </w:pPr>
            <w:r w:rsidRPr="00B75794">
              <w:rPr>
                <w:rFonts w:cs="Arial"/>
                <w:b w:val="0"/>
              </w:rPr>
              <w:t>400mg and 600mg</w:t>
            </w:r>
          </w:p>
          <w:p w:rsidR="003263A0" w:rsidRPr="00B75794" w:rsidRDefault="003263A0" w:rsidP="00EE3F20">
            <w:pPr>
              <w:pStyle w:val="Heading1"/>
              <w:keepLines/>
              <w:pageBreakBefore/>
              <w:rPr>
                <w:rFonts w:cs="Arial"/>
                <w:b w:val="0"/>
              </w:rPr>
            </w:pPr>
          </w:p>
          <w:p w:rsidR="003263A0" w:rsidRPr="00B75794" w:rsidRDefault="003263A0" w:rsidP="00EE3F20">
            <w:pPr>
              <w:pStyle w:val="Heading1"/>
              <w:keepLines/>
              <w:pageBreakBefore/>
              <w:rPr>
                <w:rFonts w:cs="Arial"/>
                <w:b w:val="0"/>
              </w:rPr>
            </w:pPr>
            <w:r w:rsidRPr="00B75794">
              <w:rPr>
                <w:rFonts w:cs="Arial"/>
                <w:b w:val="0"/>
              </w:rPr>
              <w:t>Ibavyr</w:t>
            </w:r>
            <w:r w:rsidRPr="00B75794">
              <w:rPr>
                <w:rFonts w:cs="Arial"/>
                <w:b w:val="0"/>
                <w:vertAlign w:val="superscript"/>
              </w:rPr>
              <w:t>®</w:t>
            </w:r>
          </w:p>
          <w:p w:rsidR="003263A0" w:rsidRPr="00B75794" w:rsidRDefault="003263A0" w:rsidP="00EE3F20">
            <w:pPr>
              <w:pStyle w:val="Heading1"/>
              <w:keepLines/>
              <w:pageBreakBefore/>
              <w:rPr>
                <w:rFonts w:cs="Arial"/>
                <w:b w:val="0"/>
                <w:snapToGrid/>
              </w:rPr>
            </w:pPr>
          </w:p>
          <w:p w:rsidR="003263A0" w:rsidRPr="00B75794" w:rsidRDefault="003263A0" w:rsidP="00EE3F20">
            <w:pPr>
              <w:pStyle w:val="Heading1"/>
              <w:keepLines/>
              <w:pageBreakBefore/>
              <w:rPr>
                <w:rFonts w:cs="Arial"/>
                <w:b w:val="0"/>
                <w:snapToGrid/>
              </w:rPr>
            </w:pPr>
            <w:r w:rsidRPr="00B75794">
              <w:rPr>
                <w:rFonts w:cs="Arial"/>
                <w:b w:val="0"/>
                <w:snapToGrid/>
              </w:rPr>
              <w:t xml:space="preserve">Clinect </w:t>
            </w:r>
          </w:p>
          <w:p w:rsidR="003263A0" w:rsidRPr="00B75794" w:rsidRDefault="003263A0" w:rsidP="00EE3F20">
            <w:pPr>
              <w:keepNext/>
              <w:keepLines/>
              <w:pageBreakBefore/>
              <w:rPr>
                <w:rFonts w:ascii="Arial" w:hAnsi="Arial" w:cs="Arial"/>
                <w:lang w:eastAsia="en-US"/>
              </w:rPr>
            </w:pPr>
          </w:p>
          <w:p w:rsidR="003263A0" w:rsidRPr="00B75794" w:rsidRDefault="003263A0" w:rsidP="00EE3F20">
            <w:pPr>
              <w:keepNext/>
              <w:keepLines/>
              <w:pageBreakBefore/>
              <w:rPr>
                <w:lang w:eastAsia="en-US"/>
              </w:rPr>
            </w:pPr>
            <w:r w:rsidRPr="00B75794">
              <w:rPr>
                <w:rFonts w:ascii="Arial" w:hAnsi="Arial" w:cs="Arial"/>
                <w:lang w:eastAsia="en-US"/>
              </w:rPr>
              <w:t>(Major Submission)</w:t>
            </w:r>
          </w:p>
        </w:tc>
        <w:tc>
          <w:tcPr>
            <w:tcW w:w="2409" w:type="dxa"/>
            <w:vMerge w:val="restart"/>
          </w:tcPr>
          <w:p w:rsidR="003263A0" w:rsidRPr="00B75794" w:rsidRDefault="003263A0" w:rsidP="00EE3F20">
            <w:pPr>
              <w:keepNext/>
              <w:keepLines/>
              <w:pageBreakBefore/>
              <w:widowControl w:val="0"/>
              <w:rPr>
                <w:rFonts w:ascii="Arial" w:hAnsi="Arial" w:cs="Arial"/>
                <w:snapToGrid w:val="0"/>
                <w:lang w:eastAsia="en-US"/>
              </w:rPr>
            </w:pPr>
            <w:r w:rsidRPr="00B75794">
              <w:rPr>
                <w:rFonts w:ascii="Arial" w:hAnsi="Arial" w:cs="Arial"/>
                <w:snapToGrid w:val="0"/>
                <w:lang w:eastAsia="en-US"/>
              </w:rPr>
              <w:t>Chronic hepatitis C (CHC).</w:t>
            </w:r>
          </w:p>
        </w:tc>
        <w:tc>
          <w:tcPr>
            <w:tcW w:w="3262" w:type="dxa"/>
            <w:tcMar>
              <w:top w:w="28" w:type="dxa"/>
              <w:bottom w:w="28" w:type="dxa"/>
            </w:tcMar>
          </w:tcPr>
          <w:p w:rsidR="003263A0" w:rsidRPr="00B75794" w:rsidRDefault="003263A0" w:rsidP="00F747BF">
            <w:pPr>
              <w:keepNext/>
              <w:keepLines/>
              <w:pageBreakBefore/>
              <w:widowControl w:val="0"/>
              <w:rPr>
                <w:rFonts w:ascii="Arial" w:hAnsi="Arial" w:cs="Arial"/>
                <w:snapToGrid w:val="0"/>
                <w:lang w:eastAsia="en-US"/>
              </w:rPr>
            </w:pPr>
            <w:r w:rsidRPr="00B75794">
              <w:rPr>
                <w:rFonts w:ascii="Arial" w:hAnsi="Arial" w:cs="Arial"/>
                <w:snapToGrid w:val="0"/>
                <w:lang w:eastAsia="en-US"/>
              </w:rPr>
              <w:t xml:space="preserve">The submission </w:t>
            </w:r>
            <w:r w:rsidR="00F747BF">
              <w:rPr>
                <w:rFonts w:ascii="Arial" w:hAnsi="Arial" w:cs="Arial"/>
                <w:snapToGrid w:val="0"/>
                <w:lang w:eastAsia="en-US"/>
              </w:rPr>
              <w:t>sought</w:t>
            </w:r>
            <w:r w:rsidRPr="00B75794">
              <w:rPr>
                <w:rFonts w:ascii="Arial" w:hAnsi="Arial" w:cs="Arial"/>
                <w:snapToGrid w:val="0"/>
                <w:lang w:eastAsia="en-US"/>
              </w:rPr>
              <w:t xml:space="preserve"> a Section 100 Authority Required (STREAMLINED) listing for ribavirin for the treatment of chronic hepatitis C (CHC).</w:t>
            </w:r>
          </w:p>
        </w:tc>
        <w:tc>
          <w:tcPr>
            <w:tcW w:w="6950" w:type="dxa"/>
          </w:tcPr>
          <w:p w:rsidR="003263A0" w:rsidRPr="00B75794" w:rsidRDefault="003263A0" w:rsidP="00EE3F20">
            <w:pPr>
              <w:keepNext/>
              <w:keepLines/>
              <w:pageBreakBefore/>
              <w:rPr>
                <w:rFonts w:ascii="Arial" w:hAnsi="Arial" w:cs="Arial"/>
              </w:rPr>
            </w:pPr>
            <w:r w:rsidRPr="00B75794">
              <w:rPr>
                <w:rFonts w:ascii="Arial" w:hAnsi="Arial" w:cs="Arial"/>
              </w:rPr>
              <w:t>The PBAC rejected the submission for the Section 100 (Highly Specialised Drugs Program) Authority Required (Streamlined) listing for ribavirin for the treatment of chronic hepatitis C Genotype 2 and 3. The PBAC noted the clinical need for a stand-alone ribavirin for the treatment of genotype 2 and 3 patients in combination with sofosbuvir, however the submission had not justified the incremental cost effectiveness of ribavirin compared to the currently listed ribavirin based items.</w:t>
            </w:r>
          </w:p>
          <w:p w:rsidR="003263A0" w:rsidRPr="00B75794" w:rsidRDefault="003263A0" w:rsidP="00EE3F20">
            <w:pPr>
              <w:keepNext/>
              <w:keepLines/>
              <w:pageBreakBefore/>
              <w:rPr>
                <w:rFonts w:ascii="Arial" w:hAnsi="Arial" w:cs="Arial"/>
              </w:rPr>
            </w:pPr>
          </w:p>
          <w:p w:rsidR="003263A0" w:rsidRPr="00B75794" w:rsidRDefault="003263A0" w:rsidP="00EE3F20">
            <w:pPr>
              <w:keepNext/>
              <w:keepLines/>
              <w:pageBreakBefore/>
              <w:jc w:val="both"/>
              <w:rPr>
                <w:rFonts w:ascii="Arial" w:hAnsi="Arial" w:cs="Arial"/>
                <w:snapToGrid w:val="0"/>
                <w:lang w:eastAsia="en-US"/>
              </w:rPr>
            </w:pPr>
          </w:p>
        </w:tc>
      </w:tr>
      <w:tr w:rsidR="003263A0" w:rsidRPr="006D5F62" w:rsidTr="00CE5AA5">
        <w:trPr>
          <w:trHeight w:val="465"/>
        </w:trPr>
        <w:tc>
          <w:tcPr>
            <w:tcW w:w="2694" w:type="dxa"/>
            <w:vMerge/>
            <w:tcMar>
              <w:top w:w="28" w:type="dxa"/>
              <w:bottom w:w="28" w:type="dxa"/>
            </w:tcMar>
          </w:tcPr>
          <w:p w:rsidR="003263A0" w:rsidRPr="00B75794" w:rsidRDefault="003263A0" w:rsidP="00FF54A6">
            <w:pPr>
              <w:pStyle w:val="Heading1"/>
              <w:keepLines/>
              <w:rPr>
                <w:rFonts w:cs="Arial"/>
              </w:rPr>
            </w:pPr>
          </w:p>
        </w:tc>
        <w:tc>
          <w:tcPr>
            <w:tcW w:w="2409" w:type="dxa"/>
            <w:vMerge/>
          </w:tcPr>
          <w:p w:rsidR="003263A0" w:rsidRPr="00B75794" w:rsidRDefault="003263A0" w:rsidP="00FF54A6">
            <w:pPr>
              <w:keepNext/>
              <w:keepLines/>
              <w:widowControl w:val="0"/>
              <w:rPr>
                <w:rFonts w:ascii="Arial" w:hAnsi="Arial" w:cs="Arial"/>
                <w:snapToGrid w:val="0"/>
                <w:lang w:eastAsia="en-US"/>
              </w:rPr>
            </w:pPr>
          </w:p>
        </w:tc>
        <w:tc>
          <w:tcPr>
            <w:tcW w:w="3262" w:type="dxa"/>
            <w:tcMar>
              <w:top w:w="28" w:type="dxa"/>
              <w:bottom w:w="28" w:type="dxa"/>
            </w:tcMar>
          </w:tcPr>
          <w:p w:rsidR="003263A0" w:rsidRPr="00B75794" w:rsidRDefault="003263A0" w:rsidP="00FF54A6">
            <w:pPr>
              <w:keepNext/>
              <w:keepLines/>
              <w:widowControl w:val="0"/>
              <w:rPr>
                <w:rFonts w:ascii="Arial" w:hAnsi="Arial" w:cs="Arial"/>
                <w:snapToGrid w:val="0"/>
                <w:lang w:eastAsia="en-US"/>
              </w:rPr>
            </w:pPr>
            <w:r w:rsidRPr="00B75794">
              <w:rPr>
                <w:rFonts w:ascii="Arial" w:hAnsi="Arial" w:cs="Arial"/>
                <w:snapToGrid w:val="0"/>
                <w:lang w:eastAsia="en-US"/>
              </w:rPr>
              <w:t>Sponsor Comment:</w:t>
            </w:r>
          </w:p>
        </w:tc>
        <w:tc>
          <w:tcPr>
            <w:tcW w:w="6950" w:type="dxa"/>
          </w:tcPr>
          <w:p w:rsidR="00E75330" w:rsidRPr="00E75330" w:rsidRDefault="00E75330" w:rsidP="00E75330">
            <w:pPr>
              <w:keepNext/>
              <w:keepLines/>
              <w:jc w:val="both"/>
              <w:rPr>
                <w:rFonts w:ascii="Arial" w:hAnsi="Arial" w:cs="Arial"/>
                <w:snapToGrid w:val="0"/>
                <w:lang w:eastAsia="en-US"/>
              </w:rPr>
            </w:pPr>
            <w:r w:rsidRPr="00E75330">
              <w:rPr>
                <w:rFonts w:ascii="Arial" w:hAnsi="Arial" w:cs="Arial"/>
                <w:iCs/>
                <w:snapToGrid w:val="0"/>
                <w:lang w:eastAsia="en-US"/>
              </w:rPr>
              <w:t xml:space="preserve">Clinect Pty Ltd is committed to working with the PBAC to secure reimbursement of IBAVYR® to assist Australians suffering with Chronic hepatitis C (CHC).  Clinect will be lodging all necessary materials in April 2015 so that IBAVYR® can be reconsidered at the July 2015 PBAC meeting.  </w:t>
            </w:r>
          </w:p>
          <w:p w:rsidR="003263A0" w:rsidRPr="00B75794" w:rsidRDefault="003263A0" w:rsidP="00FF54A6">
            <w:pPr>
              <w:keepNext/>
              <w:keepLines/>
              <w:jc w:val="both"/>
              <w:rPr>
                <w:rFonts w:ascii="Arial" w:hAnsi="Arial" w:cs="Arial"/>
                <w:snapToGrid w:val="0"/>
                <w:lang w:eastAsia="en-US"/>
              </w:rPr>
            </w:pPr>
          </w:p>
        </w:tc>
      </w:tr>
    </w:tbl>
    <w:p w:rsidR="00640C80" w:rsidRDefault="00640C80" w:rsidP="00640C80">
      <w:pPr>
        <w:tabs>
          <w:tab w:val="left" w:pos="5210"/>
        </w:tabs>
        <w:rPr>
          <w:rFonts w:ascii="Arial" w:hAnsi="Arial" w:cs="Arial"/>
          <w:lang w:val="en-US"/>
        </w:rPr>
      </w:pPr>
    </w:p>
    <w:sectPr w:rsidR="00640C80" w:rsidSect="00257615">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021" w:rsidRDefault="00084021">
      <w:r>
        <w:separator/>
      </w:r>
    </w:p>
  </w:endnote>
  <w:endnote w:type="continuationSeparator" w:id="0">
    <w:p w:rsidR="00084021" w:rsidRDefault="0008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0B99">
      <w:rPr>
        <w:rStyle w:val="PageNumber"/>
        <w:noProof/>
      </w:rPr>
      <w:t>15</w: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5865D5">
      <w:rPr>
        <w:rStyle w:val="PageNumber"/>
        <w:rFonts w:ascii="Arial" w:hAnsi="Arial" w:cs="Arial"/>
        <w:noProof/>
      </w:rPr>
      <w:t>13</w:t>
    </w:r>
    <w:r w:rsidRPr="00287C89">
      <w:rPr>
        <w:rStyle w:val="PageNumber"/>
        <w:rFonts w:ascii="Arial" w:hAnsi="Arial" w:cs="Arial"/>
      </w:rPr>
      <w:fldChar w:fldCharType="end"/>
    </w:r>
  </w:p>
  <w:p w:rsidR="005E1F3B" w:rsidRDefault="005E1F3B" w:rsidP="00FE2A81">
    <w:pPr>
      <w:pStyle w:val="Footer"/>
      <w:ind w:right="360"/>
    </w:pPr>
  </w:p>
  <w:p w:rsidR="00257615" w:rsidRDefault="00257615"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021" w:rsidRDefault="00084021">
      <w:r>
        <w:separator/>
      </w:r>
    </w:p>
  </w:footnote>
  <w:footnote w:type="continuationSeparator" w:id="0">
    <w:p w:rsidR="00084021" w:rsidRDefault="00084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6F" w:rsidRDefault="000E1E84" w:rsidP="0071356F">
    <w:pPr>
      <w:pStyle w:val="Header"/>
      <w:jc w:val="center"/>
      <w:rPr>
        <w:rFonts w:ascii="Arial" w:hAnsi="Arial" w:cs="Arial"/>
        <w:b/>
      </w:rPr>
    </w:pPr>
    <w:r>
      <w:rPr>
        <w:rFonts w:ascii="Arial" w:hAnsi="Arial" w:cs="Arial"/>
        <w:b/>
      </w:rPr>
      <w:t>M</w:t>
    </w:r>
    <w:r w:rsidR="00BD1E4D">
      <w:rPr>
        <w:rFonts w:ascii="Arial" w:hAnsi="Arial" w:cs="Arial"/>
        <w:b/>
      </w:rPr>
      <w:t>arch 2015</w:t>
    </w:r>
    <w:r>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71356F" w:rsidRPr="0071356F">
      <w:rPr>
        <w:rFonts w:ascii="Arial" w:hAnsi="Arial" w:cs="Arial"/>
        <w:b/>
      </w:rPr>
      <w:t>1</w:t>
    </w:r>
    <w:r w:rsidR="0071356F" w:rsidRPr="0071356F">
      <w:rPr>
        <w:rFonts w:ascii="Arial" w:hAnsi="Arial" w:cs="Arial"/>
        <w:b/>
        <w:vertAlign w:val="superscript"/>
      </w:rPr>
      <w:t>ST</w:t>
    </w:r>
    <w:r w:rsidR="007F10B5">
      <w:rPr>
        <w:rFonts w:ascii="Arial" w:hAnsi="Arial" w:cs="Arial"/>
        <w:b/>
      </w:rPr>
      <w:t xml:space="preserve"> TIME</w:t>
    </w:r>
    <w:r w:rsidR="0071356F" w:rsidRPr="0071356F">
      <w:rPr>
        <w:rFonts w:ascii="Arial" w:hAnsi="Arial" w:cs="Arial"/>
        <w:b/>
      </w:rPr>
      <w:t xml:space="preserve"> DECISIONS NOT TO RECOMMEND</w:t>
    </w:r>
  </w:p>
  <w:p w:rsidR="00257615" w:rsidRPr="0071356F" w:rsidRDefault="00257615" w:rsidP="0071356F">
    <w:pPr>
      <w:pStyle w:val="Heade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4">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7">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2">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28"/>
  </w:num>
  <w:num w:numId="4">
    <w:abstractNumId w:val="22"/>
  </w:num>
  <w:num w:numId="5">
    <w:abstractNumId w:val="12"/>
  </w:num>
  <w:num w:numId="6">
    <w:abstractNumId w:val="7"/>
  </w:num>
  <w:num w:numId="7">
    <w:abstractNumId w:val="3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3"/>
  </w:num>
  <w:num w:numId="11">
    <w:abstractNumId w:val="24"/>
  </w:num>
  <w:num w:numId="12">
    <w:abstractNumId w:val="26"/>
  </w:num>
  <w:num w:numId="13">
    <w:abstractNumId w:val="8"/>
  </w:num>
  <w:num w:numId="14">
    <w:abstractNumId w:val="25"/>
  </w:num>
  <w:num w:numId="15">
    <w:abstractNumId w:val="27"/>
  </w:num>
  <w:num w:numId="16">
    <w:abstractNumId w:val="23"/>
  </w:num>
  <w:num w:numId="17">
    <w:abstractNumId w:val="37"/>
  </w:num>
  <w:num w:numId="18">
    <w:abstractNumId w:val="39"/>
  </w:num>
  <w:num w:numId="19">
    <w:abstractNumId w:val="6"/>
  </w:num>
  <w:num w:numId="20">
    <w:abstractNumId w:val="13"/>
  </w:num>
  <w:num w:numId="21">
    <w:abstractNumId w:val="15"/>
  </w:num>
  <w:num w:numId="22">
    <w:abstractNumId w:val="35"/>
  </w:num>
  <w:num w:numId="23">
    <w:abstractNumId w:val="5"/>
  </w:num>
  <w:num w:numId="24">
    <w:abstractNumId w:val="18"/>
  </w:num>
  <w:num w:numId="25">
    <w:abstractNumId w:val="11"/>
  </w:num>
  <w:num w:numId="26">
    <w:abstractNumId w:val="9"/>
  </w:num>
  <w:num w:numId="27">
    <w:abstractNumId w:val="20"/>
  </w:num>
  <w:num w:numId="28">
    <w:abstractNumId w:val="21"/>
  </w:num>
  <w:num w:numId="29">
    <w:abstractNumId w:val="19"/>
  </w:num>
  <w:num w:numId="30">
    <w:abstractNumId w:val="38"/>
  </w:num>
  <w:num w:numId="31">
    <w:abstractNumId w:val="16"/>
  </w:num>
  <w:num w:numId="32">
    <w:abstractNumId w:val="31"/>
  </w:num>
  <w:num w:numId="33">
    <w:abstractNumId w:val="36"/>
  </w:num>
  <w:num w:numId="34">
    <w:abstractNumId w:val="34"/>
  </w:num>
  <w:num w:numId="35">
    <w:abstractNumId w:val="3"/>
  </w:num>
  <w:num w:numId="36">
    <w:abstractNumId w:val="32"/>
  </w:num>
  <w:num w:numId="37">
    <w:abstractNumId w:val="2"/>
  </w:num>
  <w:num w:numId="38">
    <w:abstractNumId w:val="17"/>
  </w:num>
  <w:num w:numId="39">
    <w:abstractNumId w:val="1"/>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39A6"/>
    <w:rsid w:val="00004628"/>
    <w:rsid w:val="0000462B"/>
    <w:rsid w:val="00004D33"/>
    <w:rsid w:val="00004D75"/>
    <w:rsid w:val="00004F9D"/>
    <w:rsid w:val="00005F17"/>
    <w:rsid w:val="00005FA7"/>
    <w:rsid w:val="000063DB"/>
    <w:rsid w:val="0000733C"/>
    <w:rsid w:val="000074BD"/>
    <w:rsid w:val="00007D69"/>
    <w:rsid w:val="0001029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10DF"/>
    <w:rsid w:val="00022361"/>
    <w:rsid w:val="000223D3"/>
    <w:rsid w:val="00022435"/>
    <w:rsid w:val="00022686"/>
    <w:rsid w:val="000228B1"/>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5FC"/>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021"/>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1E0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3AA4"/>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87E"/>
    <w:rsid w:val="000C0E21"/>
    <w:rsid w:val="000C1BA1"/>
    <w:rsid w:val="000C219D"/>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69F7"/>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2B0"/>
    <w:rsid w:val="00150381"/>
    <w:rsid w:val="0015080E"/>
    <w:rsid w:val="00150916"/>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86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11A"/>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04"/>
    <w:rsid w:val="001F5B96"/>
    <w:rsid w:val="001F67F2"/>
    <w:rsid w:val="001F6895"/>
    <w:rsid w:val="001F6A3C"/>
    <w:rsid w:val="001F6DCB"/>
    <w:rsid w:val="001F7055"/>
    <w:rsid w:val="001F716B"/>
    <w:rsid w:val="001F7B95"/>
    <w:rsid w:val="001F7E44"/>
    <w:rsid w:val="001F7FE1"/>
    <w:rsid w:val="002010D3"/>
    <w:rsid w:val="00201885"/>
    <w:rsid w:val="00202F44"/>
    <w:rsid w:val="0020322B"/>
    <w:rsid w:val="002032C8"/>
    <w:rsid w:val="00203A75"/>
    <w:rsid w:val="0020409B"/>
    <w:rsid w:val="002060A5"/>
    <w:rsid w:val="002068F5"/>
    <w:rsid w:val="002070E4"/>
    <w:rsid w:val="0020721C"/>
    <w:rsid w:val="002072C3"/>
    <w:rsid w:val="00207813"/>
    <w:rsid w:val="0020790A"/>
    <w:rsid w:val="00207E86"/>
    <w:rsid w:val="00210594"/>
    <w:rsid w:val="00210F65"/>
    <w:rsid w:val="002114D8"/>
    <w:rsid w:val="00212939"/>
    <w:rsid w:val="00212B8B"/>
    <w:rsid w:val="0021371C"/>
    <w:rsid w:val="002139E7"/>
    <w:rsid w:val="002144A1"/>
    <w:rsid w:val="002147A6"/>
    <w:rsid w:val="00214D4B"/>
    <w:rsid w:val="00215739"/>
    <w:rsid w:val="002157B5"/>
    <w:rsid w:val="00216869"/>
    <w:rsid w:val="0021720D"/>
    <w:rsid w:val="0022016A"/>
    <w:rsid w:val="00220F03"/>
    <w:rsid w:val="00221057"/>
    <w:rsid w:val="002212CB"/>
    <w:rsid w:val="00221696"/>
    <w:rsid w:val="00221B4C"/>
    <w:rsid w:val="002226A9"/>
    <w:rsid w:val="0022277E"/>
    <w:rsid w:val="00223034"/>
    <w:rsid w:val="00223614"/>
    <w:rsid w:val="002238E6"/>
    <w:rsid w:val="00225CB8"/>
    <w:rsid w:val="00226E88"/>
    <w:rsid w:val="00226F8B"/>
    <w:rsid w:val="0022715D"/>
    <w:rsid w:val="00230AF7"/>
    <w:rsid w:val="00230B76"/>
    <w:rsid w:val="00231068"/>
    <w:rsid w:val="00231487"/>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A6C"/>
    <w:rsid w:val="00250DBA"/>
    <w:rsid w:val="00251087"/>
    <w:rsid w:val="00251294"/>
    <w:rsid w:val="00251AD5"/>
    <w:rsid w:val="0025228C"/>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27"/>
    <w:rsid w:val="00263457"/>
    <w:rsid w:val="00263EF4"/>
    <w:rsid w:val="00264A64"/>
    <w:rsid w:val="00265FE9"/>
    <w:rsid w:val="0026773E"/>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87C89"/>
    <w:rsid w:val="002905B5"/>
    <w:rsid w:val="002911D8"/>
    <w:rsid w:val="00293203"/>
    <w:rsid w:val="0029329A"/>
    <w:rsid w:val="00293A15"/>
    <w:rsid w:val="00295693"/>
    <w:rsid w:val="002960C3"/>
    <w:rsid w:val="002969C0"/>
    <w:rsid w:val="002972D4"/>
    <w:rsid w:val="00297AEF"/>
    <w:rsid w:val="00297F02"/>
    <w:rsid w:val="002A06E1"/>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57DB"/>
    <w:rsid w:val="002C6E41"/>
    <w:rsid w:val="002C748E"/>
    <w:rsid w:val="002C7D3C"/>
    <w:rsid w:val="002D0DDF"/>
    <w:rsid w:val="002D17A5"/>
    <w:rsid w:val="002D1AC7"/>
    <w:rsid w:val="002D1D56"/>
    <w:rsid w:val="002D347E"/>
    <w:rsid w:val="002D3D17"/>
    <w:rsid w:val="002D42A0"/>
    <w:rsid w:val="002D440D"/>
    <w:rsid w:val="002D4C8C"/>
    <w:rsid w:val="002D545A"/>
    <w:rsid w:val="002D59E5"/>
    <w:rsid w:val="002D5C23"/>
    <w:rsid w:val="002D5CBC"/>
    <w:rsid w:val="002D5DC3"/>
    <w:rsid w:val="002D6B4D"/>
    <w:rsid w:val="002E103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27B"/>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3A0"/>
    <w:rsid w:val="00326522"/>
    <w:rsid w:val="003270BF"/>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BA3"/>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87F"/>
    <w:rsid w:val="00372F44"/>
    <w:rsid w:val="00373C9E"/>
    <w:rsid w:val="00374783"/>
    <w:rsid w:val="003750B5"/>
    <w:rsid w:val="00375135"/>
    <w:rsid w:val="00377224"/>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08C"/>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0E2E"/>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5CCA"/>
    <w:rsid w:val="003F6169"/>
    <w:rsid w:val="003F62D3"/>
    <w:rsid w:val="003F6645"/>
    <w:rsid w:val="003F72D7"/>
    <w:rsid w:val="003F77DA"/>
    <w:rsid w:val="003F7B2D"/>
    <w:rsid w:val="003F7C7A"/>
    <w:rsid w:val="00400940"/>
    <w:rsid w:val="00400D40"/>
    <w:rsid w:val="004014C9"/>
    <w:rsid w:val="00401DDB"/>
    <w:rsid w:val="00402B5F"/>
    <w:rsid w:val="00402C3D"/>
    <w:rsid w:val="00403087"/>
    <w:rsid w:val="00403EDA"/>
    <w:rsid w:val="00403F44"/>
    <w:rsid w:val="0040409C"/>
    <w:rsid w:val="00404833"/>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982"/>
    <w:rsid w:val="00455AE4"/>
    <w:rsid w:val="00457034"/>
    <w:rsid w:val="004576B3"/>
    <w:rsid w:val="00457BAA"/>
    <w:rsid w:val="00460981"/>
    <w:rsid w:val="004609DE"/>
    <w:rsid w:val="00461DC0"/>
    <w:rsid w:val="004628F0"/>
    <w:rsid w:val="00462D54"/>
    <w:rsid w:val="00462D63"/>
    <w:rsid w:val="00463886"/>
    <w:rsid w:val="00464F36"/>
    <w:rsid w:val="0046568B"/>
    <w:rsid w:val="0046573B"/>
    <w:rsid w:val="00466121"/>
    <w:rsid w:val="00466912"/>
    <w:rsid w:val="00467686"/>
    <w:rsid w:val="00467792"/>
    <w:rsid w:val="004679AB"/>
    <w:rsid w:val="00471665"/>
    <w:rsid w:val="0047195F"/>
    <w:rsid w:val="00471A9E"/>
    <w:rsid w:val="00471B86"/>
    <w:rsid w:val="00472227"/>
    <w:rsid w:val="00472E9C"/>
    <w:rsid w:val="004732E6"/>
    <w:rsid w:val="00474927"/>
    <w:rsid w:val="004749A6"/>
    <w:rsid w:val="00474FBE"/>
    <w:rsid w:val="0047540F"/>
    <w:rsid w:val="0047709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58A"/>
    <w:rsid w:val="004B7F9F"/>
    <w:rsid w:val="004C06CE"/>
    <w:rsid w:val="004C099B"/>
    <w:rsid w:val="004C0DB4"/>
    <w:rsid w:val="004C33E8"/>
    <w:rsid w:val="004C3D7F"/>
    <w:rsid w:val="004C4A96"/>
    <w:rsid w:val="004C4E5F"/>
    <w:rsid w:val="004C5875"/>
    <w:rsid w:val="004C5F28"/>
    <w:rsid w:val="004C6997"/>
    <w:rsid w:val="004C6CDB"/>
    <w:rsid w:val="004C723F"/>
    <w:rsid w:val="004C7C36"/>
    <w:rsid w:val="004C7D16"/>
    <w:rsid w:val="004D0132"/>
    <w:rsid w:val="004D080F"/>
    <w:rsid w:val="004D185E"/>
    <w:rsid w:val="004D29F9"/>
    <w:rsid w:val="004D4B61"/>
    <w:rsid w:val="004D606D"/>
    <w:rsid w:val="004D6B20"/>
    <w:rsid w:val="004D6C2F"/>
    <w:rsid w:val="004D71FE"/>
    <w:rsid w:val="004D72C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1309"/>
    <w:rsid w:val="0055242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65D5"/>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62BF"/>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0E65"/>
    <w:rsid w:val="00621B17"/>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37EA"/>
    <w:rsid w:val="006348ED"/>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47AB3"/>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3FA9"/>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1E82"/>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02D"/>
    <w:rsid w:val="006D0421"/>
    <w:rsid w:val="006D047B"/>
    <w:rsid w:val="006D1D18"/>
    <w:rsid w:val="006D2594"/>
    <w:rsid w:val="006D2BD4"/>
    <w:rsid w:val="006D3530"/>
    <w:rsid w:val="006D407D"/>
    <w:rsid w:val="006D477F"/>
    <w:rsid w:val="006D47BC"/>
    <w:rsid w:val="006D4ACA"/>
    <w:rsid w:val="006D5843"/>
    <w:rsid w:val="006D5F62"/>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6D3E"/>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820"/>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4927"/>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1A6"/>
    <w:rsid w:val="00756609"/>
    <w:rsid w:val="007566A7"/>
    <w:rsid w:val="00756E30"/>
    <w:rsid w:val="0075707E"/>
    <w:rsid w:val="00757941"/>
    <w:rsid w:val="007639A5"/>
    <w:rsid w:val="00763EE9"/>
    <w:rsid w:val="00764375"/>
    <w:rsid w:val="007653BF"/>
    <w:rsid w:val="00765630"/>
    <w:rsid w:val="00765919"/>
    <w:rsid w:val="007661BB"/>
    <w:rsid w:val="0076653E"/>
    <w:rsid w:val="0076658F"/>
    <w:rsid w:val="00766647"/>
    <w:rsid w:val="0076786D"/>
    <w:rsid w:val="00770533"/>
    <w:rsid w:val="00770E63"/>
    <w:rsid w:val="00774469"/>
    <w:rsid w:val="00774752"/>
    <w:rsid w:val="00775291"/>
    <w:rsid w:val="0077594E"/>
    <w:rsid w:val="00775FB9"/>
    <w:rsid w:val="00776268"/>
    <w:rsid w:val="00777495"/>
    <w:rsid w:val="0078016F"/>
    <w:rsid w:val="007805EC"/>
    <w:rsid w:val="00780891"/>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5AF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01D"/>
    <w:rsid w:val="007E65FE"/>
    <w:rsid w:val="007E674F"/>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44B"/>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8B1"/>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B7AE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47"/>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689"/>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0E15"/>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3AFB"/>
    <w:rsid w:val="009C4087"/>
    <w:rsid w:val="009C4959"/>
    <w:rsid w:val="009C4CFF"/>
    <w:rsid w:val="009C5961"/>
    <w:rsid w:val="009C76A3"/>
    <w:rsid w:val="009C79E5"/>
    <w:rsid w:val="009C7ACB"/>
    <w:rsid w:val="009C7C85"/>
    <w:rsid w:val="009D03F6"/>
    <w:rsid w:val="009D1849"/>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28C2"/>
    <w:rsid w:val="00A13C50"/>
    <w:rsid w:val="00A14331"/>
    <w:rsid w:val="00A145EB"/>
    <w:rsid w:val="00A14AB2"/>
    <w:rsid w:val="00A14AC9"/>
    <w:rsid w:val="00A175A7"/>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E7D"/>
    <w:rsid w:val="00A25FCF"/>
    <w:rsid w:val="00A269B5"/>
    <w:rsid w:val="00A26A3F"/>
    <w:rsid w:val="00A26AF3"/>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C49"/>
    <w:rsid w:val="00AD3D21"/>
    <w:rsid w:val="00AD5396"/>
    <w:rsid w:val="00AD68F8"/>
    <w:rsid w:val="00AD692B"/>
    <w:rsid w:val="00AE0B68"/>
    <w:rsid w:val="00AE0CA2"/>
    <w:rsid w:val="00AE10CD"/>
    <w:rsid w:val="00AE1499"/>
    <w:rsid w:val="00AE2D0A"/>
    <w:rsid w:val="00AE3725"/>
    <w:rsid w:val="00AE448F"/>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F83"/>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63"/>
    <w:rsid w:val="00B17629"/>
    <w:rsid w:val="00B21D6E"/>
    <w:rsid w:val="00B22C39"/>
    <w:rsid w:val="00B22DE0"/>
    <w:rsid w:val="00B23D2D"/>
    <w:rsid w:val="00B24FEA"/>
    <w:rsid w:val="00B2540B"/>
    <w:rsid w:val="00B2583F"/>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1B40"/>
    <w:rsid w:val="00B62014"/>
    <w:rsid w:val="00B629C9"/>
    <w:rsid w:val="00B63426"/>
    <w:rsid w:val="00B6365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0EA"/>
    <w:rsid w:val="00B74D56"/>
    <w:rsid w:val="00B75794"/>
    <w:rsid w:val="00B75CCA"/>
    <w:rsid w:val="00B768A7"/>
    <w:rsid w:val="00B76970"/>
    <w:rsid w:val="00B76F65"/>
    <w:rsid w:val="00B7738B"/>
    <w:rsid w:val="00B77E9E"/>
    <w:rsid w:val="00B80406"/>
    <w:rsid w:val="00B80A5E"/>
    <w:rsid w:val="00B80F1F"/>
    <w:rsid w:val="00B813C8"/>
    <w:rsid w:val="00B8146F"/>
    <w:rsid w:val="00B8167D"/>
    <w:rsid w:val="00B8243E"/>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1E4D"/>
    <w:rsid w:val="00BD33A9"/>
    <w:rsid w:val="00BD33BE"/>
    <w:rsid w:val="00BD3792"/>
    <w:rsid w:val="00BD3C72"/>
    <w:rsid w:val="00BD4E12"/>
    <w:rsid w:val="00BD5D4E"/>
    <w:rsid w:val="00BD7991"/>
    <w:rsid w:val="00BE0047"/>
    <w:rsid w:val="00BE0BDD"/>
    <w:rsid w:val="00BE21E3"/>
    <w:rsid w:val="00BE305B"/>
    <w:rsid w:val="00BE5F4E"/>
    <w:rsid w:val="00BE62B2"/>
    <w:rsid w:val="00BE6350"/>
    <w:rsid w:val="00BE67F1"/>
    <w:rsid w:val="00BE6F6B"/>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3A1B"/>
    <w:rsid w:val="00C3488B"/>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67BA5"/>
    <w:rsid w:val="00C70254"/>
    <w:rsid w:val="00C703C0"/>
    <w:rsid w:val="00C706D1"/>
    <w:rsid w:val="00C70FAE"/>
    <w:rsid w:val="00C71284"/>
    <w:rsid w:val="00C719C3"/>
    <w:rsid w:val="00C72DD5"/>
    <w:rsid w:val="00C733A6"/>
    <w:rsid w:val="00C737B0"/>
    <w:rsid w:val="00C73D39"/>
    <w:rsid w:val="00C7675A"/>
    <w:rsid w:val="00C76E9D"/>
    <w:rsid w:val="00C816DF"/>
    <w:rsid w:val="00C820EE"/>
    <w:rsid w:val="00C83026"/>
    <w:rsid w:val="00C84713"/>
    <w:rsid w:val="00C84758"/>
    <w:rsid w:val="00C853AB"/>
    <w:rsid w:val="00C85F72"/>
    <w:rsid w:val="00C86896"/>
    <w:rsid w:val="00C876E1"/>
    <w:rsid w:val="00C90162"/>
    <w:rsid w:val="00C908A9"/>
    <w:rsid w:val="00C908BE"/>
    <w:rsid w:val="00C91507"/>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719"/>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AA5"/>
    <w:rsid w:val="00CE5B5C"/>
    <w:rsid w:val="00CE5B69"/>
    <w:rsid w:val="00CE6071"/>
    <w:rsid w:val="00CE66E3"/>
    <w:rsid w:val="00CE793F"/>
    <w:rsid w:val="00CE7E6F"/>
    <w:rsid w:val="00CF15DD"/>
    <w:rsid w:val="00CF201C"/>
    <w:rsid w:val="00CF223D"/>
    <w:rsid w:val="00CF2824"/>
    <w:rsid w:val="00CF3526"/>
    <w:rsid w:val="00CF3A33"/>
    <w:rsid w:val="00CF3C7D"/>
    <w:rsid w:val="00CF45BF"/>
    <w:rsid w:val="00CF46D4"/>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4AB8"/>
    <w:rsid w:val="00D35597"/>
    <w:rsid w:val="00D35689"/>
    <w:rsid w:val="00D365FA"/>
    <w:rsid w:val="00D37093"/>
    <w:rsid w:val="00D40425"/>
    <w:rsid w:val="00D40BC3"/>
    <w:rsid w:val="00D40D6B"/>
    <w:rsid w:val="00D4129E"/>
    <w:rsid w:val="00D418A3"/>
    <w:rsid w:val="00D41AB6"/>
    <w:rsid w:val="00D42946"/>
    <w:rsid w:val="00D43984"/>
    <w:rsid w:val="00D44283"/>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C38"/>
    <w:rsid w:val="00D710E5"/>
    <w:rsid w:val="00D71197"/>
    <w:rsid w:val="00D7178C"/>
    <w:rsid w:val="00D71CD6"/>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99"/>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3AF5"/>
    <w:rsid w:val="00E04271"/>
    <w:rsid w:val="00E053BA"/>
    <w:rsid w:val="00E0562D"/>
    <w:rsid w:val="00E05C05"/>
    <w:rsid w:val="00E06510"/>
    <w:rsid w:val="00E072B0"/>
    <w:rsid w:val="00E07C90"/>
    <w:rsid w:val="00E111E7"/>
    <w:rsid w:val="00E111F8"/>
    <w:rsid w:val="00E12041"/>
    <w:rsid w:val="00E12618"/>
    <w:rsid w:val="00E129DF"/>
    <w:rsid w:val="00E12B5D"/>
    <w:rsid w:val="00E13435"/>
    <w:rsid w:val="00E13F23"/>
    <w:rsid w:val="00E143D4"/>
    <w:rsid w:val="00E14773"/>
    <w:rsid w:val="00E1521D"/>
    <w:rsid w:val="00E154D2"/>
    <w:rsid w:val="00E155E5"/>
    <w:rsid w:val="00E15BA9"/>
    <w:rsid w:val="00E16E19"/>
    <w:rsid w:val="00E1769F"/>
    <w:rsid w:val="00E17930"/>
    <w:rsid w:val="00E20164"/>
    <w:rsid w:val="00E2050E"/>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40"/>
    <w:rsid w:val="00E334B8"/>
    <w:rsid w:val="00E33C3F"/>
    <w:rsid w:val="00E3511E"/>
    <w:rsid w:val="00E35C3D"/>
    <w:rsid w:val="00E36F8A"/>
    <w:rsid w:val="00E37A6A"/>
    <w:rsid w:val="00E37CC3"/>
    <w:rsid w:val="00E40479"/>
    <w:rsid w:val="00E40FB5"/>
    <w:rsid w:val="00E41884"/>
    <w:rsid w:val="00E4192C"/>
    <w:rsid w:val="00E41DF6"/>
    <w:rsid w:val="00E420CB"/>
    <w:rsid w:val="00E42FB9"/>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44D"/>
    <w:rsid w:val="00E567C7"/>
    <w:rsid w:val="00E56821"/>
    <w:rsid w:val="00E569DE"/>
    <w:rsid w:val="00E56F73"/>
    <w:rsid w:val="00E603AF"/>
    <w:rsid w:val="00E604FA"/>
    <w:rsid w:val="00E607D0"/>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330"/>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097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3F20"/>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88E"/>
    <w:rsid w:val="00F05AB5"/>
    <w:rsid w:val="00F05BC9"/>
    <w:rsid w:val="00F0608B"/>
    <w:rsid w:val="00F0659C"/>
    <w:rsid w:val="00F06776"/>
    <w:rsid w:val="00F06CDD"/>
    <w:rsid w:val="00F06D5D"/>
    <w:rsid w:val="00F076F3"/>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14EF"/>
    <w:rsid w:val="00F3167E"/>
    <w:rsid w:val="00F332B2"/>
    <w:rsid w:val="00F33DD2"/>
    <w:rsid w:val="00F33E94"/>
    <w:rsid w:val="00F33F0D"/>
    <w:rsid w:val="00F34C7A"/>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47BF"/>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58A4"/>
    <w:rsid w:val="00F87B71"/>
    <w:rsid w:val="00F87EB0"/>
    <w:rsid w:val="00F9052C"/>
    <w:rsid w:val="00F9135D"/>
    <w:rsid w:val="00F91B71"/>
    <w:rsid w:val="00F91BA8"/>
    <w:rsid w:val="00F9260F"/>
    <w:rsid w:val="00F9308E"/>
    <w:rsid w:val="00F95E64"/>
    <w:rsid w:val="00F960B8"/>
    <w:rsid w:val="00F9649D"/>
    <w:rsid w:val="00F96A46"/>
    <w:rsid w:val="00F96BB8"/>
    <w:rsid w:val="00F97647"/>
    <w:rsid w:val="00F97A19"/>
    <w:rsid w:val="00FA068B"/>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8F3"/>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4A6"/>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PBACHeading1">
    <w:name w:val="PBAC Heading 1"/>
    <w:qFormat/>
    <w:rsid w:val="001069F7"/>
    <w:pPr>
      <w:ind w:left="720" w:hanging="720"/>
    </w:pPr>
    <w:rPr>
      <w:rFonts w:ascii="Arial" w:hAnsi="Arial" w:cs="Arial"/>
      <w:b/>
      <w:snapToGrid w:val="0"/>
      <w:sz w:val="22"/>
      <w:szCs w:val="22"/>
      <w:lang w:eastAsia="en-US"/>
    </w:rPr>
  </w:style>
  <w:style w:type="paragraph" w:customStyle="1" w:styleId="Char1">
    <w:name w:val="Char"/>
    <w:basedOn w:val="Normal"/>
    <w:rsid w:val="00663FA9"/>
    <w:pPr>
      <w:spacing w:after="160" w:line="240" w:lineRule="exact"/>
    </w:pPr>
    <w:rPr>
      <w:rFonts w:ascii="Verdana" w:eastAsia="MS Mincho"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PBACHeading1">
    <w:name w:val="PBAC Heading 1"/>
    <w:qFormat/>
    <w:rsid w:val="001069F7"/>
    <w:pPr>
      <w:ind w:left="720" w:hanging="720"/>
    </w:pPr>
    <w:rPr>
      <w:rFonts w:ascii="Arial" w:hAnsi="Arial" w:cs="Arial"/>
      <w:b/>
      <w:snapToGrid w:val="0"/>
      <w:sz w:val="22"/>
      <w:szCs w:val="22"/>
      <w:lang w:eastAsia="en-US"/>
    </w:rPr>
  </w:style>
  <w:style w:type="paragraph" w:customStyle="1" w:styleId="Char1">
    <w:name w:val="Char"/>
    <w:basedOn w:val="Normal"/>
    <w:rsid w:val="00663FA9"/>
    <w:pPr>
      <w:spacing w:after="160" w:line="240" w:lineRule="exact"/>
    </w:pPr>
    <w:rPr>
      <w:rFonts w:ascii="Verdana" w:eastAsia="MS Mincho"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2933321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87810535">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77662963">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6761711">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931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5867041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83347851">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8AB45-CDDA-4791-BAFA-30500C91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3639</Words>
  <Characters>21582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2015-11-23T03:31:00Z</dcterms:created>
  <dcterms:modified xsi:type="dcterms:W3CDTF">2015-11-23T04:41:00Z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