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34" w:rsidRPr="00393330" w:rsidRDefault="002C4222" w:rsidP="00526543">
      <w:pPr>
        <w:pStyle w:val="Heading1"/>
      </w:pPr>
      <w:bookmarkStart w:id="0" w:name="_GoBack"/>
      <w:bookmarkEnd w:id="0"/>
      <w:r w:rsidRPr="00393330">
        <w:t xml:space="preserve">Overview of </w:t>
      </w:r>
      <w:r w:rsidR="006858A0" w:rsidRPr="00393330">
        <w:t>Managed Access Program</w:t>
      </w:r>
      <w:r w:rsidR="00C178AF" w:rsidRPr="00393330">
        <w:t xml:space="preserve"> for PBS listing</w:t>
      </w:r>
    </w:p>
    <w:p w:rsidR="003A1A59" w:rsidRPr="003B19DD" w:rsidRDefault="00750F53" w:rsidP="00B74930">
      <w:pPr>
        <w:spacing w:before="240" w:after="240" w:line="300" w:lineRule="atLeast"/>
        <w:rPr>
          <w:rFonts w:ascii="Arial" w:hAnsi="Arial" w:cs="Arial"/>
          <w:iCs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The Managed Access Program </w:t>
      </w:r>
      <w:r w:rsidR="00A919B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(MAP)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is 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a mechanism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that enable</w:t>
      </w:r>
      <w:r w:rsidR="00A7306A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s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the 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Pharmaceutical Benefits Schedule (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PBS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)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listing of products</w:t>
      </w:r>
      <w:r w:rsidR="00AB06C9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, under special circumstances of high unmet clinical need,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on terms that allow </w:t>
      </w:r>
      <w:r w:rsidR="00DD41F4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for 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the resolution of otherwise unacceptable </w:t>
      </w:r>
      <w:r w:rsidR="00A919B8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clinical or economic 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uncertainty for the </w:t>
      </w:r>
      <w:r w:rsidR="007131B9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Pharmaceutical Benefits Advisory Committee (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PBAC</w:t>
      </w:r>
      <w:r w:rsidR="007131B9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)</w:t>
      </w:r>
      <w:r w:rsidR="00292CA5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. </w:t>
      </w:r>
      <w:r w:rsidR="00C007C3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</w:t>
      </w:r>
      <w:r w:rsidR="00B74930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It seeks to enhance the quality and strength of evidence provided to decision-makers</w:t>
      </w:r>
      <w:r w:rsidR="00C007C3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in reimbursement applications.</w:t>
      </w:r>
    </w:p>
    <w:p w:rsidR="00B74930" w:rsidRPr="003B19DD" w:rsidRDefault="00292CA5" w:rsidP="00B74930">
      <w:pPr>
        <w:spacing w:before="240" w:after="240" w:line="300" w:lineRule="atLeast"/>
        <w:rPr>
          <w:rFonts w:ascii="Arial" w:hAnsi="Arial" w:cs="Arial"/>
          <w:iCs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Listing is</w:t>
      </w:r>
      <w:r w:rsidR="003A1A59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in conjunction with</w:t>
      </w:r>
      <w:r w:rsidR="00DD41F4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,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and linked to</w:t>
      </w:r>
      <w:r w:rsidR="00DD41F4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,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the 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subsequent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provision of 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more convincing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evidence that is able to </w:t>
      </w:r>
      <w:r w:rsidR="002C4B26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resolve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specific 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existing </w:t>
      </w:r>
      <w:r w:rsidR="002C4B26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areas of uncertainty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as identified by </w:t>
      </w:r>
      <w:r w:rsidR="00651BD7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the </w:t>
      </w:r>
      <w:r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PBAC. 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The PBAC provide</w:t>
      </w:r>
      <w:r w:rsidR="00E859C7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s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advice in relation to </w:t>
      </w:r>
      <w:r w:rsidR="006858A0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the </w:t>
      </w:r>
      <w:r w:rsidR="00AB06C9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initial 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sources of uncertainty and </w:t>
      </w:r>
      <w:r w:rsidR="006D1276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whether the evidence provided in the submission is sufficient 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to support </w:t>
      </w:r>
      <w:r w:rsidR="00420A9B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initial </w:t>
      </w:r>
      <w:r w:rsidR="00E859C7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listing under this </w:t>
      </w:r>
      <w:r w:rsidR="002C4222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program</w:t>
      </w:r>
      <w:r w:rsidR="00B404E9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until a final review of </w:t>
      </w:r>
      <w:r w:rsidR="000E5CAF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the </w:t>
      </w:r>
      <w:r w:rsidR="00B404E9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additional evidence is completed</w:t>
      </w:r>
      <w:r w:rsidR="006A5ACE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 xml:space="preserve"> at a </w:t>
      </w:r>
      <w:r w:rsidR="002641AB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pre</w:t>
      </w:r>
      <w:r w:rsidR="006A5ACE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defined point in time</w:t>
      </w:r>
      <w:r w:rsidR="00C32634" w:rsidRPr="003B19DD">
        <w:rPr>
          <w:rFonts w:ascii="Arial" w:hAnsi="Arial" w:cs="Arial"/>
          <w:iCs/>
          <w:color w:val="222222"/>
          <w:sz w:val="20"/>
          <w:szCs w:val="20"/>
          <w:lang w:val="en-AU" w:eastAsia="en-AU"/>
        </w:rPr>
        <w:t>.</w:t>
      </w:r>
    </w:p>
    <w:p w:rsidR="00C32634" w:rsidRPr="003B19DD" w:rsidRDefault="00C32634" w:rsidP="00B12801">
      <w:pPr>
        <w:keepNext/>
        <w:keepLines/>
        <w:spacing w:before="240" w:after="240" w:line="300" w:lineRule="atLeast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As part of the </w:t>
      </w:r>
      <w:r w:rsidR="00B4212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MAP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submission</w:t>
      </w:r>
      <w:r w:rsidR="0010250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566DF5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evaluation </w:t>
      </w:r>
      <w:r w:rsidR="0010250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process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, the PBAC w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>ould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consider the usual clinical and economic evidence available at the time of the initial consideration, </w:t>
      </w:r>
      <w:r w:rsidR="00FF1407">
        <w:rPr>
          <w:rFonts w:ascii="Arial" w:hAnsi="Arial" w:cs="Arial"/>
          <w:color w:val="222222"/>
          <w:sz w:val="20"/>
          <w:szCs w:val="20"/>
          <w:lang w:val="en-AU" w:eastAsia="en-AU"/>
        </w:rPr>
        <w:t>and</w:t>
      </w:r>
      <w:r w:rsidR="00FF1407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FF1407">
        <w:rPr>
          <w:rFonts w:ascii="Arial" w:hAnsi="Arial" w:cs="Arial"/>
          <w:color w:val="222222"/>
          <w:sz w:val="20"/>
          <w:szCs w:val="20"/>
          <w:lang w:val="en-AU" w:eastAsia="en-AU"/>
        </w:rPr>
        <w:t>the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additional </w:t>
      </w:r>
      <w:r w:rsidR="007D522C">
        <w:rPr>
          <w:rFonts w:ascii="Arial" w:hAnsi="Arial" w:cs="Arial"/>
          <w:color w:val="222222"/>
          <w:sz w:val="20"/>
          <w:szCs w:val="20"/>
          <w:lang w:val="en-AU" w:eastAsia="en-AU"/>
        </w:rPr>
        <w:t>information</w:t>
      </w:r>
      <w:r w:rsidR="00B43671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9C4311">
        <w:rPr>
          <w:rFonts w:ascii="Arial" w:hAnsi="Arial" w:cs="Arial"/>
          <w:color w:val="222222"/>
          <w:sz w:val="20"/>
          <w:szCs w:val="20"/>
          <w:lang w:val="en-AU" w:eastAsia="en-AU"/>
        </w:rPr>
        <w:t>relevant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to the provision of </w:t>
      </w:r>
      <w:r w:rsidR="009C4311">
        <w:rPr>
          <w:rFonts w:ascii="Arial" w:hAnsi="Arial" w:cs="Arial"/>
          <w:color w:val="222222"/>
          <w:sz w:val="20"/>
          <w:szCs w:val="20"/>
          <w:lang w:val="en-AU" w:eastAsia="en-AU"/>
        </w:rPr>
        <w:t>further</w:t>
      </w:r>
      <w:r w:rsidR="009C431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evidence in a </w:t>
      </w:r>
      <w:r w:rsidR="00B74930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subsequent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submission 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to the PBAC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under the </w:t>
      </w:r>
      <w:r w:rsidR="00B4212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MAP 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>framework.</w:t>
      </w:r>
    </w:p>
    <w:p w:rsidR="00567E30" w:rsidRDefault="00B00CB7" w:rsidP="004C7586">
      <w:pPr>
        <w:spacing w:before="240" w:after="120" w:line="300" w:lineRule="atLeast"/>
        <w:rPr>
          <w:rFonts w:ascii="Arial" w:hAnsi="Arial" w:cs="Arial"/>
          <w:color w:val="222222"/>
          <w:sz w:val="20"/>
          <w:szCs w:val="20"/>
          <w:lang w:val="en-AU" w:eastAsia="en-AU"/>
        </w:rPr>
      </w:pPr>
      <w:r>
        <w:rPr>
          <w:rFonts w:ascii="Arial" w:hAnsi="Arial" w:cs="Arial"/>
          <w:color w:val="222222"/>
          <w:sz w:val="20"/>
          <w:szCs w:val="20"/>
          <w:lang w:val="en-AU" w:eastAsia="en-AU"/>
        </w:rPr>
        <w:t>The</w:t>
      </w:r>
      <w:r w:rsidR="00C3263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PBAC</w:t>
      </w:r>
      <w:r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797F4A">
        <w:rPr>
          <w:rFonts w:ascii="Arial" w:hAnsi="Arial" w:cs="Arial"/>
          <w:color w:val="222222"/>
          <w:sz w:val="20"/>
          <w:szCs w:val="20"/>
          <w:lang w:val="en-AU" w:eastAsia="en-AU"/>
        </w:rPr>
        <w:t>w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>ould</w:t>
      </w:r>
      <w:r w:rsidR="00797F4A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determine if a MAP is appropriate and accordingly, may</w:t>
      </w:r>
      <w:r w:rsidR="00C3263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:</w:t>
      </w:r>
    </w:p>
    <w:p w:rsidR="00567E30" w:rsidRDefault="00C32634" w:rsidP="00852370">
      <w:pPr>
        <w:numPr>
          <w:ilvl w:val="0"/>
          <w:numId w:val="3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make a recommendation</w:t>
      </w:r>
      <w:r w:rsidR="0010250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on listing </w:t>
      </w:r>
      <w:r w:rsidR="00102508" w:rsidRPr="005E0A4D">
        <w:rPr>
          <w:rFonts w:ascii="Arial" w:hAnsi="Arial" w:cs="Arial"/>
          <w:color w:val="222222"/>
          <w:sz w:val="20"/>
          <w:szCs w:val="20"/>
          <w:lang w:val="en-AU" w:eastAsia="en-AU"/>
        </w:rPr>
        <w:t>and price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based on the evidence available at the time of </w:t>
      </w:r>
      <w:r w:rsidR="00963F1D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its 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>initial consideration;</w:t>
      </w:r>
    </w:p>
    <w:p w:rsidR="00935015" w:rsidRPr="003B19DD" w:rsidRDefault="00C32634" w:rsidP="00852370">
      <w:pPr>
        <w:numPr>
          <w:ilvl w:val="0"/>
          <w:numId w:val="3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identify its key areas of uncertainty for decision making (which may or </w:t>
      </w:r>
      <w:r w:rsidR="00B4212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may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not be identical to the uncertainties identified in the submission by the sponsor</w:t>
      </w:r>
      <w:r w:rsidR="00B00CB7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where provided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)</w:t>
      </w:r>
      <w:r w:rsidR="00935015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; and</w:t>
      </w:r>
    </w:p>
    <w:p w:rsidR="00C32634" w:rsidRDefault="00935015" w:rsidP="00852370">
      <w:pPr>
        <w:numPr>
          <w:ilvl w:val="0"/>
          <w:numId w:val="3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proofErr w:type="gramStart"/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identify</w:t>
      </w:r>
      <w:proofErr w:type="gramEnd"/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the evidence it requires to </w:t>
      </w:r>
      <w:r w:rsidR="00DD41F4">
        <w:rPr>
          <w:rFonts w:ascii="Arial" w:hAnsi="Arial" w:cs="Arial"/>
          <w:color w:val="222222"/>
          <w:sz w:val="20"/>
          <w:szCs w:val="20"/>
          <w:lang w:val="en-AU" w:eastAsia="en-AU"/>
        </w:rPr>
        <w:t>resolve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the areas of uncertainty, the timeframe for submission of that evidence and the </w:t>
      </w:r>
      <w:r w:rsidR="006A5ACE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potential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consequences of </w:t>
      </w:r>
      <w:r w:rsidR="00B22F63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the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evidence outcomes</w:t>
      </w:r>
      <w:r w:rsidR="00A67306">
        <w:rPr>
          <w:rFonts w:ascii="Arial" w:hAnsi="Arial" w:cs="Arial"/>
          <w:color w:val="222222"/>
          <w:sz w:val="20"/>
          <w:szCs w:val="20"/>
          <w:lang w:val="en-AU" w:eastAsia="en-AU"/>
        </w:rPr>
        <w:t>.</w:t>
      </w:r>
    </w:p>
    <w:p w:rsidR="00C32634" w:rsidRPr="003B19DD" w:rsidRDefault="00C32634" w:rsidP="009A5568">
      <w:pPr>
        <w:spacing w:after="120" w:line="300" w:lineRule="atLeast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In summary, a submission that would </w:t>
      </w:r>
      <w:r w:rsidR="00694A2C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not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normally be </w:t>
      </w:r>
      <w:r w:rsidR="00694A2C">
        <w:rPr>
          <w:rFonts w:ascii="Arial" w:hAnsi="Arial" w:cs="Arial"/>
          <w:color w:val="222222"/>
          <w:sz w:val="20"/>
          <w:szCs w:val="20"/>
          <w:lang w:val="en-AU" w:eastAsia="en-AU"/>
        </w:rPr>
        <w:t>recommended for listing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by the PBAC because of </w:t>
      </w:r>
      <w:r w:rsidR="002A3780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unacceptable</w:t>
      </w:r>
      <w:r w:rsidR="000F38A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4868D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clinical</w:t>
      </w:r>
      <w:r w:rsidR="00CF154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and</w:t>
      </w:r>
      <w:r w:rsidR="00C178AF">
        <w:rPr>
          <w:rFonts w:ascii="Arial" w:hAnsi="Arial" w:cs="Arial"/>
          <w:color w:val="222222"/>
          <w:sz w:val="20"/>
          <w:szCs w:val="20"/>
          <w:lang w:val="en-AU" w:eastAsia="en-AU"/>
        </w:rPr>
        <w:t>/or</w:t>
      </w:r>
      <w:r w:rsidR="00CF1541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economic</w:t>
      </w:r>
      <w:r w:rsidR="004868D8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uncertainty could be recommended under a </w:t>
      </w:r>
      <w:r w:rsidR="00652B3C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MAP</w:t>
      </w:r>
      <w:r w:rsidR="002A3780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provided the </w:t>
      </w:r>
      <w:r w:rsidR="00652B3C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MAP</w:t>
      </w:r>
      <w:r w:rsidR="001C01EB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9A5568">
        <w:rPr>
          <w:rFonts w:ascii="Arial" w:hAnsi="Arial" w:cs="Arial"/>
          <w:color w:val="222222"/>
          <w:sz w:val="20"/>
          <w:szCs w:val="20"/>
          <w:lang w:val="en-AU" w:eastAsia="en-AU"/>
        </w:rPr>
        <w:t>parameters are met.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</w:t>
      </w:r>
      <w:r w:rsidR="009A5568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This would mean:</w:t>
      </w:r>
    </w:p>
    <w:p w:rsidR="00C32634" w:rsidRPr="003B19DD" w:rsidRDefault="00C32634" w:rsidP="00C32634">
      <w:pPr>
        <w:numPr>
          <w:ilvl w:val="0"/>
          <w:numId w:val="7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earlier access to the drugs by patients;</w:t>
      </w:r>
    </w:p>
    <w:p w:rsidR="00C32634" w:rsidRPr="003B19DD" w:rsidRDefault="00C32634" w:rsidP="00E378A4">
      <w:pPr>
        <w:numPr>
          <w:ilvl w:val="0"/>
          <w:numId w:val="7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earlier access to a subsidised market for the sponsor</w:t>
      </w:r>
      <w:r w:rsidR="00652B3C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whilst </w:t>
      </w:r>
      <w:r w:rsidR="00E378A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acknowledg</w:t>
      </w:r>
      <w:r w:rsidR="00C178AF">
        <w:rPr>
          <w:rFonts w:ascii="Arial" w:hAnsi="Arial" w:cs="Arial"/>
          <w:color w:val="222222"/>
          <w:sz w:val="20"/>
          <w:szCs w:val="20"/>
          <w:lang w:val="en-AU" w:eastAsia="en-AU"/>
        </w:rPr>
        <w:t>ing that some form of confidential</w:t>
      </w:r>
      <w:r w:rsidR="00E378A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discount </w:t>
      </w:r>
      <w:r w:rsidR="0054507F">
        <w:rPr>
          <w:rFonts w:ascii="Arial" w:hAnsi="Arial" w:cs="Arial"/>
          <w:color w:val="222222"/>
          <w:sz w:val="20"/>
          <w:szCs w:val="20"/>
          <w:lang w:val="en-AU" w:eastAsia="en-AU"/>
        </w:rPr>
        <w:t>may be</w:t>
      </w:r>
      <w:r w:rsidR="00E378A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required in recognition that the initial evidence is less convincing</w:t>
      </w:r>
      <w:r w:rsidR="007B686A">
        <w:rPr>
          <w:rFonts w:ascii="Arial" w:hAnsi="Arial" w:cs="Arial"/>
          <w:color w:val="222222"/>
          <w:sz w:val="20"/>
          <w:szCs w:val="20"/>
          <w:lang w:val="en-AU" w:eastAsia="en-AU"/>
        </w:rPr>
        <w:t>;</w:t>
      </w:r>
    </w:p>
    <w:p w:rsidR="006F1399" w:rsidRPr="003B19DD" w:rsidRDefault="00C32634" w:rsidP="001C01EB">
      <w:pPr>
        <w:numPr>
          <w:ilvl w:val="0"/>
          <w:numId w:val="7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clear articulation</w:t>
      </w:r>
      <w:r w:rsidR="001C01EB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of the evidence required to </w:t>
      </w:r>
      <w:r w:rsidR="00E378A4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resolve</w:t>
      </w:r>
      <w:r w:rsidR="001C01EB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the identified area of uncertainty</w:t>
      </w:r>
      <w:r w:rsidR="006F1399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and the consequences of potential outcomes from the additional </w:t>
      </w:r>
      <w:r w:rsidR="00B22F63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evidence</w:t>
      </w:r>
      <w:r w:rsidR="007B686A">
        <w:rPr>
          <w:rFonts w:ascii="Arial" w:hAnsi="Arial" w:cs="Arial"/>
          <w:color w:val="222222"/>
          <w:sz w:val="20"/>
          <w:szCs w:val="20"/>
          <w:lang w:val="en-AU" w:eastAsia="en-AU"/>
        </w:rPr>
        <w:t>;</w:t>
      </w:r>
    </w:p>
    <w:p w:rsidR="00C32634" w:rsidRDefault="00C32634" w:rsidP="001C01EB">
      <w:pPr>
        <w:numPr>
          <w:ilvl w:val="0"/>
          <w:numId w:val="7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agreement by the PBAC to review a submission once the additional </w:t>
      </w:r>
      <w:r w:rsidR="00B22F63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evidence 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becomes available and to reconsider the </w:t>
      </w:r>
      <w:r w:rsidR="00652B3C"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>listing</w:t>
      </w:r>
      <w:r w:rsidRPr="003B19DD"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in light of the new evidence</w:t>
      </w:r>
      <w:r w:rsidR="00694A2C">
        <w:rPr>
          <w:rFonts w:ascii="Arial" w:hAnsi="Arial" w:cs="Arial"/>
          <w:color w:val="222222"/>
          <w:sz w:val="20"/>
          <w:szCs w:val="20"/>
          <w:lang w:val="en-AU" w:eastAsia="en-AU"/>
        </w:rPr>
        <w:t>;</w:t>
      </w:r>
    </w:p>
    <w:p w:rsidR="00694A2C" w:rsidRDefault="00694A2C" w:rsidP="00694A2C">
      <w:pPr>
        <w:numPr>
          <w:ilvl w:val="0"/>
          <w:numId w:val="7"/>
        </w:numPr>
        <w:spacing w:after="90" w:line="300" w:lineRule="atLeast"/>
        <w:ind w:left="600" w:right="150"/>
        <w:rPr>
          <w:rFonts w:ascii="Arial" w:hAnsi="Arial" w:cs="Arial"/>
          <w:color w:val="222222"/>
          <w:sz w:val="20"/>
          <w:szCs w:val="20"/>
          <w:lang w:val="en-AU" w:eastAsia="en-AU"/>
        </w:rPr>
      </w:pPr>
      <w:proofErr w:type="gramStart"/>
      <w:r>
        <w:rPr>
          <w:rFonts w:ascii="Arial" w:hAnsi="Arial" w:cs="Arial"/>
          <w:color w:val="222222"/>
          <w:sz w:val="20"/>
          <w:szCs w:val="20"/>
          <w:lang w:val="en-AU" w:eastAsia="en-AU"/>
        </w:rPr>
        <w:t>appropriate</w:t>
      </w:r>
      <w:proofErr w:type="gramEnd"/>
      <w:r>
        <w:rPr>
          <w:rFonts w:ascii="Arial" w:hAnsi="Arial" w:cs="Arial"/>
          <w:color w:val="222222"/>
          <w:sz w:val="20"/>
          <w:szCs w:val="20"/>
          <w:lang w:val="en-AU" w:eastAsia="en-AU"/>
        </w:rPr>
        <w:t xml:space="preserve"> sharing of risk</w:t>
      </w:r>
      <w:r w:rsidR="006A2849">
        <w:rPr>
          <w:rFonts w:ascii="Arial" w:hAnsi="Arial" w:cs="Arial"/>
          <w:color w:val="222222"/>
          <w:sz w:val="20"/>
          <w:szCs w:val="20"/>
          <w:lang w:val="en-AU" w:eastAsia="en-AU"/>
        </w:rPr>
        <w:t>.</w:t>
      </w:r>
    </w:p>
    <w:sectPr w:rsidR="00694A2C" w:rsidSect="0092351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866ED" w15:done="0"/>
  <w15:commentEx w15:paraId="7F916890" w15:done="0"/>
  <w15:commentEx w15:paraId="08654DAF" w15:done="0"/>
  <w15:commentEx w15:paraId="027B8BED" w15:done="0"/>
  <w15:commentEx w15:paraId="58B3AF9B" w15:done="0"/>
  <w15:commentEx w15:paraId="2834F9EA" w15:done="0"/>
  <w15:commentEx w15:paraId="13644F37" w15:done="0"/>
  <w15:commentEx w15:paraId="0A3FB638" w15:done="0"/>
  <w15:commentEx w15:paraId="71B215D2" w15:done="0"/>
  <w15:commentEx w15:paraId="57FC19F1" w15:done="0"/>
  <w15:commentEx w15:paraId="7D7C07BE" w15:done="0"/>
  <w15:commentEx w15:paraId="6EEE762A" w15:done="0"/>
  <w15:commentEx w15:paraId="7F227F9B" w15:done="0"/>
  <w15:commentEx w15:paraId="69866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F8" w:rsidRDefault="00ED48F8" w:rsidP="005F7ECA">
      <w:r>
        <w:separator/>
      </w:r>
    </w:p>
  </w:endnote>
  <w:endnote w:type="continuationSeparator" w:id="0">
    <w:p w:rsidR="00ED48F8" w:rsidRDefault="00ED48F8" w:rsidP="005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663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461" w:rsidRDefault="00266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461" w:rsidRDefault="00266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F8" w:rsidRDefault="00ED48F8" w:rsidP="005F7ECA">
      <w:r>
        <w:separator/>
      </w:r>
    </w:p>
  </w:footnote>
  <w:footnote w:type="continuationSeparator" w:id="0">
    <w:p w:rsidR="00ED48F8" w:rsidRDefault="00ED48F8" w:rsidP="005F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7BA"/>
    <w:multiLevelType w:val="hybridMultilevel"/>
    <w:tmpl w:val="71FE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1558"/>
    <w:multiLevelType w:val="multilevel"/>
    <w:tmpl w:val="F9A2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C480A"/>
    <w:multiLevelType w:val="multilevel"/>
    <w:tmpl w:val="4FB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90ABE"/>
    <w:multiLevelType w:val="multilevel"/>
    <w:tmpl w:val="9E1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E053C"/>
    <w:multiLevelType w:val="multilevel"/>
    <w:tmpl w:val="DDFA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7F5EAD"/>
    <w:multiLevelType w:val="hybridMultilevel"/>
    <w:tmpl w:val="8068BEF4"/>
    <w:lvl w:ilvl="0" w:tplc="72627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919EC"/>
    <w:multiLevelType w:val="multilevel"/>
    <w:tmpl w:val="4A5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9E3748"/>
    <w:multiLevelType w:val="multilevel"/>
    <w:tmpl w:val="F82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D4058D"/>
    <w:multiLevelType w:val="hybridMultilevel"/>
    <w:tmpl w:val="59C40DE4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79284496"/>
    <w:multiLevelType w:val="hybridMultilevel"/>
    <w:tmpl w:val="E0D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41024"/>
    <w:multiLevelType w:val="multilevel"/>
    <w:tmpl w:val="B8D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4"/>
    <w:rsid w:val="0000087F"/>
    <w:rsid w:val="00005894"/>
    <w:rsid w:val="00015768"/>
    <w:rsid w:val="00021A2C"/>
    <w:rsid w:val="00030C49"/>
    <w:rsid w:val="00032A06"/>
    <w:rsid w:val="00034B4C"/>
    <w:rsid w:val="000438C7"/>
    <w:rsid w:val="00052267"/>
    <w:rsid w:val="000601F9"/>
    <w:rsid w:val="000809CF"/>
    <w:rsid w:val="0008253D"/>
    <w:rsid w:val="000841BF"/>
    <w:rsid w:val="00090880"/>
    <w:rsid w:val="00091DE5"/>
    <w:rsid w:val="000A4D4F"/>
    <w:rsid w:val="000B59BF"/>
    <w:rsid w:val="000C4B24"/>
    <w:rsid w:val="000E2987"/>
    <w:rsid w:val="000E5CAF"/>
    <w:rsid w:val="000F38A8"/>
    <w:rsid w:val="000F75F5"/>
    <w:rsid w:val="000F78F0"/>
    <w:rsid w:val="00102508"/>
    <w:rsid w:val="00106162"/>
    <w:rsid w:val="0011619B"/>
    <w:rsid w:val="0013015C"/>
    <w:rsid w:val="001325AC"/>
    <w:rsid w:val="0015264D"/>
    <w:rsid w:val="00167F9F"/>
    <w:rsid w:val="00187C13"/>
    <w:rsid w:val="001B3443"/>
    <w:rsid w:val="001C01EB"/>
    <w:rsid w:val="001E58FE"/>
    <w:rsid w:val="001F6B93"/>
    <w:rsid w:val="001F74FA"/>
    <w:rsid w:val="001F77C2"/>
    <w:rsid w:val="00217E75"/>
    <w:rsid w:val="00247115"/>
    <w:rsid w:val="00247F62"/>
    <w:rsid w:val="002641AB"/>
    <w:rsid w:val="00266461"/>
    <w:rsid w:val="0027244D"/>
    <w:rsid w:val="00283220"/>
    <w:rsid w:val="00291EDF"/>
    <w:rsid w:val="00292CA5"/>
    <w:rsid w:val="002A3780"/>
    <w:rsid w:val="002B2726"/>
    <w:rsid w:val="002C4222"/>
    <w:rsid w:val="002C4B26"/>
    <w:rsid w:val="002E31D2"/>
    <w:rsid w:val="0030786C"/>
    <w:rsid w:val="00317655"/>
    <w:rsid w:val="00331023"/>
    <w:rsid w:val="003360CA"/>
    <w:rsid w:val="0033799A"/>
    <w:rsid w:val="00341498"/>
    <w:rsid w:val="00350949"/>
    <w:rsid w:val="003547C4"/>
    <w:rsid w:val="0036016B"/>
    <w:rsid w:val="0036230C"/>
    <w:rsid w:val="00365C1B"/>
    <w:rsid w:val="003769DC"/>
    <w:rsid w:val="00390AE5"/>
    <w:rsid w:val="00392EA3"/>
    <w:rsid w:val="00393330"/>
    <w:rsid w:val="003A1A59"/>
    <w:rsid w:val="003A3BEE"/>
    <w:rsid w:val="003A3F6F"/>
    <w:rsid w:val="003A5135"/>
    <w:rsid w:val="003A6752"/>
    <w:rsid w:val="003B19DD"/>
    <w:rsid w:val="003B60B4"/>
    <w:rsid w:val="003C4900"/>
    <w:rsid w:val="003C5B58"/>
    <w:rsid w:val="003F2EC1"/>
    <w:rsid w:val="003F3797"/>
    <w:rsid w:val="004009E5"/>
    <w:rsid w:val="00420A9B"/>
    <w:rsid w:val="00421E09"/>
    <w:rsid w:val="00424AE2"/>
    <w:rsid w:val="0042539C"/>
    <w:rsid w:val="00432851"/>
    <w:rsid w:val="00434A79"/>
    <w:rsid w:val="00446D44"/>
    <w:rsid w:val="004648B4"/>
    <w:rsid w:val="00466466"/>
    <w:rsid w:val="004867E2"/>
    <w:rsid w:val="004868D8"/>
    <w:rsid w:val="00493262"/>
    <w:rsid w:val="00493BB3"/>
    <w:rsid w:val="004A5791"/>
    <w:rsid w:val="004A6008"/>
    <w:rsid w:val="004B3B35"/>
    <w:rsid w:val="004B75E4"/>
    <w:rsid w:val="004C042B"/>
    <w:rsid w:val="004C7586"/>
    <w:rsid w:val="004C77F7"/>
    <w:rsid w:val="004D331A"/>
    <w:rsid w:val="004E2693"/>
    <w:rsid w:val="0050622E"/>
    <w:rsid w:val="00513A0B"/>
    <w:rsid w:val="005144C0"/>
    <w:rsid w:val="00517FB2"/>
    <w:rsid w:val="00526543"/>
    <w:rsid w:val="005324DD"/>
    <w:rsid w:val="00541C07"/>
    <w:rsid w:val="0054507F"/>
    <w:rsid w:val="00566DF5"/>
    <w:rsid w:val="00567E30"/>
    <w:rsid w:val="00575833"/>
    <w:rsid w:val="005916DB"/>
    <w:rsid w:val="00597E36"/>
    <w:rsid w:val="005B57A7"/>
    <w:rsid w:val="005C4F60"/>
    <w:rsid w:val="005C58FA"/>
    <w:rsid w:val="005E0A4D"/>
    <w:rsid w:val="005F5BF0"/>
    <w:rsid w:val="005F7ECA"/>
    <w:rsid w:val="00620792"/>
    <w:rsid w:val="00627FB6"/>
    <w:rsid w:val="00647F79"/>
    <w:rsid w:val="00651BD7"/>
    <w:rsid w:val="00652B3C"/>
    <w:rsid w:val="006556CC"/>
    <w:rsid w:val="0065777F"/>
    <w:rsid w:val="00673035"/>
    <w:rsid w:val="00674FF5"/>
    <w:rsid w:val="006858A0"/>
    <w:rsid w:val="00694A2C"/>
    <w:rsid w:val="006A2849"/>
    <w:rsid w:val="006A5ACE"/>
    <w:rsid w:val="006C64B6"/>
    <w:rsid w:val="006C6A8D"/>
    <w:rsid w:val="006D1276"/>
    <w:rsid w:val="006D22D5"/>
    <w:rsid w:val="006D253A"/>
    <w:rsid w:val="006D3B01"/>
    <w:rsid w:val="006D798D"/>
    <w:rsid w:val="006E5BFF"/>
    <w:rsid w:val="006F1399"/>
    <w:rsid w:val="00706C9A"/>
    <w:rsid w:val="0070785B"/>
    <w:rsid w:val="00707E93"/>
    <w:rsid w:val="007101C8"/>
    <w:rsid w:val="00712DB3"/>
    <w:rsid w:val="007131B9"/>
    <w:rsid w:val="00713864"/>
    <w:rsid w:val="00714D00"/>
    <w:rsid w:val="007330E4"/>
    <w:rsid w:val="0073646B"/>
    <w:rsid w:val="00742F68"/>
    <w:rsid w:val="00750F53"/>
    <w:rsid w:val="00751D32"/>
    <w:rsid w:val="00752654"/>
    <w:rsid w:val="00777FE2"/>
    <w:rsid w:val="007825C5"/>
    <w:rsid w:val="00784567"/>
    <w:rsid w:val="00793764"/>
    <w:rsid w:val="00796F55"/>
    <w:rsid w:val="00797F4A"/>
    <w:rsid w:val="007A42CB"/>
    <w:rsid w:val="007A72F2"/>
    <w:rsid w:val="007B2AB3"/>
    <w:rsid w:val="007B571D"/>
    <w:rsid w:val="007B686A"/>
    <w:rsid w:val="007D0E44"/>
    <w:rsid w:val="007D522C"/>
    <w:rsid w:val="007E0B59"/>
    <w:rsid w:val="007F13C7"/>
    <w:rsid w:val="007F3B97"/>
    <w:rsid w:val="00807270"/>
    <w:rsid w:val="00812B95"/>
    <w:rsid w:val="008245A0"/>
    <w:rsid w:val="008264EB"/>
    <w:rsid w:val="008510EB"/>
    <w:rsid w:val="00852370"/>
    <w:rsid w:val="00853B0C"/>
    <w:rsid w:val="00856D39"/>
    <w:rsid w:val="0085794A"/>
    <w:rsid w:val="00863B45"/>
    <w:rsid w:val="008643B7"/>
    <w:rsid w:val="008840C2"/>
    <w:rsid w:val="00886024"/>
    <w:rsid w:val="0088623E"/>
    <w:rsid w:val="00886BE2"/>
    <w:rsid w:val="00895434"/>
    <w:rsid w:val="008A14C1"/>
    <w:rsid w:val="008A2C6D"/>
    <w:rsid w:val="008A5F78"/>
    <w:rsid w:val="008F4CB0"/>
    <w:rsid w:val="0090089E"/>
    <w:rsid w:val="00922650"/>
    <w:rsid w:val="00923511"/>
    <w:rsid w:val="009314B7"/>
    <w:rsid w:val="00934AF7"/>
    <w:rsid w:val="00935015"/>
    <w:rsid w:val="00942572"/>
    <w:rsid w:val="00946C89"/>
    <w:rsid w:val="00954E5A"/>
    <w:rsid w:val="00955852"/>
    <w:rsid w:val="00963F1D"/>
    <w:rsid w:val="009802F2"/>
    <w:rsid w:val="0098382E"/>
    <w:rsid w:val="00986DBC"/>
    <w:rsid w:val="009904FA"/>
    <w:rsid w:val="009951C8"/>
    <w:rsid w:val="009A3E03"/>
    <w:rsid w:val="009A5568"/>
    <w:rsid w:val="009B1AC4"/>
    <w:rsid w:val="009C07E8"/>
    <w:rsid w:val="009C4311"/>
    <w:rsid w:val="009C6115"/>
    <w:rsid w:val="009D4843"/>
    <w:rsid w:val="009E3B88"/>
    <w:rsid w:val="009F1FD9"/>
    <w:rsid w:val="009F26F2"/>
    <w:rsid w:val="00A02A48"/>
    <w:rsid w:val="00A13583"/>
    <w:rsid w:val="00A17772"/>
    <w:rsid w:val="00A367CE"/>
    <w:rsid w:val="00A55A2C"/>
    <w:rsid w:val="00A57859"/>
    <w:rsid w:val="00A62957"/>
    <w:rsid w:val="00A67306"/>
    <w:rsid w:val="00A722BB"/>
    <w:rsid w:val="00A7306A"/>
    <w:rsid w:val="00A76C8C"/>
    <w:rsid w:val="00A81182"/>
    <w:rsid w:val="00A919B8"/>
    <w:rsid w:val="00AB06C9"/>
    <w:rsid w:val="00AC1E01"/>
    <w:rsid w:val="00AD02BB"/>
    <w:rsid w:val="00AD4E3A"/>
    <w:rsid w:val="00AD53FA"/>
    <w:rsid w:val="00AD6461"/>
    <w:rsid w:val="00AD7C8B"/>
    <w:rsid w:val="00AF1FE7"/>
    <w:rsid w:val="00B00CB7"/>
    <w:rsid w:val="00B12801"/>
    <w:rsid w:val="00B15758"/>
    <w:rsid w:val="00B20CB7"/>
    <w:rsid w:val="00B22F63"/>
    <w:rsid w:val="00B231D1"/>
    <w:rsid w:val="00B404E9"/>
    <w:rsid w:val="00B42121"/>
    <w:rsid w:val="00B42851"/>
    <w:rsid w:val="00B43671"/>
    <w:rsid w:val="00B44456"/>
    <w:rsid w:val="00B60412"/>
    <w:rsid w:val="00B732AB"/>
    <w:rsid w:val="00B74930"/>
    <w:rsid w:val="00B841E4"/>
    <w:rsid w:val="00B95B4C"/>
    <w:rsid w:val="00BB0B13"/>
    <w:rsid w:val="00BC02D7"/>
    <w:rsid w:val="00BC6E5E"/>
    <w:rsid w:val="00BD2071"/>
    <w:rsid w:val="00BD2778"/>
    <w:rsid w:val="00BE6EF0"/>
    <w:rsid w:val="00BF058C"/>
    <w:rsid w:val="00C007C3"/>
    <w:rsid w:val="00C03B4C"/>
    <w:rsid w:val="00C05E20"/>
    <w:rsid w:val="00C05E68"/>
    <w:rsid w:val="00C178AF"/>
    <w:rsid w:val="00C32634"/>
    <w:rsid w:val="00C4542E"/>
    <w:rsid w:val="00C46B5A"/>
    <w:rsid w:val="00C52E8F"/>
    <w:rsid w:val="00C737DD"/>
    <w:rsid w:val="00C92919"/>
    <w:rsid w:val="00C94B70"/>
    <w:rsid w:val="00CA16BD"/>
    <w:rsid w:val="00CA23BC"/>
    <w:rsid w:val="00CB5B1A"/>
    <w:rsid w:val="00CC3044"/>
    <w:rsid w:val="00CC4B0B"/>
    <w:rsid w:val="00CC7C55"/>
    <w:rsid w:val="00CD5D29"/>
    <w:rsid w:val="00CD6DB2"/>
    <w:rsid w:val="00CD743E"/>
    <w:rsid w:val="00CE592C"/>
    <w:rsid w:val="00CE67FF"/>
    <w:rsid w:val="00CF1541"/>
    <w:rsid w:val="00CF2A89"/>
    <w:rsid w:val="00D15D5A"/>
    <w:rsid w:val="00D32835"/>
    <w:rsid w:val="00D329D0"/>
    <w:rsid w:val="00D37E7A"/>
    <w:rsid w:val="00D66816"/>
    <w:rsid w:val="00D67CEF"/>
    <w:rsid w:val="00D81A15"/>
    <w:rsid w:val="00DA67C7"/>
    <w:rsid w:val="00DA6FBD"/>
    <w:rsid w:val="00DC7E97"/>
    <w:rsid w:val="00DD41F4"/>
    <w:rsid w:val="00DE1B1A"/>
    <w:rsid w:val="00DF245B"/>
    <w:rsid w:val="00DF4F05"/>
    <w:rsid w:val="00E074A3"/>
    <w:rsid w:val="00E33324"/>
    <w:rsid w:val="00E378A4"/>
    <w:rsid w:val="00E379A2"/>
    <w:rsid w:val="00E63E9D"/>
    <w:rsid w:val="00E820F6"/>
    <w:rsid w:val="00E859C7"/>
    <w:rsid w:val="00E95B63"/>
    <w:rsid w:val="00EA48EB"/>
    <w:rsid w:val="00EA6B4F"/>
    <w:rsid w:val="00EB4855"/>
    <w:rsid w:val="00ED48F8"/>
    <w:rsid w:val="00EF1250"/>
    <w:rsid w:val="00EF3861"/>
    <w:rsid w:val="00EF6453"/>
    <w:rsid w:val="00F14867"/>
    <w:rsid w:val="00F22278"/>
    <w:rsid w:val="00F60E4A"/>
    <w:rsid w:val="00F67D4E"/>
    <w:rsid w:val="00FA20BE"/>
    <w:rsid w:val="00FA54AA"/>
    <w:rsid w:val="00FB504C"/>
    <w:rsid w:val="00FB7B1F"/>
    <w:rsid w:val="00FC224B"/>
    <w:rsid w:val="00FC276C"/>
    <w:rsid w:val="00FD4801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43"/>
    <w:pPr>
      <w:spacing w:after="330"/>
      <w:outlineLvl w:val="0"/>
    </w:pPr>
    <w:rPr>
      <w:rFonts w:ascii="Arial" w:hAnsi="Arial" w:cs="Arial"/>
      <w:color w:val="000000"/>
      <w:kern w:val="36"/>
      <w:sz w:val="32"/>
      <w:szCs w:val="39"/>
      <w:lang w:val="en-AU" w:eastAsia="en-AU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543"/>
    <w:rPr>
      <w:rFonts w:ascii="Arial" w:hAnsi="Arial" w:cs="Arial"/>
      <w:color w:val="000000"/>
      <w:kern w:val="36"/>
      <w:sz w:val="32"/>
      <w:szCs w:val="39"/>
    </w:rPr>
  </w:style>
  <w:style w:type="paragraph" w:styleId="BalloonText">
    <w:name w:val="Balloon Text"/>
    <w:basedOn w:val="Normal"/>
    <w:link w:val="BalloonTextChar"/>
    <w:rsid w:val="00C32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6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B57A7"/>
    <w:pPr>
      <w:ind w:left="720"/>
      <w:contextualSpacing/>
    </w:pPr>
  </w:style>
  <w:style w:type="character" w:styleId="CommentReference">
    <w:name w:val="annotation reference"/>
    <w:basedOn w:val="DefaultParagraphFont"/>
    <w:rsid w:val="004A6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00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008"/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5F7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7E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7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CA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A23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23BC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A23BC"/>
    <w:rPr>
      <w:vertAlign w:val="superscript"/>
    </w:rPr>
  </w:style>
  <w:style w:type="paragraph" w:styleId="Revision">
    <w:name w:val="Revision"/>
    <w:hidden/>
    <w:uiPriority w:val="99"/>
    <w:semiHidden/>
    <w:rsid w:val="0078456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43"/>
    <w:pPr>
      <w:spacing w:after="330"/>
      <w:outlineLvl w:val="0"/>
    </w:pPr>
    <w:rPr>
      <w:rFonts w:ascii="Arial" w:hAnsi="Arial" w:cs="Arial"/>
      <w:color w:val="000000"/>
      <w:kern w:val="36"/>
      <w:sz w:val="32"/>
      <w:szCs w:val="39"/>
      <w:lang w:val="en-AU" w:eastAsia="en-AU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543"/>
    <w:rPr>
      <w:rFonts w:ascii="Arial" w:hAnsi="Arial" w:cs="Arial"/>
      <w:color w:val="000000"/>
      <w:kern w:val="36"/>
      <w:sz w:val="32"/>
      <w:szCs w:val="39"/>
    </w:rPr>
  </w:style>
  <w:style w:type="paragraph" w:styleId="BalloonText">
    <w:name w:val="Balloon Text"/>
    <w:basedOn w:val="Normal"/>
    <w:link w:val="BalloonTextChar"/>
    <w:rsid w:val="00C32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6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B57A7"/>
    <w:pPr>
      <w:ind w:left="720"/>
      <w:contextualSpacing/>
    </w:pPr>
  </w:style>
  <w:style w:type="character" w:styleId="CommentReference">
    <w:name w:val="annotation reference"/>
    <w:basedOn w:val="DefaultParagraphFont"/>
    <w:rsid w:val="004A6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00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008"/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5F7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7E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7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CA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A23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23BC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A23BC"/>
    <w:rPr>
      <w:vertAlign w:val="superscript"/>
    </w:rPr>
  </w:style>
  <w:style w:type="paragraph" w:styleId="Revision">
    <w:name w:val="Revision"/>
    <w:hidden/>
    <w:uiPriority w:val="99"/>
    <w:semiHidden/>
    <w:rsid w:val="0078456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3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44EE-C186-4518-BE32-4AC8F7C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463E0BBA.dotm</Template>
  <TotalTime>0</TotalTime>
  <Pages>1</Pages>
  <Words>405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2018-08-17T05:04:00Z</dcterms:created>
  <dcterms:modified xsi:type="dcterms:W3CDTF">2018-08-17T05:26:00Z</dcterms:modified>
</cp:coreProperties>
</file>