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991"/>
        <w:gridCol w:w="5464"/>
        <w:gridCol w:w="6719"/>
      </w:tblGrid>
      <w:tr w:rsidR="008771AC" w:rsidTr="00020CA7">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4670BC" w:rsidRPr="00017944" w:rsidRDefault="004670BC" w:rsidP="00257C10">
            <w:pPr>
              <w:spacing w:line="276" w:lineRule="auto"/>
              <w:rPr>
                <w:rFonts w:ascii="Arial" w:hAnsi="Arial" w:cs="Arial"/>
                <w:b/>
                <w:sz w:val="18"/>
                <w:szCs w:val="18"/>
              </w:rPr>
            </w:pPr>
            <w:r w:rsidRPr="00017944">
              <w:rPr>
                <w:rFonts w:ascii="Arial" w:hAnsi="Arial" w:cs="Arial"/>
                <w:b/>
                <w:sz w:val="18"/>
                <w:szCs w:val="18"/>
              </w:rPr>
              <w:t>DRUG TYPE OR USE</w:t>
            </w:r>
          </w:p>
          <w:p w:rsidR="004670BC" w:rsidRDefault="004670BC" w:rsidP="00257C10">
            <w:pPr>
              <w:spacing w:line="276"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4670BC" w:rsidRPr="00017944" w:rsidRDefault="004670BC" w:rsidP="00257C10">
            <w:pPr>
              <w:spacing w:line="276" w:lineRule="auto"/>
              <w:rPr>
                <w:rFonts w:ascii="Arial" w:hAnsi="Arial" w:cs="Arial"/>
                <w:b/>
                <w:sz w:val="18"/>
                <w:szCs w:val="18"/>
              </w:rPr>
            </w:pPr>
            <w:r w:rsidRPr="00017944">
              <w:rPr>
                <w:rFonts w:ascii="Arial" w:hAnsi="Arial" w:cs="Arial"/>
                <w:b/>
                <w:sz w:val="18"/>
                <w:szCs w:val="18"/>
              </w:rPr>
              <w:t xml:space="preserve">PURPOSE </w:t>
            </w:r>
          </w:p>
          <w:p w:rsidR="004670BC" w:rsidRPr="00017944" w:rsidRDefault="004670BC" w:rsidP="00257C10">
            <w:pPr>
              <w:spacing w:line="276" w:lineRule="auto"/>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70BC" w:rsidRPr="00017944" w:rsidRDefault="004670BC" w:rsidP="00257C10">
            <w:pPr>
              <w:spacing w:line="276" w:lineRule="auto"/>
              <w:rPr>
                <w:rFonts w:ascii="Arial" w:hAnsi="Arial" w:cs="Arial"/>
                <w:b/>
                <w:sz w:val="18"/>
                <w:szCs w:val="18"/>
              </w:rPr>
            </w:pPr>
            <w:r w:rsidRPr="00017944">
              <w:rPr>
                <w:rFonts w:ascii="Arial" w:hAnsi="Arial" w:cs="Arial"/>
                <w:b/>
                <w:sz w:val="18"/>
                <w:szCs w:val="18"/>
              </w:rPr>
              <w:t>PBAC OUTCOME</w:t>
            </w:r>
          </w:p>
        </w:tc>
      </w:tr>
      <w:tr w:rsidR="0063502D" w:rsidTr="00020CA7">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8C5E57" w:rsidRPr="00017944" w:rsidRDefault="0077659B" w:rsidP="0077659B">
            <w:pPr>
              <w:spacing w:line="276" w:lineRule="auto"/>
              <w:rPr>
                <w:rFonts w:ascii="Arial" w:hAnsi="Arial" w:cs="Arial"/>
                <w:sz w:val="18"/>
                <w:szCs w:val="18"/>
              </w:rPr>
            </w:pPr>
            <w:r>
              <w:rPr>
                <w:rFonts w:ascii="Arial" w:hAnsi="Arial" w:cs="Arial"/>
                <w:sz w:val="18"/>
                <w:szCs w:val="18"/>
              </w:rPr>
              <w:t>R</w:t>
            </w:r>
            <w:r>
              <w:rPr>
                <w:rFonts w:ascii="Arial" w:hAnsi="Arial" w:cs="Arial"/>
                <w:sz w:val="18"/>
                <w:szCs w:val="18"/>
              </w:rPr>
              <w:t>eimbursement</w:t>
            </w:r>
            <w:r>
              <w:rPr>
                <w:rFonts w:ascii="Arial" w:hAnsi="Arial" w:cs="Arial"/>
                <w:sz w:val="18"/>
                <w:szCs w:val="18"/>
              </w:rPr>
              <w:t xml:space="preserve"> of b</w:t>
            </w:r>
            <w:r w:rsidR="0063502D">
              <w:rPr>
                <w:rFonts w:ascii="Arial" w:hAnsi="Arial" w:cs="Arial"/>
                <w:sz w:val="18"/>
                <w:szCs w:val="18"/>
              </w:rPr>
              <w:t>iosimilar</w:t>
            </w:r>
            <w:r>
              <w:rPr>
                <w:rFonts w:ascii="Arial" w:hAnsi="Arial" w:cs="Arial"/>
                <w:sz w:val="18"/>
                <w:szCs w:val="18"/>
              </w:rPr>
              <w:t xml:space="preserve"> medi</w:t>
            </w:r>
            <w:bookmarkStart w:id="0" w:name="_GoBack"/>
            <w:bookmarkEnd w:id="0"/>
            <w:r>
              <w:rPr>
                <w:rFonts w:ascii="Arial" w:hAnsi="Arial" w:cs="Arial"/>
                <w:sz w:val="18"/>
                <w:szCs w:val="18"/>
              </w:rPr>
              <w:t>cines</w:t>
            </w:r>
            <w:r w:rsidR="0063502D">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3502D" w:rsidRPr="0063502D" w:rsidRDefault="0063502D" w:rsidP="0063502D">
            <w:pPr>
              <w:spacing w:line="276" w:lineRule="auto"/>
              <w:jc w:val="both"/>
              <w:rPr>
                <w:rFonts w:ascii="Arial" w:hAnsi="Arial" w:cs="Arial"/>
                <w:b/>
                <w:sz w:val="18"/>
                <w:szCs w:val="18"/>
              </w:rPr>
            </w:pPr>
            <w:r w:rsidRPr="0063502D">
              <w:rPr>
                <w:rFonts w:ascii="Arial" w:hAnsi="Arial" w:cs="Arial"/>
                <w:sz w:val="18"/>
                <w:szCs w:val="18"/>
              </w:rPr>
              <w:t xml:space="preserve">The Minister (delegate) requested that the Pharmaceutical Benefits Advisory Committee (PBAC) provide advice on the following matter(s) under section 101(3) of </w:t>
            </w:r>
            <w:r w:rsidRPr="0063502D">
              <w:rPr>
                <w:rFonts w:ascii="Arial" w:hAnsi="Arial" w:cs="Arial"/>
                <w:i/>
                <w:iCs/>
                <w:sz w:val="18"/>
                <w:szCs w:val="18"/>
              </w:rPr>
              <w:t>the National Health Act, 1953</w:t>
            </w:r>
            <w:r w:rsidRPr="0063502D">
              <w:rPr>
                <w:rFonts w:ascii="Arial" w:hAnsi="Arial" w:cs="Arial"/>
                <w:sz w:val="18"/>
                <w:szCs w:val="18"/>
              </w:rPr>
              <w:t xml:space="preserve"> (the Act):</w:t>
            </w:r>
          </w:p>
          <w:p w:rsidR="0063502D" w:rsidRPr="0063502D" w:rsidRDefault="0063502D" w:rsidP="0063502D">
            <w:pPr>
              <w:spacing w:line="276" w:lineRule="auto"/>
              <w:jc w:val="both"/>
              <w:rPr>
                <w:rFonts w:ascii="Arial" w:hAnsi="Arial" w:cs="Arial"/>
                <w:sz w:val="18"/>
                <w:szCs w:val="18"/>
              </w:rPr>
            </w:pPr>
          </w:p>
          <w:p w:rsidR="0063502D" w:rsidRPr="0063502D" w:rsidRDefault="00663E12" w:rsidP="0063502D">
            <w:pPr>
              <w:spacing w:line="276" w:lineRule="auto"/>
              <w:jc w:val="both"/>
              <w:rPr>
                <w:rFonts w:ascii="Arial" w:hAnsi="Arial" w:cs="Arial"/>
                <w:sz w:val="18"/>
                <w:szCs w:val="18"/>
              </w:rPr>
            </w:pPr>
            <w:r>
              <w:rPr>
                <w:rFonts w:ascii="Arial" w:hAnsi="Arial" w:cs="Arial"/>
                <w:sz w:val="18"/>
                <w:szCs w:val="18"/>
              </w:rPr>
              <w:t>R</w:t>
            </w:r>
            <w:r w:rsidR="0063502D" w:rsidRPr="0063502D">
              <w:rPr>
                <w:rFonts w:ascii="Arial" w:hAnsi="Arial" w:cs="Arial"/>
                <w:sz w:val="18"/>
                <w:szCs w:val="18"/>
              </w:rPr>
              <w:t xml:space="preserve">eimbursement of biosimilar medicines on the Pharmaceutical Benefits Scheme (PBS). </w:t>
            </w:r>
            <w:r w:rsidR="0063502D">
              <w:rPr>
                <w:rFonts w:ascii="Arial" w:hAnsi="Arial" w:cs="Arial"/>
                <w:sz w:val="18"/>
                <w:szCs w:val="18"/>
              </w:rPr>
              <w:t xml:space="preserve"> </w:t>
            </w:r>
            <w:r w:rsidR="0063502D" w:rsidRPr="0063502D">
              <w:rPr>
                <w:rFonts w:ascii="Arial" w:hAnsi="Arial" w:cs="Arial"/>
                <w:sz w:val="18"/>
                <w:szCs w:val="18"/>
              </w:rPr>
              <w:t xml:space="preserve">  </w:t>
            </w:r>
          </w:p>
          <w:p w:rsidR="008C5E57" w:rsidRDefault="008C5E57" w:rsidP="00257C10">
            <w:pPr>
              <w:spacing w:line="276" w:lineRule="auto"/>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02D" w:rsidRPr="0063502D" w:rsidRDefault="0063502D" w:rsidP="0063502D">
            <w:pPr>
              <w:spacing w:line="276" w:lineRule="auto"/>
              <w:jc w:val="both"/>
              <w:rPr>
                <w:rFonts w:ascii="Arial" w:hAnsi="Arial" w:cs="Arial"/>
                <w:sz w:val="18"/>
                <w:szCs w:val="18"/>
              </w:rPr>
            </w:pPr>
            <w:r w:rsidRPr="0063502D">
              <w:rPr>
                <w:rFonts w:ascii="Arial" w:hAnsi="Arial" w:cs="Arial"/>
                <w:sz w:val="18"/>
                <w:szCs w:val="18"/>
              </w:rPr>
              <w:t xml:space="preserve">The PBAC advised that biosimilar products would be “a” flagged, and therefore suitable for substitution at the pharmacy level, where the data are supportive of this conclusion.  The PBAC considered that this would be the Committee’s default position.  </w:t>
            </w:r>
          </w:p>
          <w:p w:rsidR="0063502D" w:rsidRDefault="0063502D" w:rsidP="0063502D">
            <w:pPr>
              <w:spacing w:line="276" w:lineRule="auto"/>
              <w:jc w:val="both"/>
              <w:rPr>
                <w:rFonts w:ascii="Arial" w:hAnsi="Arial" w:cs="Arial"/>
                <w:sz w:val="18"/>
                <w:szCs w:val="18"/>
              </w:rPr>
            </w:pPr>
          </w:p>
          <w:p w:rsidR="00660633" w:rsidRPr="00660633" w:rsidRDefault="00660633" w:rsidP="00660633">
            <w:pPr>
              <w:spacing w:line="276" w:lineRule="auto"/>
              <w:jc w:val="both"/>
              <w:rPr>
                <w:rFonts w:ascii="Arial" w:hAnsi="Arial" w:cs="Arial"/>
                <w:sz w:val="18"/>
                <w:szCs w:val="18"/>
              </w:rPr>
            </w:pPr>
            <w:r w:rsidRPr="00660633">
              <w:rPr>
                <w:rFonts w:ascii="Arial" w:hAnsi="Arial" w:cs="Arial"/>
                <w:sz w:val="18"/>
                <w:szCs w:val="18"/>
              </w:rPr>
              <w:t>The PBAC advised that the following would be relevant considerations in establishing that a biosimilar product could be “a” flagged with the originator product:</w:t>
            </w:r>
          </w:p>
          <w:p w:rsidR="00660633" w:rsidRPr="00660633" w:rsidRDefault="00660633" w:rsidP="00660633">
            <w:pPr>
              <w:numPr>
                <w:ilvl w:val="0"/>
                <w:numId w:val="11"/>
              </w:numPr>
              <w:spacing w:line="276" w:lineRule="auto"/>
              <w:jc w:val="both"/>
              <w:rPr>
                <w:rFonts w:ascii="Arial" w:hAnsi="Arial" w:cs="Arial"/>
                <w:sz w:val="18"/>
                <w:szCs w:val="18"/>
              </w:rPr>
            </w:pPr>
            <w:r w:rsidRPr="00660633">
              <w:rPr>
                <w:rFonts w:ascii="Arial" w:hAnsi="Arial" w:cs="Arial"/>
                <w:sz w:val="18"/>
                <w:szCs w:val="18"/>
              </w:rPr>
              <w:t>Absence of data to suggest significant differences in clinical effectiveness or safety compared with the originator product;</w:t>
            </w:r>
          </w:p>
          <w:p w:rsidR="00660633" w:rsidRPr="00660633" w:rsidRDefault="00660633" w:rsidP="00660633">
            <w:pPr>
              <w:numPr>
                <w:ilvl w:val="0"/>
                <w:numId w:val="11"/>
              </w:numPr>
              <w:spacing w:line="276" w:lineRule="auto"/>
              <w:jc w:val="both"/>
              <w:rPr>
                <w:rFonts w:ascii="Arial" w:hAnsi="Arial" w:cs="Arial"/>
                <w:sz w:val="18"/>
                <w:szCs w:val="18"/>
              </w:rPr>
            </w:pPr>
            <w:r w:rsidRPr="00660633">
              <w:rPr>
                <w:rFonts w:ascii="Arial" w:hAnsi="Arial" w:cs="Arial"/>
                <w:sz w:val="18"/>
                <w:szCs w:val="18"/>
              </w:rPr>
              <w:t>Absence of identified populations where the risks of using the biosimilar product are disproportionately high;</w:t>
            </w:r>
          </w:p>
          <w:p w:rsidR="00660633" w:rsidRPr="00660633" w:rsidRDefault="00660633" w:rsidP="00660633">
            <w:pPr>
              <w:numPr>
                <w:ilvl w:val="0"/>
                <w:numId w:val="11"/>
              </w:numPr>
              <w:spacing w:line="276" w:lineRule="auto"/>
              <w:jc w:val="both"/>
              <w:rPr>
                <w:rFonts w:ascii="Arial" w:hAnsi="Arial" w:cs="Arial"/>
                <w:sz w:val="18"/>
                <w:szCs w:val="18"/>
              </w:rPr>
            </w:pPr>
            <w:r w:rsidRPr="00660633">
              <w:rPr>
                <w:rFonts w:ascii="Arial" w:hAnsi="Arial" w:cs="Arial"/>
                <w:sz w:val="18"/>
                <w:szCs w:val="18"/>
              </w:rPr>
              <w:t>Availability of data to support switching between the originator product and the biosimilar product;</w:t>
            </w:r>
          </w:p>
          <w:p w:rsidR="00660633" w:rsidRPr="00660633" w:rsidRDefault="00660633" w:rsidP="00660633">
            <w:pPr>
              <w:numPr>
                <w:ilvl w:val="0"/>
                <w:numId w:val="11"/>
              </w:numPr>
              <w:spacing w:line="276" w:lineRule="auto"/>
              <w:jc w:val="both"/>
              <w:rPr>
                <w:rFonts w:ascii="Arial" w:hAnsi="Arial" w:cs="Arial"/>
                <w:sz w:val="18"/>
                <w:szCs w:val="18"/>
              </w:rPr>
            </w:pPr>
            <w:r w:rsidRPr="00660633">
              <w:rPr>
                <w:rFonts w:ascii="Arial" w:hAnsi="Arial" w:cs="Arial"/>
                <w:sz w:val="18"/>
                <w:szCs w:val="18"/>
              </w:rPr>
              <w:t>Availability of data for treatment-naïve patients initiating on the biosimilar product;</w:t>
            </w:r>
          </w:p>
          <w:p w:rsidR="00660633" w:rsidRPr="00660633" w:rsidRDefault="00660633" w:rsidP="00660633">
            <w:pPr>
              <w:numPr>
                <w:ilvl w:val="0"/>
                <w:numId w:val="11"/>
              </w:numPr>
              <w:spacing w:line="276" w:lineRule="auto"/>
              <w:jc w:val="both"/>
              <w:rPr>
                <w:rFonts w:ascii="Arial" w:hAnsi="Arial" w:cs="Arial"/>
                <w:sz w:val="18"/>
                <w:szCs w:val="18"/>
              </w:rPr>
            </w:pPr>
            <w:r w:rsidRPr="00660633">
              <w:rPr>
                <w:rFonts w:ascii="Arial" w:hAnsi="Arial" w:cs="Arial"/>
                <w:sz w:val="18"/>
                <w:szCs w:val="18"/>
              </w:rPr>
              <w:t>Whether the Therapeutic Goods Administration has deemed a product to be biosimilar with the originator product.</w:t>
            </w:r>
          </w:p>
          <w:p w:rsidR="0063502D" w:rsidRPr="0063502D" w:rsidRDefault="0063502D" w:rsidP="0063502D">
            <w:pPr>
              <w:spacing w:line="276" w:lineRule="auto"/>
              <w:jc w:val="both"/>
              <w:rPr>
                <w:rFonts w:ascii="Arial" w:hAnsi="Arial" w:cs="Arial"/>
                <w:sz w:val="18"/>
                <w:szCs w:val="18"/>
              </w:rPr>
            </w:pPr>
          </w:p>
          <w:p w:rsidR="0063502D" w:rsidRPr="0063502D" w:rsidRDefault="0063502D" w:rsidP="0063502D">
            <w:pPr>
              <w:spacing w:line="276" w:lineRule="auto"/>
              <w:jc w:val="both"/>
              <w:rPr>
                <w:rFonts w:ascii="Arial" w:hAnsi="Arial" w:cs="Arial"/>
                <w:sz w:val="18"/>
                <w:szCs w:val="18"/>
              </w:rPr>
            </w:pPr>
            <w:r w:rsidRPr="0063502D">
              <w:rPr>
                <w:rFonts w:ascii="Arial" w:hAnsi="Arial" w:cs="Arial"/>
                <w:sz w:val="18"/>
                <w:szCs w:val="18"/>
              </w:rPr>
              <w:t>The PBAC considered that where a biosimilar product could not be “a” flagged at the time of PBS listing, data should be collected to support “a” flagging at a later point</w:t>
            </w:r>
            <w:r w:rsidR="008771AC">
              <w:rPr>
                <w:rFonts w:ascii="Arial" w:hAnsi="Arial" w:cs="Arial"/>
                <w:sz w:val="18"/>
                <w:szCs w:val="18"/>
              </w:rPr>
              <w:t>.</w:t>
            </w:r>
          </w:p>
          <w:p w:rsidR="0063502D" w:rsidRPr="0063502D" w:rsidRDefault="0063502D" w:rsidP="0063502D">
            <w:pPr>
              <w:spacing w:line="276" w:lineRule="auto"/>
              <w:jc w:val="both"/>
              <w:rPr>
                <w:rFonts w:ascii="Arial" w:hAnsi="Arial" w:cs="Arial"/>
                <w:sz w:val="18"/>
                <w:szCs w:val="18"/>
              </w:rPr>
            </w:pPr>
          </w:p>
          <w:p w:rsidR="00020CA7" w:rsidRDefault="00020CA7" w:rsidP="00663E12">
            <w:pPr>
              <w:spacing w:line="276" w:lineRule="auto"/>
              <w:jc w:val="both"/>
              <w:rPr>
                <w:rFonts w:ascii="Arial" w:hAnsi="Arial" w:cs="Arial"/>
                <w:sz w:val="18"/>
                <w:szCs w:val="18"/>
              </w:rPr>
            </w:pPr>
          </w:p>
        </w:tc>
      </w:tr>
    </w:tbl>
    <w:p w:rsidR="008C5E57" w:rsidRDefault="008C5E57"/>
    <w:p w:rsidR="008C6C4F" w:rsidRDefault="008C6C4F"/>
    <w:sectPr w:rsidR="008C6C4F" w:rsidSect="00A27BA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C0A"/>
    <w:multiLevelType w:val="hybridMultilevel"/>
    <w:tmpl w:val="6EC61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3C7447C"/>
    <w:multiLevelType w:val="hybridMultilevel"/>
    <w:tmpl w:val="F56A780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6746508"/>
    <w:multiLevelType w:val="hybridMultilevel"/>
    <w:tmpl w:val="718C7B88"/>
    <w:lvl w:ilvl="0" w:tplc="0DBC61CE">
      <w:start w:val="1"/>
      <w:numFmt w:val="lowerLetter"/>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3">
    <w:nsid w:val="33AA3A39"/>
    <w:multiLevelType w:val="hybridMultilevel"/>
    <w:tmpl w:val="32D0C9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60D524A"/>
    <w:multiLevelType w:val="hybridMultilevel"/>
    <w:tmpl w:val="4FCA4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B63210"/>
    <w:multiLevelType w:val="hybridMultilevel"/>
    <w:tmpl w:val="81B68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2F5752"/>
    <w:multiLevelType w:val="hybridMultilevel"/>
    <w:tmpl w:val="742C1EE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nsid w:val="3E1033BD"/>
    <w:multiLevelType w:val="hybridMultilevel"/>
    <w:tmpl w:val="3AA4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78138D"/>
    <w:multiLevelType w:val="hybridMultilevel"/>
    <w:tmpl w:val="3AD09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384"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3E0030"/>
    <w:multiLevelType w:val="multilevel"/>
    <w:tmpl w:val="003C7FBA"/>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B6638F2"/>
    <w:multiLevelType w:val="hybridMultilevel"/>
    <w:tmpl w:val="9692E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4"/>
  </w:num>
  <w:num w:numId="4">
    <w:abstractNumId w:val="9"/>
  </w:num>
  <w:num w:numId="5">
    <w:abstractNumId w:val="0"/>
  </w:num>
  <w:num w:numId="6">
    <w:abstractNumId w:val="11"/>
  </w:num>
  <w:num w:numId="7">
    <w:abstractNumId w:val="1"/>
  </w:num>
  <w:num w:numId="8">
    <w:abstractNumId w:val="3"/>
  </w:num>
  <w:num w:numId="9">
    <w:abstractNumId w:val="5"/>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57"/>
    <w:rsid w:val="00020CA7"/>
    <w:rsid w:val="004670BC"/>
    <w:rsid w:val="0063502D"/>
    <w:rsid w:val="00660633"/>
    <w:rsid w:val="00663E12"/>
    <w:rsid w:val="0077659B"/>
    <w:rsid w:val="007F4E20"/>
    <w:rsid w:val="008344C4"/>
    <w:rsid w:val="008771AC"/>
    <w:rsid w:val="00884C61"/>
    <w:rsid w:val="008C5E57"/>
    <w:rsid w:val="008C6C4F"/>
    <w:rsid w:val="00A27BA5"/>
    <w:rsid w:val="00BE400A"/>
    <w:rsid w:val="00C316ED"/>
    <w:rsid w:val="00C62521"/>
    <w:rsid w:val="00F74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57"/>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A5"/>
    <w:pPr>
      <w:ind w:left="720"/>
      <w:contextualSpacing/>
    </w:pPr>
  </w:style>
  <w:style w:type="character" w:styleId="CommentReference">
    <w:name w:val="annotation reference"/>
    <w:basedOn w:val="DefaultParagraphFont"/>
    <w:uiPriority w:val="99"/>
    <w:semiHidden/>
    <w:unhideWhenUsed/>
    <w:rsid w:val="00BE400A"/>
    <w:rPr>
      <w:sz w:val="16"/>
      <w:szCs w:val="16"/>
    </w:rPr>
  </w:style>
  <w:style w:type="paragraph" w:styleId="CommentText">
    <w:name w:val="annotation text"/>
    <w:basedOn w:val="Normal"/>
    <w:link w:val="CommentTextChar"/>
    <w:uiPriority w:val="99"/>
    <w:semiHidden/>
    <w:unhideWhenUsed/>
    <w:rsid w:val="00BE400A"/>
    <w:rPr>
      <w:sz w:val="20"/>
      <w:szCs w:val="20"/>
    </w:rPr>
  </w:style>
  <w:style w:type="character" w:customStyle="1" w:styleId="CommentTextChar">
    <w:name w:val="Comment Text Char"/>
    <w:basedOn w:val="DefaultParagraphFont"/>
    <w:link w:val="CommentText"/>
    <w:uiPriority w:val="99"/>
    <w:semiHidden/>
    <w:rsid w:val="00BE400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400A"/>
    <w:rPr>
      <w:b/>
      <w:bCs/>
    </w:rPr>
  </w:style>
  <w:style w:type="character" w:customStyle="1" w:styleId="CommentSubjectChar">
    <w:name w:val="Comment Subject Char"/>
    <w:basedOn w:val="CommentTextChar"/>
    <w:link w:val="CommentSubject"/>
    <w:uiPriority w:val="99"/>
    <w:semiHidden/>
    <w:rsid w:val="00BE400A"/>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BE400A"/>
    <w:rPr>
      <w:rFonts w:ascii="Tahoma" w:hAnsi="Tahoma" w:cs="Tahoma"/>
      <w:sz w:val="16"/>
      <w:szCs w:val="16"/>
    </w:rPr>
  </w:style>
  <w:style w:type="character" w:customStyle="1" w:styleId="BalloonTextChar">
    <w:name w:val="Balloon Text Char"/>
    <w:basedOn w:val="DefaultParagraphFont"/>
    <w:link w:val="BalloonText"/>
    <w:uiPriority w:val="99"/>
    <w:semiHidden/>
    <w:rsid w:val="00BE400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57"/>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A5"/>
    <w:pPr>
      <w:ind w:left="720"/>
      <w:contextualSpacing/>
    </w:pPr>
  </w:style>
  <w:style w:type="character" w:styleId="CommentReference">
    <w:name w:val="annotation reference"/>
    <w:basedOn w:val="DefaultParagraphFont"/>
    <w:uiPriority w:val="99"/>
    <w:semiHidden/>
    <w:unhideWhenUsed/>
    <w:rsid w:val="00BE400A"/>
    <w:rPr>
      <w:sz w:val="16"/>
      <w:szCs w:val="16"/>
    </w:rPr>
  </w:style>
  <w:style w:type="paragraph" w:styleId="CommentText">
    <w:name w:val="annotation text"/>
    <w:basedOn w:val="Normal"/>
    <w:link w:val="CommentTextChar"/>
    <w:uiPriority w:val="99"/>
    <w:semiHidden/>
    <w:unhideWhenUsed/>
    <w:rsid w:val="00BE400A"/>
    <w:rPr>
      <w:sz w:val="20"/>
      <w:szCs w:val="20"/>
    </w:rPr>
  </w:style>
  <w:style w:type="character" w:customStyle="1" w:styleId="CommentTextChar">
    <w:name w:val="Comment Text Char"/>
    <w:basedOn w:val="DefaultParagraphFont"/>
    <w:link w:val="CommentText"/>
    <w:uiPriority w:val="99"/>
    <w:semiHidden/>
    <w:rsid w:val="00BE400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400A"/>
    <w:rPr>
      <w:b/>
      <w:bCs/>
    </w:rPr>
  </w:style>
  <w:style w:type="character" w:customStyle="1" w:styleId="CommentSubjectChar">
    <w:name w:val="Comment Subject Char"/>
    <w:basedOn w:val="CommentTextChar"/>
    <w:link w:val="CommentSubject"/>
    <w:uiPriority w:val="99"/>
    <w:semiHidden/>
    <w:rsid w:val="00BE400A"/>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BE400A"/>
    <w:rPr>
      <w:rFonts w:ascii="Tahoma" w:hAnsi="Tahoma" w:cs="Tahoma"/>
      <w:sz w:val="16"/>
      <w:szCs w:val="16"/>
    </w:rPr>
  </w:style>
  <w:style w:type="character" w:customStyle="1" w:styleId="BalloonTextChar">
    <w:name w:val="Balloon Text Char"/>
    <w:basedOn w:val="DefaultParagraphFont"/>
    <w:link w:val="BalloonText"/>
    <w:uiPriority w:val="99"/>
    <w:semiHidden/>
    <w:rsid w:val="00BE40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O'Toole Gregory I</dc:creator>
  <cp:lastModifiedBy>O'Toole Gregory I</cp:lastModifiedBy>
  <cp:revision>5</cp:revision>
  <dcterms:created xsi:type="dcterms:W3CDTF">2015-05-06T10:49:00Z</dcterms:created>
  <dcterms:modified xsi:type="dcterms:W3CDTF">2015-05-15T06:57:00Z</dcterms:modified>
</cp:coreProperties>
</file>