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10"/>
        <w:gridCol w:w="3262"/>
        <w:gridCol w:w="6949"/>
      </w:tblGrid>
      <w:tr w:rsidR="00987FDA" w:rsidRPr="00F609BF" w:rsidTr="00A12505">
        <w:trPr>
          <w:tblHeader/>
        </w:trPr>
        <w:tc>
          <w:tcPr>
            <w:tcW w:w="2694" w:type="dxa"/>
            <w:tcMar>
              <w:top w:w="28" w:type="dxa"/>
              <w:bottom w:w="28" w:type="dxa"/>
            </w:tcMar>
          </w:tcPr>
          <w:p w:rsidR="0065234B" w:rsidRDefault="002960C3" w:rsidP="002960C3">
            <w:pPr>
              <w:widowControl w:val="0"/>
              <w:jc w:val="center"/>
              <w:rPr>
                <w:rFonts w:ascii="Arial" w:hAnsi="Arial" w:cs="Arial"/>
                <w:b/>
              </w:rPr>
            </w:pPr>
            <w:r w:rsidRPr="00F609BF">
              <w:rPr>
                <w:rFonts w:ascii="Arial" w:hAnsi="Arial" w:cs="Arial"/>
                <w:b/>
              </w:rPr>
              <w:t>DRUG NAME, FORM(S), STRENGTH(S)</w:t>
            </w:r>
            <w:r>
              <w:rPr>
                <w:rFonts w:ascii="Arial" w:hAnsi="Arial" w:cs="Arial"/>
                <w:b/>
              </w:rPr>
              <w:t>,</w:t>
            </w:r>
            <w:r w:rsidRPr="00F609BF">
              <w:rPr>
                <w:rFonts w:ascii="Arial" w:hAnsi="Arial" w:cs="Arial"/>
                <w:b/>
              </w:rPr>
              <w:t xml:space="preserve"> SPONSOR</w:t>
            </w:r>
            <w:r>
              <w:rPr>
                <w:rFonts w:ascii="Arial" w:hAnsi="Arial" w:cs="Arial"/>
                <w:b/>
              </w:rPr>
              <w:t>, TYPE OF SUBMISSION</w:t>
            </w:r>
          </w:p>
          <w:p w:rsidR="00257615" w:rsidRPr="00F609BF" w:rsidRDefault="00257615" w:rsidP="002960C3">
            <w:pPr>
              <w:widowControl w:val="0"/>
              <w:jc w:val="center"/>
              <w:rPr>
                <w:rFonts w:ascii="Arial" w:hAnsi="Arial" w:cs="Arial"/>
                <w:b/>
              </w:rPr>
            </w:pPr>
          </w:p>
        </w:tc>
        <w:tc>
          <w:tcPr>
            <w:tcW w:w="2409" w:type="dxa"/>
            <w:tcMar>
              <w:top w:w="28" w:type="dxa"/>
              <w:bottom w:w="28" w:type="dxa"/>
            </w:tcMar>
          </w:tcPr>
          <w:p w:rsidR="00987FDA" w:rsidRPr="00F609BF" w:rsidRDefault="002960C3" w:rsidP="002960C3">
            <w:pPr>
              <w:widowControl w:val="0"/>
              <w:jc w:val="center"/>
              <w:rPr>
                <w:rFonts w:ascii="Arial" w:hAnsi="Arial" w:cs="Arial"/>
                <w:b/>
                <w:snapToGrid w:val="0"/>
                <w:lang w:eastAsia="en-US"/>
              </w:rPr>
            </w:pPr>
            <w:r w:rsidRPr="00F609BF">
              <w:rPr>
                <w:rFonts w:ascii="Arial" w:hAnsi="Arial" w:cs="Arial"/>
                <w:b/>
                <w:snapToGrid w:val="0"/>
                <w:lang w:eastAsia="en-US"/>
              </w:rPr>
              <w:t>DRUG TYPE AND USE</w:t>
            </w:r>
          </w:p>
          <w:p w:rsidR="00987FDA" w:rsidRPr="00F609BF" w:rsidRDefault="00987FDA" w:rsidP="002960C3">
            <w:pPr>
              <w:widowControl w:val="0"/>
              <w:jc w:val="center"/>
              <w:rPr>
                <w:rFonts w:ascii="Arial" w:hAnsi="Arial" w:cs="Arial"/>
                <w:b/>
                <w:snapToGrid w:val="0"/>
                <w:lang w:eastAsia="en-US"/>
              </w:rPr>
            </w:pPr>
          </w:p>
        </w:tc>
        <w:tc>
          <w:tcPr>
            <w:tcW w:w="3261" w:type="dxa"/>
            <w:tcMar>
              <w:top w:w="28" w:type="dxa"/>
              <w:bottom w:w="28" w:type="dxa"/>
            </w:tcMar>
          </w:tcPr>
          <w:p w:rsidR="00987FDA" w:rsidRPr="00F609BF" w:rsidRDefault="002960C3" w:rsidP="002960C3">
            <w:pPr>
              <w:widowControl w:val="0"/>
              <w:jc w:val="center"/>
              <w:rPr>
                <w:rFonts w:ascii="Arial" w:hAnsi="Arial" w:cs="Arial"/>
                <w:b/>
                <w:snapToGrid w:val="0"/>
                <w:lang w:eastAsia="en-US"/>
              </w:rPr>
            </w:pPr>
            <w:r w:rsidRPr="00F609BF">
              <w:rPr>
                <w:rFonts w:ascii="Arial" w:hAnsi="Arial" w:cs="Arial"/>
                <w:b/>
                <w:snapToGrid w:val="0"/>
                <w:lang w:eastAsia="en-US"/>
              </w:rPr>
              <w:t>LISTING REQUESTED BY SPONSOR / PURPOSE OF SUBMISSION</w:t>
            </w:r>
          </w:p>
        </w:tc>
        <w:tc>
          <w:tcPr>
            <w:tcW w:w="6947" w:type="dxa"/>
          </w:tcPr>
          <w:p w:rsidR="00987FDA" w:rsidRPr="00F609BF" w:rsidRDefault="00987FDA" w:rsidP="00D167D0">
            <w:pPr>
              <w:pStyle w:val="Header"/>
              <w:jc w:val="center"/>
              <w:rPr>
                <w:rFonts w:ascii="Arial" w:hAnsi="Arial" w:cs="Arial"/>
                <w:b/>
                <w:snapToGrid w:val="0"/>
                <w:lang w:eastAsia="en-US"/>
              </w:rPr>
            </w:pPr>
            <w:r w:rsidRPr="00F609BF">
              <w:rPr>
                <w:rFonts w:ascii="Arial" w:hAnsi="Arial" w:cs="Arial"/>
                <w:b/>
                <w:snapToGrid w:val="0"/>
                <w:lang w:eastAsia="en-US"/>
              </w:rPr>
              <w:t xml:space="preserve">PBAC </w:t>
            </w:r>
            <w:r w:rsidR="002960C3">
              <w:rPr>
                <w:rFonts w:ascii="Arial" w:hAnsi="Arial" w:cs="Arial"/>
                <w:b/>
                <w:snapToGrid w:val="0"/>
                <w:lang w:eastAsia="en-US"/>
              </w:rPr>
              <w:t>OUTCOME</w:t>
            </w:r>
          </w:p>
        </w:tc>
      </w:tr>
      <w:tr w:rsidR="00E06A45" w:rsidRPr="00395B97" w:rsidTr="00A12505">
        <w:trPr>
          <w:trHeight w:val="1571"/>
        </w:trPr>
        <w:tc>
          <w:tcPr>
            <w:tcW w:w="2694" w:type="dxa"/>
            <w:vMerge w:val="restart"/>
            <w:tcMar>
              <w:top w:w="28" w:type="dxa"/>
              <w:bottom w:w="28" w:type="dxa"/>
            </w:tcMar>
          </w:tcPr>
          <w:p w:rsidR="00E06A45" w:rsidRDefault="00E06A45" w:rsidP="00335779">
            <w:pPr>
              <w:rPr>
                <w:rFonts w:ascii="Arial" w:hAnsi="Arial" w:cs="Arial"/>
                <w:color w:val="000000"/>
              </w:rPr>
            </w:pPr>
            <w:r w:rsidRPr="00F36D0C">
              <w:rPr>
                <w:rFonts w:ascii="Arial" w:hAnsi="Arial" w:cs="Arial"/>
                <w:b/>
                <w:color w:val="000000"/>
              </w:rPr>
              <w:t>CARGLUMIC ACID</w:t>
            </w:r>
            <w:r w:rsidRPr="00720AA4">
              <w:rPr>
                <w:rFonts w:ascii="Arial" w:hAnsi="Arial" w:cs="Arial"/>
                <w:color w:val="000000"/>
              </w:rPr>
              <w:br/>
            </w:r>
            <w:r w:rsidRPr="00720AA4">
              <w:rPr>
                <w:rFonts w:ascii="Arial" w:hAnsi="Arial" w:cs="Arial"/>
                <w:color w:val="000000"/>
              </w:rPr>
              <w:br/>
              <w:t>200 mg dispersible tablet, 5</w:t>
            </w:r>
            <w:r w:rsidRPr="00720AA4">
              <w:rPr>
                <w:rFonts w:ascii="Arial" w:hAnsi="Arial" w:cs="Arial"/>
                <w:color w:val="000000"/>
              </w:rPr>
              <w:br/>
              <w:t>200 mg dispersible tablet, 60</w:t>
            </w:r>
            <w:r w:rsidRPr="00720AA4">
              <w:rPr>
                <w:rFonts w:ascii="Arial" w:hAnsi="Arial" w:cs="Arial"/>
                <w:color w:val="000000"/>
              </w:rPr>
              <w:br/>
            </w:r>
            <w:r w:rsidRPr="00720AA4">
              <w:rPr>
                <w:rFonts w:ascii="Arial" w:hAnsi="Arial" w:cs="Arial"/>
                <w:color w:val="000000"/>
              </w:rPr>
              <w:br/>
              <w:t>CARBAGLU®</w:t>
            </w:r>
            <w:r w:rsidRPr="00720AA4">
              <w:rPr>
                <w:rFonts w:ascii="Arial" w:hAnsi="Arial" w:cs="Arial"/>
                <w:color w:val="000000"/>
              </w:rPr>
              <w:br/>
            </w:r>
            <w:r w:rsidRPr="00720AA4">
              <w:rPr>
                <w:rFonts w:ascii="Arial" w:hAnsi="Arial" w:cs="Arial"/>
                <w:color w:val="000000"/>
              </w:rPr>
              <w:br/>
              <w:t>Emerge Health</w:t>
            </w:r>
          </w:p>
          <w:p w:rsidR="004452C2" w:rsidRDefault="004452C2" w:rsidP="00335779">
            <w:pPr>
              <w:rPr>
                <w:rFonts w:ascii="Arial" w:hAnsi="Arial" w:cs="Arial"/>
                <w:color w:val="000000"/>
              </w:rPr>
            </w:pPr>
          </w:p>
          <w:p w:rsidR="004452C2" w:rsidRPr="004452C2" w:rsidRDefault="004452C2" w:rsidP="00335779">
            <w:pPr>
              <w:rPr>
                <w:rFonts w:ascii="Arial" w:hAnsi="Arial" w:cs="Arial"/>
              </w:rPr>
            </w:pPr>
            <w:r w:rsidRPr="004452C2">
              <w:rPr>
                <w:rFonts w:ascii="Arial" w:hAnsi="Arial" w:cs="Arial"/>
              </w:rPr>
              <w:t xml:space="preserve">New listing </w:t>
            </w:r>
          </w:p>
          <w:p w:rsidR="004452C2" w:rsidRPr="004452C2" w:rsidRDefault="004452C2" w:rsidP="00335779">
            <w:pPr>
              <w:rPr>
                <w:rFonts w:ascii="Arial" w:hAnsi="Arial" w:cs="Arial"/>
              </w:rPr>
            </w:pPr>
          </w:p>
          <w:p w:rsidR="004452C2" w:rsidRPr="00395B97" w:rsidRDefault="004452C2" w:rsidP="00335779">
            <w:pPr>
              <w:rPr>
                <w:rFonts w:ascii="Arial" w:hAnsi="Arial" w:cs="Arial"/>
              </w:rPr>
            </w:pPr>
            <w:r w:rsidRPr="004452C2">
              <w:rPr>
                <w:rFonts w:ascii="Arial" w:hAnsi="Arial" w:cs="Arial"/>
              </w:rPr>
              <w:t>(Major Submission)</w:t>
            </w:r>
          </w:p>
        </w:tc>
        <w:tc>
          <w:tcPr>
            <w:tcW w:w="2409" w:type="dxa"/>
            <w:vMerge w:val="restart"/>
          </w:tcPr>
          <w:p w:rsidR="00E06A45" w:rsidRPr="00395B97" w:rsidRDefault="00E06A45" w:rsidP="00335779">
            <w:pPr>
              <w:widowControl w:val="0"/>
              <w:rPr>
                <w:rFonts w:ascii="Arial" w:hAnsi="Arial" w:cs="Arial"/>
                <w:snapToGrid w:val="0"/>
                <w:lang w:eastAsia="en-US"/>
              </w:rPr>
            </w:pPr>
            <w:r w:rsidRPr="00720AA4">
              <w:rPr>
                <w:rFonts w:ascii="Arial" w:hAnsi="Arial" w:cs="Arial"/>
                <w:color w:val="000000"/>
              </w:rPr>
              <w:t>Hyperammonaemia</w:t>
            </w:r>
          </w:p>
        </w:tc>
        <w:tc>
          <w:tcPr>
            <w:tcW w:w="3261" w:type="dxa"/>
            <w:tcMar>
              <w:top w:w="28" w:type="dxa"/>
              <w:bottom w:w="28" w:type="dxa"/>
            </w:tcMar>
          </w:tcPr>
          <w:p w:rsidR="00E06A45" w:rsidRPr="0019532D" w:rsidRDefault="00E06A45" w:rsidP="0019532D">
            <w:pPr>
              <w:widowControl w:val="0"/>
              <w:rPr>
                <w:rFonts w:ascii="Arial" w:hAnsi="Arial" w:cs="Arial"/>
                <w:color w:val="000000"/>
              </w:rPr>
            </w:pPr>
            <w:r w:rsidRPr="00720AA4">
              <w:rPr>
                <w:rFonts w:ascii="Arial" w:hAnsi="Arial" w:cs="Arial"/>
                <w:color w:val="000000"/>
              </w:rPr>
              <w:t>Authority Required listing for the treatment of hyperammonaemia due to organic acidaemias including isovaleric acidaemia, methylmalonic acidaemia and propionic acidaemia.</w:t>
            </w:r>
          </w:p>
        </w:tc>
        <w:tc>
          <w:tcPr>
            <w:tcW w:w="6947" w:type="dxa"/>
          </w:tcPr>
          <w:p w:rsidR="00DD38ED" w:rsidRPr="00DD38ED" w:rsidRDefault="00DD38ED" w:rsidP="00DD38ED">
            <w:pPr>
              <w:widowControl w:val="0"/>
              <w:rPr>
                <w:rFonts w:ascii="Arial" w:hAnsi="Arial" w:cs="Arial"/>
                <w:color w:val="000000"/>
              </w:rPr>
            </w:pPr>
            <w:r w:rsidRPr="00DD38ED">
              <w:rPr>
                <w:rFonts w:ascii="Arial" w:hAnsi="Arial" w:cs="Arial"/>
                <w:color w:val="000000"/>
              </w:rPr>
              <w:t xml:space="preserve">The PBAC rejected the request to list carglumic acid on the PBS for the treatment of hyperammonaemia on the basis that it considered that the PBS was not the appropriate mechanism for dispensing carglumic acid. The Australian Society for Inborn Errors of Metabolism advised that carglumic acid has only been used in the setting of hospital admission, and considered that the provision of carglumic acid to neonates and older children would constitute routine care provided by hospitals in the context of acute decompensation episodes. In this regard, the PBAC considered that there was no unmet clinical need to be addressed through listing carglumic acid on the PBS. </w:t>
            </w:r>
          </w:p>
          <w:p w:rsidR="00E06A45" w:rsidRPr="00395B97" w:rsidRDefault="00E06A45" w:rsidP="000E1E84">
            <w:pPr>
              <w:pStyle w:val="ListParagraph"/>
              <w:ind w:left="0"/>
              <w:jc w:val="both"/>
              <w:rPr>
                <w:rFonts w:ascii="Arial" w:hAnsi="Arial" w:cs="Arial"/>
                <w:iCs/>
                <w:sz w:val="20"/>
                <w:szCs w:val="20"/>
              </w:rPr>
            </w:pPr>
          </w:p>
        </w:tc>
      </w:tr>
      <w:tr w:rsidR="00E06A45" w:rsidRPr="00395B97" w:rsidTr="00A12505">
        <w:trPr>
          <w:trHeight w:val="524"/>
        </w:trPr>
        <w:tc>
          <w:tcPr>
            <w:tcW w:w="2694" w:type="dxa"/>
            <w:vMerge/>
            <w:tcMar>
              <w:top w:w="28" w:type="dxa"/>
              <w:bottom w:w="28" w:type="dxa"/>
            </w:tcMar>
          </w:tcPr>
          <w:p w:rsidR="00E06A45" w:rsidRPr="00720AA4" w:rsidRDefault="00E06A45" w:rsidP="00335779">
            <w:pPr>
              <w:rPr>
                <w:rFonts w:ascii="Arial" w:hAnsi="Arial" w:cs="Arial"/>
                <w:color w:val="000000"/>
              </w:rPr>
            </w:pPr>
          </w:p>
        </w:tc>
        <w:tc>
          <w:tcPr>
            <w:tcW w:w="2409" w:type="dxa"/>
            <w:vMerge/>
          </w:tcPr>
          <w:p w:rsidR="00E06A45" w:rsidRPr="00720AA4" w:rsidRDefault="00E06A45" w:rsidP="00335779">
            <w:pPr>
              <w:widowControl w:val="0"/>
              <w:rPr>
                <w:rFonts w:ascii="Arial" w:hAnsi="Arial" w:cs="Arial"/>
                <w:color w:val="000000"/>
              </w:rPr>
            </w:pPr>
          </w:p>
        </w:tc>
        <w:tc>
          <w:tcPr>
            <w:tcW w:w="3261" w:type="dxa"/>
            <w:tcMar>
              <w:top w:w="28" w:type="dxa"/>
              <w:bottom w:w="28" w:type="dxa"/>
            </w:tcMar>
          </w:tcPr>
          <w:p w:rsidR="00E06A45" w:rsidRPr="00720AA4" w:rsidRDefault="00E06A45" w:rsidP="00E06A45">
            <w:pPr>
              <w:widowControl w:val="0"/>
              <w:jc w:val="right"/>
              <w:rPr>
                <w:rFonts w:ascii="Arial" w:hAnsi="Arial" w:cs="Arial"/>
                <w:color w:val="000000"/>
              </w:rPr>
            </w:pPr>
            <w:r>
              <w:rPr>
                <w:rFonts w:ascii="Arial" w:hAnsi="Arial" w:cs="Arial"/>
                <w:color w:val="000000"/>
              </w:rPr>
              <w:t>Sponsor Comment:</w:t>
            </w:r>
          </w:p>
        </w:tc>
        <w:tc>
          <w:tcPr>
            <w:tcW w:w="6947" w:type="dxa"/>
          </w:tcPr>
          <w:p w:rsidR="00E06A45" w:rsidRPr="00395B97" w:rsidRDefault="000A2577" w:rsidP="000E1E84">
            <w:pPr>
              <w:pStyle w:val="ListParagraph"/>
              <w:ind w:left="0"/>
              <w:jc w:val="both"/>
              <w:rPr>
                <w:rFonts w:ascii="Arial" w:hAnsi="Arial" w:cs="Arial"/>
                <w:iCs/>
                <w:sz w:val="20"/>
                <w:szCs w:val="20"/>
              </w:rPr>
            </w:pPr>
            <w:r w:rsidRPr="00C653EF">
              <w:rPr>
                <w:rFonts w:ascii="Arial" w:hAnsi="Arial" w:cs="Arial"/>
                <w:sz w:val="20"/>
                <w:szCs w:val="20"/>
              </w:rPr>
              <w:t>The sponsor had no comment.</w:t>
            </w:r>
          </w:p>
        </w:tc>
      </w:tr>
      <w:tr w:rsidR="00E06A45" w:rsidRPr="00395B97" w:rsidTr="00A12505">
        <w:trPr>
          <w:trHeight w:val="1268"/>
        </w:trPr>
        <w:tc>
          <w:tcPr>
            <w:tcW w:w="2694" w:type="dxa"/>
            <w:vMerge w:val="restart"/>
            <w:tcMar>
              <w:top w:w="28" w:type="dxa"/>
              <w:bottom w:w="28" w:type="dxa"/>
            </w:tcMar>
          </w:tcPr>
          <w:p w:rsidR="00E06A45" w:rsidRDefault="00E06A45" w:rsidP="00335779">
            <w:pPr>
              <w:rPr>
                <w:rFonts w:ascii="Arial" w:hAnsi="Arial" w:cs="Arial"/>
                <w:color w:val="000000"/>
              </w:rPr>
            </w:pPr>
            <w:r w:rsidRPr="00F36D0C">
              <w:rPr>
                <w:rFonts w:ascii="Arial" w:hAnsi="Arial" w:cs="Arial"/>
                <w:b/>
                <w:color w:val="000000"/>
              </w:rPr>
              <w:t>ELIGLUSTAT</w:t>
            </w:r>
            <w:r w:rsidRPr="00720AA4">
              <w:rPr>
                <w:rFonts w:ascii="Arial" w:hAnsi="Arial" w:cs="Arial"/>
                <w:color w:val="000000"/>
              </w:rPr>
              <w:br/>
            </w:r>
            <w:r w:rsidRPr="00720AA4">
              <w:rPr>
                <w:rFonts w:ascii="Arial" w:hAnsi="Arial" w:cs="Arial"/>
                <w:color w:val="000000"/>
              </w:rPr>
              <w:br/>
              <w:t>eliglustat tartrate 100 mg hard capsule (equivalent to 84 mg eliglustat), 56</w:t>
            </w:r>
            <w:r w:rsidRPr="00720AA4">
              <w:rPr>
                <w:rFonts w:ascii="Arial" w:hAnsi="Arial" w:cs="Arial"/>
                <w:color w:val="000000"/>
              </w:rPr>
              <w:br/>
            </w:r>
            <w:r w:rsidRPr="00720AA4">
              <w:rPr>
                <w:rFonts w:ascii="Arial" w:hAnsi="Arial" w:cs="Arial"/>
                <w:color w:val="000000"/>
              </w:rPr>
              <w:br/>
              <w:t>CERDELGA®</w:t>
            </w:r>
            <w:r w:rsidRPr="00720AA4">
              <w:rPr>
                <w:rFonts w:ascii="Arial" w:hAnsi="Arial" w:cs="Arial"/>
                <w:color w:val="000000"/>
              </w:rPr>
              <w:br/>
            </w:r>
            <w:r w:rsidRPr="00720AA4">
              <w:rPr>
                <w:rFonts w:ascii="Arial" w:hAnsi="Arial" w:cs="Arial"/>
                <w:color w:val="000000"/>
              </w:rPr>
              <w:br/>
              <w:t>Sanofi-aventis (Genzyme)</w:t>
            </w:r>
          </w:p>
          <w:p w:rsidR="00065321" w:rsidRDefault="00065321" w:rsidP="00335779">
            <w:pPr>
              <w:rPr>
                <w:rFonts w:ascii="Arial" w:hAnsi="Arial" w:cs="Arial"/>
                <w:color w:val="000000"/>
              </w:rPr>
            </w:pPr>
          </w:p>
          <w:p w:rsidR="00065321" w:rsidRPr="00720AA4" w:rsidRDefault="00065321" w:rsidP="00335779">
            <w:pPr>
              <w:rPr>
                <w:rFonts w:ascii="Arial" w:hAnsi="Arial" w:cs="Arial"/>
                <w:color w:val="000000"/>
              </w:rPr>
            </w:pPr>
            <w:r w:rsidRPr="00720AA4">
              <w:rPr>
                <w:rFonts w:ascii="Arial" w:hAnsi="Arial" w:cs="Arial"/>
                <w:color w:val="000000"/>
              </w:rPr>
              <w:t>New listing</w:t>
            </w:r>
            <w:r w:rsidRPr="00720AA4">
              <w:rPr>
                <w:rFonts w:ascii="Arial" w:hAnsi="Arial" w:cs="Arial"/>
                <w:color w:val="000000"/>
              </w:rPr>
              <w:br/>
            </w:r>
            <w:r w:rsidRPr="00720AA4">
              <w:rPr>
                <w:rFonts w:ascii="Arial" w:hAnsi="Arial" w:cs="Arial"/>
                <w:color w:val="000000"/>
              </w:rPr>
              <w:br/>
              <w:t>(Major Submission)</w:t>
            </w:r>
          </w:p>
        </w:tc>
        <w:tc>
          <w:tcPr>
            <w:tcW w:w="2409" w:type="dxa"/>
            <w:vMerge w:val="restart"/>
          </w:tcPr>
          <w:p w:rsidR="00E06A45" w:rsidRPr="00720AA4" w:rsidRDefault="00E06A45" w:rsidP="00335779">
            <w:pPr>
              <w:widowControl w:val="0"/>
              <w:rPr>
                <w:rFonts w:ascii="Arial" w:hAnsi="Arial" w:cs="Arial"/>
                <w:color w:val="000000"/>
              </w:rPr>
            </w:pPr>
            <w:r w:rsidRPr="00720AA4">
              <w:rPr>
                <w:rFonts w:ascii="Arial" w:hAnsi="Arial" w:cs="Arial"/>
                <w:color w:val="000000"/>
              </w:rPr>
              <w:t>Gaucher Disease</w:t>
            </w:r>
          </w:p>
        </w:tc>
        <w:tc>
          <w:tcPr>
            <w:tcW w:w="3261" w:type="dxa"/>
            <w:tcMar>
              <w:top w:w="28" w:type="dxa"/>
              <w:bottom w:w="28" w:type="dxa"/>
            </w:tcMar>
          </w:tcPr>
          <w:p w:rsidR="00E06A45" w:rsidRDefault="00E06A45" w:rsidP="0019532D">
            <w:pPr>
              <w:widowControl w:val="0"/>
              <w:rPr>
                <w:rFonts w:ascii="Arial" w:hAnsi="Arial" w:cs="Arial"/>
                <w:color w:val="000000"/>
              </w:rPr>
            </w:pPr>
            <w:r w:rsidRPr="00720AA4">
              <w:rPr>
                <w:rFonts w:ascii="Arial" w:hAnsi="Arial" w:cs="Arial"/>
                <w:color w:val="000000"/>
              </w:rPr>
              <w:t>Section 100 (Highly Specialised Drugs Program) Authority Required listing for the treatment of Gaucher Disease Type 1.</w:t>
            </w:r>
          </w:p>
          <w:p w:rsidR="00E06A45" w:rsidRPr="00720AA4" w:rsidRDefault="00E06A45" w:rsidP="0019532D">
            <w:pPr>
              <w:widowControl w:val="0"/>
              <w:rPr>
                <w:rFonts w:ascii="Arial" w:hAnsi="Arial" w:cs="Arial"/>
                <w:color w:val="000000"/>
              </w:rPr>
            </w:pPr>
          </w:p>
        </w:tc>
        <w:tc>
          <w:tcPr>
            <w:tcW w:w="6947" w:type="dxa"/>
          </w:tcPr>
          <w:p w:rsidR="00E06A45" w:rsidRPr="00A01F8B" w:rsidRDefault="00A01F8B" w:rsidP="00A01F8B">
            <w:pPr>
              <w:pStyle w:val="BodyText"/>
              <w:spacing w:line="240" w:lineRule="auto"/>
              <w:jc w:val="both"/>
              <w:rPr>
                <w:rFonts w:eastAsia="SimSun" w:cs="Arial"/>
                <w:iCs/>
                <w:szCs w:val="20"/>
                <w:lang w:val="en-AU" w:eastAsia="en-AU"/>
              </w:rPr>
            </w:pPr>
            <w:r w:rsidRPr="00A01F8B">
              <w:rPr>
                <w:rFonts w:eastAsia="SimSun" w:cs="Arial"/>
                <w:iCs/>
                <w:szCs w:val="20"/>
                <w:lang w:val="en-AU" w:eastAsia="en-AU"/>
              </w:rPr>
              <w:t>The PBAC rejected the request to list eliglustat on the PBS for the treatment of Gaucher Disease type 1 on the basis that the results of the direct randomised trial (ENCORE) suggested inferiority, and that clinically important inferiority could not be excluded with confidence</w:t>
            </w:r>
            <w:r>
              <w:rPr>
                <w:rFonts w:eastAsia="SimSun" w:cs="Arial"/>
                <w:iCs/>
                <w:szCs w:val="20"/>
                <w:lang w:val="en-AU" w:eastAsia="en-AU"/>
              </w:rPr>
              <w:t>.</w:t>
            </w:r>
          </w:p>
        </w:tc>
      </w:tr>
      <w:tr w:rsidR="00E06A45" w:rsidRPr="00395B97" w:rsidTr="00A12505">
        <w:trPr>
          <w:trHeight w:val="486"/>
        </w:trPr>
        <w:tc>
          <w:tcPr>
            <w:tcW w:w="2694" w:type="dxa"/>
            <w:vMerge/>
            <w:tcBorders>
              <w:bottom w:val="single" w:sz="4" w:space="0" w:color="auto"/>
            </w:tcBorders>
            <w:tcMar>
              <w:top w:w="28" w:type="dxa"/>
              <w:bottom w:w="28" w:type="dxa"/>
            </w:tcMar>
          </w:tcPr>
          <w:p w:rsidR="00E06A45" w:rsidRPr="00720AA4" w:rsidRDefault="00E06A45" w:rsidP="00335779">
            <w:pPr>
              <w:rPr>
                <w:rFonts w:ascii="Arial" w:hAnsi="Arial" w:cs="Arial"/>
                <w:color w:val="000000"/>
              </w:rPr>
            </w:pPr>
          </w:p>
        </w:tc>
        <w:tc>
          <w:tcPr>
            <w:tcW w:w="2409" w:type="dxa"/>
            <w:vMerge/>
            <w:tcBorders>
              <w:bottom w:val="single" w:sz="4" w:space="0" w:color="auto"/>
            </w:tcBorders>
          </w:tcPr>
          <w:p w:rsidR="00E06A45" w:rsidRPr="00720AA4" w:rsidRDefault="00E06A45" w:rsidP="00335779">
            <w:pPr>
              <w:widowControl w:val="0"/>
              <w:rPr>
                <w:rFonts w:ascii="Arial" w:hAnsi="Arial" w:cs="Arial"/>
                <w:color w:val="000000"/>
              </w:rPr>
            </w:pPr>
          </w:p>
        </w:tc>
        <w:tc>
          <w:tcPr>
            <w:tcW w:w="3261" w:type="dxa"/>
            <w:tcBorders>
              <w:bottom w:val="single" w:sz="4" w:space="0" w:color="auto"/>
            </w:tcBorders>
            <w:tcMar>
              <w:top w:w="28" w:type="dxa"/>
              <w:bottom w:w="28" w:type="dxa"/>
            </w:tcMar>
          </w:tcPr>
          <w:p w:rsidR="00E06A45" w:rsidRPr="00720AA4" w:rsidRDefault="00E06A45" w:rsidP="00E06A45">
            <w:pPr>
              <w:widowControl w:val="0"/>
              <w:jc w:val="right"/>
              <w:rPr>
                <w:rFonts w:ascii="Arial" w:hAnsi="Arial" w:cs="Arial"/>
                <w:color w:val="000000"/>
              </w:rPr>
            </w:pPr>
            <w:r>
              <w:rPr>
                <w:rFonts w:ascii="Arial" w:hAnsi="Arial" w:cs="Arial"/>
                <w:color w:val="000000"/>
              </w:rPr>
              <w:t>Sponsor Comment:</w:t>
            </w:r>
          </w:p>
        </w:tc>
        <w:tc>
          <w:tcPr>
            <w:tcW w:w="6947" w:type="dxa"/>
            <w:tcBorders>
              <w:bottom w:val="single" w:sz="4" w:space="0" w:color="auto"/>
            </w:tcBorders>
          </w:tcPr>
          <w:p w:rsidR="00E06A45" w:rsidRPr="00395B97" w:rsidRDefault="00E33DE2" w:rsidP="000E1E84">
            <w:pPr>
              <w:pStyle w:val="ListParagraph"/>
              <w:ind w:left="0"/>
              <w:jc w:val="both"/>
              <w:rPr>
                <w:rFonts w:ascii="Arial" w:hAnsi="Arial" w:cs="Arial"/>
                <w:iCs/>
                <w:sz w:val="20"/>
                <w:szCs w:val="20"/>
              </w:rPr>
            </w:pPr>
            <w:r w:rsidRPr="00E33DE2">
              <w:rPr>
                <w:rFonts w:ascii="Arial" w:hAnsi="Arial" w:cs="Arial"/>
                <w:iCs/>
                <w:sz w:val="20"/>
                <w:szCs w:val="20"/>
              </w:rPr>
              <w:t>Genzyme firmly believes that Cerdelga provides significant clinical benefits through proven efficacy and safety for patients with Gaucher disease. This is the result of the largest Gaucher program ever developed with approvals in the United States, Europe and Japan. Genzyme is committed to bringing Cerdelga to patients around the world, where it is already the third most prescribed Gaucher treatment, and will explore ways to work with the Department of Health to make this important TGA-approved therapy available to Australian patients.</w:t>
            </w:r>
          </w:p>
        </w:tc>
      </w:tr>
      <w:tr w:rsidR="00E06A45" w:rsidRPr="00395B97" w:rsidTr="00A12505">
        <w:trPr>
          <w:trHeight w:val="1752"/>
        </w:trPr>
        <w:tc>
          <w:tcPr>
            <w:tcW w:w="2694" w:type="dxa"/>
            <w:vMerge w:val="restart"/>
            <w:tcMar>
              <w:top w:w="28" w:type="dxa"/>
              <w:bottom w:w="28" w:type="dxa"/>
            </w:tcMar>
          </w:tcPr>
          <w:p w:rsidR="00E06A45" w:rsidRDefault="00E06A45" w:rsidP="000A2577">
            <w:pPr>
              <w:keepNext/>
              <w:rPr>
                <w:rFonts w:ascii="Arial" w:hAnsi="Arial" w:cs="Arial"/>
                <w:color w:val="000000"/>
              </w:rPr>
            </w:pPr>
            <w:r w:rsidRPr="00F36D0C">
              <w:rPr>
                <w:rFonts w:ascii="Arial" w:hAnsi="Arial" w:cs="Arial"/>
                <w:b/>
                <w:color w:val="000000"/>
              </w:rPr>
              <w:lastRenderedPageBreak/>
              <w:t>FENTANYL CITRATE (BUCCAL)</w:t>
            </w:r>
            <w:r w:rsidRPr="00720AA4">
              <w:rPr>
                <w:rFonts w:ascii="Arial" w:hAnsi="Arial" w:cs="Arial"/>
                <w:color w:val="000000"/>
              </w:rPr>
              <w:br/>
            </w:r>
            <w:r w:rsidRPr="00720AA4">
              <w:rPr>
                <w:rFonts w:ascii="Arial" w:hAnsi="Arial" w:cs="Arial"/>
                <w:color w:val="000000"/>
              </w:rPr>
              <w:br/>
              <w:t>100 microgram tablet: buccal, 4</w:t>
            </w:r>
            <w:r>
              <w:rPr>
                <w:rFonts w:ascii="Arial" w:hAnsi="Arial" w:cs="Arial"/>
                <w:color w:val="000000"/>
              </w:rPr>
              <w:t xml:space="preserve"> and 28</w:t>
            </w:r>
            <w:r w:rsidRPr="00720AA4">
              <w:rPr>
                <w:rFonts w:ascii="Arial" w:hAnsi="Arial" w:cs="Arial"/>
                <w:color w:val="000000"/>
              </w:rPr>
              <w:br/>
              <w:t>200 microgram tablet: buccal, 4</w:t>
            </w:r>
            <w:r>
              <w:rPr>
                <w:rFonts w:ascii="Arial" w:hAnsi="Arial" w:cs="Arial"/>
                <w:color w:val="000000"/>
              </w:rPr>
              <w:t xml:space="preserve"> and 28</w:t>
            </w:r>
            <w:r w:rsidRPr="00720AA4">
              <w:rPr>
                <w:rFonts w:ascii="Arial" w:hAnsi="Arial" w:cs="Arial"/>
                <w:color w:val="000000"/>
              </w:rPr>
              <w:br/>
              <w:t>400 microgram tablet: buccal, 4</w:t>
            </w:r>
            <w:r>
              <w:rPr>
                <w:rFonts w:ascii="Arial" w:hAnsi="Arial" w:cs="Arial"/>
                <w:color w:val="000000"/>
              </w:rPr>
              <w:t xml:space="preserve"> and 28</w:t>
            </w:r>
            <w:r w:rsidRPr="00720AA4">
              <w:rPr>
                <w:rFonts w:ascii="Arial" w:hAnsi="Arial" w:cs="Arial"/>
                <w:color w:val="000000"/>
              </w:rPr>
              <w:br/>
              <w:t>600 microgram tablet: buccal, 4</w:t>
            </w:r>
            <w:r>
              <w:rPr>
                <w:rFonts w:ascii="Arial" w:hAnsi="Arial" w:cs="Arial"/>
                <w:color w:val="000000"/>
              </w:rPr>
              <w:t xml:space="preserve"> and 28</w:t>
            </w:r>
            <w:r w:rsidRPr="00720AA4">
              <w:rPr>
                <w:rFonts w:ascii="Arial" w:hAnsi="Arial" w:cs="Arial"/>
                <w:color w:val="000000"/>
              </w:rPr>
              <w:br/>
              <w:t>800 microgram tablet: buccal, 4</w:t>
            </w:r>
            <w:r>
              <w:rPr>
                <w:rFonts w:ascii="Arial" w:hAnsi="Arial" w:cs="Arial"/>
                <w:color w:val="000000"/>
              </w:rPr>
              <w:t xml:space="preserve"> and 28</w:t>
            </w:r>
            <w:r w:rsidRPr="00720AA4">
              <w:rPr>
                <w:rFonts w:ascii="Arial" w:hAnsi="Arial" w:cs="Arial"/>
                <w:color w:val="000000"/>
              </w:rPr>
              <w:br/>
            </w:r>
            <w:r w:rsidRPr="00720AA4">
              <w:rPr>
                <w:rFonts w:ascii="Arial" w:hAnsi="Arial" w:cs="Arial"/>
                <w:color w:val="000000"/>
              </w:rPr>
              <w:br/>
              <w:t>FENTORA®</w:t>
            </w:r>
            <w:r w:rsidRPr="00720AA4">
              <w:rPr>
                <w:rFonts w:ascii="Arial" w:hAnsi="Arial" w:cs="Arial"/>
                <w:color w:val="000000"/>
              </w:rPr>
              <w:br/>
            </w:r>
            <w:r w:rsidRPr="00720AA4">
              <w:rPr>
                <w:rFonts w:ascii="Arial" w:hAnsi="Arial" w:cs="Arial"/>
                <w:color w:val="000000"/>
              </w:rPr>
              <w:br/>
            </w:r>
            <w:r w:rsidR="00F24D1A" w:rsidRPr="00F24D1A">
              <w:rPr>
                <w:rFonts w:ascii="Arial" w:hAnsi="Arial" w:cs="Arial"/>
                <w:color w:val="000000"/>
              </w:rPr>
              <w:t>Teva Pharma Australia Pty Ltd</w:t>
            </w:r>
          </w:p>
          <w:p w:rsidR="00065321" w:rsidRDefault="00065321" w:rsidP="000A2577">
            <w:pPr>
              <w:keepNext/>
              <w:rPr>
                <w:rFonts w:ascii="Arial" w:hAnsi="Arial" w:cs="Arial"/>
                <w:color w:val="000000"/>
              </w:rPr>
            </w:pPr>
          </w:p>
          <w:p w:rsidR="00065321" w:rsidRPr="00720AA4" w:rsidRDefault="00065321" w:rsidP="000A2577">
            <w:pPr>
              <w:keepNext/>
              <w:rPr>
                <w:rFonts w:ascii="Arial" w:hAnsi="Arial" w:cs="Arial"/>
                <w:color w:val="000000"/>
              </w:rPr>
            </w:pPr>
            <w:r w:rsidRPr="00720AA4">
              <w:rPr>
                <w:rFonts w:ascii="Arial" w:hAnsi="Arial" w:cs="Arial"/>
                <w:color w:val="000000"/>
              </w:rPr>
              <w:t>New listing</w:t>
            </w:r>
            <w:r w:rsidRPr="00720AA4">
              <w:rPr>
                <w:rFonts w:ascii="Arial" w:hAnsi="Arial" w:cs="Arial"/>
                <w:color w:val="000000"/>
              </w:rPr>
              <w:br/>
            </w:r>
            <w:r w:rsidRPr="00720AA4">
              <w:rPr>
                <w:rFonts w:ascii="Arial" w:hAnsi="Arial" w:cs="Arial"/>
                <w:color w:val="000000"/>
              </w:rPr>
              <w:br/>
              <w:t>(Major Submission)</w:t>
            </w:r>
          </w:p>
        </w:tc>
        <w:tc>
          <w:tcPr>
            <w:tcW w:w="2409" w:type="dxa"/>
            <w:vMerge w:val="restart"/>
          </w:tcPr>
          <w:p w:rsidR="00E06A45" w:rsidRPr="00720AA4" w:rsidRDefault="00E06A45" w:rsidP="000A2577">
            <w:pPr>
              <w:keepNext/>
              <w:widowControl w:val="0"/>
              <w:rPr>
                <w:rFonts w:ascii="Arial" w:hAnsi="Arial" w:cs="Arial"/>
                <w:color w:val="000000"/>
              </w:rPr>
            </w:pPr>
            <w:r w:rsidRPr="00720AA4">
              <w:rPr>
                <w:rFonts w:ascii="Arial" w:hAnsi="Arial" w:cs="Arial"/>
                <w:color w:val="000000"/>
              </w:rPr>
              <w:t>Breakthrough pain</w:t>
            </w:r>
          </w:p>
        </w:tc>
        <w:tc>
          <w:tcPr>
            <w:tcW w:w="3261" w:type="dxa"/>
            <w:tcMar>
              <w:top w:w="28" w:type="dxa"/>
              <w:bottom w:w="28" w:type="dxa"/>
            </w:tcMar>
          </w:tcPr>
          <w:p w:rsidR="00E06A45" w:rsidRPr="00720AA4" w:rsidRDefault="00E06A45" w:rsidP="000A2577">
            <w:pPr>
              <w:keepNext/>
              <w:widowControl w:val="0"/>
              <w:rPr>
                <w:rFonts w:ascii="Arial" w:hAnsi="Arial" w:cs="Arial"/>
                <w:color w:val="000000"/>
              </w:rPr>
            </w:pPr>
            <w:r w:rsidRPr="00720AA4">
              <w:rPr>
                <w:rFonts w:ascii="Arial" w:hAnsi="Arial" w:cs="Arial"/>
                <w:color w:val="000000"/>
              </w:rPr>
              <w:t>Authority Required (Palliative Care Schedule) listing for the treatment of breakthrough cancer pain.</w:t>
            </w:r>
          </w:p>
        </w:tc>
        <w:tc>
          <w:tcPr>
            <w:tcW w:w="6947" w:type="dxa"/>
          </w:tcPr>
          <w:p w:rsidR="00E06A45" w:rsidRPr="00395B97" w:rsidRDefault="00634F0A" w:rsidP="000A2577">
            <w:pPr>
              <w:pStyle w:val="ListParagraph"/>
              <w:keepNext/>
              <w:ind w:left="0"/>
              <w:jc w:val="both"/>
              <w:rPr>
                <w:rFonts w:ascii="Arial" w:hAnsi="Arial" w:cs="Arial"/>
                <w:iCs/>
                <w:sz w:val="20"/>
                <w:szCs w:val="20"/>
              </w:rPr>
            </w:pPr>
            <w:r w:rsidRPr="00634F0A">
              <w:rPr>
                <w:rFonts w:ascii="Arial" w:hAnsi="Arial" w:cs="Arial"/>
                <w:iCs/>
                <w:sz w:val="20"/>
                <w:szCs w:val="20"/>
              </w:rPr>
              <w:t>The PBAC did not recommend the listing of fentanyl citrate buccal tablets for the treatment of breakthrough pain in patients undergoing palliative care for cancer. The PBAC considered that the submission had not adequately addressed other immediate-release opioids as an appropriate comparator. Further, the PBAC did not consider that the submission’s utilisation estimates were reliable, and was concerned that no strategy was proposed by the sponsor to mitigate this risk.</w:t>
            </w:r>
          </w:p>
        </w:tc>
      </w:tr>
      <w:tr w:rsidR="00E06A45" w:rsidRPr="00395B97" w:rsidTr="00A12505">
        <w:trPr>
          <w:trHeight w:val="449"/>
        </w:trPr>
        <w:tc>
          <w:tcPr>
            <w:tcW w:w="2694" w:type="dxa"/>
            <w:vMerge/>
            <w:tcBorders>
              <w:bottom w:val="single" w:sz="4" w:space="0" w:color="auto"/>
            </w:tcBorders>
            <w:tcMar>
              <w:top w:w="28" w:type="dxa"/>
              <w:bottom w:w="28" w:type="dxa"/>
            </w:tcMar>
          </w:tcPr>
          <w:p w:rsidR="00E06A45" w:rsidRPr="00720AA4" w:rsidRDefault="00E06A45" w:rsidP="008340D1">
            <w:pPr>
              <w:rPr>
                <w:rFonts w:ascii="Arial" w:hAnsi="Arial" w:cs="Arial"/>
                <w:color w:val="000000"/>
              </w:rPr>
            </w:pPr>
          </w:p>
        </w:tc>
        <w:tc>
          <w:tcPr>
            <w:tcW w:w="2409" w:type="dxa"/>
            <w:vMerge/>
            <w:tcBorders>
              <w:bottom w:val="single" w:sz="4" w:space="0" w:color="auto"/>
            </w:tcBorders>
          </w:tcPr>
          <w:p w:rsidR="00E06A45" w:rsidRPr="00720AA4" w:rsidRDefault="00E06A45" w:rsidP="00335779">
            <w:pPr>
              <w:widowControl w:val="0"/>
              <w:rPr>
                <w:rFonts w:ascii="Arial" w:hAnsi="Arial" w:cs="Arial"/>
                <w:color w:val="000000"/>
              </w:rPr>
            </w:pPr>
          </w:p>
        </w:tc>
        <w:tc>
          <w:tcPr>
            <w:tcW w:w="3261" w:type="dxa"/>
            <w:tcBorders>
              <w:bottom w:val="single" w:sz="4" w:space="0" w:color="auto"/>
            </w:tcBorders>
            <w:tcMar>
              <w:top w:w="28" w:type="dxa"/>
              <w:bottom w:w="28" w:type="dxa"/>
            </w:tcMar>
          </w:tcPr>
          <w:p w:rsidR="00E06A45" w:rsidRPr="00720AA4" w:rsidRDefault="00E06A45" w:rsidP="00E06A45">
            <w:pPr>
              <w:widowControl w:val="0"/>
              <w:jc w:val="right"/>
              <w:rPr>
                <w:rFonts w:ascii="Arial" w:hAnsi="Arial" w:cs="Arial"/>
                <w:color w:val="000000"/>
              </w:rPr>
            </w:pPr>
            <w:r>
              <w:rPr>
                <w:rFonts w:ascii="Arial" w:hAnsi="Arial" w:cs="Arial"/>
                <w:color w:val="000000"/>
              </w:rPr>
              <w:t>Sponsor Comment:</w:t>
            </w:r>
          </w:p>
        </w:tc>
        <w:tc>
          <w:tcPr>
            <w:tcW w:w="6947" w:type="dxa"/>
            <w:tcBorders>
              <w:bottom w:val="single" w:sz="4" w:space="0" w:color="auto"/>
            </w:tcBorders>
          </w:tcPr>
          <w:p w:rsidR="00536E8E" w:rsidRDefault="00F24D1A" w:rsidP="000E1E84">
            <w:pPr>
              <w:pStyle w:val="ListParagraph"/>
              <w:ind w:left="0"/>
              <w:jc w:val="both"/>
              <w:rPr>
                <w:rFonts w:ascii="Arial" w:hAnsi="Arial" w:cs="Arial"/>
                <w:iCs/>
                <w:sz w:val="20"/>
                <w:szCs w:val="20"/>
              </w:rPr>
            </w:pPr>
            <w:r w:rsidRPr="00F24D1A">
              <w:rPr>
                <w:rFonts w:ascii="Arial" w:hAnsi="Arial" w:cs="Arial"/>
                <w:iCs/>
                <w:sz w:val="20"/>
                <w:szCs w:val="20"/>
              </w:rPr>
              <w:t>The Sponsor will work with the PBAC to resolve the outstanding matters and looks forward to bringing this treatment option to Australian patients</w:t>
            </w:r>
            <w:r>
              <w:rPr>
                <w:rFonts w:ascii="Arial" w:hAnsi="Arial" w:cs="Arial"/>
                <w:iCs/>
                <w:sz w:val="20"/>
                <w:szCs w:val="20"/>
              </w:rPr>
              <w:t>.</w:t>
            </w:r>
          </w:p>
          <w:p w:rsidR="00536E8E" w:rsidRPr="00536E8E" w:rsidRDefault="00536E8E" w:rsidP="00536E8E"/>
          <w:p w:rsidR="00536E8E" w:rsidRPr="00536E8E" w:rsidRDefault="00536E8E" w:rsidP="00536E8E"/>
          <w:p w:rsidR="00536E8E" w:rsidRPr="00536E8E" w:rsidRDefault="00536E8E" w:rsidP="00536E8E"/>
          <w:p w:rsidR="00536E8E" w:rsidRPr="00536E8E" w:rsidRDefault="00536E8E" w:rsidP="00536E8E"/>
          <w:p w:rsidR="00536E8E" w:rsidRPr="00536E8E" w:rsidRDefault="00536E8E" w:rsidP="00536E8E"/>
          <w:p w:rsidR="00536E8E" w:rsidRPr="00536E8E" w:rsidRDefault="00536E8E" w:rsidP="00536E8E"/>
          <w:p w:rsidR="00536E8E" w:rsidRPr="00536E8E" w:rsidRDefault="00536E8E" w:rsidP="00536E8E"/>
          <w:p w:rsidR="00536E8E" w:rsidRPr="00536E8E" w:rsidRDefault="00536E8E" w:rsidP="00536E8E"/>
          <w:p w:rsidR="00536E8E" w:rsidRPr="00536E8E" w:rsidRDefault="00536E8E" w:rsidP="00536E8E"/>
          <w:p w:rsidR="00536E8E" w:rsidRDefault="00536E8E" w:rsidP="00536E8E"/>
          <w:p w:rsidR="00536E8E" w:rsidRDefault="00536E8E" w:rsidP="00536E8E"/>
          <w:p w:rsidR="00283701" w:rsidRPr="00536E8E" w:rsidRDefault="00283701" w:rsidP="00536E8E">
            <w:pPr>
              <w:jc w:val="right"/>
            </w:pPr>
          </w:p>
        </w:tc>
      </w:tr>
      <w:tr w:rsidR="00536E8E" w:rsidRPr="00395B97" w:rsidTr="00A12505">
        <w:trPr>
          <w:trHeight w:val="188"/>
        </w:trPr>
        <w:tc>
          <w:tcPr>
            <w:tcW w:w="2694" w:type="dxa"/>
            <w:vMerge w:val="restart"/>
            <w:tcMar>
              <w:top w:w="28" w:type="dxa"/>
              <w:bottom w:w="28" w:type="dxa"/>
            </w:tcMar>
          </w:tcPr>
          <w:p w:rsidR="00536E8E" w:rsidRDefault="00536E8E" w:rsidP="00536E8E">
            <w:pPr>
              <w:rPr>
                <w:rFonts w:ascii="Arial" w:hAnsi="Arial" w:cs="Arial"/>
                <w:color w:val="000000"/>
              </w:rPr>
            </w:pPr>
            <w:r w:rsidRPr="00F36D0C">
              <w:rPr>
                <w:rFonts w:ascii="Arial" w:hAnsi="Arial" w:cs="Arial"/>
                <w:b/>
                <w:color w:val="000000"/>
              </w:rPr>
              <w:t>IBRUTINIB</w:t>
            </w:r>
            <w:r w:rsidRPr="00720AA4">
              <w:rPr>
                <w:rFonts w:ascii="Arial" w:hAnsi="Arial" w:cs="Arial"/>
                <w:color w:val="000000"/>
              </w:rPr>
              <w:br/>
            </w:r>
            <w:r w:rsidRPr="00720AA4">
              <w:rPr>
                <w:rFonts w:ascii="Arial" w:hAnsi="Arial" w:cs="Arial"/>
                <w:color w:val="000000"/>
              </w:rPr>
              <w:br/>
              <w:t>140 mg capsules, 90</w:t>
            </w:r>
            <w:r w:rsidRPr="00720AA4">
              <w:rPr>
                <w:rFonts w:ascii="Arial" w:hAnsi="Arial" w:cs="Arial"/>
                <w:color w:val="000000"/>
              </w:rPr>
              <w:br/>
            </w:r>
            <w:r w:rsidRPr="00720AA4">
              <w:rPr>
                <w:rFonts w:ascii="Arial" w:hAnsi="Arial" w:cs="Arial"/>
                <w:color w:val="000000"/>
              </w:rPr>
              <w:br/>
              <w:t>IMBRUVICA®</w:t>
            </w:r>
            <w:r w:rsidRPr="00720AA4">
              <w:rPr>
                <w:rFonts w:ascii="Arial" w:hAnsi="Arial" w:cs="Arial"/>
                <w:color w:val="000000"/>
              </w:rPr>
              <w:br/>
            </w:r>
            <w:r w:rsidRPr="00720AA4">
              <w:rPr>
                <w:rFonts w:ascii="Arial" w:hAnsi="Arial" w:cs="Arial"/>
                <w:color w:val="000000"/>
              </w:rPr>
              <w:br/>
              <w:t>Janssen Cilag Pty Ltd</w:t>
            </w:r>
          </w:p>
          <w:p w:rsidR="00536E8E" w:rsidRDefault="00536E8E" w:rsidP="00536E8E">
            <w:pPr>
              <w:rPr>
                <w:rFonts w:ascii="Arial" w:hAnsi="Arial" w:cs="Arial"/>
                <w:color w:val="000000"/>
              </w:rPr>
            </w:pPr>
          </w:p>
          <w:p w:rsidR="00536E8E" w:rsidRPr="00720AA4" w:rsidRDefault="00536E8E" w:rsidP="00536E8E">
            <w:pPr>
              <w:rPr>
                <w:rFonts w:ascii="Arial" w:hAnsi="Arial" w:cs="Arial"/>
                <w:color w:val="000000"/>
              </w:rPr>
            </w:pPr>
            <w:r w:rsidRPr="00720AA4">
              <w:rPr>
                <w:rFonts w:ascii="Arial" w:hAnsi="Arial" w:cs="Arial"/>
                <w:color w:val="000000"/>
              </w:rPr>
              <w:t>New listing</w:t>
            </w:r>
            <w:r w:rsidRPr="00720AA4">
              <w:rPr>
                <w:rFonts w:ascii="Arial" w:hAnsi="Arial" w:cs="Arial"/>
                <w:color w:val="000000"/>
              </w:rPr>
              <w:br/>
            </w:r>
            <w:r w:rsidRPr="00720AA4">
              <w:rPr>
                <w:rFonts w:ascii="Arial" w:hAnsi="Arial" w:cs="Arial"/>
                <w:color w:val="000000"/>
              </w:rPr>
              <w:br/>
              <w:t>(Major Submission)</w:t>
            </w:r>
          </w:p>
        </w:tc>
        <w:tc>
          <w:tcPr>
            <w:tcW w:w="2409" w:type="dxa"/>
            <w:vMerge w:val="restart"/>
          </w:tcPr>
          <w:p w:rsidR="00536E8E" w:rsidRPr="00720AA4" w:rsidRDefault="00536E8E" w:rsidP="00335779">
            <w:pPr>
              <w:widowControl w:val="0"/>
              <w:rPr>
                <w:rFonts w:ascii="Arial" w:hAnsi="Arial" w:cs="Arial"/>
                <w:color w:val="000000"/>
              </w:rPr>
            </w:pPr>
            <w:r w:rsidRPr="00720AA4">
              <w:rPr>
                <w:rFonts w:ascii="Arial" w:hAnsi="Arial" w:cs="Arial"/>
                <w:color w:val="000000"/>
              </w:rPr>
              <w:t>Chronic lymphocytic leukaemia</w:t>
            </w:r>
            <w:r>
              <w:rPr>
                <w:rFonts w:ascii="Arial" w:hAnsi="Arial" w:cs="Arial"/>
                <w:color w:val="000000"/>
              </w:rPr>
              <w:t xml:space="preserve"> (CLL) and </w:t>
            </w:r>
            <w:r w:rsidRPr="00720AA4">
              <w:rPr>
                <w:rFonts w:ascii="Arial" w:hAnsi="Arial" w:cs="Arial"/>
                <w:color w:val="000000"/>
              </w:rPr>
              <w:t>small lymphocytic lymphoma</w:t>
            </w:r>
            <w:r>
              <w:rPr>
                <w:rFonts w:ascii="Arial" w:hAnsi="Arial" w:cs="Arial"/>
                <w:color w:val="000000"/>
              </w:rPr>
              <w:t xml:space="preserve"> (SLL)</w:t>
            </w:r>
          </w:p>
        </w:tc>
        <w:tc>
          <w:tcPr>
            <w:tcW w:w="3261" w:type="dxa"/>
            <w:tcBorders>
              <w:bottom w:val="single" w:sz="4" w:space="0" w:color="auto"/>
            </w:tcBorders>
            <w:tcMar>
              <w:top w:w="28" w:type="dxa"/>
              <w:bottom w:w="28" w:type="dxa"/>
            </w:tcMar>
          </w:tcPr>
          <w:p w:rsidR="00536E8E" w:rsidRDefault="00536E8E" w:rsidP="00536E8E">
            <w:pPr>
              <w:widowControl w:val="0"/>
              <w:rPr>
                <w:rFonts w:ascii="Arial" w:hAnsi="Arial" w:cs="Arial"/>
                <w:color w:val="000000"/>
              </w:rPr>
            </w:pPr>
            <w:r w:rsidRPr="00720AA4">
              <w:rPr>
                <w:rFonts w:ascii="Arial" w:hAnsi="Arial" w:cs="Arial"/>
                <w:color w:val="000000"/>
              </w:rPr>
              <w:t xml:space="preserve">Authority Required (STREAMLINED) listing for the treatment of relapsed or refractory </w:t>
            </w:r>
            <w:r>
              <w:rPr>
                <w:rFonts w:ascii="Arial" w:hAnsi="Arial" w:cs="Arial"/>
                <w:color w:val="000000"/>
              </w:rPr>
              <w:t xml:space="preserve">CLL </w:t>
            </w:r>
            <w:r w:rsidRPr="00720AA4">
              <w:rPr>
                <w:rFonts w:ascii="Arial" w:hAnsi="Arial" w:cs="Arial"/>
                <w:color w:val="000000"/>
              </w:rPr>
              <w:t xml:space="preserve">and relapsed or refractory </w:t>
            </w:r>
            <w:r>
              <w:rPr>
                <w:rFonts w:ascii="Arial" w:hAnsi="Arial" w:cs="Arial"/>
                <w:color w:val="000000"/>
              </w:rPr>
              <w:t>SLL</w:t>
            </w:r>
            <w:r w:rsidRPr="00720AA4">
              <w:rPr>
                <w:rFonts w:ascii="Arial" w:hAnsi="Arial" w:cs="Arial"/>
                <w:color w:val="000000"/>
              </w:rPr>
              <w:t>.</w:t>
            </w:r>
          </w:p>
          <w:p w:rsidR="00536E8E" w:rsidRDefault="00536E8E" w:rsidP="00E06A45">
            <w:pPr>
              <w:widowControl w:val="0"/>
              <w:jc w:val="right"/>
              <w:rPr>
                <w:rFonts w:ascii="Arial" w:hAnsi="Arial" w:cs="Arial"/>
                <w:color w:val="000000"/>
              </w:rPr>
            </w:pPr>
          </w:p>
        </w:tc>
        <w:tc>
          <w:tcPr>
            <w:tcW w:w="6947" w:type="dxa"/>
          </w:tcPr>
          <w:p w:rsidR="00536E8E" w:rsidRPr="000879BE" w:rsidRDefault="00536E8E" w:rsidP="00536E8E">
            <w:pPr>
              <w:rPr>
                <w:rFonts w:ascii="Arial" w:eastAsia="SimSun" w:hAnsi="Arial" w:cs="Arial"/>
                <w:iCs/>
              </w:rPr>
            </w:pPr>
            <w:r w:rsidRPr="000879BE">
              <w:rPr>
                <w:rFonts w:ascii="Arial" w:eastAsia="SimSun" w:hAnsi="Arial" w:cs="Arial"/>
                <w:iCs/>
              </w:rPr>
              <w:t xml:space="preserve">The PBAC did not recommend the listing of ibrutinib for the treatment of relapsed or refractory CLL and SLL. In making its recommendation, the PBAC considered that the patient population and clinical place of ibrutinib were not adequately defined, the size of the comparative clinical benefit could not be quantified and the cost effectiveness and financial implications were underestimated and unacceptably high. </w:t>
            </w:r>
          </w:p>
          <w:p w:rsidR="00536E8E" w:rsidRPr="000879BE" w:rsidRDefault="00536E8E" w:rsidP="00536E8E">
            <w:pPr>
              <w:rPr>
                <w:rFonts w:ascii="Arial" w:eastAsia="SimSun" w:hAnsi="Arial" w:cs="Arial"/>
                <w:iCs/>
              </w:rPr>
            </w:pPr>
          </w:p>
          <w:p w:rsidR="00536E8E" w:rsidRPr="000879BE" w:rsidRDefault="00536E8E" w:rsidP="00536E8E">
            <w:pPr>
              <w:rPr>
                <w:rFonts w:ascii="Arial" w:eastAsia="SimSun" w:hAnsi="Arial" w:cs="Arial"/>
                <w:iCs/>
              </w:rPr>
            </w:pPr>
            <w:r w:rsidRPr="000879BE">
              <w:rPr>
                <w:rFonts w:ascii="Arial" w:eastAsia="SimSun" w:hAnsi="Arial" w:cs="Arial"/>
                <w:iCs/>
              </w:rPr>
              <w:t xml:space="preserve">The submission requested PBS listing for ibrutinib therapy for patients with relapsed or refractory CLL </w:t>
            </w:r>
            <w:r>
              <w:rPr>
                <w:rFonts w:ascii="Arial" w:eastAsia="SimSun" w:hAnsi="Arial" w:cs="Arial"/>
                <w:iCs/>
              </w:rPr>
              <w:t xml:space="preserve">or </w:t>
            </w:r>
            <w:r w:rsidRPr="000879BE">
              <w:rPr>
                <w:rFonts w:ascii="Arial" w:eastAsia="SimSun" w:hAnsi="Arial" w:cs="Arial"/>
                <w:iCs/>
              </w:rPr>
              <w:t xml:space="preserve">SLL and </w:t>
            </w:r>
            <w:r>
              <w:rPr>
                <w:rFonts w:ascii="Arial" w:eastAsia="SimSun" w:hAnsi="Arial" w:cs="Arial"/>
                <w:iCs/>
              </w:rPr>
              <w:t xml:space="preserve">who </w:t>
            </w:r>
            <w:r w:rsidRPr="000879BE">
              <w:rPr>
                <w:rFonts w:ascii="Arial" w:eastAsia="SimSun" w:hAnsi="Arial" w:cs="Arial"/>
                <w:iCs/>
              </w:rPr>
              <w:t>were</w:t>
            </w:r>
            <w:r>
              <w:rPr>
                <w:rFonts w:ascii="Arial" w:eastAsia="SimSun" w:hAnsi="Arial" w:cs="Arial"/>
                <w:iCs/>
              </w:rPr>
              <w:t xml:space="preserve"> considered </w:t>
            </w:r>
            <w:r w:rsidRPr="00AB4AE2">
              <w:rPr>
                <w:rFonts w:ascii="Arial" w:eastAsia="SimSun" w:hAnsi="Arial" w:cs="Arial"/>
                <w:iCs/>
              </w:rPr>
              <w:t>unsuitable for treatment or retreatment with a purine analogue</w:t>
            </w:r>
            <w:r w:rsidRPr="000879BE">
              <w:rPr>
                <w:rFonts w:ascii="Arial" w:eastAsia="SimSun" w:hAnsi="Arial" w:cs="Arial"/>
                <w:iCs/>
              </w:rPr>
              <w:t xml:space="preserve">. </w:t>
            </w:r>
          </w:p>
          <w:p w:rsidR="00536E8E" w:rsidRPr="000879BE" w:rsidRDefault="00536E8E" w:rsidP="00536E8E">
            <w:pPr>
              <w:rPr>
                <w:rFonts w:ascii="Arial" w:eastAsia="SimSun" w:hAnsi="Arial" w:cs="Arial"/>
                <w:iCs/>
              </w:rPr>
            </w:pPr>
          </w:p>
          <w:p w:rsidR="00536E8E" w:rsidRPr="000879BE" w:rsidRDefault="00536E8E" w:rsidP="00536E8E">
            <w:pPr>
              <w:rPr>
                <w:rFonts w:ascii="Arial" w:eastAsia="SimSun" w:hAnsi="Arial" w:cs="Arial"/>
                <w:iCs/>
              </w:rPr>
            </w:pPr>
            <w:r w:rsidRPr="000879BE">
              <w:rPr>
                <w:rFonts w:ascii="Arial" w:eastAsia="SimSun" w:hAnsi="Arial" w:cs="Arial"/>
                <w:iCs/>
              </w:rPr>
              <w:t>In regards to the submission, the PBAC</w:t>
            </w:r>
            <w:r>
              <w:rPr>
                <w:rFonts w:ascii="Arial" w:eastAsia="SimSun" w:hAnsi="Arial" w:cs="Arial"/>
                <w:iCs/>
              </w:rPr>
              <w:t>:</w:t>
            </w:r>
          </w:p>
          <w:p w:rsidR="00536E8E" w:rsidRPr="000879BE" w:rsidRDefault="00536E8E" w:rsidP="00536E8E">
            <w:pPr>
              <w:pStyle w:val="ListParagraph"/>
              <w:widowControl w:val="0"/>
              <w:numPr>
                <w:ilvl w:val="0"/>
                <w:numId w:val="40"/>
              </w:numPr>
              <w:ind w:left="317" w:hanging="284"/>
              <w:jc w:val="both"/>
              <w:rPr>
                <w:rFonts w:ascii="Arial" w:hAnsi="Arial" w:cs="Arial"/>
                <w:iCs/>
                <w:sz w:val="20"/>
                <w:szCs w:val="20"/>
              </w:rPr>
            </w:pPr>
            <w:r w:rsidRPr="000879BE">
              <w:rPr>
                <w:rFonts w:ascii="Arial" w:hAnsi="Arial" w:cs="Arial"/>
                <w:iCs/>
                <w:sz w:val="20"/>
                <w:szCs w:val="20"/>
              </w:rPr>
              <w:t xml:space="preserve">noted that the TGA-approved indication for ibrutinib did not restrict use </w:t>
            </w:r>
            <w:r w:rsidRPr="000879BE">
              <w:rPr>
                <w:rFonts w:ascii="Arial" w:hAnsi="Arial" w:cs="Arial"/>
                <w:iCs/>
                <w:sz w:val="20"/>
                <w:szCs w:val="20"/>
              </w:rPr>
              <w:lastRenderedPageBreak/>
              <w:t xml:space="preserve">to patients unsuitable for re-treatment with a purine analogue and also recommended use in first-line patients with CLL with 17p deletion and mantle cell lymphoma. </w:t>
            </w:r>
            <w:r w:rsidRPr="004E0619">
              <w:rPr>
                <w:rFonts w:ascii="Arial" w:hAnsi="Arial" w:cs="Arial"/>
                <w:iCs/>
                <w:sz w:val="20"/>
                <w:szCs w:val="20"/>
              </w:rPr>
              <w:t>Usage of ibrutinib beyond restriction was a possibility.</w:t>
            </w:r>
          </w:p>
          <w:p w:rsidR="00536E8E" w:rsidRPr="000879BE" w:rsidRDefault="00536E8E" w:rsidP="00536E8E">
            <w:pPr>
              <w:pStyle w:val="ListParagraph"/>
              <w:widowControl w:val="0"/>
              <w:numPr>
                <w:ilvl w:val="0"/>
                <w:numId w:val="40"/>
              </w:numPr>
              <w:ind w:left="317" w:hanging="284"/>
              <w:jc w:val="both"/>
              <w:rPr>
                <w:rFonts w:ascii="Arial" w:hAnsi="Arial" w:cs="Arial"/>
                <w:iCs/>
                <w:sz w:val="20"/>
                <w:szCs w:val="20"/>
              </w:rPr>
            </w:pPr>
            <w:r w:rsidRPr="000879BE">
              <w:rPr>
                <w:rFonts w:ascii="Arial" w:hAnsi="Arial" w:cs="Arial"/>
                <w:iCs/>
                <w:sz w:val="20"/>
                <w:szCs w:val="20"/>
              </w:rPr>
              <w:t xml:space="preserve">considered that ibrutinib is an effective treatment, but the increased effect over the treatment that would be replaced in Australia was difficult to quantify but may be smaller than proposed in the submission. </w:t>
            </w:r>
          </w:p>
          <w:p w:rsidR="00536E8E" w:rsidRPr="00F24D1A" w:rsidRDefault="00536E8E" w:rsidP="00536E8E">
            <w:pPr>
              <w:pStyle w:val="ListParagraph"/>
              <w:ind w:left="0"/>
              <w:jc w:val="both"/>
              <w:rPr>
                <w:rFonts w:ascii="Arial" w:hAnsi="Arial" w:cs="Arial"/>
                <w:iCs/>
                <w:sz w:val="20"/>
                <w:szCs w:val="20"/>
              </w:rPr>
            </w:pPr>
            <w:r w:rsidRPr="000879BE">
              <w:rPr>
                <w:rFonts w:ascii="Arial" w:hAnsi="Arial" w:cs="Arial"/>
                <w:iCs/>
                <w:sz w:val="20"/>
                <w:szCs w:val="20"/>
              </w:rPr>
              <w:t>considered that submission could not establish the cost effectiveness of the treatment at the sponsor’s requested price.</w:t>
            </w:r>
          </w:p>
        </w:tc>
      </w:tr>
      <w:tr w:rsidR="00536E8E" w:rsidRPr="00395B97" w:rsidTr="00A12505">
        <w:trPr>
          <w:trHeight w:val="188"/>
        </w:trPr>
        <w:tc>
          <w:tcPr>
            <w:tcW w:w="2694" w:type="dxa"/>
            <w:vMerge/>
            <w:tcBorders>
              <w:bottom w:val="single" w:sz="4" w:space="0" w:color="auto"/>
            </w:tcBorders>
            <w:tcMar>
              <w:top w:w="28" w:type="dxa"/>
              <w:bottom w:w="28" w:type="dxa"/>
            </w:tcMar>
          </w:tcPr>
          <w:p w:rsidR="00536E8E" w:rsidRPr="00720AA4" w:rsidRDefault="00536E8E" w:rsidP="008340D1">
            <w:pPr>
              <w:rPr>
                <w:rFonts w:ascii="Arial" w:hAnsi="Arial" w:cs="Arial"/>
                <w:color w:val="000000"/>
              </w:rPr>
            </w:pPr>
          </w:p>
        </w:tc>
        <w:tc>
          <w:tcPr>
            <w:tcW w:w="2409" w:type="dxa"/>
            <w:vMerge/>
            <w:tcBorders>
              <w:bottom w:val="single" w:sz="4" w:space="0" w:color="auto"/>
            </w:tcBorders>
          </w:tcPr>
          <w:p w:rsidR="00536E8E" w:rsidRPr="00720AA4" w:rsidRDefault="00536E8E" w:rsidP="00335779">
            <w:pPr>
              <w:widowControl w:val="0"/>
              <w:rPr>
                <w:rFonts w:ascii="Arial" w:hAnsi="Arial" w:cs="Arial"/>
                <w:color w:val="000000"/>
              </w:rPr>
            </w:pPr>
          </w:p>
        </w:tc>
        <w:tc>
          <w:tcPr>
            <w:tcW w:w="3261" w:type="dxa"/>
            <w:tcBorders>
              <w:bottom w:val="single" w:sz="4" w:space="0" w:color="auto"/>
            </w:tcBorders>
            <w:tcMar>
              <w:top w:w="28" w:type="dxa"/>
              <w:bottom w:w="28" w:type="dxa"/>
            </w:tcMar>
          </w:tcPr>
          <w:p w:rsidR="00536E8E" w:rsidRDefault="00536E8E" w:rsidP="00536E8E">
            <w:pPr>
              <w:widowControl w:val="0"/>
              <w:jc w:val="right"/>
              <w:rPr>
                <w:rFonts w:ascii="Arial" w:hAnsi="Arial" w:cs="Arial"/>
                <w:color w:val="000000"/>
              </w:rPr>
            </w:pPr>
            <w:r>
              <w:rPr>
                <w:rFonts w:ascii="Arial" w:hAnsi="Arial" w:cs="Arial"/>
                <w:color w:val="000000"/>
              </w:rPr>
              <w:t>Sponsor Comment:</w:t>
            </w:r>
          </w:p>
          <w:p w:rsidR="00536E8E" w:rsidRDefault="00536E8E" w:rsidP="00536E8E">
            <w:pPr>
              <w:widowControl w:val="0"/>
              <w:rPr>
                <w:rFonts w:ascii="Arial" w:hAnsi="Arial" w:cs="Arial"/>
                <w:color w:val="000000"/>
              </w:rPr>
            </w:pPr>
          </w:p>
        </w:tc>
        <w:tc>
          <w:tcPr>
            <w:tcW w:w="6947" w:type="dxa"/>
            <w:tcBorders>
              <w:bottom w:val="single" w:sz="4" w:space="0" w:color="auto"/>
            </w:tcBorders>
          </w:tcPr>
          <w:p w:rsidR="00536E8E" w:rsidRPr="00F24D1A" w:rsidRDefault="00536E8E" w:rsidP="000E1E84">
            <w:pPr>
              <w:pStyle w:val="ListParagraph"/>
              <w:ind w:left="0"/>
              <w:jc w:val="both"/>
              <w:rPr>
                <w:rFonts w:ascii="Arial" w:hAnsi="Arial" w:cs="Arial"/>
                <w:iCs/>
                <w:sz w:val="20"/>
                <w:szCs w:val="20"/>
              </w:rPr>
            </w:pPr>
            <w:r w:rsidRPr="00B4170D">
              <w:rPr>
                <w:rFonts w:ascii="Arial" w:hAnsi="Arial" w:cs="Arial"/>
                <w:iCs/>
                <w:sz w:val="20"/>
                <w:szCs w:val="20"/>
              </w:rPr>
              <w:t>Although disappointed that the PBAC were unable to recommend ibrutinib in the requested setting, Janssen are committed to working with the Department and PBAC in order to ensure timely access to ibrutinib.  Janssen believe there is an unmet clinical need for an effective and</w:t>
            </w:r>
            <w:r>
              <w:rPr>
                <w:rFonts w:ascii="Arial" w:hAnsi="Arial" w:cs="Arial"/>
                <w:iCs/>
                <w:sz w:val="20"/>
                <w:szCs w:val="20"/>
              </w:rPr>
              <w:t xml:space="preserve"> well tolerated treatment for relapsed or refractory</w:t>
            </w:r>
            <w:r w:rsidRPr="00B4170D">
              <w:rPr>
                <w:rFonts w:ascii="Arial" w:hAnsi="Arial" w:cs="Arial"/>
                <w:iCs/>
                <w:sz w:val="20"/>
                <w:szCs w:val="20"/>
              </w:rPr>
              <w:t xml:space="preserve"> CLL and SLL patients who are unsuitable for treatment or retreatment with a purine analogue.  </w:t>
            </w:r>
          </w:p>
        </w:tc>
      </w:tr>
      <w:tr w:rsidR="00E06A45" w:rsidRPr="00395B97" w:rsidTr="00A12505">
        <w:trPr>
          <w:trHeight w:val="1191"/>
        </w:trPr>
        <w:tc>
          <w:tcPr>
            <w:tcW w:w="2694" w:type="dxa"/>
            <w:vMerge w:val="restart"/>
            <w:tcMar>
              <w:top w:w="28" w:type="dxa"/>
              <w:bottom w:w="28" w:type="dxa"/>
            </w:tcMar>
          </w:tcPr>
          <w:p w:rsidR="00E06A45" w:rsidRDefault="00E06A45" w:rsidP="00335779">
            <w:pPr>
              <w:rPr>
                <w:rFonts w:ascii="Arial" w:hAnsi="Arial" w:cs="Arial"/>
                <w:color w:val="000000"/>
              </w:rPr>
            </w:pPr>
            <w:r w:rsidRPr="00F36D0C">
              <w:rPr>
                <w:rFonts w:ascii="Arial" w:hAnsi="Arial" w:cs="Arial"/>
                <w:b/>
                <w:color w:val="000000"/>
              </w:rPr>
              <w:t>MANNITOL</w:t>
            </w:r>
            <w:r w:rsidRPr="00720AA4">
              <w:rPr>
                <w:rFonts w:ascii="Arial" w:hAnsi="Arial" w:cs="Arial"/>
                <w:color w:val="000000"/>
              </w:rPr>
              <w:br/>
            </w:r>
            <w:r w:rsidRPr="00720AA4">
              <w:rPr>
                <w:rFonts w:ascii="Arial" w:hAnsi="Arial" w:cs="Arial"/>
                <w:color w:val="000000"/>
              </w:rPr>
              <w:br/>
              <w:t>powder for inhalation, 40 mg capsules, 280</w:t>
            </w:r>
            <w:r w:rsidRPr="00720AA4">
              <w:rPr>
                <w:rFonts w:ascii="Arial" w:hAnsi="Arial" w:cs="Arial"/>
                <w:color w:val="000000"/>
              </w:rPr>
              <w:br/>
            </w:r>
            <w:r w:rsidRPr="00720AA4">
              <w:rPr>
                <w:rFonts w:ascii="Arial" w:hAnsi="Arial" w:cs="Arial"/>
                <w:color w:val="000000"/>
              </w:rPr>
              <w:br/>
              <w:t>BRONCHITOL®</w:t>
            </w:r>
            <w:r w:rsidRPr="00720AA4">
              <w:rPr>
                <w:rFonts w:ascii="Arial" w:hAnsi="Arial" w:cs="Arial"/>
                <w:color w:val="000000"/>
              </w:rPr>
              <w:br/>
            </w:r>
            <w:r w:rsidRPr="00720AA4">
              <w:rPr>
                <w:rFonts w:ascii="Arial" w:hAnsi="Arial" w:cs="Arial"/>
                <w:color w:val="000000"/>
              </w:rPr>
              <w:br/>
              <w:t>Pharmaxis Ltd</w:t>
            </w:r>
          </w:p>
          <w:p w:rsidR="00065321" w:rsidRDefault="00065321" w:rsidP="00335779">
            <w:pPr>
              <w:rPr>
                <w:rFonts w:ascii="Arial" w:hAnsi="Arial" w:cs="Arial"/>
                <w:color w:val="000000"/>
              </w:rPr>
            </w:pPr>
          </w:p>
          <w:p w:rsidR="00065321" w:rsidRPr="00720AA4" w:rsidRDefault="00065321" w:rsidP="00335779">
            <w:pPr>
              <w:rPr>
                <w:rFonts w:ascii="Arial" w:hAnsi="Arial" w:cs="Arial"/>
                <w:color w:val="000000"/>
              </w:rPr>
            </w:pPr>
            <w:r w:rsidRPr="00720AA4">
              <w:rPr>
                <w:rFonts w:ascii="Arial" w:hAnsi="Arial" w:cs="Arial"/>
                <w:color w:val="000000"/>
              </w:rPr>
              <w:t>Change to listing</w:t>
            </w:r>
            <w:r w:rsidRPr="00720AA4">
              <w:rPr>
                <w:rFonts w:ascii="Arial" w:hAnsi="Arial" w:cs="Arial"/>
                <w:color w:val="000000"/>
              </w:rPr>
              <w:br/>
            </w:r>
            <w:r w:rsidRPr="00720AA4">
              <w:rPr>
                <w:rFonts w:ascii="Arial" w:hAnsi="Arial" w:cs="Arial"/>
                <w:color w:val="000000"/>
              </w:rPr>
              <w:br/>
              <w:t>(Minor Submission)</w:t>
            </w:r>
          </w:p>
        </w:tc>
        <w:tc>
          <w:tcPr>
            <w:tcW w:w="2409" w:type="dxa"/>
            <w:vMerge w:val="restart"/>
          </w:tcPr>
          <w:p w:rsidR="00E06A45" w:rsidRPr="00720AA4" w:rsidRDefault="00E06A45" w:rsidP="00335779">
            <w:pPr>
              <w:widowControl w:val="0"/>
              <w:rPr>
                <w:rFonts w:ascii="Arial" w:hAnsi="Arial" w:cs="Arial"/>
                <w:color w:val="000000"/>
              </w:rPr>
            </w:pPr>
            <w:r w:rsidRPr="00720AA4">
              <w:rPr>
                <w:rFonts w:ascii="Arial" w:hAnsi="Arial" w:cs="Arial"/>
                <w:color w:val="000000"/>
              </w:rPr>
              <w:t>Cystic fibrosis</w:t>
            </w:r>
          </w:p>
        </w:tc>
        <w:tc>
          <w:tcPr>
            <w:tcW w:w="3261" w:type="dxa"/>
            <w:tcMar>
              <w:top w:w="28" w:type="dxa"/>
              <w:bottom w:w="28" w:type="dxa"/>
            </w:tcMar>
          </w:tcPr>
          <w:p w:rsidR="00E06A45" w:rsidRPr="00720AA4" w:rsidRDefault="00E06A45" w:rsidP="0019532D">
            <w:pPr>
              <w:widowControl w:val="0"/>
              <w:rPr>
                <w:rFonts w:ascii="Arial" w:hAnsi="Arial" w:cs="Arial"/>
                <w:color w:val="000000"/>
              </w:rPr>
            </w:pPr>
            <w:r w:rsidRPr="00720AA4">
              <w:rPr>
                <w:rFonts w:ascii="Arial" w:hAnsi="Arial" w:cs="Arial"/>
                <w:color w:val="000000"/>
              </w:rPr>
              <w:t>Amendment of the PBS restriction to consolidate the wording and to enable use in combination with dornase alfa.</w:t>
            </w:r>
          </w:p>
        </w:tc>
        <w:tc>
          <w:tcPr>
            <w:tcW w:w="6947" w:type="dxa"/>
          </w:tcPr>
          <w:p w:rsidR="00E06A45" w:rsidRPr="00395B97" w:rsidRDefault="00550CE3" w:rsidP="00EC75FA">
            <w:pPr>
              <w:widowControl w:val="0"/>
            </w:pPr>
            <w:r w:rsidRPr="00550CE3">
              <w:rPr>
                <w:rFonts w:ascii="Arial" w:hAnsi="Arial" w:cs="Arial"/>
                <w:color w:val="000000"/>
              </w:rPr>
              <w:t xml:space="preserve">The PBAC did not recommend amending the current listing of </w:t>
            </w:r>
            <w:r w:rsidR="00D75BC3">
              <w:rPr>
                <w:rFonts w:ascii="Arial" w:hAnsi="Arial" w:cs="Arial"/>
                <w:color w:val="000000"/>
              </w:rPr>
              <w:t>dry powder inhaler (</w:t>
            </w:r>
            <w:r w:rsidRPr="00550CE3">
              <w:rPr>
                <w:rFonts w:ascii="Arial" w:hAnsi="Arial" w:cs="Arial"/>
                <w:color w:val="000000"/>
              </w:rPr>
              <w:t>DPI</w:t>
            </w:r>
            <w:r w:rsidR="00D75BC3">
              <w:rPr>
                <w:rFonts w:ascii="Arial" w:hAnsi="Arial" w:cs="Arial"/>
                <w:color w:val="000000"/>
              </w:rPr>
              <w:t>)</w:t>
            </w:r>
            <w:r w:rsidRPr="00550CE3">
              <w:rPr>
                <w:rFonts w:ascii="Arial" w:hAnsi="Arial" w:cs="Arial"/>
                <w:color w:val="000000"/>
              </w:rPr>
              <w:t xml:space="preserve"> mannitol to permit the combination use of DPI mannitol with dornase alfa on the basis of unproven cost-effectiveness.  However, the PBAC did recommend some amendments to simplify the listing of DPI mannitol.  </w:t>
            </w:r>
          </w:p>
        </w:tc>
      </w:tr>
      <w:tr w:rsidR="00E06A45" w:rsidRPr="00395B97" w:rsidTr="00A12505">
        <w:trPr>
          <w:trHeight w:val="449"/>
        </w:trPr>
        <w:tc>
          <w:tcPr>
            <w:tcW w:w="2694" w:type="dxa"/>
            <w:vMerge/>
            <w:tcMar>
              <w:top w:w="28" w:type="dxa"/>
              <w:bottom w:w="28" w:type="dxa"/>
            </w:tcMar>
          </w:tcPr>
          <w:p w:rsidR="00E06A45" w:rsidRPr="00720AA4" w:rsidRDefault="00E06A45" w:rsidP="00335779">
            <w:pPr>
              <w:rPr>
                <w:rFonts w:ascii="Arial" w:hAnsi="Arial" w:cs="Arial"/>
                <w:color w:val="000000"/>
              </w:rPr>
            </w:pPr>
          </w:p>
        </w:tc>
        <w:tc>
          <w:tcPr>
            <w:tcW w:w="2409" w:type="dxa"/>
            <w:vMerge/>
          </w:tcPr>
          <w:p w:rsidR="00E06A45" w:rsidRPr="00720AA4" w:rsidRDefault="00E06A45" w:rsidP="00335779">
            <w:pPr>
              <w:widowControl w:val="0"/>
              <w:rPr>
                <w:rFonts w:ascii="Arial" w:hAnsi="Arial" w:cs="Arial"/>
                <w:color w:val="000000"/>
              </w:rPr>
            </w:pPr>
          </w:p>
        </w:tc>
        <w:tc>
          <w:tcPr>
            <w:tcW w:w="3261" w:type="dxa"/>
            <w:tcMar>
              <w:top w:w="28" w:type="dxa"/>
              <w:bottom w:w="28" w:type="dxa"/>
            </w:tcMar>
          </w:tcPr>
          <w:p w:rsidR="00283701" w:rsidRDefault="00283701" w:rsidP="00283701">
            <w:pPr>
              <w:widowControl w:val="0"/>
              <w:jc w:val="right"/>
              <w:rPr>
                <w:rFonts w:ascii="Arial" w:hAnsi="Arial" w:cs="Arial"/>
                <w:color w:val="000000"/>
              </w:rPr>
            </w:pPr>
            <w:r>
              <w:rPr>
                <w:rFonts w:ascii="Arial" w:hAnsi="Arial" w:cs="Arial"/>
                <w:color w:val="000000"/>
              </w:rPr>
              <w:t>Sponsor Comment:</w:t>
            </w:r>
          </w:p>
          <w:p w:rsidR="00E06A45" w:rsidRPr="00720AA4" w:rsidRDefault="00E06A45" w:rsidP="0019532D">
            <w:pPr>
              <w:widowControl w:val="0"/>
              <w:rPr>
                <w:rFonts w:ascii="Arial" w:hAnsi="Arial" w:cs="Arial"/>
                <w:color w:val="000000"/>
              </w:rPr>
            </w:pPr>
            <w:bookmarkStart w:id="0" w:name="_GoBack"/>
            <w:bookmarkEnd w:id="0"/>
          </w:p>
        </w:tc>
        <w:tc>
          <w:tcPr>
            <w:tcW w:w="6947" w:type="dxa"/>
          </w:tcPr>
          <w:p w:rsidR="00E06A45" w:rsidRPr="00395B97" w:rsidRDefault="00F439EC" w:rsidP="000E1E84">
            <w:pPr>
              <w:pStyle w:val="ListParagraph"/>
              <w:ind w:left="0"/>
              <w:jc w:val="both"/>
              <w:rPr>
                <w:rFonts w:ascii="Arial" w:hAnsi="Arial" w:cs="Arial"/>
                <w:iCs/>
                <w:sz w:val="20"/>
                <w:szCs w:val="20"/>
              </w:rPr>
            </w:pPr>
            <w:r w:rsidRPr="00F439EC">
              <w:rPr>
                <w:rFonts w:ascii="Arial" w:hAnsi="Arial" w:cs="Arial"/>
                <w:iCs/>
                <w:sz w:val="20"/>
                <w:szCs w:val="20"/>
              </w:rPr>
              <w:t>Pharmaxis is disappointed that the PBAC could not recommend a change to amend the Bronchitol listing to bring it in line with best clinical practice.  Pharmaxis welcomes the PBAC</w:t>
            </w:r>
            <w:r w:rsidR="00624D87">
              <w:rPr>
                <w:rFonts w:ascii="Arial" w:hAnsi="Arial" w:cs="Arial"/>
                <w:iCs/>
                <w:sz w:val="20"/>
                <w:szCs w:val="20"/>
              </w:rPr>
              <w:t>’</w:t>
            </w:r>
            <w:r w:rsidRPr="00F439EC">
              <w:rPr>
                <w:rFonts w:ascii="Arial" w:hAnsi="Arial" w:cs="Arial"/>
                <w:iCs/>
                <w:sz w:val="20"/>
                <w:szCs w:val="20"/>
              </w:rPr>
              <w:t>s recommendation of simplification of the current wording and will continue to</w:t>
            </w:r>
            <w:r>
              <w:rPr>
                <w:rFonts w:ascii="Arial" w:hAnsi="Arial" w:cs="Arial"/>
                <w:iCs/>
                <w:sz w:val="20"/>
                <w:szCs w:val="20"/>
              </w:rPr>
              <w:t xml:space="preserve"> look at ways to amend the</w:t>
            </w:r>
            <w:r w:rsidRPr="00F439EC">
              <w:rPr>
                <w:rFonts w:ascii="Arial" w:hAnsi="Arial" w:cs="Arial"/>
                <w:iCs/>
                <w:sz w:val="20"/>
                <w:szCs w:val="20"/>
              </w:rPr>
              <w:t xml:space="preserve"> current listing to enable Bronchitol to be used in addition to best supportive care for appropriate patients.</w:t>
            </w:r>
          </w:p>
        </w:tc>
      </w:tr>
      <w:tr w:rsidR="00536E8E" w:rsidRPr="00395B97" w:rsidTr="00A12505">
        <w:trPr>
          <w:trHeight w:val="188"/>
        </w:trPr>
        <w:tc>
          <w:tcPr>
            <w:tcW w:w="2694" w:type="dxa"/>
            <w:vMerge w:val="restart"/>
            <w:tcMar>
              <w:top w:w="28" w:type="dxa"/>
              <w:bottom w:w="28" w:type="dxa"/>
            </w:tcMar>
          </w:tcPr>
          <w:p w:rsidR="00536E8E" w:rsidRDefault="00536E8E" w:rsidP="00536E8E">
            <w:pPr>
              <w:rPr>
                <w:rFonts w:ascii="Arial" w:hAnsi="Arial" w:cs="Arial"/>
                <w:color w:val="000000"/>
              </w:rPr>
            </w:pPr>
            <w:r w:rsidRPr="00F36D0C">
              <w:rPr>
                <w:rFonts w:ascii="Arial" w:hAnsi="Arial" w:cs="Arial"/>
                <w:b/>
                <w:color w:val="000000"/>
              </w:rPr>
              <w:t>NITISINONE</w:t>
            </w:r>
            <w:r w:rsidRPr="00720AA4">
              <w:rPr>
                <w:rFonts w:ascii="Arial" w:hAnsi="Arial" w:cs="Arial"/>
                <w:color w:val="000000"/>
              </w:rPr>
              <w:br/>
            </w:r>
            <w:r w:rsidRPr="00720AA4">
              <w:rPr>
                <w:rFonts w:ascii="Arial" w:hAnsi="Arial" w:cs="Arial"/>
                <w:color w:val="000000"/>
              </w:rPr>
              <w:br/>
              <w:t>2 m</w:t>
            </w:r>
            <w:r>
              <w:rPr>
                <w:rFonts w:ascii="Arial" w:hAnsi="Arial" w:cs="Arial"/>
                <w:color w:val="000000"/>
              </w:rPr>
              <w:t>g capsule, 60</w:t>
            </w:r>
            <w:r>
              <w:rPr>
                <w:rFonts w:ascii="Arial" w:hAnsi="Arial" w:cs="Arial"/>
                <w:color w:val="000000"/>
              </w:rPr>
              <w:br/>
              <w:t>5 mg capsule, 60</w:t>
            </w:r>
          </w:p>
          <w:p w:rsidR="00536E8E" w:rsidRDefault="00536E8E" w:rsidP="00536E8E">
            <w:pPr>
              <w:rPr>
                <w:rFonts w:ascii="Arial" w:hAnsi="Arial" w:cs="Arial"/>
                <w:color w:val="000000"/>
              </w:rPr>
            </w:pPr>
            <w:r w:rsidRPr="00720AA4">
              <w:rPr>
                <w:rFonts w:ascii="Arial" w:hAnsi="Arial" w:cs="Arial"/>
                <w:color w:val="000000"/>
              </w:rPr>
              <w:t>10 mg capsule, 60</w:t>
            </w:r>
            <w:r w:rsidRPr="00720AA4">
              <w:rPr>
                <w:rFonts w:ascii="Arial" w:hAnsi="Arial" w:cs="Arial"/>
                <w:color w:val="000000"/>
              </w:rPr>
              <w:br/>
            </w:r>
            <w:r w:rsidRPr="00720AA4">
              <w:rPr>
                <w:rFonts w:ascii="Arial" w:hAnsi="Arial" w:cs="Arial"/>
                <w:color w:val="000000"/>
              </w:rPr>
              <w:br/>
              <w:t>ORFADIN®</w:t>
            </w:r>
            <w:r w:rsidRPr="00720AA4">
              <w:rPr>
                <w:rFonts w:ascii="Arial" w:hAnsi="Arial" w:cs="Arial"/>
                <w:color w:val="000000"/>
              </w:rPr>
              <w:br/>
            </w:r>
            <w:r w:rsidRPr="00720AA4">
              <w:rPr>
                <w:rFonts w:ascii="Arial" w:hAnsi="Arial" w:cs="Arial"/>
                <w:color w:val="000000"/>
              </w:rPr>
              <w:lastRenderedPageBreak/>
              <w:br/>
              <w:t>A. Menarini Australia Pty Ltd</w:t>
            </w:r>
          </w:p>
          <w:p w:rsidR="00536E8E" w:rsidRDefault="00536E8E" w:rsidP="00536E8E">
            <w:pPr>
              <w:jc w:val="center"/>
              <w:rPr>
                <w:rFonts w:ascii="Arial" w:hAnsi="Arial" w:cs="Arial"/>
                <w:color w:val="000000"/>
              </w:rPr>
            </w:pPr>
          </w:p>
          <w:p w:rsidR="00536E8E" w:rsidRPr="00720AA4" w:rsidRDefault="00536E8E" w:rsidP="00536E8E">
            <w:pPr>
              <w:rPr>
                <w:rFonts w:ascii="Arial" w:hAnsi="Arial" w:cs="Arial"/>
                <w:color w:val="000000"/>
              </w:rPr>
            </w:pPr>
            <w:r w:rsidRPr="00720AA4">
              <w:rPr>
                <w:rFonts w:ascii="Arial" w:hAnsi="Arial" w:cs="Arial"/>
                <w:color w:val="000000"/>
              </w:rPr>
              <w:t>New listing</w:t>
            </w:r>
            <w:r w:rsidRPr="00720AA4">
              <w:rPr>
                <w:rFonts w:ascii="Arial" w:hAnsi="Arial" w:cs="Arial"/>
                <w:color w:val="000000"/>
              </w:rPr>
              <w:br/>
            </w:r>
            <w:r w:rsidRPr="00720AA4">
              <w:rPr>
                <w:rFonts w:ascii="Arial" w:hAnsi="Arial" w:cs="Arial"/>
                <w:color w:val="000000"/>
              </w:rPr>
              <w:br/>
              <w:t>(Minor Submission)</w:t>
            </w:r>
          </w:p>
        </w:tc>
        <w:tc>
          <w:tcPr>
            <w:tcW w:w="2409" w:type="dxa"/>
            <w:vMerge w:val="restart"/>
          </w:tcPr>
          <w:p w:rsidR="00536E8E" w:rsidRPr="00720AA4" w:rsidRDefault="00536E8E" w:rsidP="00335779">
            <w:pPr>
              <w:widowControl w:val="0"/>
              <w:rPr>
                <w:rFonts w:ascii="Arial" w:hAnsi="Arial" w:cs="Arial"/>
                <w:color w:val="000000"/>
              </w:rPr>
            </w:pPr>
            <w:r w:rsidRPr="00720AA4">
              <w:rPr>
                <w:rFonts w:ascii="Arial" w:hAnsi="Arial" w:cs="Arial"/>
                <w:color w:val="000000"/>
              </w:rPr>
              <w:lastRenderedPageBreak/>
              <w:t>Tyrosinaemia</w:t>
            </w:r>
          </w:p>
        </w:tc>
        <w:tc>
          <w:tcPr>
            <w:tcW w:w="3261" w:type="dxa"/>
            <w:tcMar>
              <w:top w:w="28" w:type="dxa"/>
              <w:bottom w:w="28" w:type="dxa"/>
            </w:tcMar>
          </w:tcPr>
          <w:p w:rsidR="00536E8E" w:rsidRDefault="00536E8E" w:rsidP="00A12505">
            <w:pPr>
              <w:widowControl w:val="0"/>
              <w:rPr>
                <w:rFonts w:ascii="Arial" w:hAnsi="Arial" w:cs="Arial"/>
                <w:color w:val="000000"/>
              </w:rPr>
            </w:pPr>
            <w:r w:rsidRPr="00720AA4">
              <w:rPr>
                <w:rFonts w:ascii="Arial" w:hAnsi="Arial" w:cs="Arial"/>
                <w:color w:val="000000"/>
              </w:rPr>
              <w:t>Re-submission for section 100 (Highly Specialised Drugs Program) Authority Required listing for the treatment of hereditary tyrosinaemia type 1</w:t>
            </w:r>
            <w:r>
              <w:rPr>
                <w:rFonts w:ascii="Arial" w:hAnsi="Arial" w:cs="Arial"/>
                <w:color w:val="000000"/>
              </w:rPr>
              <w:t xml:space="preserve"> (HT-1)</w:t>
            </w:r>
            <w:r w:rsidRPr="00720AA4">
              <w:rPr>
                <w:rFonts w:ascii="Arial" w:hAnsi="Arial" w:cs="Arial"/>
                <w:color w:val="000000"/>
              </w:rPr>
              <w:t>.</w:t>
            </w:r>
          </w:p>
        </w:tc>
        <w:tc>
          <w:tcPr>
            <w:tcW w:w="6947" w:type="dxa"/>
          </w:tcPr>
          <w:p w:rsidR="00536E8E" w:rsidRPr="00147F3D" w:rsidRDefault="00536E8E" w:rsidP="00A12505">
            <w:pPr>
              <w:widowControl w:val="0"/>
              <w:rPr>
                <w:rFonts w:ascii="Arial" w:hAnsi="Arial" w:cs="Arial"/>
                <w:color w:val="000000"/>
              </w:rPr>
            </w:pPr>
            <w:r w:rsidRPr="00147F3D">
              <w:rPr>
                <w:rFonts w:ascii="Arial" w:hAnsi="Arial" w:cs="Arial"/>
                <w:color w:val="000000"/>
              </w:rPr>
              <w:t xml:space="preserve">The PBAC rejected the request to list nitisinone on the PBS for the treatment of HT-1 on the basis of an </w:t>
            </w:r>
            <w:r w:rsidR="00A12505">
              <w:rPr>
                <w:rFonts w:ascii="Arial" w:hAnsi="Arial" w:cs="Arial"/>
                <w:color w:val="000000"/>
              </w:rPr>
              <w:t>uncertain and unacceptably high</w:t>
            </w:r>
            <w:r w:rsidRPr="00147F3D">
              <w:rPr>
                <w:rFonts w:ascii="Arial" w:hAnsi="Arial" w:cs="Arial"/>
                <w:color w:val="000000"/>
              </w:rPr>
              <w:t>estimate of cost effectiveness.</w:t>
            </w:r>
          </w:p>
          <w:p w:rsidR="00536E8E" w:rsidRPr="00147F3D" w:rsidRDefault="00536E8E" w:rsidP="00536E8E">
            <w:pPr>
              <w:widowControl w:val="0"/>
              <w:jc w:val="center"/>
              <w:rPr>
                <w:rFonts w:ascii="Arial" w:hAnsi="Arial" w:cs="Arial"/>
                <w:color w:val="000000"/>
              </w:rPr>
            </w:pPr>
          </w:p>
          <w:p w:rsidR="00536E8E" w:rsidRPr="00147F3D" w:rsidRDefault="00536E8E" w:rsidP="00A12505">
            <w:pPr>
              <w:widowControl w:val="0"/>
              <w:rPr>
                <w:rFonts w:ascii="Arial" w:hAnsi="Arial" w:cs="Arial"/>
                <w:color w:val="000000"/>
              </w:rPr>
            </w:pPr>
            <w:r w:rsidRPr="00147F3D">
              <w:rPr>
                <w:rFonts w:ascii="Arial" w:hAnsi="Arial" w:cs="Arial"/>
                <w:color w:val="000000"/>
              </w:rPr>
              <w:t>The PBAC noted the clinical need for nitisinone for the treatment of HT-1 and that patients are currently being treated with the drug through hospitals.</w:t>
            </w:r>
          </w:p>
          <w:p w:rsidR="00536E8E" w:rsidRPr="00147F3D" w:rsidRDefault="00536E8E" w:rsidP="00536E8E">
            <w:pPr>
              <w:widowControl w:val="0"/>
              <w:jc w:val="center"/>
              <w:rPr>
                <w:rFonts w:ascii="Arial" w:hAnsi="Arial" w:cs="Arial"/>
                <w:color w:val="000000"/>
              </w:rPr>
            </w:pPr>
          </w:p>
          <w:p w:rsidR="00536E8E" w:rsidRPr="00147F3D" w:rsidRDefault="00536E8E" w:rsidP="00A12505">
            <w:pPr>
              <w:widowControl w:val="0"/>
              <w:rPr>
                <w:rFonts w:ascii="Arial" w:hAnsi="Arial" w:cs="Arial"/>
                <w:color w:val="000000"/>
              </w:rPr>
            </w:pPr>
            <w:r w:rsidRPr="00147F3D">
              <w:rPr>
                <w:rFonts w:ascii="Arial" w:hAnsi="Arial" w:cs="Arial"/>
                <w:color w:val="000000"/>
              </w:rPr>
              <w:lastRenderedPageBreak/>
              <w:t>The PBAC considered that treatment with nitisinone plus diet therapy is superior in terms of comparative effectiveness and inferior in terms of comparative safety compared with diet alone.</w:t>
            </w:r>
          </w:p>
          <w:p w:rsidR="00536E8E" w:rsidRPr="00147F3D" w:rsidRDefault="00536E8E" w:rsidP="00A12505">
            <w:pPr>
              <w:widowControl w:val="0"/>
              <w:rPr>
                <w:rFonts w:ascii="Arial" w:hAnsi="Arial" w:cs="Arial"/>
                <w:color w:val="000000"/>
              </w:rPr>
            </w:pPr>
          </w:p>
          <w:p w:rsidR="00536E8E" w:rsidRPr="00147F3D" w:rsidRDefault="00536E8E" w:rsidP="00A12505">
            <w:pPr>
              <w:widowControl w:val="0"/>
              <w:rPr>
                <w:rFonts w:ascii="Arial" w:hAnsi="Arial" w:cs="Arial"/>
                <w:color w:val="000000"/>
              </w:rPr>
            </w:pPr>
            <w:r w:rsidRPr="00147F3D">
              <w:rPr>
                <w:rFonts w:ascii="Arial" w:hAnsi="Arial" w:cs="Arial"/>
                <w:color w:val="000000"/>
              </w:rPr>
              <w:t>The PBAC noted that adverse events that may be associated with treatment with nitisinone for HT-1 include eye disorders, haematological events and developmental and cognitive disorders. The relationship of these events to nitisinone treatment is unknown. The PBAC considered that neuropsychological assessments of patients being treated with nitisinone over time were important and should be implemented in a systematic fashion.</w:t>
            </w:r>
          </w:p>
          <w:p w:rsidR="00536E8E" w:rsidRPr="00147F3D" w:rsidRDefault="00536E8E" w:rsidP="00A12505">
            <w:pPr>
              <w:widowControl w:val="0"/>
              <w:rPr>
                <w:rFonts w:ascii="Arial" w:hAnsi="Arial" w:cs="Arial"/>
                <w:color w:val="000000"/>
              </w:rPr>
            </w:pPr>
          </w:p>
          <w:p w:rsidR="00536E8E" w:rsidRPr="00536E8E" w:rsidRDefault="00536E8E" w:rsidP="00A12505">
            <w:pPr>
              <w:pStyle w:val="ListParagraph"/>
              <w:ind w:left="0"/>
              <w:rPr>
                <w:rFonts w:ascii="Arial" w:hAnsi="Arial" w:cs="Arial"/>
                <w:iCs/>
                <w:sz w:val="20"/>
                <w:szCs w:val="20"/>
              </w:rPr>
            </w:pPr>
            <w:r w:rsidRPr="00536E8E">
              <w:rPr>
                <w:rFonts w:ascii="Arial" w:hAnsi="Arial" w:cs="Arial"/>
                <w:color w:val="000000"/>
                <w:sz w:val="20"/>
                <w:szCs w:val="20"/>
              </w:rPr>
              <w:t>The PBAC considered that the cost per quality adjusted life year gained was uncertain and unacceptably high due to the high cost of the drug, weight based dosing and the impact of newborn screening practices on the estimates of comparative effectiveness.</w:t>
            </w:r>
          </w:p>
        </w:tc>
      </w:tr>
      <w:tr w:rsidR="00536E8E" w:rsidRPr="00395B97" w:rsidTr="00A12505">
        <w:trPr>
          <w:trHeight w:val="188"/>
        </w:trPr>
        <w:tc>
          <w:tcPr>
            <w:tcW w:w="2694" w:type="dxa"/>
            <w:vMerge/>
            <w:tcMar>
              <w:top w:w="28" w:type="dxa"/>
              <w:bottom w:w="28" w:type="dxa"/>
            </w:tcMar>
          </w:tcPr>
          <w:p w:rsidR="00536E8E" w:rsidRPr="00720AA4" w:rsidRDefault="00536E8E" w:rsidP="00335779">
            <w:pPr>
              <w:rPr>
                <w:rFonts w:ascii="Arial" w:hAnsi="Arial" w:cs="Arial"/>
                <w:color w:val="000000"/>
              </w:rPr>
            </w:pPr>
          </w:p>
        </w:tc>
        <w:tc>
          <w:tcPr>
            <w:tcW w:w="2409" w:type="dxa"/>
            <w:vMerge/>
          </w:tcPr>
          <w:p w:rsidR="00536E8E" w:rsidRPr="00720AA4" w:rsidRDefault="00536E8E" w:rsidP="00335779">
            <w:pPr>
              <w:widowControl w:val="0"/>
              <w:rPr>
                <w:rFonts w:ascii="Arial" w:hAnsi="Arial" w:cs="Arial"/>
                <w:color w:val="000000"/>
              </w:rPr>
            </w:pPr>
          </w:p>
        </w:tc>
        <w:tc>
          <w:tcPr>
            <w:tcW w:w="3261" w:type="dxa"/>
            <w:tcMar>
              <w:top w:w="28" w:type="dxa"/>
              <w:bottom w:w="28" w:type="dxa"/>
            </w:tcMar>
          </w:tcPr>
          <w:p w:rsidR="00536E8E" w:rsidRDefault="00536E8E" w:rsidP="00536E8E">
            <w:pPr>
              <w:widowControl w:val="0"/>
              <w:jc w:val="right"/>
              <w:rPr>
                <w:rFonts w:ascii="Arial" w:hAnsi="Arial" w:cs="Arial"/>
                <w:color w:val="000000"/>
              </w:rPr>
            </w:pPr>
            <w:r>
              <w:rPr>
                <w:rFonts w:ascii="Arial" w:hAnsi="Arial" w:cs="Arial"/>
                <w:color w:val="000000"/>
              </w:rPr>
              <w:t>Sponsor Comment:</w:t>
            </w:r>
          </w:p>
          <w:p w:rsidR="00536E8E" w:rsidRDefault="00536E8E" w:rsidP="00283701">
            <w:pPr>
              <w:widowControl w:val="0"/>
              <w:jc w:val="right"/>
              <w:rPr>
                <w:rFonts w:ascii="Arial" w:hAnsi="Arial" w:cs="Arial"/>
                <w:color w:val="000000"/>
              </w:rPr>
            </w:pPr>
          </w:p>
        </w:tc>
        <w:tc>
          <w:tcPr>
            <w:tcW w:w="6947" w:type="dxa"/>
          </w:tcPr>
          <w:p w:rsidR="00536E8E" w:rsidRPr="006E6146" w:rsidRDefault="00536E8E" w:rsidP="00536E8E">
            <w:pPr>
              <w:rPr>
                <w:rFonts w:ascii="Arial" w:hAnsi="Arial" w:cs="Arial"/>
                <w:color w:val="000000"/>
              </w:rPr>
            </w:pPr>
            <w:r w:rsidRPr="006E6146">
              <w:rPr>
                <w:rFonts w:ascii="Arial" w:hAnsi="Arial" w:cs="Arial"/>
                <w:color w:val="000000"/>
              </w:rPr>
              <w:t>A.Menarini Australia Pty Ltd is committed to partnering with the department to find a solution to allow nitisinone to be reimbursed for patients with tyrosinaemia type 1.</w:t>
            </w:r>
          </w:p>
          <w:p w:rsidR="00536E8E" w:rsidRPr="00F439EC" w:rsidRDefault="00536E8E" w:rsidP="000E1E84">
            <w:pPr>
              <w:pStyle w:val="ListParagraph"/>
              <w:ind w:left="0"/>
              <w:jc w:val="both"/>
              <w:rPr>
                <w:rFonts w:ascii="Arial" w:hAnsi="Arial" w:cs="Arial"/>
                <w:iCs/>
                <w:sz w:val="20"/>
                <w:szCs w:val="20"/>
              </w:rPr>
            </w:pPr>
          </w:p>
        </w:tc>
      </w:tr>
      <w:tr w:rsidR="00952297" w:rsidRPr="00395B97" w:rsidTr="00A12505">
        <w:trPr>
          <w:cantSplit/>
          <w:trHeight w:val="560"/>
        </w:trPr>
        <w:tc>
          <w:tcPr>
            <w:tcW w:w="2694" w:type="dxa"/>
            <w:vMerge w:val="restart"/>
            <w:tcMar>
              <w:top w:w="28" w:type="dxa"/>
              <w:bottom w:w="28" w:type="dxa"/>
            </w:tcMar>
          </w:tcPr>
          <w:p w:rsidR="00952297" w:rsidRDefault="00952297" w:rsidP="00257C3E">
            <w:pPr>
              <w:rPr>
                <w:rFonts w:ascii="Arial" w:hAnsi="Arial" w:cs="Arial"/>
                <w:b/>
                <w:snapToGrid w:val="0"/>
              </w:rPr>
            </w:pPr>
            <w:r>
              <w:rPr>
                <w:rFonts w:ascii="Arial" w:hAnsi="Arial" w:cs="Arial"/>
                <w:b/>
                <w:snapToGrid w:val="0"/>
              </w:rPr>
              <w:t>NIVOLUMAB</w:t>
            </w:r>
          </w:p>
          <w:p w:rsidR="00952297" w:rsidRDefault="00952297" w:rsidP="00257C3E">
            <w:pPr>
              <w:rPr>
                <w:rFonts w:ascii="Arial" w:hAnsi="Arial" w:cs="Arial"/>
                <w:b/>
                <w:snapToGrid w:val="0"/>
              </w:rPr>
            </w:pPr>
          </w:p>
          <w:p w:rsidR="00952297" w:rsidRPr="00571E1F" w:rsidRDefault="00952297" w:rsidP="00257C3E">
            <w:pPr>
              <w:rPr>
                <w:rFonts w:ascii="Arial" w:eastAsiaTheme="minorHAnsi" w:hAnsi="Arial" w:cs="Arial"/>
                <w:snapToGrid w:val="0"/>
                <w:lang w:eastAsia="en-US"/>
              </w:rPr>
            </w:pPr>
            <w:r w:rsidRPr="00571E1F">
              <w:rPr>
                <w:rFonts w:ascii="Arial" w:hAnsi="Arial" w:cs="Arial"/>
                <w:snapToGrid w:val="0"/>
              </w:rPr>
              <w:t>nivolumab concentrate solution for infusion, 10 mg/mL, 1 x 4 mL vial, concentrate solution for infusion, 10 mg/mL, 1 x 10 mL vial, concentrate solution for infusion</w:t>
            </w:r>
          </w:p>
          <w:p w:rsidR="00952297" w:rsidRPr="00A82A57" w:rsidRDefault="00952297" w:rsidP="00257C3E">
            <w:pPr>
              <w:rPr>
                <w:rFonts w:ascii="Arial" w:hAnsi="Arial" w:cs="Arial"/>
                <w:snapToGrid w:val="0"/>
              </w:rPr>
            </w:pPr>
          </w:p>
          <w:p w:rsidR="00952297" w:rsidRPr="00A82A57" w:rsidRDefault="00952297" w:rsidP="00257C3E">
            <w:pPr>
              <w:rPr>
                <w:rFonts w:ascii="Arial" w:hAnsi="Arial" w:cs="Arial"/>
                <w:snapToGrid w:val="0"/>
              </w:rPr>
            </w:pPr>
            <w:r w:rsidRPr="00A82A57">
              <w:rPr>
                <w:rFonts w:ascii="Arial" w:hAnsi="Arial" w:cs="Arial"/>
                <w:snapToGrid w:val="0"/>
              </w:rPr>
              <w:t>OPDIVO</w:t>
            </w:r>
            <w:r w:rsidRPr="00A82A57">
              <w:rPr>
                <w:rFonts w:ascii="Arial" w:hAnsi="Arial" w:cs="Arial"/>
                <w:snapToGrid w:val="0"/>
                <w:vertAlign w:val="superscript"/>
              </w:rPr>
              <w:t>®</w:t>
            </w:r>
          </w:p>
          <w:p w:rsidR="00952297" w:rsidRPr="00A82A57" w:rsidRDefault="00952297" w:rsidP="00257C3E">
            <w:pPr>
              <w:rPr>
                <w:rFonts w:ascii="Arial" w:hAnsi="Arial" w:cs="Arial"/>
                <w:snapToGrid w:val="0"/>
              </w:rPr>
            </w:pPr>
          </w:p>
          <w:p w:rsidR="00952297" w:rsidRPr="00A82A57" w:rsidRDefault="00952297" w:rsidP="00257C3E">
            <w:pPr>
              <w:rPr>
                <w:rFonts w:ascii="Arial" w:hAnsi="Arial" w:cs="Arial"/>
                <w:snapToGrid w:val="0"/>
              </w:rPr>
            </w:pPr>
            <w:r w:rsidRPr="00A82A57">
              <w:rPr>
                <w:rFonts w:ascii="Arial" w:hAnsi="Arial" w:cs="Arial"/>
                <w:snapToGrid w:val="0"/>
              </w:rPr>
              <w:t>Bristol Myers Squibb</w:t>
            </w:r>
          </w:p>
          <w:p w:rsidR="00952297" w:rsidRPr="00A82A57" w:rsidRDefault="00952297" w:rsidP="00257C3E">
            <w:pPr>
              <w:rPr>
                <w:rFonts w:ascii="Arial" w:hAnsi="Arial" w:cs="Arial"/>
                <w:snapToGrid w:val="0"/>
              </w:rPr>
            </w:pPr>
          </w:p>
          <w:p w:rsidR="00952297" w:rsidRPr="00A82A57" w:rsidRDefault="00952297" w:rsidP="00257C3E">
            <w:pPr>
              <w:rPr>
                <w:rFonts w:ascii="Arial" w:hAnsi="Arial" w:cs="Arial"/>
                <w:snapToGrid w:val="0"/>
              </w:rPr>
            </w:pPr>
            <w:r w:rsidRPr="00A82A57">
              <w:rPr>
                <w:rFonts w:ascii="Arial" w:hAnsi="Arial" w:cs="Arial"/>
                <w:snapToGrid w:val="0"/>
              </w:rPr>
              <w:t xml:space="preserve">New Listing </w:t>
            </w:r>
          </w:p>
          <w:p w:rsidR="00952297" w:rsidRPr="00A82A57" w:rsidRDefault="00952297" w:rsidP="00257C3E">
            <w:pPr>
              <w:rPr>
                <w:rFonts w:ascii="Arial" w:hAnsi="Arial" w:cs="Arial"/>
                <w:snapToGrid w:val="0"/>
              </w:rPr>
            </w:pPr>
          </w:p>
          <w:p w:rsidR="00952297" w:rsidRPr="00A82A57" w:rsidRDefault="00737995" w:rsidP="00257C3E">
            <w:pPr>
              <w:rPr>
                <w:rFonts w:ascii="Arial" w:eastAsiaTheme="minorHAnsi" w:hAnsi="Arial" w:cs="Arial"/>
                <w:color w:val="000000"/>
                <w:sz w:val="22"/>
                <w:szCs w:val="22"/>
                <w:lang w:eastAsia="en-US"/>
              </w:rPr>
            </w:pPr>
            <w:r>
              <w:rPr>
                <w:rFonts w:ascii="Arial" w:hAnsi="Arial" w:cs="Arial"/>
                <w:snapToGrid w:val="0"/>
              </w:rPr>
              <w:t>(Major S</w:t>
            </w:r>
            <w:r w:rsidR="00952297" w:rsidRPr="00A82A57">
              <w:rPr>
                <w:rFonts w:ascii="Arial" w:hAnsi="Arial" w:cs="Arial"/>
                <w:snapToGrid w:val="0"/>
              </w:rPr>
              <w:t>ubmission)</w:t>
            </w:r>
            <w:r w:rsidR="00952297" w:rsidRPr="00A82A57">
              <w:rPr>
                <w:rFonts w:ascii="Arial" w:hAnsi="Arial" w:cs="Arial"/>
                <w:snapToGrid w:val="0"/>
                <w:sz w:val="28"/>
                <w:szCs w:val="28"/>
              </w:rPr>
              <w:t xml:space="preserve"> </w:t>
            </w:r>
          </w:p>
          <w:p w:rsidR="00952297" w:rsidRPr="00A82A57" w:rsidRDefault="00952297" w:rsidP="00257C3E">
            <w:pPr>
              <w:rPr>
                <w:rFonts w:ascii="Arial" w:eastAsiaTheme="minorHAnsi" w:hAnsi="Arial" w:cs="Arial"/>
                <w:color w:val="000000"/>
                <w:sz w:val="22"/>
                <w:szCs w:val="22"/>
                <w:lang w:eastAsia="en-US"/>
              </w:rPr>
            </w:pPr>
          </w:p>
        </w:tc>
        <w:tc>
          <w:tcPr>
            <w:tcW w:w="2410" w:type="dxa"/>
            <w:vMerge w:val="restart"/>
          </w:tcPr>
          <w:p w:rsidR="00A12505" w:rsidRPr="00A82A57" w:rsidRDefault="00A12505" w:rsidP="00A12505">
            <w:pPr>
              <w:rPr>
                <w:rFonts w:ascii="Arial" w:eastAsiaTheme="minorHAnsi" w:hAnsi="Arial" w:cs="Arial"/>
                <w:color w:val="000000"/>
                <w:sz w:val="22"/>
                <w:szCs w:val="22"/>
                <w:lang w:eastAsia="en-US"/>
              </w:rPr>
            </w:pPr>
            <w:r w:rsidRPr="00A82A57">
              <w:rPr>
                <w:rFonts w:ascii="Arial" w:hAnsi="Arial" w:cs="Arial"/>
                <w:color w:val="000000"/>
              </w:rPr>
              <w:lastRenderedPageBreak/>
              <w:t>Melanoma</w:t>
            </w:r>
          </w:p>
          <w:p w:rsidR="00952297" w:rsidRPr="00A82A57" w:rsidRDefault="00952297" w:rsidP="00257C3E">
            <w:pPr>
              <w:rPr>
                <w:rFonts w:ascii="Arial" w:eastAsiaTheme="minorHAnsi" w:hAnsi="Arial" w:cs="Arial"/>
                <w:color w:val="000000"/>
                <w:sz w:val="22"/>
                <w:szCs w:val="22"/>
                <w:lang w:eastAsia="en-US"/>
              </w:rPr>
            </w:pPr>
          </w:p>
          <w:p w:rsidR="00952297" w:rsidRPr="00A82A57" w:rsidRDefault="00952297" w:rsidP="00257C3E">
            <w:pPr>
              <w:rPr>
                <w:rFonts w:ascii="Arial" w:eastAsiaTheme="minorHAnsi" w:hAnsi="Arial" w:cs="Arial"/>
                <w:color w:val="000000"/>
                <w:sz w:val="22"/>
                <w:szCs w:val="22"/>
                <w:lang w:eastAsia="en-US"/>
              </w:rPr>
            </w:pPr>
          </w:p>
        </w:tc>
        <w:tc>
          <w:tcPr>
            <w:tcW w:w="3262" w:type="dxa"/>
            <w:tcMar>
              <w:top w:w="28" w:type="dxa"/>
              <w:bottom w:w="28" w:type="dxa"/>
            </w:tcMar>
          </w:tcPr>
          <w:p w:rsidR="00952297" w:rsidRPr="00A82A57" w:rsidRDefault="00952297" w:rsidP="00257C3E">
            <w:pPr>
              <w:snapToGrid w:val="0"/>
              <w:jc w:val="both"/>
              <w:rPr>
                <w:rFonts w:ascii="Arial" w:eastAsiaTheme="minorHAnsi" w:hAnsi="Arial" w:cs="Arial"/>
                <w:sz w:val="22"/>
                <w:szCs w:val="22"/>
                <w:lang w:eastAsia="en-US"/>
              </w:rPr>
            </w:pPr>
            <w:r w:rsidRPr="00A82A57">
              <w:rPr>
                <w:rFonts w:ascii="Arial" w:hAnsi="Arial" w:cs="Arial"/>
              </w:rPr>
              <w:t>Section 100 (Efficient Funding of Chemotherapy – Public and Private Hospital) Authority Required listing for the treatment of unresectable Stage III or Stage IV malignant melanoma.</w:t>
            </w:r>
          </w:p>
        </w:tc>
        <w:tc>
          <w:tcPr>
            <w:tcW w:w="6949" w:type="dxa"/>
          </w:tcPr>
          <w:p w:rsidR="00952297" w:rsidRPr="00A82A57" w:rsidRDefault="00952297" w:rsidP="00257C3E">
            <w:pPr>
              <w:rPr>
                <w:rFonts w:ascii="Arial" w:eastAsiaTheme="minorHAnsi" w:hAnsi="Arial" w:cs="Arial"/>
                <w:sz w:val="24"/>
                <w:szCs w:val="24"/>
                <w:lang w:val="en-GB" w:eastAsia="en-US"/>
              </w:rPr>
            </w:pPr>
            <w:r w:rsidRPr="00A82A57">
              <w:rPr>
                <w:rFonts w:ascii="Arial" w:hAnsi="Arial" w:cs="Arial"/>
                <w:lang w:val="en-GB"/>
              </w:rPr>
              <w:t>The PBAC decided not to recommend nivolumab for the treatment of unresectable or metastatic (Stage III or IV) melanoma. In reaching this conclusion, the PBAC did not accept that ipilimumab, as presented in the submission, was the appropriate comparator. The PBAC considered that pembrolizumab was the appropriate comparator for the treatment of unresectable or metastatic (Stage III or IV) melanoma.</w:t>
            </w:r>
          </w:p>
          <w:p w:rsidR="00952297" w:rsidRPr="00A82A57" w:rsidRDefault="00952297" w:rsidP="00257C3E">
            <w:pPr>
              <w:rPr>
                <w:rFonts w:ascii="Arial" w:eastAsiaTheme="minorHAnsi" w:hAnsi="Arial" w:cs="Arial"/>
                <w:sz w:val="22"/>
                <w:szCs w:val="22"/>
                <w:lang w:val="en-GB" w:eastAsia="en-US"/>
              </w:rPr>
            </w:pPr>
            <w:r w:rsidRPr="00A82A57">
              <w:rPr>
                <w:rFonts w:ascii="Arial" w:hAnsi="Arial" w:cs="Arial"/>
                <w:lang w:val="en-GB"/>
              </w:rPr>
              <w:t>The PBAC also considered that, for the main comparison of nivolumab and ipilimumab, the extent of superior comparative effectiveness and safety had not been adequately established by the submission and, due to several issues with the economic model, the resulting ICER was highly uncertain. For the preliminary comparison of nivolumab and pembrolizumab, the limited information provided did not support a recommendation to list nivolumab as an alternative to pembrolizumab.</w:t>
            </w:r>
          </w:p>
        </w:tc>
      </w:tr>
      <w:tr w:rsidR="00952297" w:rsidRPr="00395B97" w:rsidTr="00A12505">
        <w:trPr>
          <w:trHeight w:val="524"/>
        </w:trPr>
        <w:tc>
          <w:tcPr>
            <w:tcW w:w="2694" w:type="dxa"/>
            <w:vMerge/>
            <w:tcMar>
              <w:top w:w="28" w:type="dxa"/>
              <w:bottom w:w="28" w:type="dxa"/>
            </w:tcMar>
            <w:vAlign w:val="center"/>
          </w:tcPr>
          <w:p w:rsidR="00952297" w:rsidRPr="00720AA4" w:rsidRDefault="00952297" w:rsidP="00457B0D">
            <w:pPr>
              <w:rPr>
                <w:rFonts w:ascii="Arial" w:hAnsi="Arial" w:cs="Arial"/>
                <w:color w:val="000000"/>
              </w:rPr>
            </w:pPr>
          </w:p>
        </w:tc>
        <w:tc>
          <w:tcPr>
            <w:tcW w:w="2410" w:type="dxa"/>
            <w:vMerge/>
            <w:vAlign w:val="center"/>
          </w:tcPr>
          <w:p w:rsidR="00952297" w:rsidRPr="00720AA4" w:rsidRDefault="00952297" w:rsidP="00335779">
            <w:pPr>
              <w:widowControl w:val="0"/>
              <w:rPr>
                <w:rFonts w:ascii="Arial" w:hAnsi="Arial" w:cs="Arial"/>
                <w:color w:val="000000"/>
              </w:rPr>
            </w:pPr>
          </w:p>
        </w:tc>
        <w:tc>
          <w:tcPr>
            <w:tcW w:w="3262" w:type="dxa"/>
            <w:tcMar>
              <w:top w:w="28" w:type="dxa"/>
              <w:bottom w:w="28" w:type="dxa"/>
            </w:tcMar>
          </w:tcPr>
          <w:p w:rsidR="00952297" w:rsidRPr="00720AA4" w:rsidRDefault="00952297" w:rsidP="0019532D">
            <w:pPr>
              <w:widowControl w:val="0"/>
              <w:rPr>
                <w:rFonts w:ascii="Arial" w:hAnsi="Arial" w:cs="Arial"/>
                <w:color w:val="000000"/>
              </w:rPr>
            </w:pPr>
            <w:r w:rsidRPr="00A82A57">
              <w:rPr>
                <w:rFonts w:ascii="Arial" w:hAnsi="Arial" w:cs="Arial"/>
                <w:color w:val="000000"/>
              </w:rPr>
              <w:t>Sponsor Comment:</w:t>
            </w:r>
          </w:p>
        </w:tc>
        <w:tc>
          <w:tcPr>
            <w:tcW w:w="6949" w:type="dxa"/>
          </w:tcPr>
          <w:p w:rsidR="00952297" w:rsidRPr="003736D1" w:rsidRDefault="00952297" w:rsidP="000E1E84">
            <w:pPr>
              <w:pStyle w:val="ListParagraph"/>
              <w:ind w:left="0"/>
              <w:jc w:val="both"/>
              <w:rPr>
                <w:rFonts w:ascii="Arial" w:hAnsi="Arial" w:cs="Arial"/>
                <w:iCs/>
                <w:sz w:val="20"/>
                <w:szCs w:val="20"/>
              </w:rPr>
            </w:pPr>
            <w:r w:rsidRPr="003736D1">
              <w:rPr>
                <w:rFonts w:ascii="Arial" w:hAnsi="Arial" w:cs="Arial"/>
                <w:sz w:val="20"/>
                <w:szCs w:val="20"/>
              </w:rPr>
              <w:t>The sponsor continues to work with the PBAC to ensure nivolumab is available to Australian patients via the PBS in the earliest possible timeframe.</w:t>
            </w:r>
          </w:p>
        </w:tc>
      </w:tr>
      <w:tr w:rsidR="00952297" w:rsidRPr="00395B97" w:rsidTr="00A12505">
        <w:trPr>
          <w:trHeight w:val="3536"/>
        </w:trPr>
        <w:tc>
          <w:tcPr>
            <w:tcW w:w="2694" w:type="dxa"/>
            <w:vMerge w:val="restart"/>
            <w:tcMar>
              <w:top w:w="28" w:type="dxa"/>
              <w:bottom w:w="28" w:type="dxa"/>
            </w:tcMar>
          </w:tcPr>
          <w:p w:rsidR="00952297" w:rsidRDefault="00952297" w:rsidP="00457B0D">
            <w:pPr>
              <w:rPr>
                <w:rFonts w:ascii="Arial" w:hAnsi="Arial" w:cs="Arial"/>
                <w:color w:val="000000"/>
              </w:rPr>
            </w:pPr>
            <w:r w:rsidRPr="00F36D0C">
              <w:rPr>
                <w:rFonts w:ascii="Arial" w:hAnsi="Arial" w:cs="Arial"/>
                <w:b/>
                <w:color w:val="000000"/>
              </w:rPr>
              <w:lastRenderedPageBreak/>
              <w:t>SITAGLIPTIN</w:t>
            </w:r>
            <w:r w:rsidRPr="00F36D0C">
              <w:rPr>
                <w:rFonts w:ascii="Arial" w:hAnsi="Arial" w:cs="Arial"/>
                <w:b/>
                <w:color w:val="000000"/>
              </w:rPr>
              <w:br/>
              <w:t>SITAGLIPTIN and METFORMIN</w:t>
            </w:r>
            <w:r w:rsidRPr="00F36D0C">
              <w:rPr>
                <w:rFonts w:ascii="Arial" w:hAnsi="Arial" w:cs="Arial"/>
                <w:b/>
                <w:color w:val="000000"/>
              </w:rPr>
              <w:br/>
              <w:t>SITAGLIPTIN and METFORMIN XR</w:t>
            </w:r>
            <w:r w:rsidRPr="00720AA4">
              <w:rPr>
                <w:rFonts w:ascii="Arial" w:hAnsi="Arial" w:cs="Arial"/>
                <w:color w:val="000000"/>
              </w:rPr>
              <w:br/>
            </w:r>
            <w:r w:rsidRPr="00720AA4">
              <w:rPr>
                <w:rFonts w:ascii="Arial" w:hAnsi="Arial" w:cs="Arial"/>
                <w:color w:val="000000"/>
              </w:rPr>
              <w:br/>
              <w:t>sitagliptin 100 mg tablet, 28</w:t>
            </w:r>
            <w:r w:rsidRPr="00720AA4">
              <w:rPr>
                <w:rFonts w:ascii="Arial" w:hAnsi="Arial" w:cs="Arial"/>
                <w:color w:val="000000"/>
              </w:rPr>
              <w:br/>
              <w:t>sitagliptin 50 mg tablet, 28</w:t>
            </w:r>
            <w:r w:rsidRPr="00720AA4">
              <w:rPr>
                <w:rFonts w:ascii="Arial" w:hAnsi="Arial" w:cs="Arial"/>
                <w:color w:val="000000"/>
              </w:rPr>
              <w:br/>
              <w:t>sitagliptin 25 mg tablet, 28</w:t>
            </w:r>
            <w:r w:rsidRPr="00720AA4">
              <w:rPr>
                <w:rFonts w:ascii="Arial" w:hAnsi="Arial" w:cs="Arial"/>
                <w:color w:val="000000"/>
              </w:rPr>
              <w:br/>
            </w:r>
            <w:r w:rsidRPr="00720AA4">
              <w:rPr>
                <w:rFonts w:ascii="Arial" w:hAnsi="Arial" w:cs="Arial"/>
                <w:color w:val="000000"/>
              </w:rPr>
              <w:br/>
              <w:t>sitagliptin 50 mg + metformin hydrochloride 1000 mg tablet, 56</w:t>
            </w:r>
            <w:r w:rsidRPr="00720AA4">
              <w:rPr>
                <w:rFonts w:ascii="Arial" w:hAnsi="Arial" w:cs="Arial"/>
                <w:color w:val="000000"/>
              </w:rPr>
              <w:br/>
              <w:t>sitagliptin 50 mg + metformin hydrochloride 850 mg tablet, 56</w:t>
            </w:r>
            <w:r w:rsidRPr="00720AA4">
              <w:rPr>
                <w:rFonts w:ascii="Arial" w:hAnsi="Arial" w:cs="Arial"/>
                <w:color w:val="000000"/>
              </w:rPr>
              <w:br/>
              <w:t xml:space="preserve">sitagliptin 50 mg + metformin hydrochloride 500 mg tablet, 56 </w:t>
            </w:r>
            <w:r w:rsidRPr="00720AA4">
              <w:rPr>
                <w:rFonts w:ascii="Arial" w:hAnsi="Arial" w:cs="Arial"/>
                <w:color w:val="000000"/>
              </w:rPr>
              <w:br/>
            </w:r>
            <w:r w:rsidRPr="00720AA4">
              <w:rPr>
                <w:rFonts w:ascii="Arial" w:hAnsi="Arial" w:cs="Arial"/>
                <w:color w:val="000000"/>
              </w:rPr>
              <w:br/>
              <w:t>sitagliptin 100 mg + metformin hydrochloride 1000 mg tablet: modified release, 28</w:t>
            </w:r>
            <w:r w:rsidRPr="00720AA4">
              <w:rPr>
                <w:rFonts w:ascii="Arial" w:hAnsi="Arial" w:cs="Arial"/>
                <w:color w:val="000000"/>
              </w:rPr>
              <w:br/>
              <w:t xml:space="preserve">sitagliptin 50 mg + metformin hydrochloride 1000 mg tablet: modified release, 56 </w:t>
            </w:r>
            <w:r w:rsidRPr="00720AA4">
              <w:rPr>
                <w:rFonts w:ascii="Arial" w:hAnsi="Arial" w:cs="Arial"/>
                <w:color w:val="000000"/>
              </w:rPr>
              <w:br/>
            </w:r>
            <w:r w:rsidRPr="00720AA4">
              <w:rPr>
                <w:rFonts w:ascii="Arial" w:hAnsi="Arial" w:cs="Arial"/>
                <w:color w:val="000000"/>
              </w:rPr>
              <w:br/>
              <w:t xml:space="preserve">JANUVIA® </w:t>
            </w:r>
            <w:r w:rsidRPr="00720AA4">
              <w:rPr>
                <w:rFonts w:ascii="Arial" w:hAnsi="Arial" w:cs="Arial"/>
                <w:color w:val="000000"/>
              </w:rPr>
              <w:br/>
            </w:r>
            <w:r w:rsidRPr="00720AA4">
              <w:rPr>
                <w:rFonts w:ascii="Arial" w:hAnsi="Arial" w:cs="Arial"/>
                <w:color w:val="000000"/>
              </w:rPr>
              <w:lastRenderedPageBreak/>
              <w:t xml:space="preserve">JANUMET® </w:t>
            </w:r>
            <w:r w:rsidRPr="00720AA4">
              <w:rPr>
                <w:rFonts w:ascii="Arial" w:hAnsi="Arial" w:cs="Arial"/>
                <w:color w:val="000000"/>
              </w:rPr>
              <w:br/>
              <w:t>JANUMET XR®</w:t>
            </w:r>
            <w:r w:rsidRPr="00720AA4">
              <w:rPr>
                <w:rFonts w:ascii="Arial" w:hAnsi="Arial" w:cs="Arial"/>
                <w:color w:val="000000"/>
              </w:rPr>
              <w:br/>
            </w:r>
            <w:r w:rsidRPr="00720AA4">
              <w:rPr>
                <w:rFonts w:ascii="Arial" w:hAnsi="Arial" w:cs="Arial"/>
                <w:color w:val="000000"/>
              </w:rPr>
              <w:br/>
              <w:t>Merck Sharp &amp; Dohme (Australia) Pty Limited</w:t>
            </w:r>
          </w:p>
          <w:p w:rsidR="00952297" w:rsidRDefault="00952297" w:rsidP="00457B0D">
            <w:pPr>
              <w:rPr>
                <w:rFonts w:ascii="Arial" w:hAnsi="Arial" w:cs="Arial"/>
                <w:color w:val="000000"/>
              </w:rPr>
            </w:pPr>
          </w:p>
          <w:p w:rsidR="00952297" w:rsidRPr="00720AA4" w:rsidRDefault="00737995" w:rsidP="00457B0D">
            <w:pPr>
              <w:rPr>
                <w:rFonts w:ascii="Arial" w:hAnsi="Arial" w:cs="Arial"/>
                <w:color w:val="000000"/>
              </w:rPr>
            </w:pPr>
            <w:r>
              <w:rPr>
                <w:rFonts w:ascii="Arial" w:hAnsi="Arial" w:cs="Arial"/>
                <w:color w:val="000000"/>
              </w:rPr>
              <w:t>Change to listing</w:t>
            </w:r>
            <w:r>
              <w:rPr>
                <w:rFonts w:ascii="Arial" w:hAnsi="Arial" w:cs="Arial"/>
                <w:color w:val="000000"/>
              </w:rPr>
              <w:br/>
            </w:r>
            <w:r>
              <w:rPr>
                <w:rFonts w:ascii="Arial" w:hAnsi="Arial" w:cs="Arial"/>
                <w:color w:val="000000"/>
              </w:rPr>
              <w:br/>
              <w:t>(Major S</w:t>
            </w:r>
            <w:r w:rsidR="00952297" w:rsidRPr="00720AA4">
              <w:rPr>
                <w:rFonts w:ascii="Arial" w:hAnsi="Arial" w:cs="Arial"/>
                <w:color w:val="000000"/>
              </w:rPr>
              <w:t>ubmission)</w:t>
            </w:r>
          </w:p>
        </w:tc>
        <w:tc>
          <w:tcPr>
            <w:tcW w:w="2410" w:type="dxa"/>
            <w:vMerge w:val="restart"/>
          </w:tcPr>
          <w:p w:rsidR="00952297" w:rsidRPr="00720AA4" w:rsidRDefault="00952297" w:rsidP="00335779">
            <w:pPr>
              <w:widowControl w:val="0"/>
              <w:rPr>
                <w:rFonts w:ascii="Arial" w:hAnsi="Arial" w:cs="Arial"/>
                <w:color w:val="000000"/>
              </w:rPr>
            </w:pPr>
            <w:r w:rsidRPr="00720AA4">
              <w:rPr>
                <w:rFonts w:ascii="Arial" w:hAnsi="Arial" w:cs="Arial"/>
                <w:color w:val="000000"/>
              </w:rPr>
              <w:lastRenderedPageBreak/>
              <w:t>Type 2 diabetes mellitus (in combination with insulin)</w:t>
            </w:r>
          </w:p>
        </w:tc>
        <w:tc>
          <w:tcPr>
            <w:tcW w:w="3262" w:type="dxa"/>
            <w:tcMar>
              <w:top w:w="28" w:type="dxa"/>
              <w:bottom w:w="28" w:type="dxa"/>
            </w:tcMar>
          </w:tcPr>
          <w:p w:rsidR="00952297" w:rsidRPr="00720AA4" w:rsidRDefault="00952297" w:rsidP="0019532D">
            <w:pPr>
              <w:widowControl w:val="0"/>
              <w:rPr>
                <w:rFonts w:ascii="Arial" w:hAnsi="Arial" w:cs="Arial"/>
                <w:color w:val="000000"/>
              </w:rPr>
            </w:pPr>
            <w:r w:rsidRPr="00720AA4">
              <w:rPr>
                <w:rFonts w:ascii="Arial" w:hAnsi="Arial" w:cs="Arial"/>
                <w:color w:val="000000"/>
              </w:rPr>
              <w:t>Authority Required (STREAMLINED) listing for use in combination with insulin in patients with type 2 diabetes mellitus</w:t>
            </w:r>
            <w:r>
              <w:rPr>
                <w:rFonts w:ascii="Arial" w:hAnsi="Arial" w:cs="Arial"/>
                <w:color w:val="000000"/>
              </w:rPr>
              <w:t xml:space="preserve"> (T2DM)</w:t>
            </w:r>
            <w:r w:rsidRPr="00720AA4">
              <w:rPr>
                <w:rFonts w:ascii="Arial" w:hAnsi="Arial" w:cs="Arial"/>
                <w:color w:val="000000"/>
              </w:rPr>
              <w:t>.</w:t>
            </w:r>
          </w:p>
        </w:tc>
        <w:tc>
          <w:tcPr>
            <w:tcW w:w="6949" w:type="dxa"/>
          </w:tcPr>
          <w:p w:rsidR="00952297" w:rsidRPr="00550CE3" w:rsidRDefault="00952297" w:rsidP="00550CE3">
            <w:pPr>
              <w:widowControl w:val="0"/>
              <w:rPr>
                <w:rFonts w:ascii="Arial" w:hAnsi="Arial" w:cs="Arial"/>
                <w:color w:val="000000"/>
              </w:rPr>
            </w:pPr>
            <w:r w:rsidRPr="00550CE3">
              <w:rPr>
                <w:rFonts w:ascii="Arial" w:hAnsi="Arial" w:cs="Arial"/>
                <w:color w:val="000000"/>
              </w:rPr>
              <w:t xml:space="preserve">The PBAC </w:t>
            </w:r>
            <w:r>
              <w:rPr>
                <w:rFonts w:ascii="Arial" w:hAnsi="Arial" w:cs="Arial"/>
                <w:color w:val="000000"/>
              </w:rPr>
              <w:t xml:space="preserve">rejected </w:t>
            </w:r>
            <w:r w:rsidRPr="00550CE3">
              <w:rPr>
                <w:rFonts w:ascii="Arial" w:hAnsi="Arial" w:cs="Arial"/>
                <w:color w:val="000000"/>
              </w:rPr>
              <w:t>the request to list sitagliptin, sitagliptin+metformin and sitagliptin+metformin XR in combination with insulin for T2DM on the PBS. In making its recommendation, the PBAC considered that the clinical need and place of therapy were not well defined and the clinical effectiveness (in terms of reduction in mean daily insulin dose) was uncertain. In particular, the PBAC noted that the addition of sitagliptin to insulin regimens (±metformin) resulted in an increased mean daily insulin dose</w:t>
            </w:r>
            <w:r>
              <w:rPr>
                <w:rFonts w:ascii="Arial" w:hAnsi="Arial" w:cs="Arial"/>
                <w:color w:val="000000"/>
              </w:rPr>
              <w:t>.</w:t>
            </w:r>
          </w:p>
          <w:p w:rsidR="00952297" w:rsidRPr="00395B97" w:rsidRDefault="00952297" w:rsidP="000E1E84">
            <w:pPr>
              <w:pStyle w:val="ListParagraph"/>
              <w:ind w:left="0"/>
              <w:jc w:val="both"/>
              <w:rPr>
                <w:rFonts w:ascii="Arial" w:hAnsi="Arial" w:cs="Arial"/>
                <w:iCs/>
                <w:sz w:val="20"/>
                <w:szCs w:val="20"/>
              </w:rPr>
            </w:pPr>
          </w:p>
        </w:tc>
      </w:tr>
      <w:tr w:rsidR="00952297" w:rsidRPr="00395B97" w:rsidTr="00A12505">
        <w:trPr>
          <w:trHeight w:val="692"/>
        </w:trPr>
        <w:tc>
          <w:tcPr>
            <w:tcW w:w="2694" w:type="dxa"/>
            <w:vMerge/>
            <w:tcMar>
              <w:top w:w="28" w:type="dxa"/>
              <w:bottom w:w="28" w:type="dxa"/>
            </w:tcMar>
          </w:tcPr>
          <w:p w:rsidR="00952297" w:rsidRPr="00720AA4" w:rsidRDefault="00952297" w:rsidP="00457B0D">
            <w:pPr>
              <w:rPr>
                <w:rFonts w:ascii="Arial" w:hAnsi="Arial" w:cs="Arial"/>
                <w:color w:val="000000"/>
              </w:rPr>
            </w:pPr>
          </w:p>
        </w:tc>
        <w:tc>
          <w:tcPr>
            <w:tcW w:w="2410" w:type="dxa"/>
            <w:vMerge/>
          </w:tcPr>
          <w:p w:rsidR="00952297" w:rsidRPr="00720AA4" w:rsidRDefault="00952297" w:rsidP="00335779">
            <w:pPr>
              <w:widowControl w:val="0"/>
              <w:rPr>
                <w:rFonts w:ascii="Arial" w:hAnsi="Arial" w:cs="Arial"/>
                <w:color w:val="000000"/>
              </w:rPr>
            </w:pPr>
          </w:p>
        </w:tc>
        <w:tc>
          <w:tcPr>
            <w:tcW w:w="3262" w:type="dxa"/>
            <w:tcMar>
              <w:top w:w="28" w:type="dxa"/>
              <w:bottom w:w="28" w:type="dxa"/>
            </w:tcMar>
          </w:tcPr>
          <w:p w:rsidR="00952297" w:rsidRPr="00720AA4" w:rsidRDefault="00952297" w:rsidP="00E66615">
            <w:pPr>
              <w:widowControl w:val="0"/>
              <w:jc w:val="right"/>
              <w:rPr>
                <w:rFonts w:ascii="Arial" w:hAnsi="Arial" w:cs="Arial"/>
                <w:color w:val="000000"/>
              </w:rPr>
            </w:pPr>
            <w:r>
              <w:rPr>
                <w:rFonts w:ascii="Arial" w:hAnsi="Arial" w:cs="Arial"/>
                <w:color w:val="000000"/>
              </w:rPr>
              <w:t>Sponsor Comment:</w:t>
            </w:r>
          </w:p>
        </w:tc>
        <w:tc>
          <w:tcPr>
            <w:tcW w:w="6949" w:type="dxa"/>
          </w:tcPr>
          <w:p w:rsidR="00952297" w:rsidRPr="00395B97" w:rsidRDefault="00952297" w:rsidP="000E1E84">
            <w:pPr>
              <w:pStyle w:val="ListParagraph"/>
              <w:ind w:left="0"/>
              <w:jc w:val="both"/>
              <w:rPr>
                <w:rFonts w:ascii="Arial" w:hAnsi="Arial" w:cs="Arial"/>
                <w:iCs/>
                <w:sz w:val="20"/>
                <w:szCs w:val="20"/>
              </w:rPr>
            </w:pPr>
            <w:r w:rsidRPr="0070046B">
              <w:rPr>
                <w:rFonts w:ascii="Arial" w:hAnsi="Arial" w:cs="Arial"/>
                <w:iCs/>
                <w:sz w:val="20"/>
                <w:szCs w:val="20"/>
              </w:rPr>
              <w:t xml:space="preserve">MSD respectfully believes that the PBAC has misinterpreted the trial results in reaching this recommendation. Sitagliptin reduces relative insulin use in patients treated to target with insulin, and delivers better glycaemic outcomes, less hypoglycaemia and </w:t>
            </w:r>
            <w:r>
              <w:rPr>
                <w:rFonts w:ascii="Arial" w:hAnsi="Arial" w:cs="Arial"/>
                <w:iCs/>
                <w:sz w:val="20"/>
                <w:szCs w:val="20"/>
              </w:rPr>
              <w:t>less weight gain compared to up</w:t>
            </w:r>
            <w:r>
              <w:rPr>
                <w:rFonts w:ascii="Arial" w:hAnsi="Arial" w:cs="Arial"/>
                <w:iCs/>
                <w:sz w:val="20"/>
                <w:szCs w:val="20"/>
              </w:rPr>
              <w:noBreakHyphen/>
            </w:r>
            <w:r w:rsidRPr="0070046B">
              <w:rPr>
                <w:rFonts w:ascii="Arial" w:hAnsi="Arial" w:cs="Arial"/>
                <w:iCs/>
                <w:sz w:val="20"/>
                <w:szCs w:val="20"/>
              </w:rPr>
              <w:t>titrating insulin alone. MSD will clarify this in a minor submission to the PBAC.</w:t>
            </w:r>
          </w:p>
        </w:tc>
      </w:tr>
      <w:tr w:rsidR="00952297" w:rsidRPr="00395B97" w:rsidTr="00A12505">
        <w:trPr>
          <w:trHeight w:val="465"/>
        </w:trPr>
        <w:tc>
          <w:tcPr>
            <w:tcW w:w="2694" w:type="dxa"/>
            <w:tcMar>
              <w:top w:w="28" w:type="dxa"/>
              <w:bottom w:w="28" w:type="dxa"/>
            </w:tcMar>
          </w:tcPr>
          <w:p w:rsidR="00952297" w:rsidRDefault="00952297" w:rsidP="00457B0D">
            <w:pPr>
              <w:rPr>
                <w:rFonts w:ascii="Arial" w:hAnsi="Arial" w:cs="Arial"/>
                <w:color w:val="000000"/>
              </w:rPr>
            </w:pPr>
            <w:r w:rsidRPr="00F36D0C">
              <w:rPr>
                <w:rFonts w:ascii="Arial" w:hAnsi="Arial" w:cs="Arial"/>
                <w:b/>
                <w:color w:val="000000"/>
              </w:rPr>
              <w:lastRenderedPageBreak/>
              <w:t>TIOTROPIUM BROMIDE</w:t>
            </w:r>
            <w:r w:rsidRPr="00720AA4">
              <w:rPr>
                <w:rFonts w:ascii="Arial" w:hAnsi="Arial" w:cs="Arial"/>
                <w:color w:val="000000"/>
              </w:rPr>
              <w:br/>
            </w:r>
            <w:r w:rsidRPr="00720AA4">
              <w:rPr>
                <w:rFonts w:ascii="Arial" w:hAnsi="Arial" w:cs="Arial"/>
                <w:color w:val="000000"/>
              </w:rPr>
              <w:br/>
              <w:t>tiotropium 2.5 microgram inhalation: solution for, 60 actuations</w:t>
            </w:r>
            <w:r w:rsidRPr="00720AA4">
              <w:rPr>
                <w:rFonts w:ascii="Arial" w:hAnsi="Arial" w:cs="Arial"/>
                <w:color w:val="000000"/>
              </w:rPr>
              <w:br/>
            </w:r>
            <w:r w:rsidRPr="00720AA4">
              <w:rPr>
                <w:rFonts w:ascii="Arial" w:hAnsi="Arial" w:cs="Arial"/>
                <w:color w:val="000000"/>
              </w:rPr>
              <w:br/>
              <w:t>SPIRIVA® RESPIMAT®</w:t>
            </w:r>
            <w:r w:rsidRPr="00720AA4">
              <w:rPr>
                <w:rFonts w:ascii="Arial" w:hAnsi="Arial" w:cs="Arial"/>
                <w:color w:val="000000"/>
              </w:rPr>
              <w:br/>
            </w:r>
            <w:r w:rsidRPr="00720AA4">
              <w:rPr>
                <w:rFonts w:ascii="Arial" w:hAnsi="Arial" w:cs="Arial"/>
                <w:color w:val="000000"/>
              </w:rPr>
              <w:br/>
              <w:t>Boehringer Ingelheim Pty Limited</w:t>
            </w:r>
          </w:p>
          <w:p w:rsidR="00952297" w:rsidRDefault="00952297" w:rsidP="00457B0D">
            <w:pPr>
              <w:rPr>
                <w:rFonts w:ascii="Arial" w:hAnsi="Arial" w:cs="Arial"/>
                <w:color w:val="000000"/>
              </w:rPr>
            </w:pPr>
          </w:p>
          <w:p w:rsidR="00952297" w:rsidRPr="00720AA4" w:rsidRDefault="00952297" w:rsidP="00457B0D">
            <w:pPr>
              <w:rPr>
                <w:rFonts w:ascii="Arial" w:hAnsi="Arial" w:cs="Arial"/>
                <w:color w:val="000000"/>
              </w:rPr>
            </w:pPr>
            <w:r w:rsidRPr="00720AA4">
              <w:rPr>
                <w:rFonts w:ascii="Arial" w:hAnsi="Arial" w:cs="Arial"/>
                <w:color w:val="000000"/>
              </w:rPr>
              <w:t>Change to recommended listing</w:t>
            </w:r>
            <w:r w:rsidRPr="00720AA4">
              <w:rPr>
                <w:rFonts w:ascii="Arial" w:hAnsi="Arial" w:cs="Arial"/>
                <w:color w:val="000000"/>
              </w:rPr>
              <w:br/>
            </w:r>
            <w:r w:rsidRPr="00720AA4">
              <w:rPr>
                <w:rFonts w:ascii="Arial" w:hAnsi="Arial" w:cs="Arial"/>
                <w:color w:val="000000"/>
              </w:rPr>
              <w:br/>
              <w:t>(Major Submission)</w:t>
            </w:r>
          </w:p>
        </w:tc>
        <w:tc>
          <w:tcPr>
            <w:tcW w:w="2410" w:type="dxa"/>
          </w:tcPr>
          <w:p w:rsidR="00952297" w:rsidRPr="00720AA4" w:rsidRDefault="00952297" w:rsidP="00335779">
            <w:pPr>
              <w:widowControl w:val="0"/>
              <w:rPr>
                <w:rFonts w:ascii="Arial" w:hAnsi="Arial" w:cs="Arial"/>
                <w:color w:val="000000"/>
              </w:rPr>
            </w:pPr>
            <w:r w:rsidRPr="00720AA4">
              <w:rPr>
                <w:rFonts w:ascii="Arial" w:hAnsi="Arial" w:cs="Arial"/>
                <w:color w:val="000000"/>
              </w:rPr>
              <w:t>Asthma</w:t>
            </w:r>
          </w:p>
        </w:tc>
        <w:tc>
          <w:tcPr>
            <w:tcW w:w="3262" w:type="dxa"/>
            <w:tcMar>
              <w:top w:w="28" w:type="dxa"/>
              <w:bottom w:w="28" w:type="dxa"/>
            </w:tcMar>
          </w:tcPr>
          <w:p w:rsidR="00952297" w:rsidRPr="00720AA4" w:rsidRDefault="00952297" w:rsidP="0019532D">
            <w:pPr>
              <w:widowControl w:val="0"/>
              <w:rPr>
                <w:rFonts w:ascii="Arial" w:hAnsi="Arial" w:cs="Arial"/>
                <w:color w:val="000000"/>
              </w:rPr>
            </w:pPr>
            <w:r w:rsidRPr="00720AA4">
              <w:rPr>
                <w:rFonts w:ascii="Arial" w:hAnsi="Arial" w:cs="Arial"/>
                <w:color w:val="000000"/>
              </w:rPr>
              <w:t>Restricted Benefit listing for the treatment of severe asthma.</w:t>
            </w:r>
          </w:p>
        </w:tc>
        <w:tc>
          <w:tcPr>
            <w:tcW w:w="6949" w:type="dxa"/>
          </w:tcPr>
          <w:p w:rsidR="00952297" w:rsidRDefault="00952297" w:rsidP="00772C24">
            <w:pPr>
              <w:jc w:val="both"/>
              <w:rPr>
                <w:rFonts w:ascii="Arial" w:hAnsi="Arial" w:cs="Arial"/>
                <w:iCs/>
              </w:rPr>
            </w:pPr>
            <w:r w:rsidRPr="00772C24">
              <w:rPr>
                <w:rFonts w:ascii="Arial" w:hAnsi="Arial" w:cs="Arial"/>
                <w:iCs/>
              </w:rPr>
              <w:t>The PBAC did not recommend the listing of tiotropium</w:t>
            </w:r>
            <w:r>
              <w:rPr>
                <w:rFonts w:ascii="Arial" w:hAnsi="Arial" w:cs="Arial"/>
                <w:iCs/>
              </w:rPr>
              <w:t xml:space="preserve"> bromide</w:t>
            </w:r>
            <w:r w:rsidRPr="00772C24">
              <w:rPr>
                <w:rFonts w:ascii="Arial" w:hAnsi="Arial" w:cs="Arial"/>
                <w:iCs/>
              </w:rPr>
              <w:t xml:space="preserve"> as add-on therapy for the treatment of severe uncontrolled asthma. In making its recommendation, the PBAC considered that the economic model was not reliable and the true cost-effectiveness of tiotropium</w:t>
            </w:r>
            <w:r>
              <w:rPr>
                <w:rFonts w:ascii="Arial" w:hAnsi="Arial" w:cs="Arial"/>
                <w:iCs/>
              </w:rPr>
              <w:t xml:space="preserve"> bromide</w:t>
            </w:r>
            <w:r w:rsidRPr="00772C24">
              <w:rPr>
                <w:rFonts w:ascii="Arial" w:hAnsi="Arial" w:cs="Arial"/>
                <w:iCs/>
              </w:rPr>
              <w:t xml:space="preserve"> in this setting was probably high and highly uncertain.</w:t>
            </w:r>
          </w:p>
          <w:p w:rsidR="00952297" w:rsidRDefault="00952297" w:rsidP="00772C24">
            <w:pPr>
              <w:jc w:val="both"/>
              <w:rPr>
                <w:rFonts w:ascii="Arial" w:hAnsi="Arial" w:cs="Arial"/>
                <w:iCs/>
              </w:rPr>
            </w:pPr>
          </w:p>
          <w:p w:rsidR="00952297" w:rsidRPr="00772C24" w:rsidRDefault="00952297" w:rsidP="00772C24">
            <w:pPr>
              <w:jc w:val="both"/>
              <w:rPr>
                <w:rFonts w:ascii="Arial" w:hAnsi="Arial" w:cs="Arial"/>
                <w:iCs/>
              </w:rPr>
            </w:pPr>
            <w:r w:rsidRPr="00772C24">
              <w:rPr>
                <w:rFonts w:ascii="Arial" w:hAnsi="Arial" w:cs="Arial"/>
                <w:iCs/>
              </w:rPr>
              <w:t xml:space="preserve"> The PBAC noted the comments from The Lung Foundation and The Centre of Research Excellence in Severe Asthma and agreed that there is a need for additional treatments for severe uncontrolled asthma.</w:t>
            </w:r>
          </w:p>
          <w:p w:rsidR="00952297" w:rsidRPr="00772C24" w:rsidRDefault="00952297" w:rsidP="00772C24">
            <w:pPr>
              <w:jc w:val="both"/>
              <w:rPr>
                <w:rFonts w:ascii="Arial" w:hAnsi="Arial" w:cs="Arial"/>
                <w:iCs/>
              </w:rPr>
            </w:pPr>
          </w:p>
          <w:p w:rsidR="00952297" w:rsidRPr="00772C24" w:rsidRDefault="00952297" w:rsidP="00772C24">
            <w:pPr>
              <w:jc w:val="both"/>
              <w:rPr>
                <w:rFonts w:ascii="Arial" w:hAnsi="Arial" w:cs="Arial"/>
                <w:iCs/>
              </w:rPr>
            </w:pPr>
            <w:r w:rsidRPr="00772C24">
              <w:rPr>
                <w:rFonts w:ascii="Arial" w:hAnsi="Arial" w:cs="Arial"/>
                <w:iCs/>
              </w:rPr>
              <w:t xml:space="preserve">The PBAC was concerned that tiotropium </w:t>
            </w:r>
            <w:r>
              <w:rPr>
                <w:rFonts w:ascii="Arial" w:hAnsi="Arial" w:cs="Arial"/>
                <w:iCs/>
              </w:rPr>
              <w:t xml:space="preserve">bromide </w:t>
            </w:r>
            <w:r w:rsidRPr="00772C24">
              <w:rPr>
                <w:rFonts w:ascii="Arial" w:hAnsi="Arial" w:cs="Arial"/>
                <w:iCs/>
              </w:rPr>
              <w:t xml:space="preserve">could be used beyond the restriction to treat people with less severe asthma than what was supported by the clinical evidence and in which cost-effectiveness was not tested. </w:t>
            </w:r>
          </w:p>
          <w:p w:rsidR="00952297" w:rsidRPr="00772C24" w:rsidRDefault="00952297" w:rsidP="00772C24">
            <w:pPr>
              <w:jc w:val="both"/>
              <w:rPr>
                <w:rFonts w:ascii="Arial" w:hAnsi="Arial" w:cs="Arial"/>
                <w:iCs/>
              </w:rPr>
            </w:pPr>
          </w:p>
          <w:p w:rsidR="00952297" w:rsidRPr="00772C24" w:rsidRDefault="00952297" w:rsidP="00772C24">
            <w:pPr>
              <w:jc w:val="both"/>
              <w:rPr>
                <w:rFonts w:ascii="Arial" w:hAnsi="Arial" w:cs="Arial"/>
                <w:iCs/>
              </w:rPr>
            </w:pPr>
            <w:r w:rsidRPr="00772C24">
              <w:rPr>
                <w:rFonts w:ascii="Arial" w:hAnsi="Arial" w:cs="Arial"/>
                <w:iCs/>
              </w:rPr>
              <w:t xml:space="preserve">On the basis the combined analysis of the head to head trials, the comparison of tiotropium </w:t>
            </w:r>
            <w:r>
              <w:rPr>
                <w:rFonts w:ascii="Arial" w:hAnsi="Arial" w:cs="Arial"/>
                <w:iCs/>
              </w:rPr>
              <w:t xml:space="preserve">bromide </w:t>
            </w:r>
            <w:r w:rsidRPr="00772C24">
              <w:rPr>
                <w:rFonts w:ascii="Arial" w:hAnsi="Arial" w:cs="Arial"/>
                <w:iCs/>
              </w:rPr>
              <w:t>and placebo resulted in:</w:t>
            </w:r>
          </w:p>
          <w:p w:rsidR="00952297" w:rsidRPr="00D75BC3" w:rsidRDefault="00952297" w:rsidP="00D75BC3">
            <w:pPr>
              <w:pStyle w:val="ListParagraph"/>
              <w:widowControl w:val="0"/>
              <w:numPr>
                <w:ilvl w:val="0"/>
                <w:numId w:val="40"/>
              </w:numPr>
              <w:ind w:left="317" w:hanging="284"/>
              <w:jc w:val="both"/>
              <w:rPr>
                <w:rFonts w:ascii="Arial" w:hAnsi="Arial" w:cs="Arial"/>
                <w:iCs/>
                <w:sz w:val="20"/>
                <w:szCs w:val="20"/>
              </w:rPr>
            </w:pPr>
            <w:r w:rsidRPr="00D75BC3">
              <w:rPr>
                <w:rFonts w:ascii="Arial" w:hAnsi="Arial" w:cs="Arial"/>
                <w:iCs/>
                <w:sz w:val="20"/>
                <w:szCs w:val="20"/>
              </w:rPr>
              <w:t xml:space="preserve">Approximately a 100 mL reduction in trough FEV1 over a median duration of follow-up of exposure of 24 weeks.  </w:t>
            </w:r>
          </w:p>
          <w:p w:rsidR="00952297" w:rsidRPr="00D75BC3" w:rsidRDefault="00952297" w:rsidP="00D75BC3">
            <w:pPr>
              <w:pStyle w:val="ListParagraph"/>
              <w:widowControl w:val="0"/>
              <w:numPr>
                <w:ilvl w:val="0"/>
                <w:numId w:val="40"/>
              </w:numPr>
              <w:ind w:left="317" w:hanging="284"/>
              <w:jc w:val="both"/>
              <w:rPr>
                <w:rFonts w:ascii="Arial" w:hAnsi="Arial" w:cs="Arial"/>
                <w:iCs/>
                <w:sz w:val="20"/>
                <w:szCs w:val="20"/>
              </w:rPr>
            </w:pPr>
            <w:r w:rsidRPr="00D75BC3">
              <w:rPr>
                <w:rFonts w:ascii="Arial" w:hAnsi="Arial" w:cs="Arial"/>
                <w:iCs/>
                <w:sz w:val="20"/>
                <w:szCs w:val="20"/>
              </w:rPr>
              <w:t>Approximately 56 days difference in time until at least 25% of patients experienced a severe exacerbation with a 48 week follow up.</w:t>
            </w:r>
          </w:p>
          <w:p w:rsidR="00952297" w:rsidRPr="00D75BC3" w:rsidRDefault="00952297" w:rsidP="00D75BC3">
            <w:pPr>
              <w:pStyle w:val="ListParagraph"/>
              <w:widowControl w:val="0"/>
              <w:numPr>
                <w:ilvl w:val="0"/>
                <w:numId w:val="40"/>
              </w:numPr>
              <w:ind w:left="317" w:hanging="284"/>
              <w:jc w:val="both"/>
              <w:rPr>
                <w:rFonts w:ascii="Arial" w:hAnsi="Arial" w:cs="Arial"/>
                <w:iCs/>
                <w:sz w:val="20"/>
                <w:szCs w:val="20"/>
              </w:rPr>
            </w:pPr>
            <w:r w:rsidRPr="00D75BC3">
              <w:rPr>
                <w:rFonts w:ascii="Arial" w:hAnsi="Arial" w:cs="Arial"/>
                <w:iCs/>
                <w:sz w:val="20"/>
                <w:szCs w:val="20"/>
              </w:rPr>
              <w:t>Approximately 134 days difference in time without an exacerbation (any severity) for 50% of the patients with a 48 week follow-up.</w:t>
            </w:r>
          </w:p>
          <w:p w:rsidR="00952297" w:rsidRPr="00772C24" w:rsidRDefault="00952297" w:rsidP="00772C24">
            <w:pPr>
              <w:jc w:val="both"/>
              <w:rPr>
                <w:rFonts w:ascii="Arial" w:hAnsi="Arial" w:cs="Arial"/>
                <w:iCs/>
              </w:rPr>
            </w:pPr>
          </w:p>
          <w:p w:rsidR="00952297" w:rsidRPr="00772C24" w:rsidRDefault="00952297" w:rsidP="00772C24">
            <w:pPr>
              <w:jc w:val="both"/>
              <w:rPr>
                <w:rFonts w:ascii="Arial" w:hAnsi="Arial" w:cs="Arial"/>
                <w:iCs/>
              </w:rPr>
            </w:pPr>
            <w:r w:rsidRPr="00772C24">
              <w:rPr>
                <w:rFonts w:ascii="Arial" w:hAnsi="Arial" w:cs="Arial"/>
                <w:iCs/>
              </w:rPr>
              <w:t xml:space="preserve">On the basis of direct comparison evidence presented by the submission, for every 100 patients treated with tiotropium </w:t>
            </w:r>
            <w:r>
              <w:rPr>
                <w:rFonts w:ascii="Arial" w:hAnsi="Arial" w:cs="Arial"/>
                <w:iCs/>
              </w:rPr>
              <w:t xml:space="preserve">bromide </w:t>
            </w:r>
            <w:r w:rsidRPr="00772C24">
              <w:rPr>
                <w:rFonts w:ascii="Arial" w:hAnsi="Arial" w:cs="Arial"/>
                <w:iCs/>
              </w:rPr>
              <w:t xml:space="preserve">in comparison to </w:t>
            </w:r>
            <w:r w:rsidRPr="00772C24">
              <w:rPr>
                <w:rFonts w:ascii="Arial" w:hAnsi="Arial" w:cs="Arial"/>
                <w:iCs/>
              </w:rPr>
              <w:lastRenderedPageBreak/>
              <w:t>placebo with a 48 week follow-up:</w:t>
            </w:r>
          </w:p>
          <w:p w:rsidR="00952297" w:rsidRPr="00D75BC3" w:rsidRDefault="00952297" w:rsidP="00D75BC3">
            <w:pPr>
              <w:pStyle w:val="ListParagraph"/>
              <w:widowControl w:val="0"/>
              <w:numPr>
                <w:ilvl w:val="0"/>
                <w:numId w:val="40"/>
              </w:numPr>
              <w:ind w:left="317" w:hanging="284"/>
              <w:jc w:val="both"/>
              <w:rPr>
                <w:rFonts w:ascii="Arial" w:hAnsi="Arial" w:cs="Arial"/>
                <w:iCs/>
                <w:sz w:val="20"/>
                <w:szCs w:val="20"/>
              </w:rPr>
            </w:pPr>
            <w:r w:rsidRPr="00D75BC3">
              <w:rPr>
                <w:rFonts w:ascii="Arial" w:hAnsi="Arial" w:cs="Arial"/>
                <w:iCs/>
                <w:sz w:val="20"/>
                <w:szCs w:val="20"/>
              </w:rPr>
              <w:t xml:space="preserve">Approximately 13 fewer patients would have had an exacerbation (any severity) </w:t>
            </w:r>
          </w:p>
          <w:p w:rsidR="00952297" w:rsidRPr="00395B97" w:rsidRDefault="00952297" w:rsidP="00D75BC3">
            <w:pPr>
              <w:pStyle w:val="ListParagraph"/>
              <w:widowControl w:val="0"/>
              <w:numPr>
                <w:ilvl w:val="0"/>
                <w:numId w:val="40"/>
              </w:numPr>
              <w:ind w:left="317" w:hanging="284"/>
              <w:jc w:val="both"/>
              <w:rPr>
                <w:rFonts w:ascii="Arial" w:hAnsi="Arial" w:cs="Arial"/>
                <w:iCs/>
                <w:sz w:val="20"/>
                <w:szCs w:val="20"/>
              </w:rPr>
            </w:pPr>
            <w:r w:rsidRPr="00772C24">
              <w:rPr>
                <w:rFonts w:ascii="Arial" w:hAnsi="Arial" w:cs="Arial"/>
                <w:iCs/>
                <w:sz w:val="20"/>
                <w:szCs w:val="20"/>
              </w:rPr>
              <w:t>Approximately 8 fewer patients would have had a respiratory, thoracic or mediastinal disorder.</w:t>
            </w:r>
          </w:p>
        </w:tc>
      </w:tr>
    </w:tbl>
    <w:p w:rsidR="00640C80" w:rsidRDefault="00640C80" w:rsidP="00640C80">
      <w:pPr>
        <w:tabs>
          <w:tab w:val="left" w:pos="5210"/>
        </w:tabs>
        <w:rPr>
          <w:rFonts w:ascii="Arial" w:hAnsi="Arial" w:cs="Arial"/>
          <w:lang w:val="en-US"/>
        </w:rPr>
      </w:pPr>
    </w:p>
    <w:sectPr w:rsidR="00640C80" w:rsidSect="00257615">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04" w:rsidRDefault="00AD0404">
      <w:r>
        <w:separator/>
      </w:r>
    </w:p>
  </w:endnote>
  <w:endnote w:type="continuationSeparator" w:id="0">
    <w:p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A12505">
      <w:rPr>
        <w:rStyle w:val="PageNumber"/>
        <w:rFonts w:ascii="Arial" w:hAnsi="Arial" w:cs="Arial"/>
        <w:noProof/>
      </w:rPr>
      <w:t>7</w:t>
    </w:r>
    <w:r w:rsidRPr="00287C89">
      <w:rPr>
        <w:rStyle w:val="PageNumber"/>
        <w:rFonts w:ascii="Arial" w:hAnsi="Arial" w:cs="Arial"/>
      </w:rPr>
      <w:fldChar w:fldCharType="end"/>
    </w:r>
  </w:p>
  <w:p w:rsidR="005E1F3B" w:rsidRDefault="005E1F3B" w:rsidP="00FE2A81">
    <w:pPr>
      <w:pStyle w:val="Footer"/>
      <w:ind w:right="360"/>
    </w:pPr>
  </w:p>
  <w:p w:rsidR="00257615" w:rsidRDefault="00257615"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04" w:rsidRDefault="00AD0404">
      <w:r>
        <w:separator/>
      </w:r>
    </w:p>
  </w:footnote>
  <w:footnote w:type="continuationSeparator" w:id="0">
    <w:p w:rsidR="00AD0404" w:rsidRDefault="00AD0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6F" w:rsidRDefault="00E524FA" w:rsidP="0071356F">
    <w:pPr>
      <w:pStyle w:val="Header"/>
      <w:jc w:val="center"/>
      <w:rPr>
        <w:rFonts w:ascii="Arial" w:hAnsi="Arial" w:cs="Arial"/>
        <w:b/>
      </w:rPr>
    </w:pPr>
    <w:r>
      <w:rPr>
        <w:rFonts w:ascii="Arial" w:hAnsi="Arial" w:cs="Arial"/>
        <w:b/>
      </w:rPr>
      <w:t>JULY</w:t>
    </w:r>
    <w:r w:rsidR="000E1E84">
      <w:rPr>
        <w:rFonts w:ascii="Arial" w:hAnsi="Arial" w:cs="Arial"/>
        <w:b/>
      </w:rPr>
      <w:t xml:space="preserve"> </w:t>
    </w:r>
    <w:r>
      <w:rPr>
        <w:rFonts w:ascii="Arial" w:hAnsi="Arial" w:cs="Arial"/>
        <w:b/>
      </w:rPr>
      <w:t>2015</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71356F" w:rsidRPr="0071356F">
      <w:rPr>
        <w:rFonts w:ascii="Arial" w:hAnsi="Arial" w:cs="Arial"/>
        <w:b/>
      </w:rPr>
      <w:t>1</w:t>
    </w:r>
    <w:r w:rsidR="0071356F" w:rsidRPr="0071356F">
      <w:rPr>
        <w:rFonts w:ascii="Arial" w:hAnsi="Arial" w:cs="Arial"/>
        <w:b/>
        <w:vertAlign w:val="superscript"/>
      </w:rPr>
      <w:t>ST</w:t>
    </w:r>
    <w:r w:rsidR="007F10B5">
      <w:rPr>
        <w:rFonts w:ascii="Arial" w:hAnsi="Arial" w:cs="Arial"/>
        <w:b/>
      </w:rPr>
      <w:t xml:space="preserve"> TIME</w:t>
    </w:r>
    <w:r w:rsidR="0071356F" w:rsidRPr="0071356F">
      <w:rPr>
        <w:rFonts w:ascii="Arial" w:hAnsi="Arial" w:cs="Arial"/>
        <w:b/>
      </w:rPr>
      <w:t xml:space="preserve"> DECISIONS NOT TO RECOMMEND</w:t>
    </w:r>
  </w:p>
  <w:p w:rsidR="00257615" w:rsidRPr="0071356F" w:rsidRDefault="00257615" w:rsidP="0071356F">
    <w:pPr>
      <w:pStyle w:val="Heade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3">
    <w:nsid w:val="53430204"/>
    <w:multiLevelType w:val="hybridMultilevel"/>
    <w:tmpl w:val="E738D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7">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2">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28"/>
  </w:num>
  <w:num w:numId="4">
    <w:abstractNumId w:val="21"/>
  </w:num>
  <w:num w:numId="5">
    <w:abstractNumId w:val="11"/>
  </w:num>
  <w:num w:numId="6">
    <w:abstractNumId w:val="6"/>
  </w:num>
  <w:num w:numId="7">
    <w:abstractNumId w:val="3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3"/>
  </w:num>
  <w:num w:numId="11">
    <w:abstractNumId w:val="24"/>
  </w:num>
  <w:num w:numId="12">
    <w:abstractNumId w:val="26"/>
  </w:num>
  <w:num w:numId="13">
    <w:abstractNumId w:val="7"/>
  </w:num>
  <w:num w:numId="14">
    <w:abstractNumId w:val="25"/>
  </w:num>
  <w:num w:numId="15">
    <w:abstractNumId w:val="27"/>
  </w:num>
  <w:num w:numId="16">
    <w:abstractNumId w:val="22"/>
  </w:num>
  <w:num w:numId="17">
    <w:abstractNumId w:val="37"/>
  </w:num>
  <w:num w:numId="18">
    <w:abstractNumId w:val="39"/>
  </w:num>
  <w:num w:numId="19">
    <w:abstractNumId w:val="5"/>
  </w:num>
  <w:num w:numId="20">
    <w:abstractNumId w:val="12"/>
  </w:num>
  <w:num w:numId="21">
    <w:abstractNumId w:val="14"/>
  </w:num>
  <w:num w:numId="22">
    <w:abstractNumId w:val="35"/>
  </w:num>
  <w:num w:numId="23">
    <w:abstractNumId w:val="4"/>
  </w:num>
  <w:num w:numId="24">
    <w:abstractNumId w:val="17"/>
  </w:num>
  <w:num w:numId="25">
    <w:abstractNumId w:val="10"/>
  </w:num>
  <w:num w:numId="26">
    <w:abstractNumId w:val="8"/>
  </w:num>
  <w:num w:numId="27">
    <w:abstractNumId w:val="19"/>
  </w:num>
  <w:num w:numId="28">
    <w:abstractNumId w:val="20"/>
  </w:num>
  <w:num w:numId="29">
    <w:abstractNumId w:val="18"/>
  </w:num>
  <w:num w:numId="30">
    <w:abstractNumId w:val="38"/>
  </w:num>
  <w:num w:numId="31">
    <w:abstractNumId w:val="15"/>
  </w:num>
  <w:num w:numId="32">
    <w:abstractNumId w:val="31"/>
  </w:num>
  <w:num w:numId="33">
    <w:abstractNumId w:val="36"/>
  </w:num>
  <w:num w:numId="34">
    <w:abstractNumId w:val="34"/>
  </w:num>
  <w:num w:numId="35">
    <w:abstractNumId w:val="3"/>
  </w:num>
  <w:num w:numId="36">
    <w:abstractNumId w:val="32"/>
  </w:num>
  <w:num w:numId="37">
    <w:abstractNumId w:val="2"/>
  </w:num>
  <w:num w:numId="38">
    <w:abstractNumId w:val="16"/>
  </w:num>
  <w:num w:numId="39">
    <w:abstractNumId w:val="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5321"/>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9BE"/>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577"/>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A09"/>
    <w:rsid w:val="000B5B24"/>
    <w:rsid w:val="000B6487"/>
    <w:rsid w:val="000B7A91"/>
    <w:rsid w:val="000B7F45"/>
    <w:rsid w:val="000C040A"/>
    <w:rsid w:val="000C0497"/>
    <w:rsid w:val="000C0E21"/>
    <w:rsid w:val="000C1BA1"/>
    <w:rsid w:val="000C219D"/>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3F9"/>
    <w:rsid w:val="000D6416"/>
    <w:rsid w:val="000D7F3B"/>
    <w:rsid w:val="000E055E"/>
    <w:rsid w:val="000E0C55"/>
    <w:rsid w:val="000E1259"/>
    <w:rsid w:val="000E12D5"/>
    <w:rsid w:val="000E15F8"/>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9FF"/>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3D"/>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2D"/>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68F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4FE2"/>
    <w:rsid w:val="00236374"/>
    <w:rsid w:val="00237E07"/>
    <w:rsid w:val="00237F8D"/>
    <w:rsid w:val="002400A1"/>
    <w:rsid w:val="00240222"/>
    <w:rsid w:val="0024218B"/>
    <w:rsid w:val="002425FE"/>
    <w:rsid w:val="00242CD9"/>
    <w:rsid w:val="0024349D"/>
    <w:rsid w:val="00243967"/>
    <w:rsid w:val="00243DC3"/>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65E"/>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3701"/>
    <w:rsid w:val="00285478"/>
    <w:rsid w:val="0028663C"/>
    <w:rsid w:val="00287C89"/>
    <w:rsid w:val="002905B5"/>
    <w:rsid w:val="002911D8"/>
    <w:rsid w:val="00293203"/>
    <w:rsid w:val="0029329A"/>
    <w:rsid w:val="00293A15"/>
    <w:rsid w:val="00295693"/>
    <w:rsid w:val="002960C3"/>
    <w:rsid w:val="002969C0"/>
    <w:rsid w:val="002972D4"/>
    <w:rsid w:val="00297AEF"/>
    <w:rsid w:val="00297F02"/>
    <w:rsid w:val="002A06E1"/>
    <w:rsid w:val="002A21E8"/>
    <w:rsid w:val="002A3220"/>
    <w:rsid w:val="002A3596"/>
    <w:rsid w:val="002A3AA9"/>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27B"/>
    <w:rsid w:val="00305FA4"/>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36D1"/>
    <w:rsid w:val="00374783"/>
    <w:rsid w:val="003750B5"/>
    <w:rsid w:val="00375135"/>
    <w:rsid w:val="00377224"/>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770"/>
    <w:rsid w:val="00393110"/>
    <w:rsid w:val="00393DD4"/>
    <w:rsid w:val="003946A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2C2"/>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982"/>
    <w:rsid w:val="00455AE4"/>
    <w:rsid w:val="00457034"/>
    <w:rsid w:val="00457B0D"/>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58A"/>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85E"/>
    <w:rsid w:val="004D29F9"/>
    <w:rsid w:val="004D4B61"/>
    <w:rsid w:val="004D606D"/>
    <w:rsid w:val="004D6B20"/>
    <w:rsid w:val="004D6C2F"/>
    <w:rsid w:val="004D71FE"/>
    <w:rsid w:val="004D72CE"/>
    <w:rsid w:val="004D7A80"/>
    <w:rsid w:val="004D7CA3"/>
    <w:rsid w:val="004E0388"/>
    <w:rsid w:val="004E0619"/>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C8A"/>
    <w:rsid w:val="00522EBE"/>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8E"/>
    <w:rsid w:val="00536ECF"/>
    <w:rsid w:val="0053740F"/>
    <w:rsid w:val="00540A87"/>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0CE3"/>
    <w:rsid w:val="00551309"/>
    <w:rsid w:val="0055242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1E1F"/>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3312"/>
    <w:rsid w:val="0062351E"/>
    <w:rsid w:val="00623E92"/>
    <w:rsid w:val="00623E93"/>
    <w:rsid w:val="00624322"/>
    <w:rsid w:val="00624406"/>
    <w:rsid w:val="006248E3"/>
    <w:rsid w:val="00624D87"/>
    <w:rsid w:val="00625D3D"/>
    <w:rsid w:val="00625DB6"/>
    <w:rsid w:val="00626CAC"/>
    <w:rsid w:val="00627AD4"/>
    <w:rsid w:val="00630F33"/>
    <w:rsid w:val="006312A4"/>
    <w:rsid w:val="006312F8"/>
    <w:rsid w:val="006313C9"/>
    <w:rsid w:val="006317D2"/>
    <w:rsid w:val="00631C0F"/>
    <w:rsid w:val="006337EA"/>
    <w:rsid w:val="006348ED"/>
    <w:rsid w:val="00634F0A"/>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A38"/>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02D"/>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146"/>
    <w:rsid w:val="006E64FC"/>
    <w:rsid w:val="006E6536"/>
    <w:rsid w:val="006E78A4"/>
    <w:rsid w:val="006E7A04"/>
    <w:rsid w:val="006F065D"/>
    <w:rsid w:val="006F0C10"/>
    <w:rsid w:val="006F29B4"/>
    <w:rsid w:val="006F6D3E"/>
    <w:rsid w:val="006F6DDA"/>
    <w:rsid w:val="006F7041"/>
    <w:rsid w:val="0070046B"/>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37995"/>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2C24"/>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40"/>
    <w:rsid w:val="007B2FF1"/>
    <w:rsid w:val="007B56E1"/>
    <w:rsid w:val="007B6F32"/>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45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3A6B"/>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1D6B"/>
    <w:rsid w:val="008322FB"/>
    <w:rsid w:val="0083272D"/>
    <w:rsid w:val="00832E6A"/>
    <w:rsid w:val="00833E4E"/>
    <w:rsid w:val="008340D1"/>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2BEF"/>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2297"/>
    <w:rsid w:val="00953586"/>
    <w:rsid w:val="0095377C"/>
    <w:rsid w:val="00953A0D"/>
    <w:rsid w:val="00954532"/>
    <w:rsid w:val="00954C5C"/>
    <w:rsid w:val="00954D4A"/>
    <w:rsid w:val="009552E3"/>
    <w:rsid w:val="00955E1B"/>
    <w:rsid w:val="00955F37"/>
    <w:rsid w:val="0095706B"/>
    <w:rsid w:val="009570F9"/>
    <w:rsid w:val="009572EC"/>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1F8B"/>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05"/>
    <w:rsid w:val="00A1253F"/>
    <w:rsid w:val="00A13C50"/>
    <w:rsid w:val="00A14331"/>
    <w:rsid w:val="00A145EB"/>
    <w:rsid w:val="00A14AB2"/>
    <w:rsid w:val="00A14AC9"/>
    <w:rsid w:val="00A175A7"/>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2A57"/>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AE2"/>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C49"/>
    <w:rsid w:val="00AD3D21"/>
    <w:rsid w:val="00AD68F8"/>
    <w:rsid w:val="00AD692B"/>
    <w:rsid w:val="00AE0B68"/>
    <w:rsid w:val="00AE0CA2"/>
    <w:rsid w:val="00AE10CD"/>
    <w:rsid w:val="00AE1499"/>
    <w:rsid w:val="00AE2D0A"/>
    <w:rsid w:val="00AE3725"/>
    <w:rsid w:val="00AE448F"/>
    <w:rsid w:val="00AE4D2D"/>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115C"/>
    <w:rsid w:val="00B01F83"/>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0B3"/>
    <w:rsid w:val="00B4170D"/>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5517"/>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39D"/>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162"/>
    <w:rsid w:val="00C908A9"/>
    <w:rsid w:val="00C908BE"/>
    <w:rsid w:val="00C91507"/>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3AEC"/>
    <w:rsid w:val="00D4459D"/>
    <w:rsid w:val="00D46BE9"/>
    <w:rsid w:val="00D46FA2"/>
    <w:rsid w:val="00D47451"/>
    <w:rsid w:val="00D47947"/>
    <w:rsid w:val="00D50053"/>
    <w:rsid w:val="00D504FA"/>
    <w:rsid w:val="00D505EF"/>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BC3"/>
    <w:rsid w:val="00D75F19"/>
    <w:rsid w:val="00D77AD8"/>
    <w:rsid w:val="00D80605"/>
    <w:rsid w:val="00D80973"/>
    <w:rsid w:val="00D80BD8"/>
    <w:rsid w:val="00D81733"/>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40"/>
    <w:rsid w:val="00DA52EB"/>
    <w:rsid w:val="00DA5CD6"/>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1A8"/>
    <w:rsid w:val="00DD38ED"/>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6A45"/>
    <w:rsid w:val="00E072B0"/>
    <w:rsid w:val="00E07C90"/>
    <w:rsid w:val="00E111E7"/>
    <w:rsid w:val="00E111F8"/>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17D7C"/>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3DE2"/>
    <w:rsid w:val="00E3511E"/>
    <w:rsid w:val="00E36F8A"/>
    <w:rsid w:val="00E37A6A"/>
    <w:rsid w:val="00E37CC3"/>
    <w:rsid w:val="00E40479"/>
    <w:rsid w:val="00E40FB5"/>
    <w:rsid w:val="00E41884"/>
    <w:rsid w:val="00E4192C"/>
    <w:rsid w:val="00E41DF6"/>
    <w:rsid w:val="00E420CB"/>
    <w:rsid w:val="00E42FB9"/>
    <w:rsid w:val="00E451B6"/>
    <w:rsid w:val="00E454AD"/>
    <w:rsid w:val="00E4671A"/>
    <w:rsid w:val="00E474DE"/>
    <w:rsid w:val="00E47920"/>
    <w:rsid w:val="00E5019C"/>
    <w:rsid w:val="00E51311"/>
    <w:rsid w:val="00E51D11"/>
    <w:rsid w:val="00E52056"/>
    <w:rsid w:val="00E522E3"/>
    <w:rsid w:val="00E524FA"/>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615"/>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2A4A"/>
    <w:rsid w:val="00EC3785"/>
    <w:rsid w:val="00EC3B2D"/>
    <w:rsid w:val="00EC3E5A"/>
    <w:rsid w:val="00EC458A"/>
    <w:rsid w:val="00EC51A1"/>
    <w:rsid w:val="00EC6178"/>
    <w:rsid w:val="00EC65DD"/>
    <w:rsid w:val="00EC6A56"/>
    <w:rsid w:val="00EC7166"/>
    <w:rsid w:val="00EC75D3"/>
    <w:rsid w:val="00EC75FA"/>
    <w:rsid w:val="00EC7E78"/>
    <w:rsid w:val="00ED06AD"/>
    <w:rsid w:val="00ED0BED"/>
    <w:rsid w:val="00ED1232"/>
    <w:rsid w:val="00ED1A7F"/>
    <w:rsid w:val="00ED22C5"/>
    <w:rsid w:val="00ED3503"/>
    <w:rsid w:val="00ED4DFC"/>
    <w:rsid w:val="00ED4E42"/>
    <w:rsid w:val="00ED5E54"/>
    <w:rsid w:val="00ED7786"/>
    <w:rsid w:val="00ED7EA9"/>
    <w:rsid w:val="00ED7F51"/>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0A67"/>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88E"/>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4D1A"/>
    <w:rsid w:val="00F25199"/>
    <w:rsid w:val="00F254D8"/>
    <w:rsid w:val="00F26A46"/>
    <w:rsid w:val="00F26F86"/>
    <w:rsid w:val="00F2780A"/>
    <w:rsid w:val="00F314EF"/>
    <w:rsid w:val="00F3167E"/>
    <w:rsid w:val="00F332B2"/>
    <w:rsid w:val="00F33DD2"/>
    <w:rsid w:val="00F33E94"/>
    <w:rsid w:val="00F33F0D"/>
    <w:rsid w:val="00F352BD"/>
    <w:rsid w:val="00F3589E"/>
    <w:rsid w:val="00F35DAE"/>
    <w:rsid w:val="00F368F2"/>
    <w:rsid w:val="00F36D0C"/>
    <w:rsid w:val="00F3715D"/>
    <w:rsid w:val="00F37A09"/>
    <w:rsid w:val="00F404BF"/>
    <w:rsid w:val="00F40EB5"/>
    <w:rsid w:val="00F40F31"/>
    <w:rsid w:val="00F41380"/>
    <w:rsid w:val="00F41421"/>
    <w:rsid w:val="00F41886"/>
    <w:rsid w:val="00F419C3"/>
    <w:rsid w:val="00F41A80"/>
    <w:rsid w:val="00F41C4B"/>
    <w:rsid w:val="00F43206"/>
    <w:rsid w:val="00F435B6"/>
    <w:rsid w:val="00F43849"/>
    <w:rsid w:val="00F4392C"/>
    <w:rsid w:val="00F439E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680D"/>
    <w:rsid w:val="00F87B71"/>
    <w:rsid w:val="00F87EB0"/>
    <w:rsid w:val="00F9052C"/>
    <w:rsid w:val="00F9135D"/>
    <w:rsid w:val="00F91B71"/>
    <w:rsid w:val="00F91BA8"/>
    <w:rsid w:val="00F9260F"/>
    <w:rsid w:val="00F9308E"/>
    <w:rsid w:val="00F95E64"/>
    <w:rsid w:val="00F960B8"/>
    <w:rsid w:val="00F9649D"/>
    <w:rsid w:val="00F96A46"/>
    <w:rsid w:val="00F96BB8"/>
    <w:rsid w:val="00F97647"/>
    <w:rsid w:val="00F97A19"/>
    <w:rsid w:val="00FA068B"/>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99"/>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72"/>
    <w:rsid w:val="001E35D6"/>
    <w:rPr>
      <w:rFonts w:eastAsia="SimSun"/>
      <w:sz w:val="24"/>
      <w:szCs w:val="24"/>
    </w:rPr>
  </w:style>
  <w:style w:type="paragraph" w:customStyle="1" w:styleId="Char1">
    <w:name w:val="Char"/>
    <w:basedOn w:val="Normal"/>
    <w:rsid w:val="0019532D"/>
    <w:pPr>
      <w:spacing w:after="160" w:line="240" w:lineRule="exact"/>
    </w:pPr>
    <w:rPr>
      <w:rFonts w:ascii="Verdana" w:eastAsia="MS Mincho" w:hAnsi="Verdana" w:cs="Verdana"/>
      <w:lang w:val="en-US" w:eastAsia="en-US"/>
    </w:rPr>
  </w:style>
  <w:style w:type="paragraph" w:customStyle="1" w:styleId="Char2">
    <w:name w:val="Char"/>
    <w:basedOn w:val="Normal"/>
    <w:rsid w:val="00243DC3"/>
    <w:pPr>
      <w:spacing w:after="160" w:line="240" w:lineRule="exact"/>
    </w:pPr>
    <w:rPr>
      <w:rFonts w:ascii="Verdana" w:eastAsia="MS Mincho" w:hAnsi="Verdana" w:cs="Verdana"/>
      <w:lang w:val="en-US" w:eastAsia="en-US"/>
    </w:rPr>
  </w:style>
  <w:style w:type="paragraph" w:customStyle="1" w:styleId="Char3">
    <w:name w:val="Char"/>
    <w:basedOn w:val="Normal"/>
    <w:rsid w:val="00065321"/>
    <w:pPr>
      <w:spacing w:after="160" w:line="240" w:lineRule="exact"/>
    </w:pPr>
    <w:rPr>
      <w:rFonts w:ascii="Verdana" w:eastAsia="MS Mincho" w:hAnsi="Verdana" w:cs="Verdana"/>
      <w:lang w:val="en-US" w:eastAsia="en-US"/>
    </w:rPr>
  </w:style>
  <w:style w:type="paragraph" w:styleId="Revision">
    <w:name w:val="Revision"/>
    <w:hidden/>
    <w:uiPriority w:val="99"/>
    <w:semiHidden/>
    <w:rsid w:val="00EC2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99"/>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72"/>
    <w:rsid w:val="001E35D6"/>
    <w:rPr>
      <w:rFonts w:eastAsia="SimSun"/>
      <w:sz w:val="24"/>
      <w:szCs w:val="24"/>
    </w:rPr>
  </w:style>
  <w:style w:type="paragraph" w:customStyle="1" w:styleId="Char1">
    <w:name w:val="Char"/>
    <w:basedOn w:val="Normal"/>
    <w:rsid w:val="0019532D"/>
    <w:pPr>
      <w:spacing w:after="160" w:line="240" w:lineRule="exact"/>
    </w:pPr>
    <w:rPr>
      <w:rFonts w:ascii="Verdana" w:eastAsia="MS Mincho" w:hAnsi="Verdana" w:cs="Verdana"/>
      <w:lang w:val="en-US" w:eastAsia="en-US"/>
    </w:rPr>
  </w:style>
  <w:style w:type="paragraph" w:customStyle="1" w:styleId="Char2">
    <w:name w:val="Char"/>
    <w:basedOn w:val="Normal"/>
    <w:rsid w:val="00243DC3"/>
    <w:pPr>
      <w:spacing w:after="160" w:line="240" w:lineRule="exact"/>
    </w:pPr>
    <w:rPr>
      <w:rFonts w:ascii="Verdana" w:eastAsia="MS Mincho" w:hAnsi="Verdana" w:cs="Verdana"/>
      <w:lang w:val="en-US" w:eastAsia="en-US"/>
    </w:rPr>
  </w:style>
  <w:style w:type="paragraph" w:customStyle="1" w:styleId="Char3">
    <w:name w:val="Char"/>
    <w:basedOn w:val="Normal"/>
    <w:rsid w:val="00065321"/>
    <w:pPr>
      <w:spacing w:after="160" w:line="240" w:lineRule="exact"/>
    </w:pPr>
    <w:rPr>
      <w:rFonts w:ascii="Verdana" w:eastAsia="MS Mincho" w:hAnsi="Verdana" w:cs="Verdana"/>
      <w:lang w:val="en-US" w:eastAsia="en-US"/>
    </w:rPr>
  </w:style>
  <w:style w:type="paragraph" w:styleId="Revision">
    <w:name w:val="Revision"/>
    <w:hidden/>
    <w:uiPriority w:val="99"/>
    <w:semiHidden/>
    <w:rsid w:val="00EC2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2923">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398773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9650347">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149387">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5FABD-8C94-4E17-B66F-65A96E19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1959</Words>
  <Characters>11171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GARNHAM, Louise</dc:creator>
  <cp:lastModifiedBy>Jaclyn Mahn </cp:lastModifiedBy>
  <cp:revision>2</cp:revision>
  <cp:lastPrinted>2015-11-23T04:05:00Z</cp:lastPrinted>
  <dcterms:created xsi:type="dcterms:W3CDTF">2015-12-11T05:56:00Z</dcterms:created>
  <dcterms:modified xsi:type="dcterms:W3CDTF">2015-12-11T05:56:00Z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