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7F" w:rsidRDefault="00EA287F" w:rsidP="00354E7A">
      <w:pPr>
        <w:jc w:val="both"/>
        <w:rPr>
          <w:rFonts w:ascii="Arial" w:hAnsi="Arial" w:cs="Arial"/>
          <w:b/>
          <w:sz w:val="22"/>
          <w:u w:val="single"/>
        </w:rPr>
      </w:pPr>
      <w:bookmarkStart w:id="0" w:name="_GoBack"/>
      <w:bookmarkEnd w:id="0"/>
    </w:p>
    <w:p w:rsidR="00354E7A" w:rsidRPr="00A375D6" w:rsidRDefault="00354E7A" w:rsidP="00354E7A">
      <w:pPr>
        <w:jc w:val="both"/>
        <w:rPr>
          <w:rFonts w:ascii="Arial" w:hAnsi="Arial" w:cs="Arial"/>
          <w:sz w:val="22"/>
        </w:rPr>
      </w:pPr>
      <w:r w:rsidRPr="00A375D6">
        <w:rPr>
          <w:rFonts w:ascii="Arial" w:hAnsi="Arial" w:cs="Arial"/>
          <w:b/>
          <w:sz w:val="22"/>
          <w:u w:val="single"/>
        </w:rPr>
        <w:t xml:space="preserve">Consumer meeting with </w:t>
      </w:r>
      <w:r w:rsidR="00915304" w:rsidRPr="00A375D6">
        <w:rPr>
          <w:rFonts w:ascii="Arial" w:hAnsi="Arial" w:cs="Arial"/>
          <w:b/>
          <w:sz w:val="22"/>
          <w:u w:val="single"/>
        </w:rPr>
        <w:t>Melanoma Patients Australia</w:t>
      </w:r>
      <w:r w:rsidR="00A375D6">
        <w:rPr>
          <w:rFonts w:ascii="Arial" w:hAnsi="Arial" w:cs="Arial"/>
          <w:b/>
          <w:sz w:val="22"/>
          <w:u w:val="single"/>
        </w:rPr>
        <w:t xml:space="preserve"> </w:t>
      </w:r>
    </w:p>
    <w:p w:rsidR="00354E7A" w:rsidRPr="00A375D6" w:rsidRDefault="00354E7A" w:rsidP="00354E7A">
      <w:pPr>
        <w:jc w:val="both"/>
        <w:rPr>
          <w:rFonts w:ascii="Arial" w:hAnsi="Arial" w:cs="Arial"/>
          <w:sz w:val="22"/>
        </w:rPr>
      </w:pPr>
      <w:r w:rsidRPr="00A375D6">
        <w:rPr>
          <w:rFonts w:ascii="Arial" w:hAnsi="Arial" w:cs="Arial"/>
          <w:sz w:val="22"/>
        </w:rPr>
        <w:t xml:space="preserve">The meeting covered the upcoming PBAC consideration of </w:t>
      </w:r>
      <w:proofErr w:type="spellStart"/>
      <w:r w:rsidR="00915304" w:rsidRPr="00A375D6">
        <w:rPr>
          <w:rFonts w:ascii="Arial" w:hAnsi="Arial" w:cs="Arial"/>
          <w:sz w:val="22"/>
        </w:rPr>
        <w:t>ipilimumab</w:t>
      </w:r>
      <w:proofErr w:type="spellEnd"/>
      <w:r w:rsidR="00915304" w:rsidRPr="00A375D6">
        <w:rPr>
          <w:rFonts w:ascii="Arial" w:hAnsi="Arial" w:cs="Arial"/>
          <w:sz w:val="22"/>
        </w:rPr>
        <w:t xml:space="preserve"> with </w:t>
      </w:r>
      <w:proofErr w:type="spellStart"/>
      <w:r w:rsidR="00915304" w:rsidRPr="00A375D6">
        <w:rPr>
          <w:rFonts w:ascii="Arial" w:hAnsi="Arial" w:cs="Arial"/>
          <w:sz w:val="22"/>
        </w:rPr>
        <w:t>nivolimumab</w:t>
      </w:r>
      <w:proofErr w:type="spellEnd"/>
      <w:r w:rsidR="00915304" w:rsidRPr="00A375D6">
        <w:rPr>
          <w:rFonts w:ascii="Arial" w:hAnsi="Arial" w:cs="Arial"/>
          <w:sz w:val="22"/>
        </w:rPr>
        <w:t xml:space="preserve"> for metastatic melanoma. </w:t>
      </w:r>
      <w:r w:rsidRPr="00A375D6">
        <w:rPr>
          <w:rFonts w:ascii="Arial" w:hAnsi="Arial" w:cs="Arial"/>
          <w:sz w:val="22"/>
        </w:rPr>
        <w:t xml:space="preserve">The following points provide a summary of the discussion between </w:t>
      </w:r>
      <w:r w:rsidR="00915304" w:rsidRPr="00A375D6">
        <w:rPr>
          <w:rFonts w:ascii="Arial" w:hAnsi="Arial" w:cs="Arial"/>
          <w:sz w:val="22"/>
        </w:rPr>
        <w:t>Melanoma Patients</w:t>
      </w:r>
      <w:r w:rsidRPr="00A375D6">
        <w:rPr>
          <w:rFonts w:ascii="Arial" w:hAnsi="Arial" w:cs="Arial"/>
          <w:sz w:val="22"/>
        </w:rPr>
        <w:t xml:space="preserve"> Australia and the representatives of the PBAC:  </w:t>
      </w:r>
    </w:p>
    <w:p w:rsidR="00915304" w:rsidRPr="00A375D6" w:rsidRDefault="00915304" w:rsidP="00354E7A">
      <w:pPr>
        <w:pStyle w:val="ListParagraph"/>
        <w:numPr>
          <w:ilvl w:val="0"/>
          <w:numId w:val="2"/>
        </w:numPr>
        <w:ind w:left="426" w:hanging="426"/>
        <w:jc w:val="both"/>
        <w:rPr>
          <w:rFonts w:ascii="Arial" w:hAnsi="Arial" w:cs="Arial"/>
        </w:rPr>
      </w:pPr>
      <w:r w:rsidRPr="00A375D6">
        <w:rPr>
          <w:rFonts w:ascii="Arial" w:hAnsi="Arial" w:cs="Arial"/>
        </w:rPr>
        <w:t xml:space="preserve">There is a need to provide therapeutic options to treat melanoma, and for these options to be available regardless of what prior treatments have been used.  The combination of </w:t>
      </w:r>
      <w:proofErr w:type="spellStart"/>
      <w:r w:rsidRPr="00A375D6">
        <w:rPr>
          <w:rFonts w:ascii="Arial" w:hAnsi="Arial" w:cs="Arial"/>
        </w:rPr>
        <w:t>ipilimumab</w:t>
      </w:r>
      <w:proofErr w:type="spellEnd"/>
      <w:r w:rsidRPr="00A375D6">
        <w:rPr>
          <w:rFonts w:ascii="Arial" w:hAnsi="Arial" w:cs="Arial"/>
        </w:rPr>
        <w:t xml:space="preserve"> and </w:t>
      </w:r>
      <w:proofErr w:type="spellStart"/>
      <w:r w:rsidRPr="00A375D6">
        <w:rPr>
          <w:rFonts w:ascii="Arial" w:hAnsi="Arial" w:cs="Arial"/>
        </w:rPr>
        <w:t>nivolimumab</w:t>
      </w:r>
      <w:proofErr w:type="spellEnd"/>
      <w:r w:rsidRPr="00A375D6">
        <w:rPr>
          <w:rFonts w:ascii="Arial" w:hAnsi="Arial" w:cs="Arial"/>
        </w:rPr>
        <w:t xml:space="preserve"> is perceived as suiting patients whose disease is aggressive.</w:t>
      </w:r>
    </w:p>
    <w:p w:rsidR="00915304" w:rsidRPr="00A375D6" w:rsidRDefault="00915304" w:rsidP="00354E7A">
      <w:pPr>
        <w:pStyle w:val="ListParagraph"/>
        <w:numPr>
          <w:ilvl w:val="0"/>
          <w:numId w:val="2"/>
        </w:numPr>
        <w:ind w:left="426" w:hanging="426"/>
        <w:jc w:val="both"/>
        <w:rPr>
          <w:rFonts w:ascii="Arial" w:hAnsi="Arial" w:cs="Arial"/>
        </w:rPr>
      </w:pPr>
      <w:r w:rsidRPr="00A375D6">
        <w:rPr>
          <w:rFonts w:ascii="Arial" w:hAnsi="Arial" w:cs="Arial"/>
        </w:rPr>
        <w:t xml:space="preserve">The combination of </w:t>
      </w:r>
      <w:proofErr w:type="spellStart"/>
      <w:r w:rsidRPr="00A375D6">
        <w:rPr>
          <w:rFonts w:ascii="Arial" w:hAnsi="Arial" w:cs="Arial"/>
        </w:rPr>
        <w:t>ipilimumab</w:t>
      </w:r>
      <w:proofErr w:type="spellEnd"/>
      <w:r w:rsidRPr="00A375D6">
        <w:rPr>
          <w:rFonts w:ascii="Arial" w:hAnsi="Arial" w:cs="Arial"/>
        </w:rPr>
        <w:t xml:space="preserve"> and </w:t>
      </w:r>
      <w:proofErr w:type="spellStart"/>
      <w:r w:rsidRPr="00A375D6">
        <w:rPr>
          <w:rFonts w:ascii="Arial" w:hAnsi="Arial" w:cs="Arial"/>
        </w:rPr>
        <w:t>nivolumab</w:t>
      </w:r>
      <w:proofErr w:type="spellEnd"/>
      <w:r w:rsidRPr="00A375D6">
        <w:rPr>
          <w:rFonts w:ascii="Arial" w:hAnsi="Arial" w:cs="Arial"/>
        </w:rPr>
        <w:t xml:space="preserve"> has a serious adverse event </w:t>
      </w:r>
      <w:r w:rsidR="00DD6AA9" w:rsidRPr="00A375D6">
        <w:rPr>
          <w:rFonts w:ascii="Arial" w:hAnsi="Arial" w:cs="Arial"/>
        </w:rPr>
        <w:t xml:space="preserve">(AE) </w:t>
      </w:r>
      <w:r w:rsidRPr="00A375D6">
        <w:rPr>
          <w:rFonts w:ascii="Arial" w:hAnsi="Arial" w:cs="Arial"/>
        </w:rPr>
        <w:t>profile.  Reporting of AEs has mainly involved diarrhoea, fatigue, skin irritation and rash, however clinicians have become more adept at managing these AEs as experience with the drugs is developed.</w:t>
      </w:r>
    </w:p>
    <w:p w:rsidR="00DD6AA9" w:rsidRPr="00A375D6" w:rsidRDefault="00DD6AA9" w:rsidP="00354E7A">
      <w:pPr>
        <w:pStyle w:val="ListParagraph"/>
        <w:numPr>
          <w:ilvl w:val="0"/>
          <w:numId w:val="2"/>
        </w:numPr>
        <w:ind w:left="426" w:hanging="426"/>
        <w:jc w:val="both"/>
        <w:rPr>
          <w:rFonts w:ascii="Arial" w:hAnsi="Arial" w:cs="Arial"/>
        </w:rPr>
      </w:pPr>
      <w:r w:rsidRPr="00A375D6">
        <w:rPr>
          <w:rFonts w:ascii="Arial" w:hAnsi="Arial" w:cs="Arial"/>
        </w:rPr>
        <w:t>The possible long-term e</w:t>
      </w:r>
      <w:r w:rsidR="00915304" w:rsidRPr="00A375D6">
        <w:rPr>
          <w:rFonts w:ascii="Arial" w:hAnsi="Arial" w:cs="Arial"/>
        </w:rPr>
        <w:t xml:space="preserve">ffects of this drug combination on </w:t>
      </w:r>
      <w:r w:rsidRPr="00A375D6">
        <w:rPr>
          <w:rFonts w:ascii="Arial" w:hAnsi="Arial" w:cs="Arial"/>
        </w:rPr>
        <w:t>pituitary function and vision were also noted as having been recently identified.  It was considered that these effects could be observed with both agents, but are potentially magnified with the combination.</w:t>
      </w:r>
    </w:p>
    <w:p w:rsidR="00DD6AA9" w:rsidRPr="00A375D6" w:rsidRDefault="00DD6AA9" w:rsidP="00354E7A">
      <w:pPr>
        <w:pStyle w:val="ListParagraph"/>
        <w:numPr>
          <w:ilvl w:val="0"/>
          <w:numId w:val="2"/>
        </w:numPr>
        <w:ind w:left="426" w:hanging="426"/>
        <w:jc w:val="both"/>
        <w:rPr>
          <w:rFonts w:ascii="Arial" w:hAnsi="Arial" w:cs="Arial"/>
        </w:rPr>
      </w:pPr>
      <w:r w:rsidRPr="00A375D6">
        <w:rPr>
          <w:rFonts w:ascii="Arial" w:hAnsi="Arial" w:cs="Arial"/>
        </w:rPr>
        <w:t xml:space="preserve">The patient view on accepting a higher risk of AEs with the combination of drugs compared with the agents used sequentially – patients would likely opt for the combination only where it is needed to treat more aggressive forms of the disease. </w:t>
      </w:r>
    </w:p>
    <w:p w:rsidR="00A375D6" w:rsidRPr="00A375D6" w:rsidRDefault="00A375D6" w:rsidP="00A375D6">
      <w:pPr>
        <w:jc w:val="both"/>
        <w:rPr>
          <w:rFonts w:ascii="Arial" w:hAnsi="Arial" w:cs="Arial"/>
          <w:sz w:val="22"/>
        </w:rPr>
      </w:pPr>
    </w:p>
    <w:p w:rsidR="00EA287F" w:rsidRDefault="00EA287F">
      <w:pPr>
        <w:rPr>
          <w:rFonts w:ascii="Arial" w:eastAsia="Times New Roman" w:hAnsi="Arial" w:cs="Arial"/>
          <w:b/>
          <w:snapToGrid w:val="0"/>
          <w:sz w:val="22"/>
          <w:u w:val="single"/>
        </w:rPr>
      </w:pPr>
      <w:r>
        <w:rPr>
          <w:u w:val="single"/>
        </w:rPr>
        <w:br w:type="page"/>
      </w:r>
    </w:p>
    <w:p w:rsidR="00EA287F" w:rsidRDefault="00EA287F" w:rsidP="00A375D6">
      <w:pPr>
        <w:pStyle w:val="PBACHeading1"/>
        <w:numPr>
          <w:ilvl w:val="0"/>
          <w:numId w:val="0"/>
        </w:numPr>
        <w:rPr>
          <w:u w:val="single"/>
        </w:rPr>
      </w:pPr>
    </w:p>
    <w:p w:rsidR="00A375D6" w:rsidRDefault="00A375D6" w:rsidP="00A375D6">
      <w:pPr>
        <w:pStyle w:val="PBACHeading1"/>
        <w:numPr>
          <w:ilvl w:val="0"/>
          <w:numId w:val="0"/>
        </w:numPr>
        <w:rPr>
          <w:u w:val="single"/>
        </w:rPr>
      </w:pPr>
      <w:r w:rsidRPr="00A375D6">
        <w:rPr>
          <w:u w:val="single"/>
        </w:rPr>
        <w:t xml:space="preserve">Consumer meeting with Leukaemia Foundation </w:t>
      </w:r>
    </w:p>
    <w:p w:rsidR="00A375D6" w:rsidRPr="00A375D6" w:rsidRDefault="00A375D6" w:rsidP="00A375D6">
      <w:pPr>
        <w:pStyle w:val="PBACHeading1"/>
        <w:numPr>
          <w:ilvl w:val="0"/>
          <w:numId w:val="0"/>
        </w:numPr>
        <w:rPr>
          <w:u w:val="single"/>
        </w:rPr>
      </w:pPr>
    </w:p>
    <w:p w:rsidR="00A375D6" w:rsidRPr="00A375D6" w:rsidRDefault="00A375D6" w:rsidP="00A375D6">
      <w:pPr>
        <w:pStyle w:val="PBACHeading1"/>
        <w:numPr>
          <w:ilvl w:val="0"/>
          <w:numId w:val="0"/>
        </w:numPr>
      </w:pPr>
    </w:p>
    <w:p w:rsidR="00A375D6" w:rsidRPr="00A375D6" w:rsidRDefault="00A375D6" w:rsidP="00A375D6">
      <w:pPr>
        <w:pStyle w:val="PBACHeading1"/>
        <w:numPr>
          <w:ilvl w:val="0"/>
          <w:numId w:val="0"/>
        </w:numPr>
        <w:rPr>
          <w:b w:val="0"/>
        </w:rPr>
      </w:pPr>
      <w:r w:rsidRPr="00A375D6">
        <w:rPr>
          <w:b w:val="0"/>
        </w:rPr>
        <w:t xml:space="preserve">The meeting covered the upcoming PBAC consideration of </w:t>
      </w:r>
      <w:proofErr w:type="spellStart"/>
      <w:r w:rsidRPr="00A375D6">
        <w:rPr>
          <w:b w:val="0"/>
        </w:rPr>
        <w:t>lenalidomide</w:t>
      </w:r>
      <w:proofErr w:type="spellEnd"/>
      <w:r>
        <w:rPr>
          <w:b w:val="0"/>
        </w:rPr>
        <w:t xml:space="preserve"> for </w:t>
      </w:r>
      <w:r w:rsidRPr="00A375D6">
        <w:rPr>
          <w:b w:val="0"/>
        </w:rPr>
        <w:t>multiple myeloma. The following points provide a summary of the discussion between Leukaemia Foundation and the representatives of the PBAC</w:t>
      </w:r>
    </w:p>
    <w:p w:rsidR="00A375D6" w:rsidRPr="00A375D6" w:rsidRDefault="00A375D6" w:rsidP="00A375D6">
      <w:pPr>
        <w:ind w:left="720"/>
        <w:contextualSpacing/>
        <w:rPr>
          <w:rFonts w:ascii="Arial" w:hAnsi="Arial" w:cs="Arial"/>
          <w:bCs/>
          <w:sz w:val="22"/>
        </w:rPr>
      </w:pPr>
    </w:p>
    <w:p w:rsidR="00A375D6" w:rsidRPr="00A375D6" w:rsidRDefault="00A375D6" w:rsidP="00A375D6">
      <w:pPr>
        <w:widowControl w:val="0"/>
        <w:numPr>
          <w:ilvl w:val="1"/>
          <w:numId w:val="3"/>
        </w:numPr>
        <w:spacing w:after="0" w:line="240" w:lineRule="auto"/>
        <w:contextualSpacing/>
        <w:jc w:val="both"/>
        <w:rPr>
          <w:rFonts w:ascii="Arial" w:hAnsi="Arial" w:cs="Arial"/>
          <w:bCs/>
          <w:sz w:val="22"/>
        </w:rPr>
      </w:pPr>
      <w:r w:rsidRPr="00A375D6">
        <w:rPr>
          <w:rFonts w:ascii="Arial" w:hAnsi="Arial" w:cs="Arial"/>
          <w:bCs/>
          <w:sz w:val="22"/>
        </w:rPr>
        <w:t>A key to achieving the best possible treatment outcomes in myeloma is for the patient to be able to tolerate more lines of therapy.  Access to the best possible option early in the treatment pathway is important, as is the reduction in adverse events – neurotoxicity is considered a dose-limiting factor in the case of thalidomide.</w:t>
      </w:r>
    </w:p>
    <w:p w:rsidR="00A375D6" w:rsidRPr="00A375D6" w:rsidRDefault="00A375D6" w:rsidP="00A375D6">
      <w:pPr>
        <w:ind w:left="720"/>
        <w:contextualSpacing/>
        <w:rPr>
          <w:rFonts w:ascii="Arial" w:hAnsi="Arial" w:cs="Arial"/>
          <w:bCs/>
          <w:sz w:val="22"/>
        </w:rPr>
      </w:pPr>
    </w:p>
    <w:p w:rsidR="00A375D6" w:rsidRPr="00A375D6" w:rsidRDefault="00A375D6" w:rsidP="00A375D6">
      <w:pPr>
        <w:widowControl w:val="0"/>
        <w:numPr>
          <w:ilvl w:val="1"/>
          <w:numId w:val="3"/>
        </w:numPr>
        <w:spacing w:after="0" w:line="240" w:lineRule="auto"/>
        <w:contextualSpacing/>
        <w:jc w:val="both"/>
        <w:rPr>
          <w:rFonts w:ascii="Arial" w:hAnsi="Arial" w:cs="Arial"/>
          <w:bCs/>
          <w:sz w:val="22"/>
        </w:rPr>
      </w:pPr>
      <w:r w:rsidRPr="00A375D6">
        <w:rPr>
          <w:rFonts w:ascii="Arial" w:hAnsi="Arial" w:cs="Arial"/>
          <w:bCs/>
          <w:sz w:val="22"/>
        </w:rPr>
        <w:t xml:space="preserve">The availability of oral agents is highly attractive to patients being treated for myeloma.  In the case of </w:t>
      </w:r>
      <w:proofErr w:type="spellStart"/>
      <w:r w:rsidRPr="00A375D6">
        <w:rPr>
          <w:rFonts w:ascii="Arial" w:hAnsi="Arial" w:cs="Arial"/>
          <w:bCs/>
          <w:sz w:val="22"/>
        </w:rPr>
        <w:t>bortezomib</w:t>
      </w:r>
      <w:proofErr w:type="spellEnd"/>
      <w:r w:rsidRPr="00A375D6">
        <w:rPr>
          <w:rFonts w:ascii="Arial" w:hAnsi="Arial" w:cs="Arial"/>
          <w:bCs/>
          <w:sz w:val="22"/>
        </w:rPr>
        <w:t>, the dosing schedule requires regular infusions which present a substantial burden on patients.</w:t>
      </w:r>
    </w:p>
    <w:p w:rsidR="00A375D6" w:rsidRPr="00A375D6" w:rsidRDefault="00A375D6" w:rsidP="00A375D6">
      <w:pPr>
        <w:ind w:left="720"/>
        <w:contextualSpacing/>
        <w:rPr>
          <w:rFonts w:ascii="Arial" w:hAnsi="Arial" w:cs="Arial"/>
          <w:bCs/>
          <w:sz w:val="22"/>
        </w:rPr>
      </w:pPr>
    </w:p>
    <w:p w:rsidR="00A375D6" w:rsidRPr="00A375D6" w:rsidRDefault="00A375D6" w:rsidP="00A375D6">
      <w:pPr>
        <w:widowControl w:val="0"/>
        <w:numPr>
          <w:ilvl w:val="1"/>
          <w:numId w:val="3"/>
        </w:numPr>
        <w:spacing w:after="0" w:line="240" w:lineRule="auto"/>
        <w:contextualSpacing/>
        <w:jc w:val="both"/>
        <w:rPr>
          <w:rFonts w:ascii="Arial" w:hAnsi="Arial" w:cs="Arial"/>
          <w:bCs/>
          <w:sz w:val="22"/>
        </w:rPr>
      </w:pPr>
      <w:r w:rsidRPr="00A375D6">
        <w:rPr>
          <w:rFonts w:ascii="Arial" w:hAnsi="Arial" w:cs="Arial"/>
          <w:bCs/>
          <w:sz w:val="22"/>
        </w:rPr>
        <w:t>The following points relating to the PBS treatment algorithm for myeloma were discussed:</w:t>
      </w:r>
    </w:p>
    <w:p w:rsidR="00A375D6" w:rsidRPr="00A375D6" w:rsidRDefault="00A375D6" w:rsidP="00A375D6">
      <w:pPr>
        <w:widowControl w:val="0"/>
        <w:numPr>
          <w:ilvl w:val="0"/>
          <w:numId w:val="4"/>
        </w:numPr>
        <w:jc w:val="both"/>
        <w:rPr>
          <w:rFonts w:ascii="Arial" w:hAnsi="Arial" w:cs="Arial"/>
          <w:bCs/>
          <w:sz w:val="22"/>
        </w:rPr>
      </w:pPr>
      <w:proofErr w:type="spellStart"/>
      <w:r w:rsidRPr="00A375D6">
        <w:rPr>
          <w:rFonts w:ascii="Arial" w:hAnsi="Arial" w:cs="Arial"/>
          <w:bCs/>
          <w:sz w:val="22"/>
        </w:rPr>
        <w:t>Bortezomib</w:t>
      </w:r>
      <w:proofErr w:type="spellEnd"/>
      <w:r w:rsidRPr="00A375D6">
        <w:rPr>
          <w:rFonts w:ascii="Arial" w:hAnsi="Arial" w:cs="Arial"/>
          <w:bCs/>
          <w:sz w:val="22"/>
        </w:rPr>
        <w:t xml:space="preserve"> is available in first line and for rechallenge – this gives access to an effective drug in a certain patient group;</w:t>
      </w:r>
    </w:p>
    <w:p w:rsidR="00A375D6" w:rsidRPr="00A375D6" w:rsidRDefault="00A375D6" w:rsidP="00A375D6">
      <w:pPr>
        <w:widowControl w:val="0"/>
        <w:numPr>
          <w:ilvl w:val="0"/>
          <w:numId w:val="4"/>
        </w:numPr>
        <w:jc w:val="both"/>
        <w:rPr>
          <w:rFonts w:ascii="Arial" w:hAnsi="Arial" w:cs="Arial"/>
          <w:bCs/>
          <w:sz w:val="22"/>
        </w:rPr>
      </w:pPr>
      <w:r w:rsidRPr="00A375D6">
        <w:rPr>
          <w:rFonts w:ascii="Arial" w:hAnsi="Arial" w:cs="Arial"/>
          <w:bCs/>
          <w:sz w:val="22"/>
        </w:rPr>
        <w:t xml:space="preserve">While treating a patient, clinicians are mindful of potential options further down the algorithm so as to preserve the patient’s eligibility for the maximum number of therapeutic options; </w:t>
      </w:r>
    </w:p>
    <w:p w:rsidR="00A375D6" w:rsidRPr="00A375D6" w:rsidRDefault="00A375D6" w:rsidP="00A375D6">
      <w:pPr>
        <w:widowControl w:val="0"/>
        <w:numPr>
          <w:ilvl w:val="0"/>
          <w:numId w:val="4"/>
        </w:numPr>
        <w:jc w:val="both"/>
        <w:rPr>
          <w:rFonts w:ascii="Arial" w:hAnsi="Arial" w:cs="Arial"/>
          <w:bCs/>
          <w:sz w:val="22"/>
        </w:rPr>
      </w:pPr>
      <w:proofErr w:type="spellStart"/>
      <w:r w:rsidRPr="00A375D6">
        <w:rPr>
          <w:rFonts w:ascii="Arial" w:hAnsi="Arial" w:cs="Arial"/>
          <w:bCs/>
          <w:sz w:val="22"/>
        </w:rPr>
        <w:t>Lenalidomide</w:t>
      </w:r>
      <w:proofErr w:type="spellEnd"/>
      <w:r w:rsidRPr="00A375D6">
        <w:rPr>
          <w:rFonts w:ascii="Arial" w:hAnsi="Arial" w:cs="Arial"/>
          <w:bCs/>
          <w:sz w:val="22"/>
        </w:rPr>
        <w:t xml:space="preserve"> will likely be used until disease progression, were it to be recommended in first-line treatment.  The condition is believed to evolve as the patient is exposed to different lines of therapy, and anecdotally it has been reported that patients can respond to </w:t>
      </w:r>
      <w:proofErr w:type="spellStart"/>
      <w:r w:rsidRPr="00A375D6">
        <w:rPr>
          <w:rFonts w:ascii="Arial" w:hAnsi="Arial" w:cs="Arial"/>
          <w:bCs/>
          <w:sz w:val="22"/>
        </w:rPr>
        <w:t>lenalidomide</w:t>
      </w:r>
      <w:proofErr w:type="spellEnd"/>
      <w:r w:rsidRPr="00A375D6">
        <w:rPr>
          <w:rFonts w:ascii="Arial" w:hAnsi="Arial" w:cs="Arial"/>
          <w:bCs/>
          <w:sz w:val="22"/>
        </w:rPr>
        <w:t xml:space="preserve"> rechallenge following a failure to respond to initial exposure to the drug.</w:t>
      </w:r>
    </w:p>
    <w:p w:rsidR="00A375D6" w:rsidRPr="00A375D6" w:rsidRDefault="00A375D6" w:rsidP="00A375D6">
      <w:pPr>
        <w:widowControl w:val="0"/>
        <w:numPr>
          <w:ilvl w:val="1"/>
          <w:numId w:val="3"/>
        </w:numPr>
        <w:spacing w:after="0" w:line="240" w:lineRule="auto"/>
        <w:contextualSpacing/>
        <w:jc w:val="both"/>
        <w:rPr>
          <w:rFonts w:ascii="Arial" w:hAnsi="Arial" w:cs="Arial"/>
          <w:bCs/>
          <w:sz w:val="22"/>
        </w:rPr>
      </w:pPr>
      <w:r w:rsidRPr="00A375D6">
        <w:rPr>
          <w:rFonts w:ascii="Arial" w:hAnsi="Arial" w:cs="Arial"/>
          <w:bCs/>
          <w:sz w:val="22"/>
        </w:rPr>
        <w:t xml:space="preserve">The Committee heard that if </w:t>
      </w:r>
      <w:proofErr w:type="spellStart"/>
      <w:r w:rsidRPr="00A375D6">
        <w:rPr>
          <w:rFonts w:ascii="Arial" w:hAnsi="Arial" w:cs="Arial"/>
          <w:bCs/>
          <w:sz w:val="22"/>
        </w:rPr>
        <w:t>lenalidomide</w:t>
      </w:r>
      <w:proofErr w:type="spellEnd"/>
      <w:r w:rsidRPr="00A375D6">
        <w:rPr>
          <w:rFonts w:ascii="Arial" w:hAnsi="Arial" w:cs="Arial"/>
          <w:bCs/>
          <w:sz w:val="22"/>
        </w:rPr>
        <w:t xml:space="preserve"> were to be recommended for first-line treatment, it would likely replace </w:t>
      </w:r>
      <w:proofErr w:type="spellStart"/>
      <w:r w:rsidRPr="00A375D6">
        <w:rPr>
          <w:rFonts w:ascii="Arial" w:hAnsi="Arial" w:cs="Arial"/>
          <w:bCs/>
          <w:sz w:val="22"/>
        </w:rPr>
        <w:t>bortezomib</w:t>
      </w:r>
      <w:proofErr w:type="spellEnd"/>
      <w:r w:rsidRPr="00A375D6">
        <w:rPr>
          <w:rFonts w:ascii="Arial" w:hAnsi="Arial" w:cs="Arial"/>
          <w:bCs/>
          <w:sz w:val="22"/>
        </w:rPr>
        <w:t xml:space="preserve"> and thalidomide.</w:t>
      </w:r>
    </w:p>
    <w:p w:rsidR="00A375D6" w:rsidRPr="00A375D6" w:rsidRDefault="00A375D6" w:rsidP="00A375D6">
      <w:pPr>
        <w:ind w:left="720"/>
        <w:contextualSpacing/>
        <w:rPr>
          <w:rFonts w:ascii="Arial" w:hAnsi="Arial" w:cs="Arial"/>
          <w:bCs/>
          <w:sz w:val="22"/>
        </w:rPr>
      </w:pPr>
    </w:p>
    <w:p w:rsidR="00A375D6" w:rsidRPr="00A375D6" w:rsidRDefault="00A375D6" w:rsidP="00A375D6">
      <w:pPr>
        <w:widowControl w:val="0"/>
        <w:numPr>
          <w:ilvl w:val="1"/>
          <w:numId w:val="3"/>
        </w:numPr>
        <w:spacing w:after="0" w:line="240" w:lineRule="auto"/>
        <w:contextualSpacing/>
        <w:jc w:val="both"/>
        <w:rPr>
          <w:rFonts w:ascii="Arial" w:hAnsi="Arial" w:cs="Arial"/>
          <w:bCs/>
          <w:sz w:val="22"/>
        </w:rPr>
      </w:pPr>
      <w:r w:rsidRPr="00A375D6">
        <w:rPr>
          <w:rFonts w:ascii="Arial" w:hAnsi="Arial" w:cs="Arial"/>
          <w:bCs/>
          <w:sz w:val="22"/>
        </w:rPr>
        <w:t xml:space="preserve">Of particular note, the current listing for </w:t>
      </w:r>
      <w:proofErr w:type="spellStart"/>
      <w:r w:rsidRPr="00A375D6">
        <w:rPr>
          <w:rFonts w:ascii="Arial" w:hAnsi="Arial" w:cs="Arial"/>
          <w:bCs/>
          <w:sz w:val="22"/>
        </w:rPr>
        <w:t>lenalidomide</w:t>
      </w:r>
      <w:proofErr w:type="spellEnd"/>
      <w:r w:rsidRPr="00A375D6">
        <w:rPr>
          <w:rFonts w:ascii="Arial" w:hAnsi="Arial" w:cs="Arial"/>
          <w:bCs/>
          <w:sz w:val="22"/>
        </w:rPr>
        <w:t xml:space="preserve"> does not permit retreatment after disease progression – this position is not supported by the clinical or patient communities. </w:t>
      </w:r>
    </w:p>
    <w:p w:rsidR="00A375D6" w:rsidRPr="00A375D6" w:rsidRDefault="00A375D6" w:rsidP="00A375D6">
      <w:pPr>
        <w:rPr>
          <w:rFonts w:ascii="Arial" w:hAnsi="Arial" w:cs="Arial"/>
          <w:bCs/>
          <w:sz w:val="22"/>
        </w:rPr>
      </w:pPr>
    </w:p>
    <w:p w:rsidR="00A375D6" w:rsidRPr="00A375D6" w:rsidRDefault="00A375D6" w:rsidP="00A375D6">
      <w:pPr>
        <w:jc w:val="both"/>
        <w:rPr>
          <w:rFonts w:ascii="Arial" w:hAnsi="Arial" w:cs="Arial"/>
          <w:sz w:val="22"/>
        </w:rPr>
      </w:pPr>
    </w:p>
    <w:p w:rsidR="007F4E20" w:rsidRPr="00A375D6" w:rsidRDefault="007F4E20" w:rsidP="00DD6AA9">
      <w:pPr>
        <w:pStyle w:val="ListParagraph"/>
        <w:ind w:left="426"/>
        <w:jc w:val="both"/>
        <w:rPr>
          <w:rFonts w:ascii="Arial" w:hAnsi="Arial" w:cs="Arial"/>
        </w:rPr>
      </w:pPr>
    </w:p>
    <w:sectPr w:rsidR="007F4E20" w:rsidRPr="00A375D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424" w:rsidRDefault="00014424" w:rsidP="00014424">
      <w:pPr>
        <w:spacing w:after="0" w:line="240" w:lineRule="auto"/>
      </w:pPr>
      <w:r>
        <w:separator/>
      </w:r>
    </w:p>
  </w:endnote>
  <w:endnote w:type="continuationSeparator" w:id="0">
    <w:p w:rsidR="00014424" w:rsidRDefault="00014424" w:rsidP="0001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8B" w:rsidRDefault="005D4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8B" w:rsidRDefault="005D47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8B" w:rsidRDefault="005D4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424" w:rsidRDefault="00014424" w:rsidP="00014424">
      <w:pPr>
        <w:spacing w:after="0" w:line="240" w:lineRule="auto"/>
      </w:pPr>
      <w:r>
        <w:separator/>
      </w:r>
    </w:p>
  </w:footnote>
  <w:footnote w:type="continuationSeparator" w:id="0">
    <w:p w:rsidR="00014424" w:rsidRDefault="00014424" w:rsidP="00014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8B" w:rsidRDefault="005D47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24" w:rsidRPr="004B3DC0" w:rsidRDefault="00014424" w:rsidP="00014424">
    <w:pPr>
      <w:pStyle w:val="Header"/>
      <w:jc w:val="center"/>
      <w:rPr>
        <w:rFonts w:ascii="Arial" w:hAnsi="Arial" w:cs="Arial"/>
        <w:b/>
        <w:caps/>
        <w:sz w:val="22"/>
      </w:rPr>
    </w:pPr>
    <w:r w:rsidRPr="004B3DC0">
      <w:rPr>
        <w:rFonts w:ascii="Arial" w:hAnsi="Arial" w:cs="Arial"/>
        <w:b/>
        <w:caps/>
        <w:sz w:val="22"/>
      </w:rPr>
      <w:t>November 2015 PBAC Meeting</w:t>
    </w:r>
    <w:r w:rsidR="00F72A95" w:rsidRPr="004B3DC0">
      <w:rPr>
        <w:rFonts w:ascii="Arial" w:hAnsi="Arial" w:cs="Arial"/>
        <w:b/>
        <w:caps/>
        <w:sz w:val="22"/>
      </w:rPr>
      <w:t xml:space="preserve"> - </w:t>
    </w:r>
    <w:r w:rsidRPr="004B3DC0">
      <w:rPr>
        <w:rFonts w:ascii="Arial" w:hAnsi="Arial" w:cs="Arial"/>
        <w:b/>
        <w:caps/>
        <w:sz w:val="22"/>
      </w:rPr>
      <w:t>Record of consumer hearings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8B" w:rsidRDefault="005D4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A5AC8"/>
    <w:multiLevelType w:val="hybridMultilevel"/>
    <w:tmpl w:val="F78C6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366E98"/>
    <w:multiLevelType w:val="hybridMultilevel"/>
    <w:tmpl w:val="01B6DB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5AA5ADD"/>
    <w:multiLevelType w:val="hybridMultilevel"/>
    <w:tmpl w:val="18783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4D033C"/>
    <w:multiLevelType w:val="multilevel"/>
    <w:tmpl w:val="E066290E"/>
    <w:lvl w:ilvl="0">
      <w:start w:val="1"/>
      <w:numFmt w:val="decimal"/>
      <w:pStyle w:val="PBACHeading1"/>
      <w:lvlText w:val="%1"/>
      <w:lvlJc w:val="left"/>
      <w:pPr>
        <w:ind w:left="720" w:hanging="720"/>
      </w:pPr>
      <w:rPr>
        <w:rFonts w:hint="default"/>
        <w:b/>
      </w:rPr>
    </w:lvl>
    <w:lvl w:ilvl="1">
      <w:start w:val="1"/>
      <w:numFmt w:val="decimal"/>
      <w:lvlText w:val="%2."/>
      <w:lvlJc w:val="left"/>
      <w:pPr>
        <w:ind w:left="720" w:hanging="720"/>
      </w:pPr>
      <w:rPr>
        <w:rFonts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7A"/>
    <w:rsid w:val="00014424"/>
    <w:rsid w:val="00354E7A"/>
    <w:rsid w:val="004B3DC0"/>
    <w:rsid w:val="005854FE"/>
    <w:rsid w:val="005D478B"/>
    <w:rsid w:val="0072011D"/>
    <w:rsid w:val="007F4E20"/>
    <w:rsid w:val="008344C4"/>
    <w:rsid w:val="00915304"/>
    <w:rsid w:val="00A375D6"/>
    <w:rsid w:val="00B12A59"/>
    <w:rsid w:val="00DD6AA9"/>
    <w:rsid w:val="00EA287F"/>
    <w:rsid w:val="00F72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E7A"/>
    <w:pPr>
      <w:ind w:left="720"/>
      <w:contextualSpacing/>
    </w:pPr>
    <w:rPr>
      <w:rFonts w:asciiTheme="minorHAnsi" w:hAnsiTheme="minorHAnsi"/>
      <w:sz w:val="22"/>
    </w:rPr>
  </w:style>
  <w:style w:type="paragraph" w:customStyle="1" w:styleId="PBACHeading1">
    <w:name w:val="PBAC Heading 1"/>
    <w:qFormat/>
    <w:rsid w:val="00A375D6"/>
    <w:pPr>
      <w:numPr>
        <w:numId w:val="3"/>
      </w:numPr>
      <w:spacing w:after="0" w:line="240" w:lineRule="auto"/>
    </w:pPr>
    <w:rPr>
      <w:rFonts w:ascii="Arial" w:eastAsia="Times New Roman" w:hAnsi="Arial" w:cs="Arial"/>
      <w:b/>
      <w:snapToGrid w:val="0"/>
      <w:sz w:val="22"/>
    </w:rPr>
  </w:style>
  <w:style w:type="paragraph" w:styleId="Header">
    <w:name w:val="header"/>
    <w:basedOn w:val="Normal"/>
    <w:link w:val="HeaderChar"/>
    <w:uiPriority w:val="99"/>
    <w:unhideWhenUsed/>
    <w:rsid w:val="00014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424"/>
  </w:style>
  <w:style w:type="paragraph" w:styleId="Footer">
    <w:name w:val="footer"/>
    <w:basedOn w:val="Normal"/>
    <w:link w:val="FooterChar"/>
    <w:uiPriority w:val="99"/>
    <w:unhideWhenUsed/>
    <w:rsid w:val="00014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4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E7A"/>
    <w:pPr>
      <w:ind w:left="720"/>
      <w:contextualSpacing/>
    </w:pPr>
    <w:rPr>
      <w:rFonts w:asciiTheme="minorHAnsi" w:hAnsiTheme="minorHAnsi"/>
      <w:sz w:val="22"/>
    </w:rPr>
  </w:style>
  <w:style w:type="paragraph" w:customStyle="1" w:styleId="PBACHeading1">
    <w:name w:val="PBAC Heading 1"/>
    <w:qFormat/>
    <w:rsid w:val="00A375D6"/>
    <w:pPr>
      <w:numPr>
        <w:numId w:val="3"/>
      </w:numPr>
      <w:spacing w:after="0" w:line="240" w:lineRule="auto"/>
    </w:pPr>
    <w:rPr>
      <w:rFonts w:ascii="Arial" w:eastAsia="Times New Roman" w:hAnsi="Arial" w:cs="Arial"/>
      <w:b/>
      <w:snapToGrid w:val="0"/>
      <w:sz w:val="22"/>
    </w:rPr>
  </w:style>
  <w:style w:type="paragraph" w:styleId="Header">
    <w:name w:val="header"/>
    <w:basedOn w:val="Normal"/>
    <w:link w:val="HeaderChar"/>
    <w:uiPriority w:val="99"/>
    <w:unhideWhenUsed/>
    <w:rsid w:val="00014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424"/>
  </w:style>
  <w:style w:type="paragraph" w:styleId="Footer">
    <w:name w:val="footer"/>
    <w:basedOn w:val="Normal"/>
    <w:link w:val="FooterChar"/>
    <w:uiPriority w:val="99"/>
    <w:unhideWhenUsed/>
    <w:rsid w:val="00014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2015-12-18T00:44:00Z</dcterms:created>
  <dcterms:modified xsi:type="dcterms:W3CDTF">2015-12-18T00:44:00Z</dcterms:modified>
</cp:coreProperties>
</file>