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126"/>
        <w:gridCol w:w="2126"/>
        <w:gridCol w:w="3733"/>
        <w:gridCol w:w="5339"/>
      </w:tblGrid>
      <w:tr w:rsidR="0010394D" w:rsidRPr="00CA293C" w:rsidTr="00C23FA7">
        <w:trPr>
          <w:tblHeader/>
        </w:trPr>
        <w:tc>
          <w:tcPr>
            <w:tcW w:w="2363" w:type="dxa"/>
            <w:vAlign w:val="center"/>
          </w:tcPr>
          <w:p w:rsidR="0010394D" w:rsidRPr="001047FA" w:rsidRDefault="001047FA" w:rsidP="00F301A5">
            <w:pPr>
              <w:pStyle w:val="Header"/>
              <w:spacing w:after="240"/>
              <w:contextualSpacing/>
              <w:jc w:val="center"/>
              <w:rPr>
                <w:rFonts w:ascii="Arial" w:hAnsi="Arial" w:cs="Arial"/>
                <w:b/>
                <w:snapToGrid w:val="0"/>
                <w:sz w:val="20"/>
                <w:lang w:eastAsia="en-US"/>
              </w:rPr>
            </w:pPr>
            <w:bookmarkStart w:id="0" w:name="_GoBack"/>
            <w:bookmarkEnd w:id="0"/>
            <w:r w:rsidRPr="001047FA">
              <w:rPr>
                <w:rFonts w:ascii="Arial" w:hAnsi="Arial" w:cs="Arial"/>
                <w:b/>
                <w:snapToGrid w:val="0"/>
                <w:sz w:val="20"/>
                <w:lang w:eastAsia="en-US"/>
              </w:rPr>
              <w:t>DRUG NAME, FORM(S), STRENGTH(S), SPONSOR, TYPE OF SUBMISSION</w:t>
            </w:r>
          </w:p>
        </w:tc>
        <w:tc>
          <w:tcPr>
            <w:tcW w:w="2126" w:type="dxa"/>
            <w:vAlign w:val="center"/>
          </w:tcPr>
          <w:p w:rsidR="001047FA" w:rsidRPr="001047FA"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TGA INDICATION</w:t>
            </w:r>
          </w:p>
          <w:p w:rsidR="0010394D" w:rsidRPr="0010394D" w:rsidRDefault="0010394D" w:rsidP="00F301A5">
            <w:pPr>
              <w:pStyle w:val="Header"/>
              <w:spacing w:after="240"/>
              <w:contextualSpacing/>
              <w:jc w:val="center"/>
              <w:rPr>
                <w:rFonts w:ascii="Arial" w:hAnsi="Arial" w:cs="Arial"/>
                <w:b/>
                <w:snapToGrid w:val="0"/>
                <w:sz w:val="20"/>
                <w:lang w:eastAsia="en-US"/>
              </w:rPr>
            </w:pPr>
          </w:p>
        </w:tc>
        <w:tc>
          <w:tcPr>
            <w:tcW w:w="2126" w:type="dxa"/>
            <w:vAlign w:val="center"/>
          </w:tcPr>
          <w:p w:rsidR="0010394D" w:rsidRPr="0010394D"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CURRENT PBS LISTING</w:t>
            </w:r>
          </w:p>
        </w:tc>
        <w:tc>
          <w:tcPr>
            <w:tcW w:w="3733" w:type="dxa"/>
            <w:shd w:val="clear" w:color="auto" w:fill="auto"/>
            <w:vAlign w:val="center"/>
          </w:tcPr>
          <w:p w:rsidR="0010394D" w:rsidRPr="0010394D"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5339" w:type="dxa"/>
            <w:vAlign w:val="center"/>
          </w:tcPr>
          <w:p w:rsidR="0010394D" w:rsidRPr="001047FA" w:rsidRDefault="0010394D" w:rsidP="00F301A5">
            <w:pPr>
              <w:pStyle w:val="Header"/>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sidR="001047FA">
              <w:rPr>
                <w:rFonts w:ascii="Arial" w:hAnsi="Arial" w:cs="Arial"/>
                <w:b/>
                <w:snapToGrid w:val="0"/>
                <w:sz w:val="20"/>
                <w:lang w:eastAsia="en-US"/>
              </w:rPr>
              <w:t>OUTCOME</w:t>
            </w:r>
          </w:p>
        </w:tc>
      </w:tr>
      <w:tr w:rsidR="00613975" w:rsidRPr="009B735A" w:rsidTr="00CB0656">
        <w:trPr>
          <w:trHeight w:val="7717"/>
        </w:trPr>
        <w:tc>
          <w:tcPr>
            <w:tcW w:w="2363" w:type="dxa"/>
            <w:vMerge w:val="restart"/>
          </w:tcPr>
          <w:p w:rsidR="00FC2645" w:rsidRDefault="00FC2645" w:rsidP="00BD520B">
            <w:pPr>
              <w:rPr>
                <w:rFonts w:ascii="Arial" w:hAnsi="Arial" w:cs="Arial"/>
                <w:color w:val="000000"/>
                <w:sz w:val="20"/>
              </w:rPr>
            </w:pPr>
            <w:r>
              <w:rPr>
                <w:rFonts w:ascii="Arial" w:hAnsi="Arial" w:cs="Arial"/>
                <w:color w:val="000000"/>
                <w:sz w:val="20"/>
              </w:rPr>
              <w:t xml:space="preserve">ELOSULFASE ALFA </w:t>
            </w:r>
            <w:r>
              <w:rPr>
                <w:rFonts w:ascii="Arial" w:hAnsi="Arial" w:cs="Arial"/>
                <w:color w:val="000000"/>
                <w:sz w:val="20"/>
              </w:rPr>
              <w:br/>
              <w:t>5mg/5mL injection, 5 mL vial</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Vimizim</w:t>
            </w:r>
            <w:proofErr w:type="spellEnd"/>
            <w:r>
              <w:rPr>
                <w:rFonts w:ascii="Arial" w:hAnsi="Arial" w:cs="Arial"/>
                <w:color w:val="000000"/>
                <w:sz w:val="20"/>
              </w:rPr>
              <w:t>®</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Biomarin</w:t>
            </w:r>
            <w:proofErr w:type="spellEnd"/>
            <w:r>
              <w:rPr>
                <w:rFonts w:ascii="Arial" w:hAnsi="Arial" w:cs="Arial"/>
                <w:color w:val="000000"/>
                <w:sz w:val="20"/>
              </w:rPr>
              <w:t xml:space="preserve"> Pharmaceuticals Australia Pty Ltd</w:t>
            </w:r>
            <w:r>
              <w:rPr>
                <w:rFonts w:ascii="Arial" w:hAnsi="Arial" w:cs="Arial"/>
                <w:color w:val="000000"/>
                <w:sz w:val="20"/>
              </w:rPr>
              <w:br/>
            </w:r>
            <w:r>
              <w:rPr>
                <w:rFonts w:ascii="Arial" w:hAnsi="Arial" w:cs="Arial"/>
                <w:color w:val="000000"/>
                <w:sz w:val="20"/>
              </w:rPr>
              <w:br/>
              <w:t>New listing</w:t>
            </w:r>
            <w:r>
              <w:rPr>
                <w:rFonts w:ascii="Arial" w:hAnsi="Arial" w:cs="Arial"/>
                <w:color w:val="000000"/>
                <w:sz w:val="20"/>
              </w:rPr>
              <w:br/>
            </w:r>
            <w:r>
              <w:rPr>
                <w:rFonts w:ascii="Arial" w:hAnsi="Arial" w:cs="Arial"/>
                <w:color w:val="000000"/>
                <w:sz w:val="20"/>
              </w:rPr>
              <w:br/>
              <w:t>(Major Submission)</w:t>
            </w:r>
          </w:p>
          <w:p w:rsidR="00613975" w:rsidRPr="00CA0C65" w:rsidRDefault="00613975" w:rsidP="00BD520B">
            <w:pPr>
              <w:contextualSpacing/>
              <w:rPr>
                <w:rFonts w:ascii="Arial" w:hAnsi="Arial" w:cs="Arial"/>
                <w:sz w:val="20"/>
                <w:highlight w:val="yellow"/>
              </w:rPr>
            </w:pPr>
          </w:p>
        </w:tc>
        <w:tc>
          <w:tcPr>
            <w:tcW w:w="2126" w:type="dxa"/>
            <w:vMerge w:val="restart"/>
          </w:tcPr>
          <w:p w:rsidR="00613975" w:rsidRPr="002B2BEC" w:rsidRDefault="00925326" w:rsidP="00BD520B">
            <w:pPr>
              <w:rPr>
                <w:rFonts w:ascii="Arial" w:hAnsi="Arial" w:cs="Arial"/>
                <w:sz w:val="20"/>
              </w:rPr>
            </w:pPr>
            <w:r w:rsidRPr="002B2BEC">
              <w:rPr>
                <w:rFonts w:ascii="Arial" w:hAnsi="Arial" w:cs="Arial"/>
                <w:sz w:val="20"/>
              </w:rPr>
              <w:t>The</w:t>
            </w:r>
            <w:r w:rsidR="002B2BEC" w:rsidRPr="002B2BEC">
              <w:rPr>
                <w:rFonts w:ascii="Arial" w:hAnsi="Arial" w:cs="Arial"/>
                <w:sz w:val="20"/>
              </w:rPr>
              <w:t xml:space="preserve"> treatment of </w:t>
            </w:r>
            <w:proofErr w:type="spellStart"/>
            <w:r w:rsidR="002B2BEC" w:rsidRPr="002B2BEC">
              <w:rPr>
                <w:rFonts w:ascii="Arial" w:hAnsi="Arial" w:cs="Arial"/>
                <w:sz w:val="20"/>
              </w:rPr>
              <w:t>mucopolysaccharidosis</w:t>
            </w:r>
            <w:proofErr w:type="spellEnd"/>
            <w:r w:rsidR="002B2BEC" w:rsidRPr="002B2BEC">
              <w:rPr>
                <w:rFonts w:ascii="Arial" w:hAnsi="Arial" w:cs="Arial"/>
                <w:sz w:val="20"/>
              </w:rPr>
              <w:t xml:space="preserve"> type IVA (MPS IVA; </w:t>
            </w:r>
            <w:proofErr w:type="spellStart"/>
            <w:r w:rsidR="002B2BEC" w:rsidRPr="002B2BEC">
              <w:rPr>
                <w:rFonts w:ascii="Arial" w:hAnsi="Arial" w:cs="Arial"/>
                <w:sz w:val="20"/>
              </w:rPr>
              <w:t>Morquio</w:t>
            </w:r>
            <w:proofErr w:type="spellEnd"/>
            <w:r w:rsidR="002B2BEC" w:rsidRPr="002B2BEC">
              <w:rPr>
                <w:rFonts w:ascii="Arial" w:hAnsi="Arial" w:cs="Arial"/>
                <w:sz w:val="20"/>
              </w:rPr>
              <w:t xml:space="preserve"> A syndrome).</w:t>
            </w:r>
          </w:p>
        </w:tc>
        <w:tc>
          <w:tcPr>
            <w:tcW w:w="2126" w:type="dxa"/>
            <w:vMerge w:val="restart"/>
          </w:tcPr>
          <w:p w:rsidR="00613975" w:rsidRPr="002B2BEC" w:rsidRDefault="002B2BEC" w:rsidP="00BD520B">
            <w:pPr>
              <w:rPr>
                <w:rFonts w:ascii="Arial" w:hAnsi="Arial" w:cs="Arial"/>
                <w:sz w:val="20"/>
              </w:rPr>
            </w:pPr>
            <w:r w:rsidRPr="002B2BEC">
              <w:rPr>
                <w:rFonts w:ascii="Arial" w:hAnsi="Arial" w:cs="Arial"/>
                <w:sz w:val="20"/>
              </w:rPr>
              <w:t xml:space="preserve">Not Listed </w:t>
            </w:r>
          </w:p>
        </w:tc>
        <w:tc>
          <w:tcPr>
            <w:tcW w:w="3733" w:type="dxa"/>
          </w:tcPr>
          <w:p w:rsidR="00CA0C65" w:rsidRPr="00907AA6" w:rsidRDefault="00BD520B" w:rsidP="00907AA6">
            <w:pPr>
              <w:rPr>
                <w:rFonts w:ascii="Arial" w:hAnsi="Arial" w:cs="Arial"/>
                <w:color w:val="000000"/>
                <w:sz w:val="20"/>
              </w:rPr>
            </w:pPr>
            <w:r>
              <w:rPr>
                <w:rFonts w:ascii="Arial" w:hAnsi="Arial" w:cs="Arial"/>
                <w:color w:val="000000"/>
                <w:sz w:val="20"/>
              </w:rPr>
              <w:t xml:space="preserve">Resubmission for Section 100 (Highly Specialised Drugs Programme) Authority Required listing for the treatment of patients with </w:t>
            </w:r>
            <w:proofErr w:type="spellStart"/>
            <w:r>
              <w:rPr>
                <w:rFonts w:ascii="Arial" w:hAnsi="Arial" w:cs="Arial"/>
                <w:color w:val="000000"/>
                <w:sz w:val="20"/>
              </w:rPr>
              <w:t>Mucopolysaccharidosis</w:t>
            </w:r>
            <w:proofErr w:type="spellEnd"/>
            <w:r>
              <w:rPr>
                <w:rFonts w:ascii="Arial" w:hAnsi="Arial" w:cs="Arial"/>
                <w:color w:val="000000"/>
                <w:sz w:val="20"/>
              </w:rPr>
              <w:t xml:space="preserve"> type IVA (MPS IVA; </w:t>
            </w:r>
            <w:proofErr w:type="spellStart"/>
            <w:r>
              <w:rPr>
                <w:rFonts w:ascii="Arial" w:hAnsi="Arial" w:cs="Arial"/>
                <w:color w:val="000000"/>
                <w:sz w:val="20"/>
              </w:rPr>
              <w:t>Morquio</w:t>
            </w:r>
            <w:proofErr w:type="spellEnd"/>
            <w:r>
              <w:rPr>
                <w:rFonts w:ascii="Arial" w:hAnsi="Arial" w:cs="Arial"/>
                <w:color w:val="000000"/>
                <w:sz w:val="20"/>
              </w:rPr>
              <w:t xml:space="preserve"> A Syndrome).</w:t>
            </w:r>
          </w:p>
        </w:tc>
        <w:tc>
          <w:tcPr>
            <w:tcW w:w="5339" w:type="dxa"/>
          </w:tcPr>
          <w:p w:rsidR="00C45D98" w:rsidRDefault="00D4718F" w:rsidP="00BD520B">
            <w:pPr>
              <w:rPr>
                <w:rFonts w:ascii="Arial" w:hAnsi="Arial" w:cs="Arial"/>
                <w:sz w:val="20"/>
              </w:rPr>
            </w:pPr>
            <w:r w:rsidRPr="00D4718F">
              <w:rPr>
                <w:rFonts w:ascii="Arial" w:hAnsi="Arial" w:cs="Arial"/>
                <w:sz w:val="20"/>
              </w:rPr>
              <w:t xml:space="preserve">The PBAC did not recommend the Authority Listing Section 100 PBS listing for </w:t>
            </w:r>
            <w:proofErr w:type="spellStart"/>
            <w:r w:rsidRPr="00D4718F">
              <w:rPr>
                <w:rFonts w:ascii="Arial" w:hAnsi="Arial" w:cs="Arial"/>
                <w:sz w:val="20"/>
              </w:rPr>
              <w:t>elosulfase</w:t>
            </w:r>
            <w:proofErr w:type="spellEnd"/>
            <w:r w:rsidRPr="00D4718F">
              <w:rPr>
                <w:rFonts w:ascii="Arial" w:hAnsi="Arial" w:cs="Arial"/>
                <w:sz w:val="20"/>
              </w:rPr>
              <w:t xml:space="preserve"> </w:t>
            </w:r>
            <w:proofErr w:type="spellStart"/>
            <w:r w:rsidRPr="00D4718F">
              <w:rPr>
                <w:rFonts w:ascii="Arial" w:hAnsi="Arial" w:cs="Arial"/>
                <w:sz w:val="20"/>
              </w:rPr>
              <w:t>alfa</w:t>
            </w:r>
            <w:proofErr w:type="spellEnd"/>
            <w:r w:rsidRPr="00D4718F">
              <w:rPr>
                <w:rFonts w:ascii="Arial" w:hAnsi="Arial" w:cs="Arial"/>
                <w:sz w:val="20"/>
              </w:rPr>
              <w:t xml:space="preserve"> for the treatment of patients with </w:t>
            </w:r>
            <w:proofErr w:type="spellStart"/>
            <w:r w:rsidRPr="00D4718F">
              <w:rPr>
                <w:rFonts w:ascii="Arial" w:hAnsi="Arial" w:cs="Arial"/>
                <w:sz w:val="20"/>
              </w:rPr>
              <w:t>mucopolysaccharidosis</w:t>
            </w:r>
            <w:proofErr w:type="spellEnd"/>
            <w:r w:rsidRPr="00D4718F">
              <w:rPr>
                <w:rFonts w:ascii="Arial" w:hAnsi="Arial" w:cs="Arial"/>
                <w:sz w:val="20"/>
              </w:rPr>
              <w:t xml:space="preserve"> (MPS) IVA (</w:t>
            </w:r>
            <w:proofErr w:type="spellStart"/>
            <w:r w:rsidRPr="00D4718F">
              <w:rPr>
                <w:rFonts w:ascii="Arial" w:hAnsi="Arial" w:cs="Arial"/>
                <w:sz w:val="20"/>
              </w:rPr>
              <w:t>Morquio</w:t>
            </w:r>
            <w:proofErr w:type="spellEnd"/>
            <w:r w:rsidRPr="00D4718F">
              <w:rPr>
                <w:rFonts w:ascii="Arial" w:hAnsi="Arial" w:cs="Arial"/>
                <w:sz w:val="20"/>
              </w:rPr>
              <w:t xml:space="preserve"> A Syndrome).</w:t>
            </w:r>
          </w:p>
          <w:p w:rsidR="00C45D98" w:rsidRDefault="00C45D98" w:rsidP="00BD520B">
            <w:pPr>
              <w:rPr>
                <w:rFonts w:ascii="Arial" w:hAnsi="Arial" w:cs="Arial"/>
                <w:sz w:val="20"/>
              </w:rPr>
            </w:pPr>
          </w:p>
          <w:p w:rsidR="006C6E12" w:rsidRDefault="00D4718F" w:rsidP="00BD520B">
            <w:pPr>
              <w:rPr>
                <w:rFonts w:ascii="Arial" w:hAnsi="Arial" w:cs="Arial"/>
                <w:sz w:val="20"/>
              </w:rPr>
            </w:pPr>
            <w:r w:rsidRPr="00D4718F">
              <w:rPr>
                <w:rFonts w:ascii="Arial" w:hAnsi="Arial" w:cs="Arial"/>
                <w:sz w:val="20"/>
              </w:rPr>
              <w:t xml:space="preserve">The PBAC considered that while there was sufficient basis to conclude that treatment with </w:t>
            </w:r>
            <w:proofErr w:type="spellStart"/>
            <w:r w:rsidRPr="00D4718F">
              <w:rPr>
                <w:rFonts w:ascii="Arial" w:hAnsi="Arial" w:cs="Arial"/>
                <w:sz w:val="20"/>
              </w:rPr>
              <w:t>elosulfase</w:t>
            </w:r>
            <w:proofErr w:type="spellEnd"/>
            <w:r w:rsidRPr="00D4718F">
              <w:rPr>
                <w:rFonts w:ascii="Arial" w:hAnsi="Arial" w:cs="Arial"/>
                <w:sz w:val="20"/>
              </w:rPr>
              <w:t xml:space="preserve"> </w:t>
            </w:r>
            <w:proofErr w:type="spellStart"/>
            <w:r w:rsidRPr="00D4718F">
              <w:rPr>
                <w:rFonts w:ascii="Arial" w:hAnsi="Arial" w:cs="Arial"/>
                <w:sz w:val="20"/>
              </w:rPr>
              <w:t>alfa</w:t>
            </w:r>
            <w:proofErr w:type="spellEnd"/>
            <w:r w:rsidRPr="00D4718F">
              <w:rPr>
                <w:rFonts w:ascii="Arial" w:hAnsi="Arial" w:cs="Arial"/>
                <w:sz w:val="20"/>
              </w:rPr>
              <w:t xml:space="preserve"> results in a </w:t>
            </w:r>
            <w:r w:rsidR="006706AA">
              <w:rPr>
                <w:rFonts w:ascii="Arial" w:hAnsi="Arial" w:cs="Arial"/>
                <w:sz w:val="20"/>
              </w:rPr>
              <w:t xml:space="preserve">small but meaningful clinical </w:t>
            </w:r>
            <w:r w:rsidRPr="00D4718F">
              <w:rPr>
                <w:rFonts w:ascii="Arial" w:hAnsi="Arial" w:cs="Arial"/>
                <w:sz w:val="20"/>
              </w:rPr>
              <w:t>improvement, the cost effectiveness of the drug was highly uncertain and unacceptable.</w:t>
            </w:r>
          </w:p>
          <w:p w:rsidR="00052C94" w:rsidRDefault="00052C94" w:rsidP="00BD520B">
            <w:pPr>
              <w:rPr>
                <w:rFonts w:ascii="Arial" w:hAnsi="Arial" w:cs="Arial"/>
                <w:sz w:val="20"/>
              </w:rPr>
            </w:pPr>
          </w:p>
          <w:p w:rsidR="006C6E12" w:rsidRDefault="006C6E12" w:rsidP="00BD520B">
            <w:pPr>
              <w:rPr>
                <w:rFonts w:ascii="Arial" w:hAnsi="Arial" w:cs="Arial"/>
                <w:sz w:val="20"/>
              </w:rPr>
            </w:pPr>
            <w:r w:rsidRPr="006C6E12">
              <w:rPr>
                <w:rFonts w:ascii="Arial" w:hAnsi="Arial" w:cs="Arial"/>
                <w:sz w:val="20"/>
              </w:rPr>
              <w:t xml:space="preserve">On the basis of direct evidence presented by the submission, a person treated with </w:t>
            </w:r>
            <w:proofErr w:type="spellStart"/>
            <w:r w:rsidRPr="006C6E12">
              <w:rPr>
                <w:rFonts w:ascii="Arial" w:hAnsi="Arial" w:cs="Arial"/>
                <w:sz w:val="20"/>
              </w:rPr>
              <w:t>elosulfase</w:t>
            </w:r>
            <w:proofErr w:type="spellEnd"/>
            <w:r w:rsidRPr="006C6E12">
              <w:rPr>
                <w:rFonts w:ascii="Arial" w:hAnsi="Arial" w:cs="Arial"/>
                <w:sz w:val="20"/>
              </w:rPr>
              <w:t xml:space="preserve"> </w:t>
            </w:r>
            <w:proofErr w:type="spellStart"/>
            <w:r w:rsidRPr="006C6E12">
              <w:rPr>
                <w:rFonts w:ascii="Arial" w:hAnsi="Arial" w:cs="Arial"/>
                <w:sz w:val="20"/>
              </w:rPr>
              <w:t>alfa</w:t>
            </w:r>
            <w:proofErr w:type="spellEnd"/>
            <w:r w:rsidRPr="006C6E12">
              <w:rPr>
                <w:rFonts w:ascii="Arial" w:hAnsi="Arial" w:cs="Arial"/>
                <w:sz w:val="20"/>
              </w:rPr>
              <w:t xml:space="preserve"> compared to placebo could expect an average improvement of 22.5 metres at 24 weeks from their baseline</w:t>
            </w:r>
            <w:r w:rsidR="001D688E">
              <w:rPr>
                <w:rFonts w:ascii="Arial" w:hAnsi="Arial" w:cs="Arial"/>
                <w:sz w:val="20"/>
              </w:rPr>
              <w:t xml:space="preserve"> six minute walk test (</w:t>
            </w:r>
            <w:r w:rsidRPr="006C6E12">
              <w:rPr>
                <w:rFonts w:ascii="Arial" w:hAnsi="Arial" w:cs="Arial"/>
                <w:sz w:val="20"/>
              </w:rPr>
              <w:t>6MWT</w:t>
            </w:r>
            <w:r w:rsidR="001D688E">
              <w:rPr>
                <w:rFonts w:ascii="Arial" w:hAnsi="Arial" w:cs="Arial"/>
                <w:sz w:val="20"/>
              </w:rPr>
              <w:t>)</w:t>
            </w:r>
            <w:r w:rsidRPr="006C6E12">
              <w:rPr>
                <w:rFonts w:ascii="Arial" w:hAnsi="Arial" w:cs="Arial"/>
                <w:sz w:val="20"/>
              </w:rPr>
              <w:t xml:space="preserve"> distance.</w:t>
            </w:r>
            <w:r w:rsidR="006706AA">
              <w:rPr>
                <w:rFonts w:ascii="Arial" w:hAnsi="Arial" w:cs="Arial"/>
                <w:sz w:val="20"/>
              </w:rPr>
              <w:t xml:space="preserve"> T</w:t>
            </w:r>
            <w:r w:rsidRPr="006C6E12">
              <w:rPr>
                <w:rFonts w:ascii="Arial" w:hAnsi="Arial" w:cs="Arial"/>
                <w:sz w:val="20"/>
              </w:rPr>
              <w:t xml:space="preserve">his could be expected to improve to 45.2m at one year and 55.1m at two </w:t>
            </w:r>
            <w:r>
              <w:rPr>
                <w:rFonts w:ascii="Arial" w:hAnsi="Arial" w:cs="Arial"/>
                <w:sz w:val="20"/>
              </w:rPr>
              <w:t xml:space="preserve">years. However, this improvement was heterogeneous. </w:t>
            </w:r>
          </w:p>
          <w:p w:rsidR="006C6E12" w:rsidRDefault="006C6E12" w:rsidP="00BD520B">
            <w:pPr>
              <w:rPr>
                <w:rFonts w:ascii="Arial" w:hAnsi="Arial" w:cs="Arial"/>
                <w:sz w:val="20"/>
              </w:rPr>
            </w:pPr>
          </w:p>
          <w:p w:rsidR="006C6E12" w:rsidRPr="006C6E12" w:rsidRDefault="006706AA" w:rsidP="006C6E12">
            <w:pPr>
              <w:rPr>
                <w:rFonts w:ascii="Arial" w:hAnsi="Arial" w:cs="Arial"/>
                <w:sz w:val="20"/>
              </w:rPr>
            </w:pPr>
            <w:r>
              <w:rPr>
                <w:rFonts w:ascii="Arial" w:hAnsi="Arial" w:cs="Arial"/>
                <w:sz w:val="20"/>
              </w:rPr>
              <w:t>With respect to safety</w:t>
            </w:r>
            <w:r w:rsidR="006C6E12" w:rsidRPr="006C6E12">
              <w:rPr>
                <w:rFonts w:ascii="Arial" w:hAnsi="Arial" w:cs="Arial"/>
                <w:sz w:val="20"/>
              </w:rPr>
              <w:t xml:space="preserve">, for every 100 patients treated with </w:t>
            </w:r>
            <w:proofErr w:type="spellStart"/>
            <w:r w:rsidR="006C6E12" w:rsidRPr="006C6E12">
              <w:rPr>
                <w:rFonts w:ascii="Arial" w:hAnsi="Arial" w:cs="Arial"/>
                <w:sz w:val="20"/>
              </w:rPr>
              <w:t>elosulfase</w:t>
            </w:r>
            <w:proofErr w:type="spellEnd"/>
            <w:r w:rsidR="006C6E12" w:rsidRPr="006C6E12">
              <w:rPr>
                <w:rFonts w:ascii="Arial" w:hAnsi="Arial" w:cs="Arial"/>
                <w:sz w:val="20"/>
              </w:rPr>
              <w:t xml:space="preserve"> </w:t>
            </w:r>
            <w:proofErr w:type="spellStart"/>
            <w:r w:rsidR="006C6E12" w:rsidRPr="006C6E12">
              <w:rPr>
                <w:rFonts w:ascii="Arial" w:hAnsi="Arial" w:cs="Arial"/>
                <w:sz w:val="20"/>
              </w:rPr>
              <w:t>alfa</w:t>
            </w:r>
            <w:proofErr w:type="spellEnd"/>
            <w:r w:rsidR="006C6E12" w:rsidRPr="006C6E12">
              <w:rPr>
                <w:rFonts w:ascii="Arial" w:hAnsi="Arial" w:cs="Arial"/>
                <w:sz w:val="20"/>
              </w:rPr>
              <w:t xml:space="preserve"> in comparison to placebo for 24 weeks:</w:t>
            </w:r>
          </w:p>
          <w:p w:rsidR="006C6E12" w:rsidRPr="006C6E12" w:rsidRDefault="006C6E12" w:rsidP="00C45D98">
            <w:pPr>
              <w:numPr>
                <w:ilvl w:val="0"/>
                <w:numId w:val="13"/>
              </w:numPr>
              <w:rPr>
                <w:rFonts w:ascii="Arial" w:hAnsi="Arial" w:cs="Arial"/>
                <w:sz w:val="20"/>
              </w:rPr>
            </w:pPr>
            <w:r w:rsidRPr="006C6E12">
              <w:rPr>
                <w:rFonts w:ascii="Arial" w:hAnsi="Arial" w:cs="Arial"/>
                <w:sz w:val="20"/>
              </w:rPr>
              <w:t xml:space="preserve">Approximately 12 additional patients will experience a serious adverse event. </w:t>
            </w:r>
          </w:p>
          <w:p w:rsidR="006C6E12" w:rsidRPr="006C6E12" w:rsidRDefault="006C6E12" w:rsidP="00C45D98">
            <w:pPr>
              <w:numPr>
                <w:ilvl w:val="0"/>
                <w:numId w:val="13"/>
              </w:numPr>
              <w:rPr>
                <w:rFonts w:ascii="Arial" w:hAnsi="Arial" w:cs="Arial"/>
                <w:sz w:val="20"/>
              </w:rPr>
            </w:pPr>
            <w:r w:rsidRPr="006C6E12">
              <w:rPr>
                <w:rFonts w:ascii="Arial" w:hAnsi="Arial" w:cs="Arial"/>
                <w:sz w:val="20"/>
              </w:rPr>
              <w:t xml:space="preserve">Approximately 18 additional patients will experience a moderate to severe infusion associated reaction. </w:t>
            </w:r>
          </w:p>
          <w:p w:rsidR="006C6E12" w:rsidRPr="006C6E12" w:rsidRDefault="006C6E12" w:rsidP="00C45D98">
            <w:pPr>
              <w:numPr>
                <w:ilvl w:val="0"/>
                <w:numId w:val="13"/>
              </w:numPr>
              <w:rPr>
                <w:rFonts w:ascii="Arial" w:hAnsi="Arial" w:cs="Arial"/>
                <w:sz w:val="20"/>
              </w:rPr>
            </w:pPr>
            <w:r w:rsidRPr="006C6E12">
              <w:rPr>
                <w:rFonts w:ascii="Arial" w:hAnsi="Arial" w:cs="Arial"/>
                <w:sz w:val="20"/>
              </w:rPr>
              <w:t>Approximately 19 additional patients will experience pyrexia.</w:t>
            </w:r>
          </w:p>
          <w:p w:rsidR="002F2D05" w:rsidRPr="00C45D98" w:rsidRDefault="006C6E12" w:rsidP="00BD520B">
            <w:pPr>
              <w:numPr>
                <w:ilvl w:val="0"/>
                <w:numId w:val="13"/>
              </w:numPr>
              <w:rPr>
                <w:rFonts w:ascii="Arial" w:hAnsi="Arial" w:cs="Arial"/>
                <w:sz w:val="20"/>
              </w:rPr>
            </w:pPr>
            <w:r w:rsidRPr="006C6E12">
              <w:rPr>
                <w:rFonts w:ascii="Arial" w:hAnsi="Arial" w:cs="Arial"/>
                <w:sz w:val="20"/>
              </w:rPr>
              <w:t>Approximately 24 additional patients will experience vomiting.</w:t>
            </w:r>
          </w:p>
        </w:tc>
      </w:tr>
      <w:tr w:rsidR="00613975" w:rsidRPr="009B735A" w:rsidTr="00C23FA7">
        <w:trPr>
          <w:trHeight w:val="433"/>
        </w:trPr>
        <w:tc>
          <w:tcPr>
            <w:tcW w:w="2363"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3733" w:type="dxa"/>
          </w:tcPr>
          <w:p w:rsidR="00613975" w:rsidRPr="00CA0C65" w:rsidRDefault="00613975" w:rsidP="00BD520B">
            <w:pPr>
              <w:pStyle w:val="ListBullet"/>
            </w:pPr>
            <w:r w:rsidRPr="00CA0C65">
              <w:t xml:space="preserve">Comparator:  </w:t>
            </w:r>
            <w:r w:rsidR="00D4718F" w:rsidRPr="00FC082E">
              <w:t>Placebo in combination with standard medical management</w:t>
            </w:r>
            <w:r w:rsidR="00C45D98">
              <w:t>.</w:t>
            </w:r>
          </w:p>
        </w:tc>
        <w:tc>
          <w:tcPr>
            <w:tcW w:w="5339" w:type="dxa"/>
          </w:tcPr>
          <w:p w:rsidR="00CA0C65" w:rsidRPr="00CA0C65" w:rsidRDefault="00A24F2E" w:rsidP="00D4718F">
            <w:pPr>
              <w:rPr>
                <w:rFonts w:ascii="Arial" w:hAnsi="Arial" w:cs="Arial"/>
                <w:sz w:val="20"/>
                <w:highlight w:val="yellow"/>
              </w:rPr>
            </w:pPr>
            <w:r>
              <w:rPr>
                <w:rFonts w:ascii="Arial" w:hAnsi="Arial" w:cs="Arial"/>
                <w:sz w:val="20"/>
              </w:rPr>
              <w:t>Accepted</w:t>
            </w:r>
            <w:r w:rsidR="00D4718F">
              <w:rPr>
                <w:rFonts w:ascii="Arial" w:hAnsi="Arial" w:cs="Arial"/>
                <w:sz w:val="20"/>
              </w:rPr>
              <w:t xml:space="preserve">. </w:t>
            </w:r>
            <w:r w:rsidR="002D4410">
              <w:rPr>
                <w:rFonts w:ascii="Arial" w:hAnsi="Arial" w:cs="Arial"/>
                <w:sz w:val="20"/>
              </w:rPr>
              <w:t xml:space="preserve"> </w:t>
            </w:r>
          </w:p>
        </w:tc>
      </w:tr>
      <w:tr w:rsidR="00613975" w:rsidRPr="009B735A" w:rsidTr="00C23FA7">
        <w:trPr>
          <w:trHeight w:val="433"/>
        </w:trPr>
        <w:tc>
          <w:tcPr>
            <w:tcW w:w="2363"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3733" w:type="dxa"/>
          </w:tcPr>
          <w:p w:rsidR="00613975" w:rsidRPr="00CA0C65" w:rsidRDefault="00613975" w:rsidP="00BD520B">
            <w:pPr>
              <w:pStyle w:val="ListBullet"/>
            </w:pPr>
            <w:r w:rsidRPr="00CA0C65">
              <w:t xml:space="preserve">Clinical claim:  </w:t>
            </w:r>
            <w:proofErr w:type="spellStart"/>
            <w:r w:rsidR="00D4718F" w:rsidRPr="00DB4525">
              <w:rPr>
                <w:lang w:val="en-US"/>
              </w:rPr>
              <w:t>elosulfase</w:t>
            </w:r>
            <w:proofErr w:type="spellEnd"/>
            <w:r w:rsidR="00D4718F" w:rsidRPr="00DB4525">
              <w:rPr>
                <w:lang w:val="en-US"/>
              </w:rPr>
              <w:t xml:space="preserve"> </w:t>
            </w:r>
            <w:proofErr w:type="spellStart"/>
            <w:r w:rsidR="00D4718F" w:rsidRPr="00DB4525">
              <w:rPr>
                <w:lang w:val="en-US"/>
              </w:rPr>
              <w:t>alfa</w:t>
            </w:r>
            <w:proofErr w:type="spellEnd"/>
            <w:r w:rsidR="00D4718F" w:rsidRPr="00DB4525">
              <w:rPr>
                <w:lang w:val="en-US"/>
              </w:rPr>
              <w:t xml:space="preserve"> as superior to placebo in terms of efficacy but associated with a slightly greater incidence of adverse events.</w:t>
            </w:r>
          </w:p>
          <w:p w:rsidR="00613975" w:rsidRPr="00CA0C65" w:rsidRDefault="00613975" w:rsidP="00BD520B">
            <w:pPr>
              <w:pStyle w:val="ListBullet"/>
            </w:pPr>
          </w:p>
        </w:tc>
        <w:tc>
          <w:tcPr>
            <w:tcW w:w="5339" w:type="dxa"/>
          </w:tcPr>
          <w:p w:rsidR="002D4410" w:rsidRDefault="00A24F2E" w:rsidP="00BD520B">
            <w:pPr>
              <w:rPr>
                <w:rFonts w:ascii="Arial" w:hAnsi="Arial" w:cs="Arial"/>
                <w:sz w:val="20"/>
              </w:rPr>
            </w:pPr>
            <w:r>
              <w:rPr>
                <w:rFonts w:ascii="Arial" w:hAnsi="Arial" w:cs="Arial"/>
                <w:sz w:val="20"/>
              </w:rPr>
              <w:t>Accepted</w:t>
            </w:r>
            <w:r w:rsidR="00D4718F">
              <w:rPr>
                <w:rFonts w:ascii="Arial" w:hAnsi="Arial" w:cs="Arial"/>
                <w:sz w:val="20"/>
              </w:rPr>
              <w:t xml:space="preserve">. </w:t>
            </w:r>
            <w:r w:rsidR="002D4410">
              <w:rPr>
                <w:rFonts w:ascii="Arial" w:hAnsi="Arial" w:cs="Arial"/>
                <w:sz w:val="20"/>
              </w:rPr>
              <w:t xml:space="preserve">The clinical evidence provided in the submission included </w:t>
            </w:r>
            <w:r w:rsidR="002D4410" w:rsidRPr="002D4410">
              <w:rPr>
                <w:rFonts w:ascii="Arial" w:hAnsi="Arial" w:cs="Arial"/>
                <w:sz w:val="20"/>
              </w:rPr>
              <w:t xml:space="preserve">one head-to-head trial comparing </w:t>
            </w:r>
            <w:proofErr w:type="spellStart"/>
            <w:r w:rsidR="002D4410" w:rsidRPr="002D4410">
              <w:rPr>
                <w:rFonts w:ascii="Arial" w:hAnsi="Arial" w:cs="Arial"/>
                <w:sz w:val="20"/>
              </w:rPr>
              <w:t>elosulfase</w:t>
            </w:r>
            <w:proofErr w:type="spellEnd"/>
            <w:r w:rsidR="002D4410" w:rsidRPr="002D4410">
              <w:rPr>
                <w:rFonts w:ascii="Arial" w:hAnsi="Arial" w:cs="Arial"/>
                <w:sz w:val="20"/>
              </w:rPr>
              <w:t xml:space="preserve"> </w:t>
            </w:r>
            <w:proofErr w:type="spellStart"/>
            <w:r w:rsidR="002D4410" w:rsidRPr="002D4410">
              <w:rPr>
                <w:rFonts w:ascii="Arial" w:hAnsi="Arial" w:cs="Arial"/>
                <w:sz w:val="20"/>
              </w:rPr>
              <w:t>alfa</w:t>
            </w:r>
            <w:proofErr w:type="spellEnd"/>
            <w:r w:rsidR="002D4410" w:rsidRPr="002D4410">
              <w:rPr>
                <w:rFonts w:ascii="Arial" w:hAnsi="Arial" w:cs="Arial"/>
                <w:sz w:val="20"/>
              </w:rPr>
              <w:t xml:space="preserve"> to placebo, three additional open label </w:t>
            </w:r>
            <w:proofErr w:type="spellStart"/>
            <w:r w:rsidR="002D4410" w:rsidRPr="002D4410">
              <w:rPr>
                <w:rFonts w:ascii="Arial" w:hAnsi="Arial" w:cs="Arial"/>
                <w:sz w:val="20"/>
              </w:rPr>
              <w:t>elosulfase</w:t>
            </w:r>
            <w:proofErr w:type="spellEnd"/>
            <w:r w:rsidR="002D4410" w:rsidRPr="002D4410">
              <w:rPr>
                <w:rFonts w:ascii="Arial" w:hAnsi="Arial" w:cs="Arial"/>
                <w:sz w:val="20"/>
              </w:rPr>
              <w:t xml:space="preserve"> </w:t>
            </w:r>
            <w:proofErr w:type="spellStart"/>
            <w:r w:rsidR="002D4410" w:rsidRPr="002D4410">
              <w:rPr>
                <w:rFonts w:ascii="Arial" w:hAnsi="Arial" w:cs="Arial"/>
                <w:sz w:val="20"/>
              </w:rPr>
              <w:t>alfa</w:t>
            </w:r>
            <w:proofErr w:type="spellEnd"/>
            <w:r w:rsidR="002D4410" w:rsidRPr="002D4410">
              <w:rPr>
                <w:rFonts w:ascii="Arial" w:hAnsi="Arial" w:cs="Arial"/>
                <w:sz w:val="20"/>
              </w:rPr>
              <w:t xml:space="preserve"> studies and </w:t>
            </w:r>
            <w:r w:rsidR="002D4410">
              <w:rPr>
                <w:rFonts w:ascii="Arial" w:hAnsi="Arial" w:cs="Arial"/>
                <w:sz w:val="20"/>
              </w:rPr>
              <w:t>two</w:t>
            </w:r>
            <w:r w:rsidR="002D4410" w:rsidRPr="002D4410">
              <w:rPr>
                <w:rFonts w:ascii="Arial" w:hAnsi="Arial" w:cs="Arial"/>
                <w:sz w:val="20"/>
              </w:rPr>
              <w:t xml:space="preserve"> prospective observational stu</w:t>
            </w:r>
            <w:r w:rsidR="002D4410">
              <w:rPr>
                <w:rFonts w:ascii="Arial" w:hAnsi="Arial" w:cs="Arial"/>
                <w:sz w:val="20"/>
              </w:rPr>
              <w:t>dies</w:t>
            </w:r>
            <w:r w:rsidR="002D4410" w:rsidRPr="002D4410">
              <w:rPr>
                <w:rFonts w:ascii="Arial" w:hAnsi="Arial" w:cs="Arial"/>
                <w:sz w:val="20"/>
              </w:rPr>
              <w:t xml:space="preserve">. </w:t>
            </w:r>
          </w:p>
          <w:p w:rsidR="00CA0C65" w:rsidRPr="00CA0C65" w:rsidRDefault="00CA0C65" w:rsidP="00BD520B">
            <w:pPr>
              <w:rPr>
                <w:rFonts w:ascii="Arial" w:hAnsi="Arial" w:cs="Arial"/>
                <w:sz w:val="20"/>
                <w:highlight w:val="yellow"/>
              </w:rPr>
            </w:pPr>
          </w:p>
        </w:tc>
      </w:tr>
      <w:tr w:rsidR="00613975" w:rsidRPr="009B735A" w:rsidTr="00C23FA7">
        <w:trPr>
          <w:trHeight w:val="433"/>
        </w:trPr>
        <w:tc>
          <w:tcPr>
            <w:tcW w:w="2363"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3733" w:type="dxa"/>
          </w:tcPr>
          <w:p w:rsidR="00613975" w:rsidRPr="00CA0C65" w:rsidRDefault="00613975" w:rsidP="00BD520B">
            <w:pPr>
              <w:pStyle w:val="ListBullet"/>
            </w:pPr>
            <w:r w:rsidRPr="00CA0C65">
              <w:t>Economic claim:</w:t>
            </w:r>
          </w:p>
          <w:p w:rsidR="00613975" w:rsidRPr="00CA0C65" w:rsidRDefault="00613975" w:rsidP="00BD520B">
            <w:pPr>
              <w:pStyle w:val="ListBullet"/>
            </w:pPr>
          </w:p>
        </w:tc>
        <w:tc>
          <w:tcPr>
            <w:tcW w:w="5339" w:type="dxa"/>
          </w:tcPr>
          <w:p w:rsidR="00C45D98" w:rsidRDefault="00A24F2E" w:rsidP="00F63AFD">
            <w:pPr>
              <w:rPr>
                <w:rFonts w:ascii="Arial" w:hAnsi="Arial" w:cs="Arial"/>
                <w:sz w:val="20"/>
              </w:rPr>
            </w:pPr>
            <w:r>
              <w:rPr>
                <w:rFonts w:ascii="Arial" w:hAnsi="Arial" w:cs="Arial"/>
                <w:sz w:val="20"/>
              </w:rPr>
              <w:t>Not Accepted</w:t>
            </w:r>
            <w:r w:rsidR="00D4718F">
              <w:rPr>
                <w:rFonts w:ascii="Arial" w:hAnsi="Arial" w:cs="Arial"/>
                <w:sz w:val="20"/>
              </w:rPr>
              <w:t>.</w:t>
            </w:r>
            <w:r w:rsidR="002D4410">
              <w:rPr>
                <w:rFonts w:ascii="Arial" w:hAnsi="Arial" w:cs="Arial"/>
                <w:sz w:val="20"/>
              </w:rPr>
              <w:t xml:space="preserve"> </w:t>
            </w:r>
            <w:r w:rsidR="002D4410" w:rsidRPr="002D4410">
              <w:rPr>
                <w:rFonts w:ascii="Arial" w:hAnsi="Arial" w:cs="Arial"/>
                <w:sz w:val="20"/>
              </w:rPr>
              <w:t xml:space="preserve">The PBAC did not consider </w:t>
            </w:r>
            <w:r w:rsidR="00F63AFD" w:rsidRPr="00F63AFD">
              <w:rPr>
                <w:rFonts w:ascii="Arial" w:hAnsi="Arial" w:cs="Arial"/>
                <w:sz w:val="20"/>
              </w:rPr>
              <w:t xml:space="preserve">the economic model was informative. </w:t>
            </w:r>
            <w:r w:rsidR="00B01F7E">
              <w:rPr>
                <w:rFonts w:ascii="Arial" w:hAnsi="Arial" w:cs="Arial"/>
                <w:sz w:val="20"/>
              </w:rPr>
              <w:t>The PBAC, in addition</w:t>
            </w:r>
            <w:r w:rsidR="009D77B4">
              <w:rPr>
                <w:rFonts w:ascii="Arial" w:hAnsi="Arial" w:cs="Arial"/>
                <w:sz w:val="20"/>
              </w:rPr>
              <w:t xml:space="preserve">, </w:t>
            </w:r>
            <w:r w:rsidR="00F63AFD" w:rsidRPr="00F63AFD">
              <w:rPr>
                <w:rFonts w:ascii="Arial" w:hAnsi="Arial" w:cs="Arial"/>
                <w:sz w:val="20"/>
              </w:rPr>
              <w:t xml:space="preserve">was uncertain about a survival gain for patients treated with </w:t>
            </w:r>
            <w:proofErr w:type="spellStart"/>
            <w:r w:rsidR="00F63AFD" w:rsidRPr="00F63AFD">
              <w:rPr>
                <w:rFonts w:ascii="Arial" w:hAnsi="Arial" w:cs="Arial"/>
                <w:sz w:val="20"/>
              </w:rPr>
              <w:t>elosulfase</w:t>
            </w:r>
            <w:proofErr w:type="spellEnd"/>
            <w:r w:rsidR="00F63AFD" w:rsidRPr="00F63AFD">
              <w:rPr>
                <w:rFonts w:ascii="Arial" w:hAnsi="Arial" w:cs="Arial"/>
                <w:sz w:val="20"/>
              </w:rPr>
              <w:t xml:space="preserve"> </w:t>
            </w:r>
            <w:proofErr w:type="spellStart"/>
            <w:r w:rsidR="00F63AFD" w:rsidRPr="00F63AFD">
              <w:rPr>
                <w:rFonts w:ascii="Arial" w:hAnsi="Arial" w:cs="Arial"/>
                <w:sz w:val="20"/>
              </w:rPr>
              <w:t>alfa</w:t>
            </w:r>
            <w:proofErr w:type="spellEnd"/>
            <w:r w:rsidR="009D77B4">
              <w:rPr>
                <w:rFonts w:ascii="Arial" w:hAnsi="Arial" w:cs="Arial"/>
                <w:sz w:val="20"/>
              </w:rPr>
              <w:t xml:space="preserve"> and the application of this gain in the economic analysis</w:t>
            </w:r>
            <w:r w:rsidR="00F63AFD" w:rsidRPr="00F63AFD">
              <w:rPr>
                <w:rFonts w:ascii="Arial" w:hAnsi="Arial" w:cs="Arial"/>
                <w:sz w:val="20"/>
              </w:rPr>
              <w:t>.</w:t>
            </w:r>
          </w:p>
          <w:p w:rsidR="00C45D98" w:rsidRDefault="00C45D98" w:rsidP="00F63AFD">
            <w:pPr>
              <w:rPr>
                <w:rFonts w:ascii="Arial" w:hAnsi="Arial" w:cs="Arial"/>
                <w:sz w:val="20"/>
              </w:rPr>
            </w:pPr>
          </w:p>
          <w:p w:rsidR="00F63AFD" w:rsidRDefault="00F63AFD" w:rsidP="00F63AFD">
            <w:pPr>
              <w:rPr>
                <w:rFonts w:ascii="Arial" w:hAnsi="Arial" w:cs="Arial"/>
                <w:sz w:val="20"/>
              </w:rPr>
            </w:pPr>
            <w:r w:rsidRPr="00F63AFD">
              <w:rPr>
                <w:rFonts w:ascii="Arial" w:hAnsi="Arial" w:cs="Arial"/>
                <w:sz w:val="20"/>
              </w:rPr>
              <w:t xml:space="preserve">The PBAC noted that inclusion of </w:t>
            </w:r>
            <w:r w:rsidR="009D77B4" w:rsidRPr="00F63AFD">
              <w:rPr>
                <w:rFonts w:ascii="Arial" w:hAnsi="Arial" w:cs="Arial"/>
                <w:sz w:val="20"/>
              </w:rPr>
              <w:t xml:space="preserve">the resubmission’s proposed pay-for-performance arrangement and </w:t>
            </w:r>
            <w:r w:rsidR="009D77B4">
              <w:rPr>
                <w:rFonts w:ascii="Arial" w:hAnsi="Arial" w:cs="Arial"/>
                <w:sz w:val="20"/>
              </w:rPr>
              <w:t xml:space="preserve">financial </w:t>
            </w:r>
            <w:r w:rsidR="009D77B4" w:rsidRPr="00F63AFD">
              <w:rPr>
                <w:rFonts w:ascii="Arial" w:hAnsi="Arial" w:cs="Arial"/>
                <w:sz w:val="20"/>
              </w:rPr>
              <w:t>cap</w:t>
            </w:r>
            <w:r w:rsidR="009D77B4">
              <w:rPr>
                <w:rFonts w:ascii="Arial" w:hAnsi="Arial" w:cs="Arial"/>
                <w:sz w:val="20"/>
              </w:rPr>
              <w:t>s</w:t>
            </w:r>
            <w:r w:rsidR="009D77B4" w:rsidRPr="00F63AFD">
              <w:rPr>
                <w:rFonts w:ascii="Arial" w:hAnsi="Arial" w:cs="Arial"/>
                <w:sz w:val="20"/>
              </w:rPr>
              <w:t xml:space="preserve"> </w:t>
            </w:r>
            <w:r w:rsidRPr="00F63AFD">
              <w:rPr>
                <w:rFonts w:ascii="Arial" w:hAnsi="Arial" w:cs="Arial"/>
                <w:sz w:val="20"/>
              </w:rPr>
              <w:t xml:space="preserve">in the economic analysis did not substantially reduce the </w:t>
            </w:r>
            <w:r>
              <w:rPr>
                <w:rFonts w:ascii="Arial" w:hAnsi="Arial" w:cs="Arial"/>
                <w:sz w:val="20"/>
              </w:rPr>
              <w:t>incremental cost-effectiveness ratio at the price proposed by the sponsor</w:t>
            </w:r>
            <w:r w:rsidR="009D77B4">
              <w:rPr>
                <w:rFonts w:ascii="Arial" w:hAnsi="Arial" w:cs="Arial"/>
                <w:sz w:val="20"/>
              </w:rPr>
              <w:t xml:space="preserve">, nor </w:t>
            </w:r>
            <w:r w:rsidRPr="00F63AFD">
              <w:rPr>
                <w:rFonts w:ascii="Arial" w:hAnsi="Arial" w:cs="Arial"/>
                <w:sz w:val="20"/>
              </w:rPr>
              <w:t>adequately contain</w:t>
            </w:r>
            <w:r w:rsidR="006706AA">
              <w:rPr>
                <w:rFonts w:ascii="Arial" w:hAnsi="Arial" w:cs="Arial"/>
                <w:sz w:val="20"/>
              </w:rPr>
              <w:t>ed</w:t>
            </w:r>
            <w:r w:rsidRPr="00F63AFD">
              <w:rPr>
                <w:rFonts w:ascii="Arial" w:hAnsi="Arial" w:cs="Arial"/>
                <w:sz w:val="20"/>
              </w:rPr>
              <w:t xml:space="preserve"> the financial risk to the Commonwealth.</w:t>
            </w:r>
          </w:p>
          <w:p w:rsidR="00613975" w:rsidRPr="00CA0C65" w:rsidRDefault="00613975" w:rsidP="00BD520B">
            <w:pPr>
              <w:pStyle w:val="ListParagraph"/>
              <w:ind w:left="0"/>
              <w:rPr>
                <w:rFonts w:ascii="Arial" w:hAnsi="Arial" w:cs="Arial"/>
                <w:sz w:val="20"/>
                <w:szCs w:val="20"/>
                <w:highlight w:val="yellow"/>
              </w:rPr>
            </w:pPr>
          </w:p>
        </w:tc>
      </w:tr>
      <w:tr w:rsidR="00613975" w:rsidRPr="009B735A" w:rsidTr="00CB0656">
        <w:trPr>
          <w:trHeight w:val="3471"/>
        </w:trPr>
        <w:tc>
          <w:tcPr>
            <w:tcW w:w="2363"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2126" w:type="dxa"/>
            <w:vMerge/>
          </w:tcPr>
          <w:p w:rsidR="00613975" w:rsidRPr="00CA0C65" w:rsidRDefault="00613975" w:rsidP="00BD520B">
            <w:pPr>
              <w:rPr>
                <w:rFonts w:ascii="Arial" w:hAnsi="Arial" w:cs="Arial"/>
                <w:sz w:val="20"/>
              </w:rPr>
            </w:pPr>
          </w:p>
        </w:tc>
        <w:tc>
          <w:tcPr>
            <w:tcW w:w="3733" w:type="dxa"/>
          </w:tcPr>
          <w:p w:rsidR="00613975" w:rsidRPr="000805C6" w:rsidRDefault="00613975" w:rsidP="00BD520B">
            <w:pPr>
              <w:pStyle w:val="ListBullet"/>
            </w:pPr>
            <w:r w:rsidRPr="000805C6">
              <w:t>Sponsor’s comments:</w:t>
            </w:r>
          </w:p>
          <w:p w:rsidR="00613975" w:rsidRPr="00CA0C65" w:rsidRDefault="00613975" w:rsidP="00BD520B">
            <w:pPr>
              <w:pStyle w:val="ListBullet"/>
            </w:pPr>
          </w:p>
        </w:tc>
        <w:tc>
          <w:tcPr>
            <w:tcW w:w="5339" w:type="dxa"/>
          </w:tcPr>
          <w:p w:rsidR="0098248A" w:rsidRPr="00CA0C65" w:rsidRDefault="00C93FA9" w:rsidP="00BD520B">
            <w:pPr>
              <w:rPr>
                <w:rFonts w:ascii="Arial" w:hAnsi="Arial" w:cs="Arial"/>
                <w:sz w:val="20"/>
                <w:highlight w:val="yellow"/>
              </w:rPr>
            </w:pPr>
            <w:proofErr w:type="spellStart"/>
            <w:r w:rsidRPr="00C93FA9">
              <w:rPr>
                <w:rFonts w:ascii="Arial" w:hAnsi="Arial" w:cs="Arial"/>
                <w:sz w:val="20"/>
              </w:rPr>
              <w:t>BioMarin</w:t>
            </w:r>
            <w:proofErr w:type="spellEnd"/>
            <w:r w:rsidRPr="00C93FA9">
              <w:rPr>
                <w:rFonts w:ascii="Arial" w:hAnsi="Arial" w:cs="Arial"/>
                <w:sz w:val="20"/>
              </w:rPr>
              <w:t xml:space="preserve"> is committed to working with the PBAC and the Department of Health to make </w:t>
            </w:r>
            <w:proofErr w:type="spellStart"/>
            <w:r w:rsidRPr="00C93FA9">
              <w:rPr>
                <w:rFonts w:ascii="Arial" w:hAnsi="Arial" w:cs="Arial"/>
                <w:sz w:val="20"/>
              </w:rPr>
              <w:t>elosulfase</w:t>
            </w:r>
            <w:proofErr w:type="spellEnd"/>
            <w:r w:rsidRPr="00C93FA9">
              <w:rPr>
                <w:rFonts w:ascii="Arial" w:hAnsi="Arial" w:cs="Arial"/>
                <w:sz w:val="20"/>
              </w:rPr>
              <w:t xml:space="preserve"> </w:t>
            </w:r>
            <w:proofErr w:type="spellStart"/>
            <w:r w:rsidRPr="00C93FA9">
              <w:rPr>
                <w:rFonts w:ascii="Arial" w:hAnsi="Arial" w:cs="Arial"/>
                <w:sz w:val="20"/>
              </w:rPr>
              <w:t>alfa</w:t>
            </w:r>
            <w:proofErr w:type="spellEnd"/>
            <w:r w:rsidRPr="00C93FA9">
              <w:rPr>
                <w:rFonts w:ascii="Arial" w:hAnsi="Arial" w:cs="Arial"/>
                <w:sz w:val="20"/>
              </w:rPr>
              <w:t xml:space="preserve"> available on the PBS/LSDP for patients with MPS IVA</w:t>
            </w:r>
            <w:r>
              <w:rPr>
                <w:rFonts w:ascii="Arial" w:hAnsi="Arial" w:cs="Arial"/>
                <w:sz w:val="20"/>
              </w:rPr>
              <w:t>.</w:t>
            </w:r>
          </w:p>
        </w:tc>
      </w:tr>
      <w:tr w:rsidR="00F301A5" w:rsidRPr="009B735A" w:rsidTr="00C23FA7">
        <w:trPr>
          <w:trHeight w:val="433"/>
        </w:trPr>
        <w:tc>
          <w:tcPr>
            <w:tcW w:w="2363" w:type="dxa"/>
            <w:vMerge w:val="restart"/>
          </w:tcPr>
          <w:p w:rsidR="00052C94" w:rsidRDefault="002404C3" w:rsidP="00BD520B">
            <w:pPr>
              <w:rPr>
                <w:rFonts w:ascii="Arial" w:hAnsi="Arial" w:cs="Arial"/>
                <w:color w:val="000000"/>
                <w:sz w:val="20"/>
              </w:rPr>
            </w:pPr>
            <w:r>
              <w:rPr>
                <w:rFonts w:ascii="Arial" w:hAnsi="Arial" w:cs="Arial"/>
                <w:color w:val="000000"/>
                <w:sz w:val="20"/>
              </w:rPr>
              <w:lastRenderedPageBreak/>
              <w:t>ETANERCEPT</w:t>
            </w:r>
          </w:p>
          <w:p w:rsidR="00C45D98" w:rsidRDefault="002404C3" w:rsidP="00BD520B">
            <w:pPr>
              <w:rPr>
                <w:rFonts w:ascii="Arial" w:hAnsi="Arial" w:cs="Arial"/>
                <w:color w:val="000000"/>
                <w:sz w:val="20"/>
              </w:rPr>
            </w:pPr>
            <w:r>
              <w:rPr>
                <w:rFonts w:ascii="Arial" w:hAnsi="Arial" w:cs="Arial"/>
                <w:color w:val="000000"/>
                <w:sz w:val="20"/>
              </w:rPr>
              <w:br/>
              <w:t>25 mg injection [4 x 25 mg vials] (&amp;) inert substance diluent [4 x 1 mL syringes], 1 pack;</w:t>
            </w:r>
            <w:r>
              <w:rPr>
                <w:rFonts w:ascii="Arial" w:hAnsi="Arial" w:cs="Arial"/>
                <w:color w:val="000000"/>
                <w:sz w:val="20"/>
              </w:rPr>
              <w:br/>
              <w:t>50 mg in 1 mL single use pre-filled syringes, 4;</w:t>
            </w:r>
            <w:r>
              <w:rPr>
                <w:rFonts w:ascii="Arial" w:hAnsi="Arial" w:cs="Arial"/>
                <w:color w:val="000000"/>
                <w:sz w:val="20"/>
              </w:rPr>
              <w:br/>
              <w:t>50 mg in 1 mL single use auto-injector, 4</w:t>
            </w:r>
          </w:p>
          <w:p w:rsidR="002404C3" w:rsidRDefault="002404C3" w:rsidP="00BD520B">
            <w:pPr>
              <w:rPr>
                <w:rFonts w:ascii="Arial" w:hAnsi="Arial" w:cs="Arial"/>
                <w:color w:val="000000"/>
                <w:sz w:val="20"/>
              </w:rPr>
            </w:pPr>
            <w:r>
              <w:rPr>
                <w:rFonts w:ascii="Arial" w:hAnsi="Arial" w:cs="Arial"/>
                <w:color w:val="000000"/>
                <w:sz w:val="20"/>
              </w:rPr>
              <w:br/>
              <w:t>Enb</w:t>
            </w:r>
            <w:r w:rsidR="00C17C65">
              <w:rPr>
                <w:rFonts w:ascii="Arial" w:hAnsi="Arial" w:cs="Arial"/>
                <w:color w:val="000000"/>
                <w:sz w:val="20"/>
              </w:rPr>
              <w:t>rel®</w:t>
            </w:r>
            <w:r w:rsidR="00C17C65">
              <w:rPr>
                <w:rFonts w:ascii="Arial" w:hAnsi="Arial" w:cs="Arial"/>
                <w:color w:val="000000"/>
                <w:sz w:val="20"/>
              </w:rPr>
              <w:br/>
            </w:r>
            <w:r w:rsidR="00C17C65">
              <w:rPr>
                <w:rFonts w:ascii="Arial" w:hAnsi="Arial" w:cs="Arial"/>
                <w:color w:val="000000"/>
                <w:sz w:val="20"/>
              </w:rPr>
              <w:br/>
              <w:t>Pfizer Australia Pty Ltd</w:t>
            </w:r>
            <w:r w:rsidR="00C17C65">
              <w:rPr>
                <w:rFonts w:ascii="Arial" w:hAnsi="Arial" w:cs="Arial"/>
                <w:color w:val="000000"/>
                <w:sz w:val="20"/>
              </w:rPr>
              <w:br/>
            </w:r>
            <w:r>
              <w:rPr>
                <w:rFonts w:ascii="Arial" w:hAnsi="Arial" w:cs="Arial"/>
                <w:color w:val="000000"/>
                <w:sz w:val="20"/>
              </w:rPr>
              <w:t>Change to listing</w:t>
            </w:r>
            <w:r>
              <w:rPr>
                <w:rFonts w:ascii="Arial" w:hAnsi="Arial" w:cs="Arial"/>
                <w:color w:val="000000"/>
                <w:sz w:val="20"/>
              </w:rPr>
              <w:br/>
            </w:r>
            <w:r>
              <w:rPr>
                <w:rFonts w:ascii="Arial" w:hAnsi="Arial" w:cs="Arial"/>
                <w:color w:val="000000"/>
                <w:sz w:val="20"/>
              </w:rPr>
              <w:br/>
              <w:t>(Major Submission)</w:t>
            </w:r>
          </w:p>
          <w:p w:rsidR="00F301A5" w:rsidRPr="00CA0C65" w:rsidRDefault="00F301A5" w:rsidP="00BD520B">
            <w:pPr>
              <w:rPr>
                <w:rFonts w:ascii="Arial" w:hAnsi="Arial" w:cs="Arial"/>
                <w:sz w:val="20"/>
              </w:rPr>
            </w:pPr>
          </w:p>
        </w:tc>
        <w:tc>
          <w:tcPr>
            <w:tcW w:w="2126" w:type="dxa"/>
            <w:vMerge w:val="restart"/>
          </w:tcPr>
          <w:p w:rsidR="009E0523" w:rsidRDefault="00925326" w:rsidP="00BD520B">
            <w:pPr>
              <w:rPr>
                <w:rFonts w:ascii="Arial" w:hAnsi="Arial" w:cs="Arial"/>
                <w:sz w:val="20"/>
              </w:rPr>
            </w:pPr>
            <w:r>
              <w:rPr>
                <w:rFonts w:ascii="Arial" w:hAnsi="Arial" w:cs="Arial"/>
                <w:sz w:val="20"/>
              </w:rPr>
              <w:t>T</w:t>
            </w:r>
            <w:r w:rsidR="009E0523" w:rsidRPr="009E0523">
              <w:rPr>
                <w:rFonts w:ascii="Arial" w:hAnsi="Arial" w:cs="Arial"/>
                <w:sz w:val="20"/>
              </w:rPr>
              <w:t xml:space="preserve">reatment of adults with active </w:t>
            </w:r>
            <w:r w:rsidRPr="009E0523">
              <w:rPr>
                <w:rFonts w:ascii="Arial" w:hAnsi="Arial" w:cs="Arial"/>
                <w:sz w:val="20"/>
              </w:rPr>
              <w:t xml:space="preserve">non-radiographic axial </w:t>
            </w:r>
            <w:proofErr w:type="spellStart"/>
            <w:r w:rsidRPr="009E0523">
              <w:rPr>
                <w:rFonts w:ascii="Arial" w:hAnsi="Arial" w:cs="Arial"/>
                <w:sz w:val="20"/>
              </w:rPr>
              <w:t>spondyloarthritis</w:t>
            </w:r>
            <w:proofErr w:type="spellEnd"/>
            <w:r w:rsidRPr="009E0523">
              <w:rPr>
                <w:rFonts w:ascii="Arial" w:hAnsi="Arial" w:cs="Arial"/>
                <w:sz w:val="20"/>
              </w:rPr>
              <w:t xml:space="preserve"> (nr-</w:t>
            </w:r>
            <w:proofErr w:type="spellStart"/>
            <w:r w:rsidRPr="009E0523">
              <w:rPr>
                <w:rFonts w:ascii="Arial" w:hAnsi="Arial" w:cs="Arial"/>
                <w:sz w:val="20"/>
              </w:rPr>
              <w:t>axSpA</w:t>
            </w:r>
            <w:proofErr w:type="spellEnd"/>
            <w:r w:rsidRPr="009E0523">
              <w:rPr>
                <w:rFonts w:ascii="Arial" w:hAnsi="Arial" w:cs="Arial"/>
                <w:sz w:val="20"/>
              </w:rPr>
              <w:t xml:space="preserve">) </w:t>
            </w:r>
            <w:r w:rsidR="009E0523" w:rsidRPr="009E0523">
              <w:rPr>
                <w:rFonts w:ascii="Arial" w:hAnsi="Arial" w:cs="Arial"/>
                <w:sz w:val="20"/>
              </w:rPr>
              <w:t>with objective signs of inflammation as indicated by elevated C-reactive protein (CRP) and/or MRI change who have had an inadequate response to NSAIDs. Active disease is defined as a Bath Ankylosing Spondylitis Disease Activity Index (BASDAI) score of ≥ 4.</w:t>
            </w:r>
          </w:p>
          <w:p w:rsidR="00F301A5" w:rsidRPr="009E0523" w:rsidRDefault="00F301A5" w:rsidP="00052C94">
            <w:pPr>
              <w:rPr>
                <w:rFonts w:ascii="Arial" w:hAnsi="Arial" w:cs="Arial"/>
                <w:sz w:val="20"/>
              </w:rPr>
            </w:pPr>
          </w:p>
        </w:tc>
        <w:tc>
          <w:tcPr>
            <w:tcW w:w="2126" w:type="dxa"/>
            <w:vMerge w:val="restart"/>
          </w:tcPr>
          <w:p w:rsidR="009E0523" w:rsidRPr="009E0523" w:rsidRDefault="009E0523" w:rsidP="009E0523">
            <w:pPr>
              <w:rPr>
                <w:rFonts w:ascii="Arial" w:hAnsi="Arial" w:cs="Arial"/>
                <w:sz w:val="20"/>
              </w:rPr>
            </w:pPr>
            <w:r w:rsidRPr="009E0523">
              <w:rPr>
                <w:rFonts w:ascii="Arial" w:hAnsi="Arial" w:cs="Arial"/>
                <w:sz w:val="20"/>
              </w:rPr>
              <w:t>Severe active juvenile idiopathic arthritis</w:t>
            </w:r>
          </w:p>
          <w:p w:rsidR="009E0523" w:rsidRPr="009E0523" w:rsidRDefault="009E0523" w:rsidP="009E0523">
            <w:pPr>
              <w:rPr>
                <w:rFonts w:ascii="Arial" w:hAnsi="Arial" w:cs="Arial"/>
                <w:sz w:val="20"/>
              </w:rPr>
            </w:pPr>
          </w:p>
          <w:p w:rsidR="009E0523" w:rsidRPr="009E0523" w:rsidRDefault="009E0523" w:rsidP="009E0523">
            <w:pPr>
              <w:rPr>
                <w:rFonts w:ascii="Arial" w:hAnsi="Arial" w:cs="Arial"/>
                <w:sz w:val="20"/>
              </w:rPr>
            </w:pPr>
            <w:r w:rsidRPr="009E0523">
              <w:rPr>
                <w:rFonts w:ascii="Arial" w:hAnsi="Arial" w:cs="Arial"/>
                <w:sz w:val="20"/>
              </w:rPr>
              <w:t>Severe active rheumatoid arthritis</w:t>
            </w:r>
          </w:p>
          <w:p w:rsidR="009E0523" w:rsidRPr="009E0523" w:rsidRDefault="009E0523" w:rsidP="009E0523">
            <w:pPr>
              <w:rPr>
                <w:rFonts w:ascii="Arial" w:hAnsi="Arial" w:cs="Arial"/>
                <w:sz w:val="20"/>
              </w:rPr>
            </w:pPr>
          </w:p>
          <w:p w:rsidR="009E0523" w:rsidRPr="009E0523" w:rsidRDefault="009E0523" w:rsidP="009E0523">
            <w:pPr>
              <w:rPr>
                <w:rFonts w:ascii="Arial" w:hAnsi="Arial" w:cs="Arial"/>
                <w:sz w:val="20"/>
              </w:rPr>
            </w:pPr>
            <w:r w:rsidRPr="009E0523">
              <w:rPr>
                <w:rFonts w:ascii="Arial" w:hAnsi="Arial" w:cs="Arial"/>
                <w:sz w:val="20"/>
              </w:rPr>
              <w:t>Ankylosing spondylitis</w:t>
            </w:r>
          </w:p>
          <w:p w:rsidR="009E0523" w:rsidRPr="009E0523" w:rsidRDefault="009E0523" w:rsidP="009E0523">
            <w:pPr>
              <w:rPr>
                <w:rFonts w:ascii="Arial" w:hAnsi="Arial" w:cs="Arial"/>
                <w:sz w:val="20"/>
              </w:rPr>
            </w:pPr>
          </w:p>
          <w:p w:rsidR="009E0523" w:rsidRPr="009E0523" w:rsidRDefault="009E0523" w:rsidP="009E0523">
            <w:pPr>
              <w:rPr>
                <w:rFonts w:ascii="Arial" w:hAnsi="Arial" w:cs="Arial"/>
                <w:sz w:val="20"/>
              </w:rPr>
            </w:pPr>
            <w:r w:rsidRPr="009E0523">
              <w:rPr>
                <w:rFonts w:ascii="Arial" w:hAnsi="Arial" w:cs="Arial"/>
                <w:sz w:val="20"/>
              </w:rPr>
              <w:t>Severe psoriatic arthritis</w:t>
            </w:r>
          </w:p>
          <w:p w:rsidR="009E0523" w:rsidRPr="009E0523" w:rsidRDefault="009E0523" w:rsidP="009E0523">
            <w:pPr>
              <w:rPr>
                <w:rFonts w:ascii="Arial" w:hAnsi="Arial" w:cs="Arial"/>
                <w:sz w:val="20"/>
              </w:rPr>
            </w:pPr>
          </w:p>
          <w:p w:rsidR="009E0523" w:rsidRPr="009E0523" w:rsidRDefault="009E0523" w:rsidP="009E0523">
            <w:pPr>
              <w:rPr>
                <w:rFonts w:ascii="Arial" w:hAnsi="Arial" w:cs="Arial"/>
                <w:sz w:val="20"/>
              </w:rPr>
            </w:pPr>
            <w:r w:rsidRPr="009E0523">
              <w:rPr>
                <w:rFonts w:ascii="Arial" w:hAnsi="Arial" w:cs="Arial"/>
                <w:sz w:val="20"/>
              </w:rPr>
              <w:t>Sever chronic plaque psoriasis for adults</w:t>
            </w:r>
          </w:p>
          <w:p w:rsidR="009E0523" w:rsidRPr="009E0523" w:rsidRDefault="009E0523" w:rsidP="009E0523">
            <w:pPr>
              <w:rPr>
                <w:rFonts w:ascii="Arial" w:hAnsi="Arial" w:cs="Arial"/>
                <w:sz w:val="20"/>
              </w:rPr>
            </w:pPr>
          </w:p>
          <w:p w:rsidR="00F301A5" w:rsidRPr="00CA0C65" w:rsidRDefault="009E0523" w:rsidP="009E0523">
            <w:pPr>
              <w:rPr>
                <w:rFonts w:ascii="Arial" w:hAnsi="Arial" w:cs="Arial"/>
                <w:sz w:val="20"/>
              </w:rPr>
            </w:pPr>
            <w:r w:rsidRPr="009E0523">
              <w:rPr>
                <w:rFonts w:ascii="Arial" w:hAnsi="Arial" w:cs="Arial"/>
                <w:sz w:val="20"/>
              </w:rPr>
              <w:t>Severe chronic plaque for patients under 18 years of age</w:t>
            </w:r>
          </w:p>
        </w:tc>
        <w:tc>
          <w:tcPr>
            <w:tcW w:w="3733" w:type="dxa"/>
          </w:tcPr>
          <w:p w:rsidR="00BD520B" w:rsidRDefault="00BD520B" w:rsidP="00BD520B">
            <w:pPr>
              <w:rPr>
                <w:rFonts w:ascii="Arial" w:hAnsi="Arial" w:cs="Arial"/>
                <w:color w:val="000000"/>
                <w:sz w:val="20"/>
              </w:rPr>
            </w:pPr>
            <w:r>
              <w:rPr>
                <w:rFonts w:ascii="Arial" w:hAnsi="Arial" w:cs="Arial"/>
                <w:color w:val="000000"/>
                <w:sz w:val="20"/>
              </w:rPr>
              <w:t>Resubmission for Authority Required (STREAMLINED) listing for the treatment of adults with active non-radiographic axial spondyloarthritis.</w:t>
            </w:r>
          </w:p>
          <w:p w:rsidR="00F301A5" w:rsidRPr="000805C6" w:rsidRDefault="00F301A5" w:rsidP="00BD520B">
            <w:pPr>
              <w:pStyle w:val="ListBullet"/>
            </w:pPr>
          </w:p>
        </w:tc>
        <w:tc>
          <w:tcPr>
            <w:tcW w:w="5339" w:type="dxa"/>
          </w:tcPr>
          <w:p w:rsidR="00C45D98" w:rsidRDefault="009E0523" w:rsidP="007B0843">
            <w:pPr>
              <w:rPr>
                <w:rFonts w:ascii="Arial" w:hAnsi="Arial" w:cs="Arial"/>
                <w:sz w:val="20"/>
              </w:rPr>
            </w:pPr>
            <w:r w:rsidRPr="009E0523">
              <w:rPr>
                <w:rFonts w:ascii="Arial" w:hAnsi="Arial" w:cs="Arial"/>
                <w:sz w:val="20"/>
              </w:rPr>
              <w:t xml:space="preserve">The PBAC did not recommend </w:t>
            </w:r>
            <w:r w:rsidR="007B0843">
              <w:rPr>
                <w:rFonts w:ascii="Arial" w:hAnsi="Arial" w:cs="Arial"/>
                <w:sz w:val="20"/>
              </w:rPr>
              <w:t xml:space="preserve">listing of </w:t>
            </w:r>
            <w:r w:rsidRPr="009E0523">
              <w:rPr>
                <w:rFonts w:ascii="Arial" w:hAnsi="Arial" w:cs="Arial"/>
                <w:sz w:val="20"/>
              </w:rPr>
              <w:t xml:space="preserve">etanercept for active non-radiographic axial </w:t>
            </w:r>
            <w:proofErr w:type="spellStart"/>
            <w:r w:rsidRPr="009E0523">
              <w:rPr>
                <w:rFonts w:ascii="Arial" w:hAnsi="Arial" w:cs="Arial"/>
                <w:sz w:val="20"/>
              </w:rPr>
              <w:t>spondyloarthritis</w:t>
            </w:r>
            <w:proofErr w:type="spellEnd"/>
            <w:r w:rsidRPr="009E0523">
              <w:rPr>
                <w:rFonts w:ascii="Arial" w:hAnsi="Arial" w:cs="Arial"/>
                <w:sz w:val="20"/>
              </w:rPr>
              <w:t xml:space="preserve"> (nr-</w:t>
            </w:r>
            <w:proofErr w:type="spellStart"/>
            <w:r w:rsidRPr="009E0523">
              <w:rPr>
                <w:rFonts w:ascii="Arial" w:hAnsi="Arial" w:cs="Arial"/>
                <w:sz w:val="20"/>
              </w:rPr>
              <w:t>axSpA</w:t>
            </w:r>
            <w:proofErr w:type="spellEnd"/>
            <w:r w:rsidRPr="009E0523">
              <w:rPr>
                <w:rFonts w:ascii="Arial" w:hAnsi="Arial" w:cs="Arial"/>
                <w:sz w:val="20"/>
              </w:rPr>
              <w:t>) on the basis of an unacceptably high and uncertain incremental cost effectiveness ratio.</w:t>
            </w:r>
          </w:p>
          <w:p w:rsidR="00C45D98" w:rsidRDefault="00C45D98" w:rsidP="007B0843">
            <w:pPr>
              <w:rPr>
                <w:rFonts w:ascii="Arial" w:hAnsi="Arial" w:cs="Arial"/>
                <w:sz w:val="20"/>
              </w:rPr>
            </w:pPr>
          </w:p>
          <w:p w:rsidR="00C45D98" w:rsidRPr="00C45D98" w:rsidRDefault="009E0523" w:rsidP="007B0843">
            <w:pPr>
              <w:rPr>
                <w:rFonts w:ascii="Arial" w:hAnsi="Arial" w:cs="Arial"/>
                <w:sz w:val="20"/>
              </w:rPr>
            </w:pPr>
            <w:r w:rsidRPr="009E0523">
              <w:rPr>
                <w:rFonts w:ascii="Arial" w:hAnsi="Arial" w:cs="Arial"/>
                <w:sz w:val="20"/>
              </w:rPr>
              <w:t xml:space="preserve"> In addition, the PBAC considered that the patient population remained poorly defined and justified. The PBAC considered there is a clinical need for subsidised access to etanercept for this condition but noted that the clinical benefits of </w:t>
            </w:r>
            <w:proofErr w:type="spellStart"/>
            <w:r w:rsidRPr="009E0523">
              <w:rPr>
                <w:rFonts w:ascii="Arial" w:hAnsi="Arial" w:cs="Arial"/>
                <w:sz w:val="20"/>
              </w:rPr>
              <w:t>etanercept</w:t>
            </w:r>
            <w:proofErr w:type="spellEnd"/>
            <w:r w:rsidRPr="009E0523">
              <w:rPr>
                <w:rFonts w:ascii="Arial" w:hAnsi="Arial" w:cs="Arial"/>
                <w:sz w:val="20"/>
              </w:rPr>
              <w:t xml:space="preserve"> in nr-</w:t>
            </w:r>
            <w:proofErr w:type="spellStart"/>
            <w:r w:rsidRPr="009E0523">
              <w:rPr>
                <w:rFonts w:ascii="Arial" w:hAnsi="Arial" w:cs="Arial"/>
                <w:sz w:val="20"/>
              </w:rPr>
              <w:t>axSpA</w:t>
            </w:r>
            <w:proofErr w:type="spellEnd"/>
            <w:r w:rsidRPr="009E0523">
              <w:rPr>
                <w:rFonts w:ascii="Arial" w:hAnsi="Arial" w:cs="Arial"/>
                <w:sz w:val="20"/>
              </w:rPr>
              <w:t xml:space="preserve"> were modest.</w:t>
            </w:r>
          </w:p>
        </w:tc>
      </w:tr>
      <w:tr w:rsidR="00F301A5" w:rsidRPr="009B735A" w:rsidTr="00C23FA7">
        <w:trPr>
          <w:trHeight w:val="433"/>
        </w:trPr>
        <w:tc>
          <w:tcPr>
            <w:tcW w:w="2363"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3733" w:type="dxa"/>
          </w:tcPr>
          <w:p w:rsidR="00F301A5" w:rsidRPr="00CA0C65" w:rsidRDefault="009E0523" w:rsidP="00BD520B">
            <w:pPr>
              <w:pStyle w:val="ListBullet"/>
            </w:pPr>
            <w:r>
              <w:t xml:space="preserve">Comparator: </w:t>
            </w:r>
            <w:r w:rsidRPr="009E0523">
              <w:t>placebo</w:t>
            </w:r>
          </w:p>
          <w:p w:rsidR="00F301A5" w:rsidRPr="00CA0C65" w:rsidRDefault="00F301A5" w:rsidP="00BD520B">
            <w:pPr>
              <w:pStyle w:val="ListBullet"/>
            </w:pPr>
          </w:p>
        </w:tc>
        <w:tc>
          <w:tcPr>
            <w:tcW w:w="5339" w:type="dxa"/>
          </w:tcPr>
          <w:p w:rsidR="00F301A5" w:rsidRPr="00CA0C65" w:rsidRDefault="009E0523" w:rsidP="00BD520B">
            <w:pPr>
              <w:rPr>
                <w:rFonts w:ascii="Arial" w:hAnsi="Arial" w:cs="Arial"/>
                <w:sz w:val="20"/>
                <w:highlight w:val="yellow"/>
              </w:rPr>
            </w:pPr>
            <w:r w:rsidRPr="009E0523">
              <w:rPr>
                <w:rFonts w:ascii="Arial" w:hAnsi="Arial" w:cs="Arial"/>
                <w:sz w:val="20"/>
              </w:rPr>
              <w:t>Accepted: The PBAC recalled that it had previously accepted that placebo plus background NSAID treatment was the appropriate comparator.</w:t>
            </w:r>
          </w:p>
        </w:tc>
      </w:tr>
      <w:tr w:rsidR="00F301A5" w:rsidRPr="009B735A" w:rsidTr="00C23FA7">
        <w:trPr>
          <w:trHeight w:val="433"/>
        </w:trPr>
        <w:tc>
          <w:tcPr>
            <w:tcW w:w="2363"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3733" w:type="dxa"/>
          </w:tcPr>
          <w:p w:rsidR="00F301A5" w:rsidRPr="00CA0C65" w:rsidRDefault="009E0523" w:rsidP="00BD520B">
            <w:pPr>
              <w:pStyle w:val="ListBullet"/>
            </w:pPr>
            <w:r>
              <w:t>Clinical claim</w:t>
            </w:r>
            <w:r w:rsidRPr="009E0523">
              <w:t>: Etanercept was superior in terms of efficacy and inferior in terms of safety in comparison to placebo.</w:t>
            </w:r>
            <w:r w:rsidR="00F301A5" w:rsidRPr="00CA0C65">
              <w:t xml:space="preserve">  </w:t>
            </w:r>
          </w:p>
          <w:p w:rsidR="00F301A5" w:rsidRPr="00CA0C65" w:rsidRDefault="00F301A5" w:rsidP="00BD520B">
            <w:pPr>
              <w:pStyle w:val="ListBullet"/>
            </w:pPr>
          </w:p>
        </w:tc>
        <w:tc>
          <w:tcPr>
            <w:tcW w:w="5339" w:type="dxa"/>
          </w:tcPr>
          <w:p w:rsidR="00C45D98" w:rsidRDefault="009E0523" w:rsidP="009E0523">
            <w:pPr>
              <w:rPr>
                <w:rFonts w:ascii="Arial" w:hAnsi="Arial" w:cs="Arial"/>
                <w:sz w:val="20"/>
              </w:rPr>
            </w:pPr>
            <w:r w:rsidRPr="009E0523">
              <w:rPr>
                <w:rFonts w:ascii="Arial" w:hAnsi="Arial" w:cs="Arial"/>
                <w:sz w:val="20"/>
              </w:rPr>
              <w:t>Not accepted: The submission was based on a randomised control</w:t>
            </w:r>
            <w:r w:rsidR="00B42918">
              <w:rPr>
                <w:rFonts w:ascii="Arial" w:hAnsi="Arial" w:cs="Arial"/>
                <w:sz w:val="20"/>
              </w:rPr>
              <w:t>led</w:t>
            </w:r>
            <w:r w:rsidRPr="009E0523">
              <w:rPr>
                <w:rFonts w:ascii="Arial" w:hAnsi="Arial" w:cs="Arial"/>
                <w:sz w:val="20"/>
              </w:rPr>
              <w:t xml:space="preserve"> trial.</w:t>
            </w:r>
          </w:p>
          <w:p w:rsidR="00C45D98" w:rsidRDefault="00C45D98" w:rsidP="009E0523">
            <w:pPr>
              <w:rPr>
                <w:rFonts w:ascii="Arial" w:hAnsi="Arial" w:cs="Arial"/>
                <w:sz w:val="20"/>
              </w:rPr>
            </w:pPr>
          </w:p>
          <w:p w:rsidR="009E0523" w:rsidRPr="009E0523" w:rsidRDefault="009E0523" w:rsidP="009E0523">
            <w:pPr>
              <w:rPr>
                <w:rFonts w:ascii="Arial" w:hAnsi="Arial" w:cs="Arial"/>
                <w:sz w:val="20"/>
              </w:rPr>
            </w:pPr>
            <w:r w:rsidRPr="009E0523">
              <w:rPr>
                <w:rFonts w:ascii="Arial" w:hAnsi="Arial" w:cs="Arial"/>
                <w:sz w:val="20"/>
              </w:rPr>
              <w:t xml:space="preserve">Overall, the PBAC considered that the clinical benefits of </w:t>
            </w:r>
            <w:proofErr w:type="spellStart"/>
            <w:r w:rsidRPr="009E0523">
              <w:rPr>
                <w:rFonts w:ascii="Arial" w:hAnsi="Arial" w:cs="Arial"/>
                <w:sz w:val="20"/>
              </w:rPr>
              <w:t>etanercept</w:t>
            </w:r>
            <w:proofErr w:type="spellEnd"/>
            <w:r w:rsidRPr="009E0523">
              <w:rPr>
                <w:rFonts w:ascii="Arial" w:hAnsi="Arial" w:cs="Arial"/>
                <w:sz w:val="20"/>
              </w:rPr>
              <w:t xml:space="preserve"> in nr-</w:t>
            </w:r>
            <w:proofErr w:type="spellStart"/>
            <w:r w:rsidRPr="009E0523">
              <w:rPr>
                <w:rFonts w:ascii="Arial" w:hAnsi="Arial" w:cs="Arial"/>
                <w:sz w:val="20"/>
              </w:rPr>
              <w:t>axSpA</w:t>
            </w:r>
            <w:proofErr w:type="spellEnd"/>
            <w:r w:rsidRPr="009E0523">
              <w:rPr>
                <w:rFonts w:ascii="Arial" w:hAnsi="Arial" w:cs="Arial"/>
                <w:sz w:val="20"/>
              </w:rPr>
              <w:t xml:space="preserve"> were modest and the submission did not provide any new evidence to change the PBAC’s previous conclusion that the available evidence did not enable PBAC to characterise the likely magnitude of benefit with respect to patient relevant outcomes additional to the </w:t>
            </w:r>
            <w:r w:rsidR="007B0843">
              <w:rPr>
                <w:rFonts w:ascii="Arial" w:hAnsi="Arial" w:cs="Arial"/>
                <w:sz w:val="20"/>
              </w:rPr>
              <w:t xml:space="preserve">Assessment of </w:t>
            </w:r>
            <w:proofErr w:type="spellStart"/>
            <w:r w:rsidR="007B0843">
              <w:rPr>
                <w:rFonts w:ascii="Arial" w:hAnsi="Arial" w:cs="Arial"/>
                <w:sz w:val="20"/>
              </w:rPr>
              <w:t>Spondyloarthritis</w:t>
            </w:r>
            <w:proofErr w:type="spellEnd"/>
            <w:r w:rsidR="007B0843">
              <w:rPr>
                <w:rFonts w:ascii="Arial" w:hAnsi="Arial" w:cs="Arial"/>
                <w:sz w:val="20"/>
              </w:rPr>
              <w:t xml:space="preserve"> International Society criteria </w:t>
            </w:r>
            <w:r w:rsidRPr="009E0523">
              <w:rPr>
                <w:rFonts w:ascii="Arial" w:hAnsi="Arial" w:cs="Arial"/>
                <w:sz w:val="20"/>
              </w:rPr>
              <w:t>(such as disease progression) in patients with nr-</w:t>
            </w:r>
            <w:proofErr w:type="spellStart"/>
            <w:r w:rsidRPr="009E0523">
              <w:rPr>
                <w:rFonts w:ascii="Arial" w:hAnsi="Arial" w:cs="Arial"/>
                <w:sz w:val="20"/>
              </w:rPr>
              <w:t>axSpA</w:t>
            </w:r>
            <w:proofErr w:type="spellEnd"/>
            <w:r w:rsidRPr="009E0523">
              <w:rPr>
                <w:rFonts w:ascii="Arial" w:hAnsi="Arial" w:cs="Arial"/>
                <w:sz w:val="20"/>
              </w:rPr>
              <w:t xml:space="preserve"> or to define a patient population with a higher treatment response.</w:t>
            </w:r>
          </w:p>
          <w:p w:rsidR="009E0523" w:rsidRPr="009E0523" w:rsidRDefault="009E0523" w:rsidP="009E0523">
            <w:pPr>
              <w:rPr>
                <w:rFonts w:ascii="Arial" w:hAnsi="Arial" w:cs="Arial"/>
                <w:sz w:val="20"/>
              </w:rPr>
            </w:pPr>
          </w:p>
          <w:p w:rsidR="00F301A5" w:rsidRPr="00CA0C65" w:rsidRDefault="009E0523" w:rsidP="009E0523">
            <w:pPr>
              <w:rPr>
                <w:rFonts w:ascii="Arial" w:hAnsi="Arial" w:cs="Arial"/>
                <w:sz w:val="20"/>
                <w:highlight w:val="yellow"/>
              </w:rPr>
            </w:pPr>
            <w:r w:rsidRPr="009E0523">
              <w:rPr>
                <w:rFonts w:ascii="Arial" w:hAnsi="Arial" w:cs="Arial"/>
                <w:sz w:val="20"/>
              </w:rPr>
              <w:t>The PBAC previously considered that the claim of inferior comparative safety was reasonable.</w:t>
            </w:r>
          </w:p>
        </w:tc>
      </w:tr>
      <w:tr w:rsidR="00F301A5" w:rsidRPr="009B735A" w:rsidTr="00C23FA7">
        <w:trPr>
          <w:trHeight w:val="433"/>
        </w:trPr>
        <w:tc>
          <w:tcPr>
            <w:tcW w:w="2363"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3733" w:type="dxa"/>
          </w:tcPr>
          <w:p w:rsidR="00F301A5" w:rsidRPr="00CA0C65" w:rsidRDefault="00F301A5" w:rsidP="00BD520B">
            <w:pPr>
              <w:pStyle w:val="ListBullet"/>
            </w:pPr>
            <w:r w:rsidRPr="00CA0C65">
              <w:t>Economic claim:</w:t>
            </w:r>
            <w:r w:rsidR="009E0523">
              <w:t xml:space="preserve"> </w:t>
            </w:r>
            <w:r w:rsidR="009E0523" w:rsidRPr="009E0523">
              <w:t>a cost-utility analysis (CUA) of etanercept versus usual care</w:t>
            </w:r>
          </w:p>
          <w:p w:rsidR="00F301A5" w:rsidRPr="00CA0C65" w:rsidRDefault="00F301A5" w:rsidP="00BD520B">
            <w:pPr>
              <w:pStyle w:val="ListBullet"/>
            </w:pPr>
          </w:p>
        </w:tc>
        <w:tc>
          <w:tcPr>
            <w:tcW w:w="5339" w:type="dxa"/>
          </w:tcPr>
          <w:p w:rsidR="00C45D98" w:rsidRDefault="009E0523" w:rsidP="007B0843">
            <w:pPr>
              <w:rPr>
                <w:rFonts w:ascii="Arial" w:hAnsi="Arial" w:cs="Arial"/>
                <w:sz w:val="20"/>
              </w:rPr>
            </w:pPr>
            <w:r w:rsidRPr="009E0523">
              <w:rPr>
                <w:rFonts w:ascii="Arial" w:hAnsi="Arial" w:cs="Arial"/>
                <w:sz w:val="20"/>
              </w:rPr>
              <w:t>Not Accep</w:t>
            </w:r>
            <w:r w:rsidR="007B0843">
              <w:rPr>
                <w:rFonts w:ascii="Arial" w:hAnsi="Arial" w:cs="Arial"/>
                <w:sz w:val="20"/>
              </w:rPr>
              <w:t xml:space="preserve">ted. The PBAC considered that </w:t>
            </w:r>
            <w:r w:rsidRPr="009E0523">
              <w:rPr>
                <w:rFonts w:ascii="Arial" w:hAnsi="Arial" w:cs="Arial"/>
                <w:sz w:val="20"/>
              </w:rPr>
              <w:t xml:space="preserve">the extrapolation of a constant utility benefit associated with treatment with etanercept over 10 years was unrealistic and inappropriate, particularly in the context of a progressive disease, and given only 12 weeks of trial based data. </w:t>
            </w:r>
          </w:p>
          <w:p w:rsidR="00C45D98" w:rsidRDefault="00C45D98" w:rsidP="007B0843">
            <w:pPr>
              <w:rPr>
                <w:rFonts w:ascii="Arial" w:hAnsi="Arial" w:cs="Arial"/>
                <w:sz w:val="20"/>
              </w:rPr>
            </w:pPr>
          </w:p>
          <w:p w:rsidR="007B0843" w:rsidRPr="007B0843" w:rsidRDefault="009E0523" w:rsidP="007B0843">
            <w:pPr>
              <w:rPr>
                <w:rFonts w:ascii="Arial" w:hAnsi="Arial" w:cs="Arial"/>
                <w:sz w:val="20"/>
              </w:rPr>
            </w:pPr>
            <w:r w:rsidRPr="009E0523">
              <w:rPr>
                <w:rFonts w:ascii="Arial" w:hAnsi="Arial" w:cs="Arial"/>
                <w:sz w:val="20"/>
              </w:rPr>
              <w:t>At the same time, however</w:t>
            </w:r>
            <w:r w:rsidR="007B0843">
              <w:rPr>
                <w:rFonts w:ascii="Arial" w:hAnsi="Arial" w:cs="Arial"/>
                <w:sz w:val="20"/>
              </w:rPr>
              <w:t>,</w:t>
            </w:r>
            <w:r w:rsidRPr="009E0523">
              <w:rPr>
                <w:rFonts w:ascii="Arial" w:hAnsi="Arial" w:cs="Arial"/>
                <w:sz w:val="20"/>
              </w:rPr>
              <w:t xml:space="preserve"> the PBAC considered that a 10 year time horizon was considered too short </w:t>
            </w:r>
            <w:r w:rsidR="007B0843">
              <w:rPr>
                <w:rFonts w:ascii="Arial" w:hAnsi="Arial" w:cs="Arial"/>
                <w:sz w:val="20"/>
              </w:rPr>
              <w:t>in the context of</w:t>
            </w:r>
            <w:r w:rsidRPr="009E0523">
              <w:rPr>
                <w:rFonts w:ascii="Arial" w:hAnsi="Arial" w:cs="Arial"/>
                <w:sz w:val="20"/>
              </w:rPr>
              <w:t xml:space="preserve"> the condition. Overal</w:t>
            </w:r>
            <w:r w:rsidR="007B0843">
              <w:rPr>
                <w:rFonts w:ascii="Arial" w:hAnsi="Arial" w:cs="Arial"/>
                <w:sz w:val="20"/>
              </w:rPr>
              <w:t>l, the PBAC considered that the</w:t>
            </w:r>
            <w:r w:rsidRPr="009E0523">
              <w:rPr>
                <w:rFonts w:ascii="Arial" w:hAnsi="Arial" w:cs="Arial"/>
                <w:sz w:val="20"/>
              </w:rPr>
              <w:t xml:space="preserve"> incremental cost-effectiveness ratio (ICER) was unacceptably high and uncertain.</w:t>
            </w:r>
          </w:p>
        </w:tc>
      </w:tr>
      <w:tr w:rsidR="00F301A5" w:rsidRPr="009B735A" w:rsidTr="00CB0656">
        <w:trPr>
          <w:trHeight w:val="6759"/>
        </w:trPr>
        <w:tc>
          <w:tcPr>
            <w:tcW w:w="2363"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2126" w:type="dxa"/>
            <w:vMerge/>
          </w:tcPr>
          <w:p w:rsidR="00F301A5" w:rsidRPr="00CA0C65" w:rsidRDefault="00F301A5" w:rsidP="00BD520B">
            <w:pPr>
              <w:rPr>
                <w:rFonts w:ascii="Arial" w:hAnsi="Arial" w:cs="Arial"/>
                <w:sz w:val="20"/>
              </w:rPr>
            </w:pPr>
          </w:p>
        </w:tc>
        <w:tc>
          <w:tcPr>
            <w:tcW w:w="3733" w:type="dxa"/>
          </w:tcPr>
          <w:p w:rsidR="00F301A5" w:rsidRPr="000805C6" w:rsidRDefault="00F301A5" w:rsidP="00BD520B">
            <w:pPr>
              <w:pStyle w:val="ListBullet"/>
            </w:pPr>
            <w:r w:rsidRPr="000805C6">
              <w:t>Sponsor’s comments:</w:t>
            </w:r>
          </w:p>
          <w:p w:rsidR="00F301A5" w:rsidRPr="00C17C65" w:rsidRDefault="00F301A5" w:rsidP="00C17C65">
            <w:pPr>
              <w:rPr>
                <w:lang w:eastAsia="en-US"/>
              </w:rPr>
            </w:pPr>
          </w:p>
        </w:tc>
        <w:tc>
          <w:tcPr>
            <w:tcW w:w="5339" w:type="dxa"/>
          </w:tcPr>
          <w:p w:rsidR="006A772E" w:rsidRPr="006A772E" w:rsidRDefault="006A772E" w:rsidP="006A772E">
            <w:pPr>
              <w:rPr>
                <w:rFonts w:ascii="Arial" w:hAnsi="Arial" w:cs="Arial"/>
                <w:sz w:val="20"/>
                <w:lang w:val="en-US"/>
              </w:rPr>
            </w:pPr>
            <w:r w:rsidRPr="006A772E">
              <w:rPr>
                <w:rFonts w:ascii="Arial" w:hAnsi="Arial" w:cs="Arial"/>
                <w:sz w:val="20"/>
                <w:lang w:val="en-US"/>
              </w:rPr>
              <w:t xml:space="preserve">Pfizer Australia is pleased that the PBAC </w:t>
            </w:r>
            <w:proofErr w:type="spellStart"/>
            <w:r w:rsidRPr="006A772E">
              <w:rPr>
                <w:rFonts w:ascii="Arial" w:hAnsi="Arial" w:cs="Arial"/>
                <w:sz w:val="20"/>
                <w:lang w:val="en-US"/>
              </w:rPr>
              <w:t>recognised</w:t>
            </w:r>
            <w:proofErr w:type="spellEnd"/>
            <w:r w:rsidRPr="006A772E">
              <w:rPr>
                <w:rFonts w:ascii="Arial" w:hAnsi="Arial" w:cs="Arial"/>
                <w:sz w:val="20"/>
                <w:lang w:val="en-US"/>
              </w:rPr>
              <w:t xml:space="preserve"> the clinical need for </w:t>
            </w:r>
            <w:proofErr w:type="spellStart"/>
            <w:r w:rsidRPr="006A772E">
              <w:rPr>
                <w:rFonts w:ascii="Arial" w:hAnsi="Arial" w:cs="Arial"/>
                <w:sz w:val="20"/>
                <w:lang w:val="en-US"/>
              </w:rPr>
              <w:t>subsidised</w:t>
            </w:r>
            <w:proofErr w:type="spellEnd"/>
            <w:r w:rsidRPr="006A772E">
              <w:rPr>
                <w:rFonts w:ascii="Arial" w:hAnsi="Arial" w:cs="Arial"/>
                <w:sz w:val="20"/>
                <w:lang w:val="en-US"/>
              </w:rPr>
              <w:t xml:space="preserve"> treatment for nr-</w:t>
            </w:r>
            <w:proofErr w:type="spellStart"/>
            <w:r w:rsidRPr="006A772E">
              <w:rPr>
                <w:rFonts w:ascii="Arial" w:hAnsi="Arial" w:cs="Arial"/>
                <w:sz w:val="20"/>
                <w:lang w:val="en-US"/>
              </w:rPr>
              <w:t>axSpA</w:t>
            </w:r>
            <w:proofErr w:type="spellEnd"/>
            <w:r w:rsidRPr="006A772E">
              <w:rPr>
                <w:rFonts w:ascii="Arial" w:hAnsi="Arial" w:cs="Arial"/>
                <w:sz w:val="20"/>
                <w:lang w:val="en-US"/>
              </w:rPr>
              <w:t xml:space="preserve">. However, as we lodged a re-submission aimed at resolving the issues </w:t>
            </w:r>
            <w:proofErr w:type="gramStart"/>
            <w:r w:rsidRPr="006A772E">
              <w:rPr>
                <w:rFonts w:ascii="Arial" w:hAnsi="Arial" w:cs="Arial"/>
                <w:sz w:val="20"/>
                <w:lang w:val="en-US"/>
              </w:rPr>
              <w:t>raised</w:t>
            </w:r>
            <w:proofErr w:type="gramEnd"/>
            <w:r w:rsidRPr="006A772E">
              <w:rPr>
                <w:rFonts w:ascii="Arial" w:hAnsi="Arial" w:cs="Arial"/>
                <w:sz w:val="20"/>
                <w:lang w:val="en-US"/>
              </w:rPr>
              <w:t xml:space="preserve"> previously, we are disappointed that the PBAC did not recommend listing of </w:t>
            </w:r>
            <w:proofErr w:type="spellStart"/>
            <w:r w:rsidRPr="006A772E">
              <w:rPr>
                <w:rFonts w:ascii="Arial" w:hAnsi="Arial" w:cs="Arial"/>
                <w:sz w:val="20"/>
                <w:lang w:val="en-US"/>
              </w:rPr>
              <w:t>etanercept</w:t>
            </w:r>
            <w:proofErr w:type="spellEnd"/>
            <w:r w:rsidRPr="006A772E">
              <w:rPr>
                <w:rFonts w:ascii="Arial" w:hAnsi="Arial" w:cs="Arial"/>
                <w:sz w:val="20"/>
                <w:lang w:val="en-US"/>
              </w:rPr>
              <w:t xml:space="preserve"> for nr-</w:t>
            </w:r>
            <w:proofErr w:type="spellStart"/>
            <w:r w:rsidRPr="006A772E">
              <w:rPr>
                <w:rFonts w:ascii="Arial" w:hAnsi="Arial" w:cs="Arial"/>
                <w:sz w:val="20"/>
                <w:lang w:val="en-US"/>
              </w:rPr>
              <w:t>axSpA</w:t>
            </w:r>
            <w:proofErr w:type="spellEnd"/>
            <w:r w:rsidRPr="006A772E">
              <w:rPr>
                <w:rFonts w:ascii="Arial" w:hAnsi="Arial" w:cs="Arial"/>
                <w:sz w:val="20"/>
                <w:lang w:val="en-US"/>
              </w:rPr>
              <w:t>. This outcome means that patients with this disabling condition are still unable to access effective reimbursed treatment for their condition.  As a consequence of the outcome, we are considering our options at this time.</w:t>
            </w:r>
          </w:p>
          <w:p w:rsidR="00F301A5" w:rsidRPr="00CA0C65" w:rsidRDefault="00F301A5" w:rsidP="00BD520B">
            <w:pPr>
              <w:rPr>
                <w:rFonts w:ascii="Arial" w:hAnsi="Arial" w:cs="Arial"/>
                <w:sz w:val="20"/>
                <w:highlight w:val="yellow"/>
              </w:rPr>
            </w:pPr>
          </w:p>
        </w:tc>
      </w:tr>
      <w:tr w:rsidR="007B0843" w:rsidRPr="009B735A" w:rsidTr="00C23FA7">
        <w:trPr>
          <w:trHeight w:val="70"/>
        </w:trPr>
        <w:tc>
          <w:tcPr>
            <w:tcW w:w="2363" w:type="dxa"/>
            <w:vMerge w:val="restart"/>
          </w:tcPr>
          <w:p w:rsidR="007B0843" w:rsidRPr="007B0843" w:rsidRDefault="007B0843" w:rsidP="00BD520B">
            <w:pPr>
              <w:rPr>
                <w:rFonts w:ascii="Arial" w:hAnsi="Arial" w:cs="Arial"/>
                <w:color w:val="000000"/>
                <w:sz w:val="20"/>
              </w:rPr>
            </w:pPr>
            <w:r>
              <w:rPr>
                <w:rFonts w:ascii="Arial" w:hAnsi="Arial" w:cs="Arial"/>
                <w:color w:val="000000"/>
                <w:sz w:val="20"/>
              </w:rPr>
              <w:lastRenderedPageBreak/>
              <w:t>NINTEDANIB</w:t>
            </w:r>
            <w:r>
              <w:rPr>
                <w:rFonts w:ascii="Arial" w:hAnsi="Arial" w:cs="Arial"/>
                <w:color w:val="000000"/>
                <w:sz w:val="20"/>
              </w:rPr>
              <w:br/>
              <w:t>100 mg capsule, 60</w:t>
            </w:r>
            <w:r>
              <w:rPr>
                <w:rFonts w:ascii="Arial" w:hAnsi="Arial" w:cs="Arial"/>
                <w:color w:val="000000"/>
                <w:sz w:val="20"/>
              </w:rPr>
              <w:br/>
              <w:t>150 mg capsule, 60</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Ofev</w:t>
            </w:r>
            <w:proofErr w:type="spellEnd"/>
            <w:r>
              <w:rPr>
                <w:rFonts w:ascii="Arial" w:hAnsi="Arial" w:cs="Arial"/>
                <w:color w:val="000000"/>
                <w:sz w:val="20"/>
              </w:rPr>
              <w:t>®</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Boehringer</w:t>
            </w:r>
            <w:proofErr w:type="spellEnd"/>
            <w:r>
              <w:rPr>
                <w:rFonts w:ascii="Arial" w:hAnsi="Arial" w:cs="Arial"/>
                <w:color w:val="000000"/>
                <w:sz w:val="20"/>
              </w:rPr>
              <w:t xml:space="preserve"> </w:t>
            </w:r>
            <w:proofErr w:type="spellStart"/>
            <w:r>
              <w:rPr>
                <w:rFonts w:ascii="Arial" w:hAnsi="Arial" w:cs="Arial"/>
                <w:color w:val="000000"/>
                <w:sz w:val="20"/>
              </w:rPr>
              <w:t>Ingelhiem</w:t>
            </w:r>
            <w:proofErr w:type="spellEnd"/>
            <w:r>
              <w:rPr>
                <w:rFonts w:ascii="Arial" w:hAnsi="Arial" w:cs="Arial"/>
                <w:color w:val="000000"/>
                <w:sz w:val="20"/>
              </w:rPr>
              <w:t xml:space="preserve"> Pty Ltd</w:t>
            </w:r>
            <w:r>
              <w:rPr>
                <w:rFonts w:ascii="Arial" w:hAnsi="Arial" w:cs="Arial"/>
                <w:color w:val="000000"/>
                <w:sz w:val="20"/>
              </w:rPr>
              <w:br/>
            </w:r>
            <w:r>
              <w:rPr>
                <w:rFonts w:ascii="Arial" w:hAnsi="Arial" w:cs="Arial"/>
                <w:color w:val="000000"/>
                <w:sz w:val="20"/>
              </w:rPr>
              <w:br/>
              <w:t>New listing</w:t>
            </w:r>
            <w:r>
              <w:rPr>
                <w:rFonts w:ascii="Arial" w:hAnsi="Arial" w:cs="Arial"/>
                <w:color w:val="000000"/>
                <w:sz w:val="20"/>
              </w:rPr>
              <w:br/>
            </w:r>
            <w:r>
              <w:rPr>
                <w:rFonts w:ascii="Arial" w:hAnsi="Arial" w:cs="Arial"/>
                <w:color w:val="000000"/>
                <w:sz w:val="20"/>
              </w:rPr>
              <w:br/>
              <w:t>(Major Submission)</w:t>
            </w:r>
          </w:p>
        </w:tc>
        <w:tc>
          <w:tcPr>
            <w:tcW w:w="2126" w:type="dxa"/>
            <w:vMerge w:val="restart"/>
          </w:tcPr>
          <w:p w:rsidR="002B2BEC" w:rsidRPr="002B2BEC" w:rsidRDefault="002B2BEC" w:rsidP="002B2BEC">
            <w:pPr>
              <w:rPr>
                <w:rFonts w:ascii="Arial" w:hAnsi="Arial" w:cs="Arial"/>
                <w:sz w:val="20"/>
              </w:rPr>
            </w:pPr>
            <w:r w:rsidRPr="002B2BEC">
              <w:rPr>
                <w:rFonts w:ascii="Arial" w:hAnsi="Arial" w:cs="Arial"/>
                <w:sz w:val="20"/>
              </w:rPr>
              <w:t xml:space="preserve">in combination with </w:t>
            </w:r>
            <w:proofErr w:type="spellStart"/>
            <w:r w:rsidRPr="002B2BEC">
              <w:rPr>
                <w:rFonts w:ascii="Arial" w:hAnsi="Arial" w:cs="Arial"/>
                <w:sz w:val="20"/>
              </w:rPr>
              <w:t>docetaxel</w:t>
            </w:r>
            <w:proofErr w:type="spellEnd"/>
            <w:r w:rsidRPr="002B2BEC">
              <w:rPr>
                <w:rFonts w:ascii="Arial" w:hAnsi="Arial" w:cs="Arial"/>
                <w:sz w:val="20"/>
              </w:rPr>
              <w:t xml:space="preserve"> for the treatment of patients with locally advanced, metastatic or recurrent non-small cell lung cancer</w:t>
            </w:r>
          </w:p>
          <w:p w:rsidR="007B0843" w:rsidRPr="00CA0C65" w:rsidRDefault="002B2BEC" w:rsidP="002B2BEC">
            <w:pPr>
              <w:rPr>
                <w:rFonts w:ascii="Arial" w:hAnsi="Arial" w:cs="Arial"/>
                <w:sz w:val="20"/>
              </w:rPr>
            </w:pPr>
            <w:r w:rsidRPr="002B2BEC">
              <w:rPr>
                <w:rFonts w:ascii="Arial" w:hAnsi="Arial" w:cs="Arial"/>
                <w:sz w:val="20"/>
              </w:rPr>
              <w:t>(NSCLC) of adenocarcinoma tumour histology after failure of first line chemotherapy</w:t>
            </w:r>
          </w:p>
        </w:tc>
        <w:tc>
          <w:tcPr>
            <w:tcW w:w="2126" w:type="dxa"/>
            <w:vMerge w:val="restart"/>
          </w:tcPr>
          <w:p w:rsidR="007B0843" w:rsidRPr="00CA0C65" w:rsidRDefault="002B2BEC" w:rsidP="00BD520B">
            <w:pPr>
              <w:rPr>
                <w:rFonts w:ascii="Arial" w:hAnsi="Arial" w:cs="Arial"/>
                <w:sz w:val="20"/>
              </w:rPr>
            </w:pPr>
            <w:r>
              <w:rPr>
                <w:rFonts w:ascii="Arial" w:hAnsi="Arial" w:cs="Arial"/>
                <w:sz w:val="20"/>
              </w:rPr>
              <w:t>Not Listed</w:t>
            </w:r>
          </w:p>
        </w:tc>
        <w:tc>
          <w:tcPr>
            <w:tcW w:w="3733" w:type="dxa"/>
          </w:tcPr>
          <w:p w:rsidR="007B0843" w:rsidRDefault="007B0843" w:rsidP="007B0843">
            <w:pPr>
              <w:rPr>
                <w:rFonts w:ascii="Arial" w:hAnsi="Arial" w:cs="Arial"/>
                <w:color w:val="000000"/>
                <w:sz w:val="20"/>
              </w:rPr>
            </w:pPr>
            <w:r>
              <w:rPr>
                <w:rFonts w:ascii="Arial" w:hAnsi="Arial" w:cs="Arial"/>
                <w:color w:val="000000"/>
                <w:sz w:val="20"/>
              </w:rPr>
              <w:t>Re-submission for Authority Required listing for patients with locally advanced or metastatic non-small cell lung cancer.</w:t>
            </w:r>
          </w:p>
          <w:p w:rsidR="007B0843" w:rsidRPr="000805C6" w:rsidRDefault="007B0843" w:rsidP="007B0843">
            <w:pPr>
              <w:pStyle w:val="ListBullet"/>
            </w:pPr>
          </w:p>
        </w:tc>
        <w:tc>
          <w:tcPr>
            <w:tcW w:w="5339" w:type="dxa"/>
          </w:tcPr>
          <w:p w:rsidR="007B0843" w:rsidRPr="00F16DF9" w:rsidRDefault="007B0843" w:rsidP="00C45D98">
            <w:pPr>
              <w:rPr>
                <w:rFonts w:ascii="Arial" w:hAnsi="Arial" w:cs="Arial"/>
                <w:sz w:val="20"/>
              </w:rPr>
            </w:pPr>
            <w:r w:rsidRPr="00F16DF9">
              <w:rPr>
                <w:rFonts w:ascii="Arial" w:hAnsi="Arial" w:cs="Arial"/>
                <w:sz w:val="20"/>
              </w:rPr>
              <w:t xml:space="preserve">The PBAC </w:t>
            </w:r>
            <w:r w:rsidR="00C45D98">
              <w:rPr>
                <w:rFonts w:ascii="Arial" w:hAnsi="Arial" w:cs="Arial"/>
                <w:sz w:val="20"/>
              </w:rPr>
              <w:t xml:space="preserve">did not recommend </w:t>
            </w:r>
            <w:r w:rsidRPr="00F16DF9">
              <w:rPr>
                <w:rFonts w:ascii="Arial" w:hAnsi="Arial" w:cs="Arial"/>
                <w:sz w:val="20"/>
              </w:rPr>
              <w:t>the request to list nintedanib (in combination with docetaxel) for the treatment of patients with NSCLC on the basis that the resubmission did not demonstrate non-inferior effectiveness compared with pemetrexed.</w:t>
            </w:r>
          </w:p>
        </w:tc>
      </w:tr>
      <w:tr w:rsidR="007B0843" w:rsidRPr="009B735A" w:rsidTr="00C23FA7">
        <w:trPr>
          <w:trHeight w:val="433"/>
        </w:trPr>
        <w:tc>
          <w:tcPr>
            <w:tcW w:w="2363"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3733" w:type="dxa"/>
          </w:tcPr>
          <w:p w:rsidR="007B0843" w:rsidRPr="000805C6" w:rsidRDefault="007B0843" w:rsidP="007B0843">
            <w:pPr>
              <w:pStyle w:val="ListBullet"/>
            </w:pPr>
            <w:r>
              <w:t xml:space="preserve">Comparator: </w:t>
            </w:r>
            <w:r w:rsidRPr="007B0843">
              <w:t>Pemetrexed</w:t>
            </w:r>
          </w:p>
        </w:tc>
        <w:tc>
          <w:tcPr>
            <w:tcW w:w="5339" w:type="dxa"/>
          </w:tcPr>
          <w:p w:rsidR="007B0843" w:rsidRPr="007B0843" w:rsidRDefault="007B0843" w:rsidP="007B0843">
            <w:pPr>
              <w:rPr>
                <w:rFonts w:ascii="Arial" w:hAnsi="Arial" w:cs="Arial"/>
                <w:sz w:val="20"/>
              </w:rPr>
            </w:pPr>
            <w:r>
              <w:rPr>
                <w:rFonts w:ascii="Arial" w:hAnsi="Arial" w:cs="Arial"/>
                <w:sz w:val="20"/>
              </w:rPr>
              <w:t>Accepted</w:t>
            </w:r>
          </w:p>
        </w:tc>
      </w:tr>
      <w:tr w:rsidR="007B0843" w:rsidRPr="009B735A" w:rsidTr="00C23FA7">
        <w:trPr>
          <w:trHeight w:val="70"/>
        </w:trPr>
        <w:tc>
          <w:tcPr>
            <w:tcW w:w="2363"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3733" w:type="dxa"/>
          </w:tcPr>
          <w:p w:rsidR="007B0843" w:rsidRPr="00F16DF9" w:rsidRDefault="007B0843" w:rsidP="007B0843">
            <w:pPr>
              <w:pStyle w:val="ListBullet"/>
            </w:pPr>
            <w:r w:rsidRPr="00F16DF9">
              <w:t xml:space="preserve">Clinical claim:  </w:t>
            </w:r>
          </w:p>
          <w:p w:rsidR="007B0843" w:rsidRPr="00F16DF9" w:rsidRDefault="007B0843" w:rsidP="007B0843">
            <w:pPr>
              <w:rPr>
                <w:rFonts w:ascii="Arial" w:hAnsi="Arial" w:cs="Arial"/>
                <w:sz w:val="20"/>
              </w:rPr>
            </w:pPr>
            <w:r w:rsidRPr="00F16DF9">
              <w:rPr>
                <w:rFonts w:ascii="Arial" w:hAnsi="Arial" w:cs="Arial"/>
                <w:sz w:val="20"/>
              </w:rPr>
              <w:t>Non-inferior efficacy and inferior safety compared with pemetrexed monotherapy.</w:t>
            </w:r>
          </w:p>
          <w:p w:rsidR="007B0843" w:rsidRPr="00F16DF9" w:rsidRDefault="007B0843" w:rsidP="007B0843">
            <w:pPr>
              <w:pStyle w:val="ListBullet"/>
            </w:pPr>
          </w:p>
          <w:p w:rsidR="007B0843" w:rsidRPr="00F16DF9" w:rsidRDefault="007B0843" w:rsidP="007B0843">
            <w:pPr>
              <w:pStyle w:val="ListBullet"/>
            </w:pPr>
          </w:p>
        </w:tc>
        <w:tc>
          <w:tcPr>
            <w:tcW w:w="5339" w:type="dxa"/>
          </w:tcPr>
          <w:p w:rsidR="00C45D98" w:rsidRDefault="007B0843" w:rsidP="007B0843">
            <w:pPr>
              <w:rPr>
                <w:rFonts w:ascii="Arial" w:hAnsi="Arial" w:cs="Arial"/>
                <w:sz w:val="20"/>
              </w:rPr>
            </w:pPr>
            <w:r w:rsidRPr="00F16DF9">
              <w:rPr>
                <w:rFonts w:ascii="Arial" w:hAnsi="Arial" w:cs="Arial"/>
                <w:sz w:val="20"/>
              </w:rPr>
              <w:t>As in the March 2015 submission, the re</w:t>
            </w:r>
            <w:r w:rsidRPr="00F16DF9">
              <w:rPr>
                <w:rFonts w:ascii="Arial" w:hAnsi="Arial" w:cs="Arial"/>
                <w:sz w:val="20"/>
              </w:rPr>
              <w:noBreakHyphen/>
              <w:t xml:space="preserve">submission was based on an indirect comparison of nintedanib plus docetaxel versus pemetrexed based two head-to-head trials using docetaxel monotherapy as the common comparator. </w:t>
            </w:r>
          </w:p>
          <w:p w:rsidR="00C45D98" w:rsidRDefault="00C45D98" w:rsidP="007B0843">
            <w:pPr>
              <w:rPr>
                <w:rFonts w:ascii="Arial" w:hAnsi="Arial" w:cs="Arial"/>
                <w:sz w:val="20"/>
              </w:rPr>
            </w:pPr>
          </w:p>
          <w:p w:rsidR="007B0843" w:rsidRPr="00C45D98" w:rsidRDefault="007B0843" w:rsidP="007B0843">
            <w:pPr>
              <w:rPr>
                <w:rFonts w:ascii="Arial" w:hAnsi="Arial" w:cs="Arial"/>
                <w:sz w:val="20"/>
              </w:rPr>
            </w:pPr>
            <w:r w:rsidRPr="00F16DF9">
              <w:rPr>
                <w:rFonts w:ascii="Arial" w:hAnsi="Arial" w:cs="Arial"/>
                <w:sz w:val="20"/>
              </w:rPr>
              <w:t>The PBAC considered that the claim of non-inferior comparative effectiveness was not adequately supported by the data.</w:t>
            </w:r>
            <w:r>
              <w:rPr>
                <w:rFonts w:ascii="Arial" w:hAnsi="Arial" w:cs="Arial"/>
                <w:sz w:val="20"/>
              </w:rPr>
              <w:t xml:space="preserve"> </w:t>
            </w:r>
            <w:r w:rsidRPr="00F16DF9">
              <w:rPr>
                <w:rFonts w:ascii="Arial" w:hAnsi="Arial" w:cs="Arial"/>
                <w:sz w:val="20"/>
              </w:rPr>
              <w:t>The PBAC considered that the claim of inferior comparative safety was reasonable.</w:t>
            </w:r>
          </w:p>
        </w:tc>
      </w:tr>
      <w:tr w:rsidR="007B0843" w:rsidRPr="009B735A" w:rsidTr="00C23FA7">
        <w:trPr>
          <w:trHeight w:val="433"/>
        </w:trPr>
        <w:tc>
          <w:tcPr>
            <w:tcW w:w="2363"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3733" w:type="dxa"/>
          </w:tcPr>
          <w:p w:rsidR="007B0843" w:rsidRPr="003B704B" w:rsidRDefault="007B0843" w:rsidP="007B0843">
            <w:pPr>
              <w:pStyle w:val="ListBullet"/>
            </w:pPr>
            <w:r w:rsidRPr="003B704B">
              <w:t>Economic claim:</w:t>
            </w:r>
          </w:p>
          <w:p w:rsidR="007B0843" w:rsidRPr="003B704B" w:rsidRDefault="007B0843" w:rsidP="007B0843">
            <w:pPr>
              <w:rPr>
                <w:rFonts w:ascii="Arial" w:hAnsi="Arial" w:cs="Arial"/>
                <w:sz w:val="20"/>
              </w:rPr>
            </w:pPr>
            <w:r>
              <w:rPr>
                <w:rFonts w:ascii="Arial" w:hAnsi="Arial" w:cs="Arial"/>
                <w:sz w:val="20"/>
              </w:rPr>
              <w:t>C</w:t>
            </w:r>
            <w:r w:rsidRPr="003B704B">
              <w:rPr>
                <w:rFonts w:ascii="Arial" w:hAnsi="Arial" w:cs="Arial"/>
                <w:sz w:val="20"/>
              </w:rPr>
              <w:t>ost-minimisation analysis to pemetrexed, taking into account costs of adverse events, administration and monitoring.</w:t>
            </w:r>
          </w:p>
          <w:p w:rsidR="007B0843" w:rsidRPr="003B704B" w:rsidRDefault="007B0843" w:rsidP="007B0843">
            <w:pPr>
              <w:pStyle w:val="ListBullet"/>
            </w:pPr>
          </w:p>
        </w:tc>
        <w:tc>
          <w:tcPr>
            <w:tcW w:w="5339" w:type="dxa"/>
          </w:tcPr>
          <w:p w:rsidR="007B0843" w:rsidRPr="003B704B" w:rsidRDefault="007B0843" w:rsidP="007B0843">
            <w:pPr>
              <w:rPr>
                <w:rFonts w:ascii="Arial" w:hAnsi="Arial" w:cs="Arial"/>
                <w:sz w:val="20"/>
              </w:rPr>
            </w:pPr>
            <w:r w:rsidRPr="003B704B">
              <w:rPr>
                <w:rFonts w:ascii="Arial" w:hAnsi="Arial" w:cs="Arial"/>
                <w:sz w:val="20"/>
              </w:rPr>
              <w:t>As in the March 2015 submission, the PBAC considered that a cost-minimisation analysis was inappropriate given that the currently available indirect evidence did not demonstrate non-inferiority for nintedanib and docetaxel compared with pemetrexed</w:t>
            </w:r>
          </w:p>
          <w:p w:rsidR="007B0843" w:rsidRPr="003B704B" w:rsidRDefault="007B0843" w:rsidP="007B0843">
            <w:pPr>
              <w:pStyle w:val="ListParagraph"/>
              <w:ind w:left="0"/>
              <w:rPr>
                <w:rFonts w:ascii="Arial" w:hAnsi="Arial" w:cs="Arial"/>
                <w:sz w:val="20"/>
                <w:szCs w:val="20"/>
                <w:highlight w:val="yellow"/>
              </w:rPr>
            </w:pPr>
          </w:p>
        </w:tc>
      </w:tr>
      <w:tr w:rsidR="007B0843" w:rsidRPr="009B735A" w:rsidTr="00C23FA7">
        <w:trPr>
          <w:trHeight w:val="1017"/>
        </w:trPr>
        <w:tc>
          <w:tcPr>
            <w:tcW w:w="2363"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2126" w:type="dxa"/>
            <w:vMerge/>
          </w:tcPr>
          <w:p w:rsidR="007B0843" w:rsidRPr="00CA0C65" w:rsidRDefault="007B0843" w:rsidP="00BD520B">
            <w:pPr>
              <w:rPr>
                <w:rFonts w:ascii="Arial" w:hAnsi="Arial" w:cs="Arial"/>
                <w:sz w:val="20"/>
              </w:rPr>
            </w:pPr>
          </w:p>
        </w:tc>
        <w:tc>
          <w:tcPr>
            <w:tcW w:w="3733" w:type="dxa"/>
          </w:tcPr>
          <w:p w:rsidR="007B0843" w:rsidRPr="00CA0C65" w:rsidRDefault="007A16E6" w:rsidP="007B0843">
            <w:pPr>
              <w:pStyle w:val="ListBullet"/>
            </w:pPr>
            <w:r>
              <w:t>Sponsor’s comments:</w:t>
            </w:r>
          </w:p>
        </w:tc>
        <w:tc>
          <w:tcPr>
            <w:tcW w:w="5339" w:type="dxa"/>
          </w:tcPr>
          <w:p w:rsidR="007B0843" w:rsidRPr="00CA0C65" w:rsidRDefault="007A16E6" w:rsidP="007B0843">
            <w:pPr>
              <w:pStyle w:val="ListParagraph"/>
              <w:ind w:left="0"/>
              <w:rPr>
                <w:rFonts w:ascii="Arial" w:hAnsi="Arial" w:cs="Arial"/>
                <w:sz w:val="20"/>
                <w:szCs w:val="20"/>
                <w:highlight w:val="yellow"/>
              </w:rPr>
            </w:pPr>
            <w:r w:rsidRPr="007A16E6">
              <w:rPr>
                <w:rFonts w:ascii="Arial" w:hAnsi="Arial" w:cs="Arial"/>
                <w:sz w:val="20"/>
                <w:szCs w:val="20"/>
              </w:rPr>
              <w:t>The sponsor had no comment</w:t>
            </w:r>
          </w:p>
        </w:tc>
      </w:tr>
      <w:tr w:rsidR="00FC2645" w:rsidRPr="009B735A" w:rsidTr="00C23FA7">
        <w:trPr>
          <w:trHeight w:val="433"/>
        </w:trPr>
        <w:tc>
          <w:tcPr>
            <w:tcW w:w="2363" w:type="dxa"/>
            <w:vMerge w:val="restart"/>
          </w:tcPr>
          <w:p w:rsidR="002404C3" w:rsidRDefault="002404C3" w:rsidP="002404C3">
            <w:pPr>
              <w:rPr>
                <w:rFonts w:ascii="Arial" w:hAnsi="Arial" w:cs="Arial"/>
                <w:color w:val="000000"/>
                <w:sz w:val="20"/>
              </w:rPr>
            </w:pPr>
            <w:r>
              <w:rPr>
                <w:rFonts w:ascii="Arial" w:hAnsi="Arial" w:cs="Arial"/>
                <w:color w:val="000000"/>
                <w:sz w:val="20"/>
              </w:rPr>
              <w:t>PIRFENIDONE</w:t>
            </w:r>
            <w:r>
              <w:rPr>
                <w:rFonts w:ascii="Arial" w:hAnsi="Arial" w:cs="Arial"/>
                <w:color w:val="000000"/>
                <w:sz w:val="20"/>
              </w:rPr>
              <w:br/>
              <w:t xml:space="preserve">267 mg capsules, 270 </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Esbriet</w:t>
            </w:r>
            <w:proofErr w:type="spellEnd"/>
            <w:r>
              <w:rPr>
                <w:rFonts w:ascii="Arial" w:hAnsi="Arial" w:cs="Arial"/>
                <w:color w:val="000000"/>
                <w:sz w:val="20"/>
              </w:rPr>
              <w:t>®</w:t>
            </w:r>
            <w:r>
              <w:rPr>
                <w:rFonts w:ascii="Arial" w:hAnsi="Arial" w:cs="Arial"/>
                <w:color w:val="000000"/>
                <w:sz w:val="20"/>
              </w:rPr>
              <w:br/>
            </w:r>
            <w:r>
              <w:rPr>
                <w:rFonts w:ascii="Arial" w:hAnsi="Arial" w:cs="Arial"/>
                <w:color w:val="000000"/>
                <w:sz w:val="20"/>
              </w:rPr>
              <w:br/>
              <w:t>Roche Products Pty Limited</w:t>
            </w:r>
            <w:r>
              <w:rPr>
                <w:rFonts w:ascii="Arial" w:hAnsi="Arial" w:cs="Arial"/>
                <w:color w:val="000000"/>
                <w:sz w:val="20"/>
              </w:rPr>
              <w:br/>
            </w:r>
            <w:r>
              <w:rPr>
                <w:rFonts w:ascii="Arial" w:hAnsi="Arial" w:cs="Arial"/>
                <w:color w:val="000000"/>
                <w:sz w:val="20"/>
              </w:rPr>
              <w:lastRenderedPageBreak/>
              <w:br/>
              <w:t>New listing</w:t>
            </w:r>
            <w:r>
              <w:rPr>
                <w:rFonts w:ascii="Arial" w:hAnsi="Arial" w:cs="Arial"/>
                <w:color w:val="000000"/>
                <w:sz w:val="20"/>
              </w:rPr>
              <w:br/>
            </w:r>
            <w:r>
              <w:rPr>
                <w:rFonts w:ascii="Arial" w:hAnsi="Arial" w:cs="Arial"/>
                <w:color w:val="000000"/>
                <w:sz w:val="20"/>
              </w:rPr>
              <w:br/>
              <w:t>(Minor Submission)</w:t>
            </w:r>
          </w:p>
          <w:p w:rsidR="00FC2645" w:rsidRPr="00CA0C65" w:rsidRDefault="00FC2645" w:rsidP="00CA0C65">
            <w:pPr>
              <w:rPr>
                <w:rFonts w:ascii="Arial" w:hAnsi="Arial" w:cs="Arial"/>
                <w:sz w:val="20"/>
              </w:rPr>
            </w:pPr>
          </w:p>
        </w:tc>
        <w:tc>
          <w:tcPr>
            <w:tcW w:w="2126" w:type="dxa"/>
            <w:vMerge w:val="restart"/>
          </w:tcPr>
          <w:p w:rsidR="00FC2645" w:rsidRPr="00CA0C65" w:rsidRDefault="00CD1F11" w:rsidP="00CA0C65">
            <w:pPr>
              <w:rPr>
                <w:rFonts w:ascii="Arial" w:hAnsi="Arial" w:cs="Arial"/>
                <w:sz w:val="20"/>
              </w:rPr>
            </w:pPr>
            <w:r w:rsidRPr="00CD1F11">
              <w:rPr>
                <w:rFonts w:ascii="Arial" w:hAnsi="Arial" w:cs="Arial"/>
                <w:sz w:val="20"/>
              </w:rPr>
              <w:lastRenderedPageBreak/>
              <w:t>Idiopathic Pulmonary Fibrosis</w:t>
            </w:r>
          </w:p>
        </w:tc>
        <w:tc>
          <w:tcPr>
            <w:tcW w:w="2126" w:type="dxa"/>
            <w:vMerge w:val="restart"/>
          </w:tcPr>
          <w:p w:rsidR="00FC2645" w:rsidRPr="00CA0C65" w:rsidRDefault="00CD1F11" w:rsidP="00CA0C65">
            <w:pPr>
              <w:rPr>
                <w:rFonts w:ascii="Arial" w:hAnsi="Arial" w:cs="Arial"/>
                <w:sz w:val="20"/>
              </w:rPr>
            </w:pPr>
            <w:r>
              <w:rPr>
                <w:rFonts w:ascii="Arial" w:hAnsi="Arial" w:cs="Arial"/>
                <w:sz w:val="20"/>
              </w:rPr>
              <w:t xml:space="preserve">Not listed. </w:t>
            </w:r>
          </w:p>
        </w:tc>
        <w:tc>
          <w:tcPr>
            <w:tcW w:w="3733" w:type="dxa"/>
          </w:tcPr>
          <w:p w:rsidR="00BD520B" w:rsidRDefault="00BD520B" w:rsidP="00BD520B">
            <w:pPr>
              <w:rPr>
                <w:rFonts w:ascii="Arial" w:hAnsi="Arial" w:cs="Arial"/>
                <w:color w:val="000000"/>
                <w:sz w:val="20"/>
              </w:rPr>
            </w:pPr>
            <w:r>
              <w:rPr>
                <w:rFonts w:ascii="Arial" w:hAnsi="Arial" w:cs="Arial"/>
                <w:color w:val="000000"/>
                <w:sz w:val="20"/>
              </w:rPr>
              <w:t>Re-submission to request an Authority Required listing for the treatment of idiopathic pulmonary fibrosis</w:t>
            </w:r>
          </w:p>
          <w:p w:rsidR="00FC2645" w:rsidRPr="000805C6" w:rsidRDefault="00FC2645" w:rsidP="000805C6">
            <w:pPr>
              <w:pStyle w:val="ListBullet"/>
            </w:pPr>
          </w:p>
        </w:tc>
        <w:tc>
          <w:tcPr>
            <w:tcW w:w="5339" w:type="dxa"/>
          </w:tcPr>
          <w:p w:rsidR="00FC2645" w:rsidRPr="00CA0C65" w:rsidRDefault="00CD1F11" w:rsidP="004C0F09">
            <w:pPr>
              <w:rPr>
                <w:rFonts w:ascii="Arial" w:hAnsi="Arial" w:cs="Arial"/>
                <w:sz w:val="20"/>
                <w:highlight w:val="yellow"/>
              </w:rPr>
            </w:pPr>
            <w:r w:rsidRPr="00CD1F11">
              <w:rPr>
                <w:rFonts w:ascii="Arial" w:hAnsi="Arial" w:cs="Arial"/>
                <w:sz w:val="20"/>
              </w:rPr>
              <w:t>The PBAC did not recommend the PBS listing of pirfenidone for the treatment of idiopathic pulmonary fibrosis</w:t>
            </w:r>
            <w:r w:rsidR="005A05DC">
              <w:rPr>
                <w:rFonts w:ascii="Arial" w:hAnsi="Arial" w:cs="Arial"/>
                <w:sz w:val="20"/>
              </w:rPr>
              <w:t xml:space="preserve"> (IPF)</w:t>
            </w:r>
            <w:r w:rsidRPr="00CD1F11">
              <w:rPr>
                <w:rFonts w:ascii="Arial" w:hAnsi="Arial" w:cs="Arial"/>
                <w:sz w:val="20"/>
              </w:rPr>
              <w:t xml:space="preserve"> on the basis of unacceptably high </w:t>
            </w:r>
            <w:r w:rsidR="00B01F7E" w:rsidRPr="00D4718F">
              <w:rPr>
                <w:rFonts w:ascii="Arial" w:hAnsi="Arial" w:cs="Arial"/>
                <w:sz w:val="20"/>
              </w:rPr>
              <w:t>cost-effectiveness, in the context of the total cost and remaining concerns about utilisation</w:t>
            </w:r>
          </w:p>
        </w:tc>
      </w:tr>
      <w:tr w:rsidR="00FC2645" w:rsidRPr="009B735A" w:rsidTr="00C23FA7">
        <w:trPr>
          <w:trHeight w:val="433"/>
        </w:trPr>
        <w:tc>
          <w:tcPr>
            <w:tcW w:w="2363"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3733" w:type="dxa"/>
          </w:tcPr>
          <w:p w:rsidR="00FC2645" w:rsidRPr="00CA0C65" w:rsidRDefault="00CD1F11" w:rsidP="002A0EAF">
            <w:pPr>
              <w:pStyle w:val="ListBullet"/>
            </w:pPr>
            <w:r>
              <w:t xml:space="preserve">Comparator: </w:t>
            </w:r>
            <w:r w:rsidRPr="002018E7">
              <w:t>Best Supportive Care</w:t>
            </w:r>
          </w:p>
          <w:p w:rsidR="00FC2645" w:rsidRPr="000805C6" w:rsidRDefault="00FC2645" w:rsidP="002A0EAF">
            <w:pPr>
              <w:pStyle w:val="ListBullet"/>
            </w:pPr>
          </w:p>
        </w:tc>
        <w:tc>
          <w:tcPr>
            <w:tcW w:w="5339" w:type="dxa"/>
          </w:tcPr>
          <w:p w:rsidR="00FC2645" w:rsidRDefault="00CD1F11" w:rsidP="00FC2645">
            <w:pPr>
              <w:rPr>
                <w:rFonts w:ascii="Arial" w:hAnsi="Arial" w:cs="Arial"/>
                <w:sz w:val="20"/>
              </w:rPr>
            </w:pPr>
            <w:r>
              <w:rPr>
                <w:rFonts w:ascii="Arial" w:hAnsi="Arial" w:cs="Arial"/>
                <w:sz w:val="20"/>
              </w:rPr>
              <w:t>Accepted.</w:t>
            </w:r>
          </w:p>
          <w:p w:rsidR="00FC2645" w:rsidRPr="00CA0C65" w:rsidRDefault="00FC2645" w:rsidP="002A0EAF">
            <w:pPr>
              <w:rPr>
                <w:rFonts w:ascii="Arial" w:hAnsi="Arial" w:cs="Arial"/>
                <w:sz w:val="20"/>
                <w:highlight w:val="yellow"/>
              </w:rPr>
            </w:pPr>
          </w:p>
        </w:tc>
      </w:tr>
      <w:tr w:rsidR="00FC2645" w:rsidRPr="009B735A" w:rsidTr="00C23FA7">
        <w:trPr>
          <w:trHeight w:val="433"/>
        </w:trPr>
        <w:tc>
          <w:tcPr>
            <w:tcW w:w="2363"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3733" w:type="dxa"/>
          </w:tcPr>
          <w:p w:rsidR="00FC2645" w:rsidRPr="00CA0C65" w:rsidRDefault="00CD1F11" w:rsidP="002A0EAF">
            <w:pPr>
              <w:pStyle w:val="ListBullet"/>
            </w:pPr>
            <w:r>
              <w:t xml:space="preserve">Clinical claim: </w:t>
            </w:r>
            <w:r w:rsidRPr="002018E7">
              <w:t>Superior in efficacy and slightly inferior in safety</w:t>
            </w:r>
          </w:p>
          <w:p w:rsidR="00FC2645" w:rsidRPr="00CA0C65" w:rsidRDefault="00FC2645" w:rsidP="002A0EAF">
            <w:pPr>
              <w:pStyle w:val="ListBullet"/>
            </w:pPr>
          </w:p>
        </w:tc>
        <w:tc>
          <w:tcPr>
            <w:tcW w:w="5339" w:type="dxa"/>
          </w:tcPr>
          <w:p w:rsidR="00FC2645" w:rsidRPr="00C45D98" w:rsidRDefault="00CD1F11" w:rsidP="002A0EAF">
            <w:pPr>
              <w:rPr>
                <w:rFonts w:ascii="Arial" w:hAnsi="Arial" w:cs="Arial"/>
                <w:sz w:val="20"/>
              </w:rPr>
            </w:pPr>
            <w:r>
              <w:rPr>
                <w:rFonts w:ascii="Arial" w:hAnsi="Arial" w:cs="Arial"/>
                <w:sz w:val="20"/>
              </w:rPr>
              <w:t xml:space="preserve">Accepted. </w:t>
            </w:r>
          </w:p>
        </w:tc>
      </w:tr>
      <w:tr w:rsidR="00FC2645" w:rsidRPr="009B735A" w:rsidTr="00C23FA7">
        <w:trPr>
          <w:trHeight w:val="433"/>
        </w:trPr>
        <w:tc>
          <w:tcPr>
            <w:tcW w:w="2363"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3733" w:type="dxa"/>
          </w:tcPr>
          <w:p w:rsidR="00FC2645" w:rsidRPr="00CA0C65" w:rsidRDefault="00FC2645" w:rsidP="002A0EAF">
            <w:pPr>
              <w:pStyle w:val="ListBullet"/>
            </w:pPr>
            <w:r w:rsidRPr="00CA0C65">
              <w:t>Economic claim:</w:t>
            </w:r>
            <w:r w:rsidR="00CD1F11">
              <w:t xml:space="preserve"> </w:t>
            </w:r>
            <w:r w:rsidR="00CD1F11" w:rsidRPr="002018E7">
              <w:t>Cost-effective</w:t>
            </w:r>
          </w:p>
          <w:p w:rsidR="00FC2645" w:rsidRPr="00CA0C65" w:rsidRDefault="00FC2645" w:rsidP="002A0EAF">
            <w:pPr>
              <w:pStyle w:val="ListBullet"/>
            </w:pPr>
          </w:p>
        </w:tc>
        <w:tc>
          <w:tcPr>
            <w:tcW w:w="5339" w:type="dxa"/>
          </w:tcPr>
          <w:p w:rsidR="00D938F5" w:rsidRDefault="00D4718F" w:rsidP="00D4718F">
            <w:pPr>
              <w:rPr>
                <w:rFonts w:ascii="Arial" w:hAnsi="Arial" w:cs="Arial"/>
                <w:sz w:val="20"/>
              </w:rPr>
            </w:pPr>
            <w:r w:rsidRPr="00D4718F">
              <w:rPr>
                <w:rFonts w:ascii="Arial" w:hAnsi="Arial" w:cs="Arial"/>
                <w:sz w:val="20"/>
              </w:rPr>
              <w:t xml:space="preserve">Not Accepted: </w:t>
            </w:r>
            <w:r w:rsidR="006706AA" w:rsidRPr="00D4718F">
              <w:rPr>
                <w:rFonts w:ascii="Arial" w:hAnsi="Arial" w:cs="Arial"/>
                <w:sz w:val="20"/>
              </w:rPr>
              <w:t>The PBAC considered that the most plausible</w:t>
            </w:r>
            <w:r w:rsidR="006706AA">
              <w:rPr>
                <w:rFonts w:ascii="Arial" w:hAnsi="Arial" w:cs="Arial"/>
                <w:sz w:val="20"/>
              </w:rPr>
              <w:t xml:space="preserve"> incremental cost-effectiveness ratio (</w:t>
            </w:r>
            <w:r w:rsidR="006706AA" w:rsidRPr="00D4718F">
              <w:rPr>
                <w:rFonts w:ascii="Arial" w:hAnsi="Arial" w:cs="Arial"/>
                <w:sz w:val="20"/>
              </w:rPr>
              <w:t>ICER</w:t>
            </w:r>
            <w:r w:rsidR="006706AA">
              <w:rPr>
                <w:rFonts w:ascii="Arial" w:hAnsi="Arial" w:cs="Arial"/>
                <w:sz w:val="20"/>
              </w:rPr>
              <w:t>)</w:t>
            </w:r>
            <w:r w:rsidR="006706AA" w:rsidRPr="00D4718F">
              <w:rPr>
                <w:rFonts w:ascii="Arial" w:hAnsi="Arial" w:cs="Arial"/>
                <w:sz w:val="20"/>
              </w:rPr>
              <w:t xml:space="preserve"> using the current adjustments to the model was between $45,000/QALY and $75,000/QALY. </w:t>
            </w:r>
            <w:r w:rsidRPr="00D4718F">
              <w:rPr>
                <w:rFonts w:ascii="Arial" w:hAnsi="Arial" w:cs="Arial"/>
                <w:sz w:val="20"/>
              </w:rPr>
              <w:t xml:space="preserve">The PBAC recalled its key concerns in November 2015 regarding the derivation of the </w:t>
            </w:r>
            <w:proofErr w:type="spellStart"/>
            <w:r w:rsidRPr="00D4718F">
              <w:rPr>
                <w:rFonts w:ascii="Arial" w:hAnsi="Arial" w:cs="Arial"/>
                <w:sz w:val="20"/>
              </w:rPr>
              <w:t>pirfenidone</w:t>
            </w:r>
            <w:proofErr w:type="spellEnd"/>
            <w:r w:rsidRPr="00D4718F">
              <w:rPr>
                <w:rFonts w:ascii="Arial" w:hAnsi="Arial" w:cs="Arial"/>
                <w:sz w:val="20"/>
              </w:rPr>
              <w:t xml:space="preserve"> treated population (potentially higher IPF incidence rate; limiting calculation of prevalent population to IPF patients in the year prior to listing) and hospitalisations are likely to result in underestimated net costs to the government.</w:t>
            </w:r>
          </w:p>
          <w:p w:rsidR="00D938F5" w:rsidRDefault="00D938F5" w:rsidP="00D4718F">
            <w:pPr>
              <w:rPr>
                <w:rFonts w:ascii="Arial" w:hAnsi="Arial" w:cs="Arial"/>
                <w:sz w:val="20"/>
              </w:rPr>
            </w:pPr>
          </w:p>
          <w:p w:rsidR="00FC2645" w:rsidRPr="00D938F5" w:rsidRDefault="00D4718F" w:rsidP="00D4718F">
            <w:pPr>
              <w:rPr>
                <w:rFonts w:ascii="Arial" w:hAnsi="Arial" w:cs="Arial"/>
                <w:sz w:val="20"/>
              </w:rPr>
            </w:pPr>
            <w:r w:rsidRPr="00D4718F">
              <w:rPr>
                <w:rFonts w:ascii="Arial" w:hAnsi="Arial" w:cs="Arial"/>
                <w:sz w:val="20"/>
              </w:rPr>
              <w:t xml:space="preserve">The evaluation also noted additional factors (application of ABS population projections; potential duplication of deaths in the </w:t>
            </w:r>
            <w:proofErr w:type="spellStart"/>
            <w:r w:rsidRPr="00D4718F">
              <w:rPr>
                <w:rFonts w:ascii="Arial" w:hAnsi="Arial" w:cs="Arial"/>
                <w:sz w:val="20"/>
              </w:rPr>
              <w:t>pirfenidone</w:t>
            </w:r>
            <w:proofErr w:type="spellEnd"/>
            <w:r w:rsidRPr="00D4718F">
              <w:rPr>
                <w:rFonts w:ascii="Arial" w:hAnsi="Arial" w:cs="Arial"/>
                <w:sz w:val="20"/>
              </w:rPr>
              <w:t xml:space="preserve"> treatment continuation rates) that were likely to further contribute to this underestimate.  The PBAC considered that the minor resubmission did not sufficiently address these issues, and noted the potential for the absence of a stopping rule to increase the utilisation estimates</w:t>
            </w:r>
            <w:r w:rsidR="00D938F5">
              <w:rPr>
                <w:rFonts w:ascii="Arial" w:hAnsi="Arial" w:cs="Arial"/>
                <w:sz w:val="20"/>
              </w:rPr>
              <w:t>.</w:t>
            </w:r>
          </w:p>
        </w:tc>
      </w:tr>
      <w:tr w:rsidR="00FC2645" w:rsidRPr="009B735A" w:rsidTr="00CB0656">
        <w:trPr>
          <w:trHeight w:val="2786"/>
        </w:trPr>
        <w:tc>
          <w:tcPr>
            <w:tcW w:w="2363"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2126" w:type="dxa"/>
            <w:vMerge/>
          </w:tcPr>
          <w:p w:rsidR="00FC2645" w:rsidRPr="00CA0C65" w:rsidRDefault="00FC2645" w:rsidP="00CA0C65">
            <w:pPr>
              <w:rPr>
                <w:rFonts w:ascii="Arial" w:hAnsi="Arial" w:cs="Arial"/>
                <w:sz w:val="20"/>
              </w:rPr>
            </w:pPr>
          </w:p>
        </w:tc>
        <w:tc>
          <w:tcPr>
            <w:tcW w:w="3733" w:type="dxa"/>
          </w:tcPr>
          <w:p w:rsidR="00FC2645" w:rsidRPr="000805C6" w:rsidRDefault="00FC2645" w:rsidP="002A0EAF">
            <w:pPr>
              <w:pStyle w:val="ListBullet"/>
            </w:pPr>
            <w:r w:rsidRPr="000805C6">
              <w:t>Sponsor’s comments:</w:t>
            </w:r>
          </w:p>
          <w:p w:rsidR="00FC2645" w:rsidRPr="00CA0C65" w:rsidRDefault="00FC2645" w:rsidP="002A0EAF">
            <w:pPr>
              <w:pStyle w:val="ListBullet"/>
            </w:pPr>
          </w:p>
        </w:tc>
        <w:tc>
          <w:tcPr>
            <w:tcW w:w="5339" w:type="dxa"/>
          </w:tcPr>
          <w:p w:rsidR="00FC2645" w:rsidRPr="00CA0C65" w:rsidRDefault="007A16E6" w:rsidP="00FC2645">
            <w:pPr>
              <w:rPr>
                <w:rFonts w:ascii="Arial" w:hAnsi="Arial" w:cs="Arial"/>
                <w:sz w:val="20"/>
                <w:highlight w:val="yellow"/>
              </w:rPr>
            </w:pPr>
            <w:r w:rsidRPr="007A16E6">
              <w:rPr>
                <w:rFonts w:ascii="Arial" w:hAnsi="Arial" w:cs="Arial"/>
                <w:sz w:val="20"/>
              </w:rPr>
              <w:t xml:space="preserve">Roche is disappointed with this outcome and, given the high unmet need, continues to work with the PBAC to provide access at the earliest opportunity to </w:t>
            </w:r>
            <w:proofErr w:type="spellStart"/>
            <w:r w:rsidRPr="007A16E6">
              <w:rPr>
                <w:rFonts w:ascii="Arial" w:hAnsi="Arial" w:cs="Arial"/>
                <w:sz w:val="20"/>
              </w:rPr>
              <w:t>pirfenidone</w:t>
            </w:r>
            <w:proofErr w:type="spellEnd"/>
            <w:r w:rsidRPr="007A16E6">
              <w:rPr>
                <w:rFonts w:ascii="Arial" w:hAnsi="Arial" w:cs="Arial"/>
                <w:sz w:val="20"/>
              </w:rPr>
              <w:t xml:space="preserve"> for patients with idiopathic pulmonary fibrosis.</w:t>
            </w:r>
          </w:p>
        </w:tc>
      </w:tr>
      <w:tr w:rsidR="002404C3" w:rsidRPr="009B735A" w:rsidTr="00C23FA7">
        <w:trPr>
          <w:trHeight w:val="433"/>
        </w:trPr>
        <w:tc>
          <w:tcPr>
            <w:tcW w:w="2363" w:type="dxa"/>
            <w:vMerge w:val="restart"/>
          </w:tcPr>
          <w:p w:rsidR="00BD520B" w:rsidRDefault="00BD520B" w:rsidP="00BD520B">
            <w:pPr>
              <w:rPr>
                <w:rFonts w:ascii="Arial" w:hAnsi="Arial" w:cs="Arial"/>
                <w:color w:val="000000"/>
                <w:sz w:val="20"/>
              </w:rPr>
            </w:pPr>
            <w:r>
              <w:rPr>
                <w:rFonts w:ascii="Arial" w:hAnsi="Arial" w:cs="Arial"/>
                <w:color w:val="000000"/>
                <w:sz w:val="20"/>
              </w:rPr>
              <w:lastRenderedPageBreak/>
              <w:t>PRALATREXATE</w:t>
            </w:r>
            <w:r>
              <w:rPr>
                <w:rFonts w:ascii="Arial" w:hAnsi="Arial" w:cs="Arial"/>
                <w:color w:val="000000"/>
                <w:sz w:val="20"/>
              </w:rPr>
              <w:br/>
              <w:t>20 mg/mL injection, 1 mL vial</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Folotyn</w:t>
            </w:r>
            <w:proofErr w:type="spellEnd"/>
            <w:r>
              <w:rPr>
                <w:rFonts w:ascii="Arial" w:hAnsi="Arial" w:cs="Arial"/>
                <w:color w:val="000000"/>
                <w:sz w:val="20"/>
              </w:rPr>
              <w:t xml:space="preserve">® </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Mundipharma</w:t>
            </w:r>
            <w:proofErr w:type="spellEnd"/>
            <w:r>
              <w:rPr>
                <w:rFonts w:ascii="Arial" w:hAnsi="Arial" w:cs="Arial"/>
                <w:color w:val="000000"/>
                <w:sz w:val="20"/>
              </w:rPr>
              <w:t xml:space="preserve"> Pty Ltd</w:t>
            </w:r>
            <w:r>
              <w:rPr>
                <w:rFonts w:ascii="Arial" w:hAnsi="Arial" w:cs="Arial"/>
                <w:color w:val="000000"/>
                <w:sz w:val="20"/>
              </w:rPr>
              <w:br/>
            </w:r>
            <w:r>
              <w:rPr>
                <w:rFonts w:ascii="Arial" w:hAnsi="Arial" w:cs="Arial"/>
                <w:color w:val="000000"/>
                <w:sz w:val="20"/>
              </w:rPr>
              <w:br/>
              <w:t>New listing</w:t>
            </w:r>
            <w:r>
              <w:rPr>
                <w:rFonts w:ascii="Arial" w:hAnsi="Arial" w:cs="Arial"/>
                <w:color w:val="000000"/>
                <w:sz w:val="20"/>
              </w:rPr>
              <w:br/>
            </w:r>
            <w:r>
              <w:rPr>
                <w:rFonts w:ascii="Arial" w:hAnsi="Arial" w:cs="Arial"/>
                <w:color w:val="000000"/>
                <w:sz w:val="20"/>
              </w:rPr>
              <w:br/>
              <w:t>(Minor Submission)</w:t>
            </w:r>
          </w:p>
          <w:p w:rsidR="002404C3" w:rsidRPr="00CA0C65" w:rsidRDefault="002404C3" w:rsidP="00CA0C65">
            <w:pPr>
              <w:rPr>
                <w:rFonts w:ascii="Arial" w:hAnsi="Arial" w:cs="Arial"/>
                <w:sz w:val="20"/>
              </w:rPr>
            </w:pPr>
          </w:p>
        </w:tc>
        <w:tc>
          <w:tcPr>
            <w:tcW w:w="2126" w:type="dxa"/>
            <w:vMerge w:val="restart"/>
          </w:tcPr>
          <w:p w:rsidR="002404C3" w:rsidRPr="00CA0C65" w:rsidRDefault="009E0523" w:rsidP="00CA0C65">
            <w:pPr>
              <w:rPr>
                <w:rFonts w:ascii="Arial" w:hAnsi="Arial" w:cs="Arial"/>
                <w:sz w:val="20"/>
              </w:rPr>
            </w:pPr>
            <w:r w:rsidRPr="009E0523">
              <w:rPr>
                <w:rFonts w:ascii="Arial" w:hAnsi="Arial" w:cs="Arial"/>
                <w:sz w:val="20"/>
              </w:rPr>
              <w:t>Patients with peripheral T-cell lymphoma who have progressed after at least one prior therapy</w:t>
            </w:r>
          </w:p>
        </w:tc>
        <w:tc>
          <w:tcPr>
            <w:tcW w:w="2126" w:type="dxa"/>
            <w:vMerge w:val="restart"/>
          </w:tcPr>
          <w:p w:rsidR="002404C3" w:rsidRPr="00CA0C65" w:rsidRDefault="009E0523" w:rsidP="00CA0C65">
            <w:pPr>
              <w:rPr>
                <w:rFonts w:ascii="Arial" w:hAnsi="Arial" w:cs="Arial"/>
                <w:sz w:val="20"/>
              </w:rPr>
            </w:pPr>
            <w:r>
              <w:rPr>
                <w:rFonts w:ascii="Arial" w:hAnsi="Arial" w:cs="Arial"/>
                <w:sz w:val="20"/>
              </w:rPr>
              <w:t xml:space="preserve">Not listed. </w:t>
            </w:r>
          </w:p>
        </w:tc>
        <w:tc>
          <w:tcPr>
            <w:tcW w:w="3733" w:type="dxa"/>
          </w:tcPr>
          <w:p w:rsidR="00BD520B" w:rsidRDefault="00BD520B" w:rsidP="00BD520B">
            <w:pPr>
              <w:rPr>
                <w:rFonts w:ascii="Arial" w:hAnsi="Arial" w:cs="Arial"/>
                <w:color w:val="000000"/>
                <w:sz w:val="20"/>
              </w:rPr>
            </w:pPr>
            <w:r>
              <w:rPr>
                <w:rFonts w:ascii="Arial" w:hAnsi="Arial" w:cs="Arial"/>
                <w:color w:val="000000"/>
                <w:sz w:val="20"/>
              </w:rPr>
              <w:t xml:space="preserve">Resubmission to request Section 100 (Efficient Funding of Chemotherapy) Authority Required listing for the treatment of patients with peripheral T-cell lymphoma.  </w:t>
            </w:r>
          </w:p>
          <w:p w:rsidR="002404C3" w:rsidRPr="000805C6" w:rsidRDefault="002404C3" w:rsidP="002A0EAF">
            <w:pPr>
              <w:pStyle w:val="ListBullet"/>
            </w:pPr>
          </w:p>
        </w:tc>
        <w:tc>
          <w:tcPr>
            <w:tcW w:w="5339" w:type="dxa"/>
          </w:tcPr>
          <w:p w:rsidR="00D938F5" w:rsidRDefault="009E0523" w:rsidP="009E0523">
            <w:pPr>
              <w:rPr>
                <w:rFonts w:ascii="Arial" w:hAnsi="Arial" w:cs="Arial"/>
                <w:sz w:val="20"/>
              </w:rPr>
            </w:pPr>
            <w:r w:rsidRPr="009E0523">
              <w:rPr>
                <w:rFonts w:ascii="Arial" w:hAnsi="Arial" w:cs="Arial"/>
                <w:sz w:val="20"/>
              </w:rPr>
              <w:t xml:space="preserve">The PBAC did not recommend the Authority Required listing for </w:t>
            </w:r>
            <w:proofErr w:type="spellStart"/>
            <w:r w:rsidRPr="009E0523">
              <w:rPr>
                <w:rFonts w:ascii="Arial" w:hAnsi="Arial" w:cs="Arial"/>
                <w:sz w:val="20"/>
              </w:rPr>
              <w:t>pralatrexate</w:t>
            </w:r>
            <w:proofErr w:type="spellEnd"/>
            <w:r w:rsidRPr="009E0523">
              <w:rPr>
                <w:rFonts w:ascii="Arial" w:hAnsi="Arial" w:cs="Arial"/>
                <w:sz w:val="20"/>
              </w:rPr>
              <w:t xml:space="preserve"> for treatment of relapsed or refractory peripheral T-Cell lymphoma</w:t>
            </w:r>
            <w:r w:rsidR="00E663DC">
              <w:rPr>
                <w:rFonts w:ascii="Arial" w:hAnsi="Arial" w:cs="Arial"/>
                <w:sz w:val="20"/>
              </w:rPr>
              <w:t xml:space="preserve"> (PTCL)</w:t>
            </w:r>
            <w:r w:rsidR="00D938F5">
              <w:rPr>
                <w:rFonts w:ascii="Arial" w:hAnsi="Arial" w:cs="Arial"/>
                <w:sz w:val="20"/>
              </w:rPr>
              <w:t>.</w:t>
            </w:r>
          </w:p>
          <w:p w:rsidR="00D938F5" w:rsidRDefault="00D938F5" w:rsidP="009E0523">
            <w:pPr>
              <w:rPr>
                <w:rFonts w:ascii="Arial" w:hAnsi="Arial" w:cs="Arial"/>
                <w:sz w:val="20"/>
              </w:rPr>
            </w:pPr>
          </w:p>
          <w:p w:rsidR="009E0523" w:rsidRDefault="009E0523" w:rsidP="009E0523">
            <w:pPr>
              <w:rPr>
                <w:rFonts w:ascii="Arial" w:hAnsi="Arial" w:cs="Arial"/>
                <w:sz w:val="20"/>
              </w:rPr>
            </w:pPr>
            <w:r w:rsidRPr="009E0523">
              <w:rPr>
                <w:rFonts w:ascii="Arial" w:hAnsi="Arial" w:cs="Arial"/>
                <w:sz w:val="20"/>
              </w:rPr>
              <w:t xml:space="preserve">The minor submission had not addressed the PBAC’s concerns that there was insufficient evidence of the incremental clinical benefit against currently available treatments, concerns regarding a high burden of adverse events, and economic modelling was not reliable to enable the Committee to determine the cost-effectiveness of the </w:t>
            </w:r>
            <w:proofErr w:type="spellStart"/>
            <w:r w:rsidRPr="009E0523">
              <w:rPr>
                <w:rFonts w:ascii="Arial" w:hAnsi="Arial" w:cs="Arial"/>
                <w:sz w:val="20"/>
              </w:rPr>
              <w:t>pralatrexate</w:t>
            </w:r>
            <w:proofErr w:type="spellEnd"/>
            <w:r w:rsidRPr="009E0523">
              <w:rPr>
                <w:rFonts w:ascii="Arial" w:hAnsi="Arial" w:cs="Arial"/>
                <w:sz w:val="20"/>
              </w:rPr>
              <w:t xml:space="preserve"> in the Australian context. </w:t>
            </w:r>
          </w:p>
          <w:p w:rsidR="00D938F5" w:rsidRPr="009E0523" w:rsidRDefault="00D938F5" w:rsidP="009E0523">
            <w:pPr>
              <w:rPr>
                <w:rFonts w:ascii="Arial" w:hAnsi="Arial" w:cs="Arial"/>
                <w:sz w:val="20"/>
              </w:rPr>
            </w:pPr>
          </w:p>
          <w:p w:rsidR="002404C3" w:rsidRPr="00CA0C65" w:rsidRDefault="009E0523" w:rsidP="009E0523">
            <w:pPr>
              <w:rPr>
                <w:rFonts w:ascii="Arial" w:hAnsi="Arial" w:cs="Arial"/>
                <w:sz w:val="20"/>
                <w:highlight w:val="yellow"/>
              </w:rPr>
            </w:pPr>
            <w:r w:rsidRPr="009E0523">
              <w:rPr>
                <w:rFonts w:ascii="Arial" w:hAnsi="Arial" w:cs="Arial"/>
                <w:sz w:val="20"/>
              </w:rPr>
              <w:t xml:space="preserve">The PBAC considered that the incremental benefit of </w:t>
            </w:r>
            <w:proofErr w:type="spellStart"/>
            <w:r w:rsidRPr="009E0523">
              <w:rPr>
                <w:rFonts w:ascii="Arial" w:hAnsi="Arial" w:cs="Arial"/>
                <w:sz w:val="20"/>
              </w:rPr>
              <w:t>pralatrexate</w:t>
            </w:r>
            <w:proofErr w:type="spellEnd"/>
            <w:r w:rsidRPr="009E0523">
              <w:rPr>
                <w:rFonts w:ascii="Arial" w:hAnsi="Arial" w:cs="Arial"/>
                <w:sz w:val="20"/>
              </w:rPr>
              <w:t xml:space="preserve"> was uncertain, based on evidence from study PDX-008 (Phase 2, single-arm trial), historical control cohort from international clinical databases and a meta-analysis of fourteen single arm comparisons, provided in the original submission.</w:t>
            </w:r>
          </w:p>
        </w:tc>
      </w:tr>
      <w:tr w:rsidR="002404C3" w:rsidRPr="009B735A" w:rsidTr="00CB0656">
        <w:trPr>
          <w:trHeight w:val="3708"/>
        </w:trPr>
        <w:tc>
          <w:tcPr>
            <w:tcW w:w="2363"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3733" w:type="dxa"/>
          </w:tcPr>
          <w:p w:rsidR="002404C3" w:rsidRPr="00CA0C65" w:rsidRDefault="009E0523" w:rsidP="002A0EAF">
            <w:pPr>
              <w:pStyle w:val="ListBullet"/>
            </w:pPr>
            <w:r>
              <w:t xml:space="preserve">Comparator: </w:t>
            </w:r>
            <w:r w:rsidRPr="009E0523">
              <w:t xml:space="preserve">The basket of treatments </w:t>
            </w:r>
            <w:proofErr w:type="gramStart"/>
            <w:r w:rsidRPr="009E0523">
              <w:t>including  DHAP</w:t>
            </w:r>
            <w:proofErr w:type="gramEnd"/>
            <w:r w:rsidRPr="009E0523">
              <w:t xml:space="preserve">(high dose </w:t>
            </w:r>
            <w:proofErr w:type="spellStart"/>
            <w:r w:rsidRPr="009E0523">
              <w:t>cytarabine</w:t>
            </w:r>
            <w:proofErr w:type="spellEnd"/>
            <w:r w:rsidRPr="009E0523">
              <w:t xml:space="preserve">, dexamethasone, cisplatin), </w:t>
            </w:r>
            <w:proofErr w:type="spellStart"/>
            <w:r w:rsidRPr="009E0523">
              <w:t>brentuximab</w:t>
            </w:r>
            <w:proofErr w:type="spellEnd"/>
            <w:r w:rsidRPr="009E0523">
              <w:t xml:space="preserve">, gemcitabine containing regimens, methotrexate, </w:t>
            </w:r>
            <w:proofErr w:type="spellStart"/>
            <w:r w:rsidRPr="009E0523">
              <w:t>romidepsin</w:t>
            </w:r>
            <w:proofErr w:type="spellEnd"/>
            <w:r w:rsidRPr="009E0523">
              <w:t xml:space="preserve"> (not PBS listed in Australia), ESHAP (</w:t>
            </w:r>
            <w:proofErr w:type="spellStart"/>
            <w:r w:rsidRPr="009E0523">
              <w:t>etoposide</w:t>
            </w:r>
            <w:proofErr w:type="spellEnd"/>
            <w:r w:rsidRPr="009E0523">
              <w:t xml:space="preserve">, methylprednisolone, </w:t>
            </w:r>
            <w:proofErr w:type="spellStart"/>
            <w:r w:rsidRPr="009E0523">
              <w:t>cytarabine</w:t>
            </w:r>
            <w:proofErr w:type="spellEnd"/>
            <w:r w:rsidRPr="009E0523">
              <w:t>, cisplatin), and ICE (</w:t>
            </w:r>
            <w:proofErr w:type="spellStart"/>
            <w:r w:rsidRPr="009E0523">
              <w:t>ifosfamide</w:t>
            </w:r>
            <w:proofErr w:type="spellEnd"/>
            <w:r w:rsidRPr="009E0523">
              <w:t xml:space="preserve">, carboplatin, </w:t>
            </w:r>
            <w:proofErr w:type="spellStart"/>
            <w:r w:rsidRPr="009E0523">
              <w:t>etoposide</w:t>
            </w:r>
            <w:proofErr w:type="spellEnd"/>
            <w:r w:rsidRPr="009E0523">
              <w:t>).</w:t>
            </w:r>
          </w:p>
          <w:p w:rsidR="002404C3" w:rsidRPr="000805C6" w:rsidRDefault="002404C3" w:rsidP="002A0EAF">
            <w:pPr>
              <w:pStyle w:val="ListBullet"/>
            </w:pPr>
          </w:p>
        </w:tc>
        <w:tc>
          <w:tcPr>
            <w:tcW w:w="5339" w:type="dxa"/>
          </w:tcPr>
          <w:p w:rsidR="009D0A99" w:rsidRDefault="009E0523" w:rsidP="009D0A99">
            <w:pPr>
              <w:pStyle w:val="Default"/>
            </w:pPr>
            <w:r w:rsidRPr="009E0523">
              <w:rPr>
                <w:sz w:val="20"/>
              </w:rPr>
              <w:t xml:space="preserve">Accepted: The PBAC accepted that the basket of treatments was the appropriate main comparator. </w:t>
            </w:r>
          </w:p>
          <w:p w:rsidR="002404C3" w:rsidRPr="00364CA6" w:rsidRDefault="009D0A99" w:rsidP="00052C94">
            <w:pPr>
              <w:pStyle w:val="Default"/>
              <w:rPr>
                <w:sz w:val="22"/>
                <w:szCs w:val="22"/>
              </w:rPr>
            </w:pPr>
            <w:r>
              <w:rPr>
                <w:sz w:val="20"/>
              </w:rPr>
              <w:t>Peripheral T-cell lymphoma</w:t>
            </w:r>
            <w:r>
              <w:rPr>
                <w:sz w:val="22"/>
                <w:szCs w:val="22"/>
              </w:rPr>
              <w:t xml:space="preserve"> comprises a group of heterogeneous non-Hodgkin lymphomas that develop from T-cells in different stages of maturity. </w:t>
            </w:r>
          </w:p>
        </w:tc>
      </w:tr>
      <w:tr w:rsidR="002404C3" w:rsidRPr="009B735A" w:rsidTr="00C23FA7">
        <w:trPr>
          <w:trHeight w:val="433"/>
        </w:trPr>
        <w:tc>
          <w:tcPr>
            <w:tcW w:w="2363"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3733" w:type="dxa"/>
          </w:tcPr>
          <w:p w:rsidR="002404C3" w:rsidRDefault="002404C3" w:rsidP="002A0EAF">
            <w:pPr>
              <w:pStyle w:val="ListBullet"/>
            </w:pPr>
            <w:r w:rsidRPr="00CA0C65">
              <w:t xml:space="preserve">Clinical claim:  </w:t>
            </w:r>
          </w:p>
          <w:p w:rsidR="009E0523" w:rsidRDefault="009E0523" w:rsidP="009E0523">
            <w:pPr>
              <w:pStyle w:val="ListBullet"/>
            </w:pPr>
            <w:r>
              <w:t xml:space="preserve">• Superior in terms of comparative effectiveness over single-agent and combination therapies. </w:t>
            </w:r>
          </w:p>
          <w:p w:rsidR="002404C3" w:rsidRPr="00CA0C65" w:rsidRDefault="009E0523" w:rsidP="002A0EAF">
            <w:pPr>
              <w:pStyle w:val="ListBullet"/>
            </w:pPr>
            <w:r>
              <w:t>• In terms of comparative safety, non-inferior to single-agent therapies and superior to combination regimens.</w:t>
            </w:r>
          </w:p>
        </w:tc>
        <w:tc>
          <w:tcPr>
            <w:tcW w:w="5339" w:type="dxa"/>
          </w:tcPr>
          <w:p w:rsidR="009E0523" w:rsidRDefault="009E0523" w:rsidP="009E0523">
            <w:pPr>
              <w:rPr>
                <w:rFonts w:ascii="Arial" w:hAnsi="Arial" w:cs="Arial"/>
                <w:sz w:val="20"/>
              </w:rPr>
            </w:pPr>
            <w:r w:rsidRPr="009E0523">
              <w:rPr>
                <w:rFonts w:ascii="Arial" w:hAnsi="Arial" w:cs="Arial"/>
                <w:sz w:val="20"/>
              </w:rPr>
              <w:t>Not Accepted: The PBAC considered that the claim of superior comparative effectiveness was not adequately supported by the data.</w:t>
            </w:r>
          </w:p>
          <w:p w:rsidR="00D938F5" w:rsidRPr="009E0523" w:rsidRDefault="00D938F5" w:rsidP="009E0523">
            <w:pPr>
              <w:rPr>
                <w:rFonts w:ascii="Arial" w:hAnsi="Arial" w:cs="Arial"/>
                <w:sz w:val="20"/>
              </w:rPr>
            </w:pPr>
          </w:p>
          <w:p w:rsidR="002404C3" w:rsidRPr="00CA0C65" w:rsidRDefault="009E0523" w:rsidP="009E0523">
            <w:pPr>
              <w:rPr>
                <w:rFonts w:ascii="Arial" w:hAnsi="Arial" w:cs="Arial"/>
                <w:sz w:val="20"/>
                <w:highlight w:val="yellow"/>
              </w:rPr>
            </w:pPr>
            <w:r w:rsidRPr="009E0523">
              <w:rPr>
                <w:rFonts w:ascii="Arial" w:hAnsi="Arial" w:cs="Arial"/>
                <w:sz w:val="20"/>
              </w:rPr>
              <w:t xml:space="preserve">Limited data provided in the resubmission supported the claim that the toxicity of </w:t>
            </w:r>
            <w:proofErr w:type="spellStart"/>
            <w:r w:rsidRPr="009E0523">
              <w:rPr>
                <w:rFonts w:ascii="Arial" w:hAnsi="Arial" w:cs="Arial"/>
                <w:sz w:val="20"/>
              </w:rPr>
              <w:t>pralatrexate</w:t>
            </w:r>
            <w:proofErr w:type="spellEnd"/>
            <w:r w:rsidRPr="009E0523">
              <w:rPr>
                <w:rFonts w:ascii="Arial" w:hAnsi="Arial" w:cs="Arial"/>
                <w:sz w:val="20"/>
              </w:rPr>
              <w:t xml:space="preserve"> was consistent with other single-agent therapies, but did not adequately support the claim of superior safety in comparison with combination regimens. </w:t>
            </w:r>
          </w:p>
        </w:tc>
      </w:tr>
      <w:tr w:rsidR="002404C3" w:rsidRPr="009B735A" w:rsidTr="00C23FA7">
        <w:trPr>
          <w:trHeight w:val="433"/>
        </w:trPr>
        <w:tc>
          <w:tcPr>
            <w:tcW w:w="2363"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3733" w:type="dxa"/>
          </w:tcPr>
          <w:p w:rsidR="002404C3" w:rsidRPr="00CA0C65" w:rsidRDefault="002404C3" w:rsidP="00052C94">
            <w:pPr>
              <w:pStyle w:val="ListBullet"/>
            </w:pPr>
            <w:r w:rsidRPr="00CA0C65">
              <w:t>Economic claim:</w:t>
            </w:r>
            <w:r w:rsidR="009E0523">
              <w:t xml:space="preserve"> </w:t>
            </w:r>
            <w:r w:rsidR="009E0523" w:rsidRPr="009E0523">
              <w:t>cost-effectiveness compared with the nominated comparator.</w:t>
            </w:r>
            <w:r w:rsidR="00052C94" w:rsidRPr="00CA0C65">
              <w:t xml:space="preserve"> </w:t>
            </w:r>
          </w:p>
        </w:tc>
        <w:tc>
          <w:tcPr>
            <w:tcW w:w="5339" w:type="dxa"/>
          </w:tcPr>
          <w:p w:rsidR="002404C3" w:rsidRPr="00CA0C65" w:rsidRDefault="009E0523" w:rsidP="002A0EAF">
            <w:pPr>
              <w:rPr>
                <w:rFonts w:ascii="Arial" w:hAnsi="Arial" w:cs="Arial"/>
                <w:sz w:val="20"/>
                <w:highlight w:val="yellow"/>
              </w:rPr>
            </w:pPr>
            <w:r w:rsidRPr="009E0523">
              <w:rPr>
                <w:rFonts w:ascii="Arial" w:hAnsi="Arial" w:cs="Arial"/>
                <w:sz w:val="20"/>
              </w:rPr>
              <w:t xml:space="preserve">Not Accepted: The PBAC considered that the resubmission had not addressed the technical concerns that PBAC had with the economic model and nor the fundamental issue of the meaningfulness of this type of economic evaluation when there was insufficient clinical evidence to support the claim of superior efficacy and non-inferior safety. </w:t>
            </w:r>
          </w:p>
        </w:tc>
      </w:tr>
      <w:tr w:rsidR="002404C3" w:rsidRPr="009B735A" w:rsidTr="00C23FA7">
        <w:trPr>
          <w:trHeight w:val="433"/>
        </w:trPr>
        <w:tc>
          <w:tcPr>
            <w:tcW w:w="2363"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2126" w:type="dxa"/>
            <w:vMerge/>
          </w:tcPr>
          <w:p w:rsidR="002404C3" w:rsidRPr="00CA0C65" w:rsidRDefault="002404C3" w:rsidP="00CA0C65">
            <w:pPr>
              <w:rPr>
                <w:rFonts w:ascii="Arial" w:hAnsi="Arial" w:cs="Arial"/>
                <w:sz w:val="20"/>
              </w:rPr>
            </w:pPr>
          </w:p>
        </w:tc>
        <w:tc>
          <w:tcPr>
            <w:tcW w:w="3733" w:type="dxa"/>
          </w:tcPr>
          <w:p w:rsidR="002404C3" w:rsidRPr="000805C6" w:rsidRDefault="002404C3" w:rsidP="002A0EAF">
            <w:pPr>
              <w:pStyle w:val="ListBullet"/>
            </w:pPr>
            <w:r w:rsidRPr="000805C6">
              <w:t>Sponsor’s comments:</w:t>
            </w:r>
          </w:p>
          <w:p w:rsidR="002404C3" w:rsidRPr="00CA0C65" w:rsidRDefault="002404C3" w:rsidP="002A0EAF">
            <w:pPr>
              <w:pStyle w:val="ListBullet"/>
            </w:pPr>
          </w:p>
        </w:tc>
        <w:tc>
          <w:tcPr>
            <w:tcW w:w="5339" w:type="dxa"/>
          </w:tcPr>
          <w:p w:rsidR="002404C3" w:rsidRPr="00CA0C65" w:rsidRDefault="00AD0FCA" w:rsidP="002A0EAF">
            <w:pPr>
              <w:rPr>
                <w:rFonts w:ascii="Arial" w:hAnsi="Arial" w:cs="Arial"/>
                <w:sz w:val="20"/>
                <w:highlight w:val="yellow"/>
              </w:rPr>
            </w:pPr>
            <w:r w:rsidRPr="00AD0FCA">
              <w:rPr>
                <w:rFonts w:ascii="Arial" w:hAnsi="Arial" w:cs="Arial"/>
                <w:sz w:val="20"/>
              </w:rPr>
              <w:t xml:space="preserve">PTCL is a rare group of diseases.  Currently, patients relapsing from, or refractory to, 1st line treatment rely on combination treatments, the evidence base for which is largely with b-cell lymphomas, not PTCL.  </w:t>
            </w:r>
            <w:proofErr w:type="spellStart"/>
            <w:r w:rsidRPr="00AD0FCA">
              <w:rPr>
                <w:rFonts w:ascii="Arial" w:hAnsi="Arial" w:cs="Arial"/>
                <w:sz w:val="20"/>
              </w:rPr>
              <w:t>Pralatrexate</w:t>
            </w:r>
            <w:proofErr w:type="spellEnd"/>
            <w:r w:rsidRPr="00AD0FCA">
              <w:rPr>
                <w:rFonts w:ascii="Arial" w:hAnsi="Arial" w:cs="Arial"/>
                <w:sz w:val="20"/>
              </w:rPr>
              <w:t xml:space="preserve"> provides a valid treatment option for these patients.  The Sponsor will continue working with the PBAC in order to ensure that </w:t>
            </w:r>
            <w:proofErr w:type="spellStart"/>
            <w:r w:rsidRPr="00AD0FCA">
              <w:rPr>
                <w:rFonts w:ascii="Arial" w:hAnsi="Arial" w:cs="Arial"/>
                <w:sz w:val="20"/>
              </w:rPr>
              <w:t>pralatrexate</w:t>
            </w:r>
            <w:proofErr w:type="spellEnd"/>
            <w:r w:rsidRPr="00AD0FCA">
              <w:rPr>
                <w:rFonts w:ascii="Arial" w:hAnsi="Arial" w:cs="Arial"/>
                <w:sz w:val="20"/>
              </w:rPr>
              <w:t xml:space="preserve"> is made available to patients who currently have no targeted treatment for their cancer.</w:t>
            </w:r>
          </w:p>
        </w:tc>
      </w:tr>
    </w:tbl>
    <w:p w:rsidR="0078027D" w:rsidRPr="0010394D" w:rsidRDefault="0078027D" w:rsidP="002A7FDE">
      <w:pPr>
        <w:pStyle w:val="Title"/>
        <w:jc w:val="left"/>
      </w:pPr>
    </w:p>
    <w:sectPr w:rsidR="0078027D" w:rsidRPr="0010394D" w:rsidSect="000805C6">
      <w:headerReference w:type="default" r:id="rId8"/>
      <w:footerReference w:type="default" r:id="rId9"/>
      <w:headerReference w:type="first" r:id="rId10"/>
      <w:footerReference w:type="first" r:id="rId11"/>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19" w:rsidRDefault="007E1819">
      <w:r>
        <w:separator/>
      </w:r>
    </w:p>
  </w:endnote>
  <w:endnote w:type="continuationSeparator" w:id="0">
    <w:p w:rsidR="007E1819" w:rsidRDefault="007E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9E61F3">
      <w:rPr>
        <w:rFonts w:ascii="Arial" w:hAnsi="Arial" w:cs="Arial"/>
        <w:noProof/>
        <w:sz w:val="22"/>
      </w:rPr>
      <w:t>8</w:t>
    </w:r>
    <w:r w:rsidRPr="000805C6">
      <w:rPr>
        <w:rFonts w:ascii="Arial" w:hAnsi="Arial" w:cs="Arial"/>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9E61F3">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19" w:rsidRDefault="007E1819">
      <w:r>
        <w:separator/>
      </w:r>
    </w:p>
  </w:footnote>
  <w:footnote w:type="continuationSeparator" w:id="0">
    <w:p w:rsidR="007E1819" w:rsidRDefault="007E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E142F4" w:rsidP="000805C6">
    <w:pPr>
      <w:pStyle w:val="Header"/>
      <w:jc w:val="center"/>
      <w:rPr>
        <w:rFonts w:ascii="Arial" w:hAnsi="Arial" w:cs="Arial"/>
        <w:b/>
        <w:sz w:val="20"/>
      </w:rPr>
    </w:pPr>
    <w:r>
      <w:rPr>
        <w:rFonts w:ascii="Arial" w:hAnsi="Arial" w:cs="Arial"/>
        <w:b/>
        <w:sz w:val="20"/>
      </w:rPr>
      <w:t>MARCH 2016</w:t>
    </w:r>
    <w:r w:rsidR="000805C6">
      <w:rPr>
        <w:rFonts w:ascii="Arial" w:hAnsi="Arial" w:cs="Arial"/>
        <w:b/>
        <w:sz w:val="20"/>
      </w:rPr>
      <w:t xml:space="preserve"> PBAC OUTCOMES – SUBSEQUENT</w:t>
    </w:r>
    <w:r w:rsidR="000805C6"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3415EE" w:rsidP="00613975">
    <w:pPr>
      <w:pStyle w:val="Header"/>
      <w:jc w:val="center"/>
      <w:rPr>
        <w:rFonts w:ascii="Arial" w:hAnsi="Arial" w:cs="Arial"/>
        <w:b/>
        <w:sz w:val="20"/>
      </w:rPr>
    </w:pPr>
    <w:r>
      <w:rPr>
        <w:rFonts w:ascii="Arial" w:hAnsi="Arial" w:cs="Arial"/>
        <w:b/>
        <w:sz w:val="20"/>
      </w:rPr>
      <w:t>MARCH 2016</w:t>
    </w:r>
    <w:r w:rsidR="00A24F2E" w:rsidRPr="00A24F2E">
      <w:rPr>
        <w:rFonts w:ascii="Arial" w:hAnsi="Arial" w:cs="Arial"/>
        <w:b/>
        <w:sz w:val="20"/>
      </w:rPr>
      <w:t xml:space="preserve">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DA22082"/>
    <w:multiLevelType w:val="hybridMultilevel"/>
    <w:tmpl w:val="B7D2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2B62F7"/>
    <w:multiLevelType w:val="hybridMultilevel"/>
    <w:tmpl w:val="DBA0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2">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0"/>
  </w:num>
  <w:num w:numId="4">
    <w:abstractNumId w:val="7"/>
  </w:num>
  <w:num w:numId="5">
    <w:abstractNumId w:val="2"/>
  </w:num>
  <w:num w:numId="6">
    <w:abstractNumId w:val="12"/>
  </w:num>
  <w:num w:numId="7">
    <w:abstractNumId w:val="5"/>
  </w:num>
  <w:num w:numId="8">
    <w:abstractNumId w:val="3"/>
  </w:num>
  <w:num w:numId="9">
    <w:abstractNumId w:val="1"/>
  </w:num>
  <w:num w:numId="10">
    <w:abstractNumId w:val="6"/>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1162E"/>
    <w:rsid w:val="00014389"/>
    <w:rsid w:val="00016ABD"/>
    <w:rsid w:val="00024634"/>
    <w:rsid w:val="00024F1C"/>
    <w:rsid w:val="00030555"/>
    <w:rsid w:val="00031E49"/>
    <w:rsid w:val="00046D30"/>
    <w:rsid w:val="00052C94"/>
    <w:rsid w:val="000632B7"/>
    <w:rsid w:val="00063F01"/>
    <w:rsid w:val="000703F3"/>
    <w:rsid w:val="000805C6"/>
    <w:rsid w:val="0009305C"/>
    <w:rsid w:val="000B4313"/>
    <w:rsid w:val="000B6738"/>
    <w:rsid w:val="000D1304"/>
    <w:rsid w:val="000D3717"/>
    <w:rsid w:val="000E406F"/>
    <w:rsid w:val="000E52C4"/>
    <w:rsid w:val="0010394D"/>
    <w:rsid w:val="001047FA"/>
    <w:rsid w:val="00120488"/>
    <w:rsid w:val="00144E78"/>
    <w:rsid w:val="001472AE"/>
    <w:rsid w:val="00170906"/>
    <w:rsid w:val="001810B2"/>
    <w:rsid w:val="001C0908"/>
    <w:rsid w:val="001D38D0"/>
    <w:rsid w:val="001D688E"/>
    <w:rsid w:val="001F5344"/>
    <w:rsid w:val="002007BA"/>
    <w:rsid w:val="00204DB4"/>
    <w:rsid w:val="002075FB"/>
    <w:rsid w:val="00220228"/>
    <w:rsid w:val="00220C3F"/>
    <w:rsid w:val="00223C4D"/>
    <w:rsid w:val="00237031"/>
    <w:rsid w:val="002404C3"/>
    <w:rsid w:val="00241E9E"/>
    <w:rsid w:val="002440EA"/>
    <w:rsid w:val="002460D4"/>
    <w:rsid w:val="00255313"/>
    <w:rsid w:val="00256ACE"/>
    <w:rsid w:val="002743B5"/>
    <w:rsid w:val="002861D6"/>
    <w:rsid w:val="00287BC5"/>
    <w:rsid w:val="002A0EAF"/>
    <w:rsid w:val="002A1CF2"/>
    <w:rsid w:val="002A42C5"/>
    <w:rsid w:val="002A46E6"/>
    <w:rsid w:val="002A5152"/>
    <w:rsid w:val="002A7FDE"/>
    <w:rsid w:val="002B2BEC"/>
    <w:rsid w:val="002B4B7A"/>
    <w:rsid w:val="002D0EA8"/>
    <w:rsid w:val="002D4410"/>
    <w:rsid w:val="002E5B33"/>
    <w:rsid w:val="002F0F71"/>
    <w:rsid w:val="002F2D05"/>
    <w:rsid w:val="002F5086"/>
    <w:rsid w:val="002F62A6"/>
    <w:rsid w:val="00302B1F"/>
    <w:rsid w:val="00303527"/>
    <w:rsid w:val="00305656"/>
    <w:rsid w:val="00312E87"/>
    <w:rsid w:val="00320F76"/>
    <w:rsid w:val="00322CA5"/>
    <w:rsid w:val="003335F7"/>
    <w:rsid w:val="00337EC3"/>
    <w:rsid w:val="003415EE"/>
    <w:rsid w:val="003419C9"/>
    <w:rsid w:val="00346A18"/>
    <w:rsid w:val="00347546"/>
    <w:rsid w:val="00364CA6"/>
    <w:rsid w:val="00367CA3"/>
    <w:rsid w:val="0039594A"/>
    <w:rsid w:val="0039641E"/>
    <w:rsid w:val="003B6CFA"/>
    <w:rsid w:val="003B704B"/>
    <w:rsid w:val="003C3492"/>
    <w:rsid w:val="003E2DEC"/>
    <w:rsid w:val="003E3C69"/>
    <w:rsid w:val="003E5395"/>
    <w:rsid w:val="003E5ACC"/>
    <w:rsid w:val="003F12A1"/>
    <w:rsid w:val="003F65A9"/>
    <w:rsid w:val="003F7763"/>
    <w:rsid w:val="004074CD"/>
    <w:rsid w:val="00416C9D"/>
    <w:rsid w:val="0043706A"/>
    <w:rsid w:val="00446F57"/>
    <w:rsid w:val="0044777F"/>
    <w:rsid w:val="00467522"/>
    <w:rsid w:val="00475539"/>
    <w:rsid w:val="00477C5E"/>
    <w:rsid w:val="004874F1"/>
    <w:rsid w:val="0049673E"/>
    <w:rsid w:val="004968F4"/>
    <w:rsid w:val="004A7506"/>
    <w:rsid w:val="004A76AD"/>
    <w:rsid w:val="004C071C"/>
    <w:rsid w:val="004C0A09"/>
    <w:rsid w:val="004C0F09"/>
    <w:rsid w:val="004C3700"/>
    <w:rsid w:val="004C4C2B"/>
    <w:rsid w:val="004D08BF"/>
    <w:rsid w:val="004D2DFC"/>
    <w:rsid w:val="004E4BB3"/>
    <w:rsid w:val="004E58AE"/>
    <w:rsid w:val="004E61E5"/>
    <w:rsid w:val="004E7F92"/>
    <w:rsid w:val="004F22AF"/>
    <w:rsid w:val="004F53A2"/>
    <w:rsid w:val="005060C3"/>
    <w:rsid w:val="005156A1"/>
    <w:rsid w:val="00524927"/>
    <w:rsid w:val="005334F6"/>
    <w:rsid w:val="00533EC6"/>
    <w:rsid w:val="00551121"/>
    <w:rsid w:val="00556A91"/>
    <w:rsid w:val="0056006F"/>
    <w:rsid w:val="00565922"/>
    <w:rsid w:val="00575B97"/>
    <w:rsid w:val="00583A1F"/>
    <w:rsid w:val="00590408"/>
    <w:rsid w:val="00591511"/>
    <w:rsid w:val="005A05DC"/>
    <w:rsid w:val="005A4700"/>
    <w:rsid w:val="005B1359"/>
    <w:rsid w:val="005C51C0"/>
    <w:rsid w:val="005C529C"/>
    <w:rsid w:val="005C583B"/>
    <w:rsid w:val="005D0350"/>
    <w:rsid w:val="00606B1D"/>
    <w:rsid w:val="00613975"/>
    <w:rsid w:val="0062060A"/>
    <w:rsid w:val="006227C5"/>
    <w:rsid w:val="00636B27"/>
    <w:rsid w:val="006378CF"/>
    <w:rsid w:val="00655D5C"/>
    <w:rsid w:val="00670168"/>
    <w:rsid w:val="006706AA"/>
    <w:rsid w:val="00674FEC"/>
    <w:rsid w:val="00680915"/>
    <w:rsid w:val="00695D28"/>
    <w:rsid w:val="006A4BE8"/>
    <w:rsid w:val="006A724A"/>
    <w:rsid w:val="006A772E"/>
    <w:rsid w:val="006B41E1"/>
    <w:rsid w:val="006C196C"/>
    <w:rsid w:val="006C1CD8"/>
    <w:rsid w:val="006C6E12"/>
    <w:rsid w:val="006E0C7B"/>
    <w:rsid w:val="006F3F91"/>
    <w:rsid w:val="006F40D1"/>
    <w:rsid w:val="00704ABF"/>
    <w:rsid w:val="00704E74"/>
    <w:rsid w:val="00720097"/>
    <w:rsid w:val="00735D52"/>
    <w:rsid w:val="00743998"/>
    <w:rsid w:val="00743DF4"/>
    <w:rsid w:val="00751128"/>
    <w:rsid w:val="0075364D"/>
    <w:rsid w:val="007572F6"/>
    <w:rsid w:val="007605AB"/>
    <w:rsid w:val="0076473F"/>
    <w:rsid w:val="00770B47"/>
    <w:rsid w:val="0078027D"/>
    <w:rsid w:val="007840FF"/>
    <w:rsid w:val="00784382"/>
    <w:rsid w:val="0079164A"/>
    <w:rsid w:val="007A16E6"/>
    <w:rsid w:val="007A29FA"/>
    <w:rsid w:val="007A361E"/>
    <w:rsid w:val="007B0843"/>
    <w:rsid w:val="007B66BB"/>
    <w:rsid w:val="007C0EDE"/>
    <w:rsid w:val="007C250E"/>
    <w:rsid w:val="007C274A"/>
    <w:rsid w:val="007D085A"/>
    <w:rsid w:val="007E1819"/>
    <w:rsid w:val="0080031A"/>
    <w:rsid w:val="0080046E"/>
    <w:rsid w:val="008040C8"/>
    <w:rsid w:val="008068F2"/>
    <w:rsid w:val="00815D6B"/>
    <w:rsid w:val="0081702A"/>
    <w:rsid w:val="00821E75"/>
    <w:rsid w:val="00826000"/>
    <w:rsid w:val="00842F8C"/>
    <w:rsid w:val="00850073"/>
    <w:rsid w:val="0086299E"/>
    <w:rsid w:val="0086603E"/>
    <w:rsid w:val="008A5929"/>
    <w:rsid w:val="008B0E22"/>
    <w:rsid w:val="008B7160"/>
    <w:rsid w:val="008C185A"/>
    <w:rsid w:val="008C6E23"/>
    <w:rsid w:val="008D676E"/>
    <w:rsid w:val="008D72BA"/>
    <w:rsid w:val="008E0965"/>
    <w:rsid w:val="008E3CC3"/>
    <w:rsid w:val="009044AF"/>
    <w:rsid w:val="00907AA6"/>
    <w:rsid w:val="009224BE"/>
    <w:rsid w:val="00924932"/>
    <w:rsid w:val="00925326"/>
    <w:rsid w:val="00934AD5"/>
    <w:rsid w:val="00947987"/>
    <w:rsid w:val="00957F9F"/>
    <w:rsid w:val="00972B1B"/>
    <w:rsid w:val="0098248A"/>
    <w:rsid w:val="00991AFC"/>
    <w:rsid w:val="009B2F04"/>
    <w:rsid w:val="009B49D2"/>
    <w:rsid w:val="009B5D59"/>
    <w:rsid w:val="009B6E95"/>
    <w:rsid w:val="009B735A"/>
    <w:rsid w:val="009B7CBE"/>
    <w:rsid w:val="009C52D8"/>
    <w:rsid w:val="009C73A4"/>
    <w:rsid w:val="009C7FD0"/>
    <w:rsid w:val="009D0A99"/>
    <w:rsid w:val="009D1D30"/>
    <w:rsid w:val="009D77B4"/>
    <w:rsid w:val="009E0523"/>
    <w:rsid w:val="009E299C"/>
    <w:rsid w:val="009E61F3"/>
    <w:rsid w:val="009E6539"/>
    <w:rsid w:val="009F0ED6"/>
    <w:rsid w:val="009F42BE"/>
    <w:rsid w:val="009F5E7E"/>
    <w:rsid w:val="00A02424"/>
    <w:rsid w:val="00A07C14"/>
    <w:rsid w:val="00A24F2E"/>
    <w:rsid w:val="00A26805"/>
    <w:rsid w:val="00A42D88"/>
    <w:rsid w:val="00A55002"/>
    <w:rsid w:val="00A56ED7"/>
    <w:rsid w:val="00A62091"/>
    <w:rsid w:val="00A62D7E"/>
    <w:rsid w:val="00A706C5"/>
    <w:rsid w:val="00A74BD3"/>
    <w:rsid w:val="00A86069"/>
    <w:rsid w:val="00A90F44"/>
    <w:rsid w:val="00A913CA"/>
    <w:rsid w:val="00AB52CD"/>
    <w:rsid w:val="00AD0FCA"/>
    <w:rsid w:val="00AD3357"/>
    <w:rsid w:val="00AE346B"/>
    <w:rsid w:val="00AE3F52"/>
    <w:rsid w:val="00AF4A3C"/>
    <w:rsid w:val="00B01F7E"/>
    <w:rsid w:val="00B10521"/>
    <w:rsid w:val="00B26FF7"/>
    <w:rsid w:val="00B42918"/>
    <w:rsid w:val="00B43E46"/>
    <w:rsid w:val="00B44CA8"/>
    <w:rsid w:val="00B77A97"/>
    <w:rsid w:val="00B80FE3"/>
    <w:rsid w:val="00B915BE"/>
    <w:rsid w:val="00BA619E"/>
    <w:rsid w:val="00BC0474"/>
    <w:rsid w:val="00BC1FB7"/>
    <w:rsid w:val="00BC55C3"/>
    <w:rsid w:val="00BD520B"/>
    <w:rsid w:val="00BD6EBF"/>
    <w:rsid w:val="00BE58B8"/>
    <w:rsid w:val="00BE7D88"/>
    <w:rsid w:val="00BF7AF4"/>
    <w:rsid w:val="00C110F0"/>
    <w:rsid w:val="00C17C65"/>
    <w:rsid w:val="00C23FA7"/>
    <w:rsid w:val="00C2561B"/>
    <w:rsid w:val="00C26A1C"/>
    <w:rsid w:val="00C333D1"/>
    <w:rsid w:val="00C355A7"/>
    <w:rsid w:val="00C4326C"/>
    <w:rsid w:val="00C44762"/>
    <w:rsid w:val="00C454EF"/>
    <w:rsid w:val="00C45D98"/>
    <w:rsid w:val="00C464A5"/>
    <w:rsid w:val="00C9315F"/>
    <w:rsid w:val="00C93FA9"/>
    <w:rsid w:val="00C9450F"/>
    <w:rsid w:val="00C94D2C"/>
    <w:rsid w:val="00CA0C65"/>
    <w:rsid w:val="00CA2B5C"/>
    <w:rsid w:val="00CB0656"/>
    <w:rsid w:val="00CB799A"/>
    <w:rsid w:val="00CC001D"/>
    <w:rsid w:val="00CC1FC5"/>
    <w:rsid w:val="00CD1F11"/>
    <w:rsid w:val="00CD3345"/>
    <w:rsid w:val="00CD6E96"/>
    <w:rsid w:val="00CE3D26"/>
    <w:rsid w:val="00D06895"/>
    <w:rsid w:val="00D230A2"/>
    <w:rsid w:val="00D3127D"/>
    <w:rsid w:val="00D4718F"/>
    <w:rsid w:val="00D5330C"/>
    <w:rsid w:val="00D641C2"/>
    <w:rsid w:val="00D65DDC"/>
    <w:rsid w:val="00D85166"/>
    <w:rsid w:val="00D905C6"/>
    <w:rsid w:val="00D938F5"/>
    <w:rsid w:val="00DB0BAD"/>
    <w:rsid w:val="00DB3394"/>
    <w:rsid w:val="00DB589E"/>
    <w:rsid w:val="00DB63C7"/>
    <w:rsid w:val="00DD5B1D"/>
    <w:rsid w:val="00DD66E2"/>
    <w:rsid w:val="00DE6421"/>
    <w:rsid w:val="00DE6C5F"/>
    <w:rsid w:val="00DF703C"/>
    <w:rsid w:val="00E142F4"/>
    <w:rsid w:val="00E16367"/>
    <w:rsid w:val="00E224FF"/>
    <w:rsid w:val="00E239BA"/>
    <w:rsid w:val="00E331E0"/>
    <w:rsid w:val="00E47E9A"/>
    <w:rsid w:val="00E508BC"/>
    <w:rsid w:val="00E60ACD"/>
    <w:rsid w:val="00E663DC"/>
    <w:rsid w:val="00E7686D"/>
    <w:rsid w:val="00E77EAA"/>
    <w:rsid w:val="00E86609"/>
    <w:rsid w:val="00E8771F"/>
    <w:rsid w:val="00EA02A3"/>
    <w:rsid w:val="00EA6994"/>
    <w:rsid w:val="00EE1E65"/>
    <w:rsid w:val="00EE5442"/>
    <w:rsid w:val="00EF026E"/>
    <w:rsid w:val="00F16DF9"/>
    <w:rsid w:val="00F20487"/>
    <w:rsid w:val="00F215D2"/>
    <w:rsid w:val="00F23F38"/>
    <w:rsid w:val="00F25545"/>
    <w:rsid w:val="00F301A5"/>
    <w:rsid w:val="00F40665"/>
    <w:rsid w:val="00F43732"/>
    <w:rsid w:val="00F52E0A"/>
    <w:rsid w:val="00F63AFD"/>
    <w:rsid w:val="00F72B54"/>
    <w:rsid w:val="00F75206"/>
    <w:rsid w:val="00F82673"/>
    <w:rsid w:val="00F83FA8"/>
    <w:rsid w:val="00F924D9"/>
    <w:rsid w:val="00FC2645"/>
    <w:rsid w:val="00FC4900"/>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08667299">
      <w:bodyDiv w:val="1"/>
      <w:marLeft w:val="0"/>
      <w:marRight w:val="0"/>
      <w:marTop w:val="0"/>
      <w:marBottom w:val="0"/>
      <w:divBdr>
        <w:top w:val="none" w:sz="0" w:space="0" w:color="auto"/>
        <w:left w:val="none" w:sz="0" w:space="0" w:color="auto"/>
        <w:bottom w:val="none" w:sz="0" w:space="0" w:color="auto"/>
        <w:right w:val="none" w:sz="0" w:space="0" w:color="auto"/>
      </w:divBdr>
    </w:div>
    <w:div w:id="325475497">
      <w:bodyDiv w:val="1"/>
      <w:marLeft w:val="0"/>
      <w:marRight w:val="0"/>
      <w:marTop w:val="0"/>
      <w:marBottom w:val="0"/>
      <w:divBdr>
        <w:top w:val="none" w:sz="0" w:space="0" w:color="auto"/>
        <w:left w:val="none" w:sz="0" w:space="0" w:color="auto"/>
        <w:bottom w:val="none" w:sz="0" w:space="0" w:color="auto"/>
        <w:right w:val="none" w:sz="0" w:space="0" w:color="auto"/>
      </w:divBdr>
    </w:div>
    <w:div w:id="348407466">
      <w:bodyDiv w:val="1"/>
      <w:marLeft w:val="0"/>
      <w:marRight w:val="0"/>
      <w:marTop w:val="0"/>
      <w:marBottom w:val="0"/>
      <w:divBdr>
        <w:top w:val="none" w:sz="0" w:space="0" w:color="auto"/>
        <w:left w:val="none" w:sz="0" w:space="0" w:color="auto"/>
        <w:bottom w:val="none" w:sz="0" w:space="0" w:color="auto"/>
        <w:right w:val="none" w:sz="0" w:space="0" w:color="auto"/>
      </w:divBdr>
    </w:div>
    <w:div w:id="432212811">
      <w:bodyDiv w:val="1"/>
      <w:marLeft w:val="0"/>
      <w:marRight w:val="0"/>
      <w:marTop w:val="0"/>
      <w:marBottom w:val="0"/>
      <w:divBdr>
        <w:top w:val="none" w:sz="0" w:space="0" w:color="auto"/>
        <w:left w:val="none" w:sz="0" w:space="0" w:color="auto"/>
        <w:bottom w:val="none" w:sz="0" w:space="0" w:color="auto"/>
        <w:right w:val="none" w:sz="0" w:space="0" w:color="auto"/>
      </w:divBdr>
    </w:div>
    <w:div w:id="475494489">
      <w:bodyDiv w:val="1"/>
      <w:marLeft w:val="0"/>
      <w:marRight w:val="0"/>
      <w:marTop w:val="0"/>
      <w:marBottom w:val="0"/>
      <w:divBdr>
        <w:top w:val="none" w:sz="0" w:space="0" w:color="auto"/>
        <w:left w:val="none" w:sz="0" w:space="0" w:color="auto"/>
        <w:bottom w:val="none" w:sz="0" w:space="0" w:color="auto"/>
        <w:right w:val="none" w:sz="0" w:space="0" w:color="auto"/>
      </w:divBdr>
    </w:div>
    <w:div w:id="548079702">
      <w:bodyDiv w:val="1"/>
      <w:marLeft w:val="0"/>
      <w:marRight w:val="0"/>
      <w:marTop w:val="0"/>
      <w:marBottom w:val="0"/>
      <w:divBdr>
        <w:top w:val="none" w:sz="0" w:space="0" w:color="auto"/>
        <w:left w:val="none" w:sz="0" w:space="0" w:color="auto"/>
        <w:bottom w:val="none" w:sz="0" w:space="0" w:color="auto"/>
        <w:right w:val="none" w:sz="0" w:space="0" w:color="auto"/>
      </w:divBdr>
    </w:div>
    <w:div w:id="555508712">
      <w:bodyDiv w:val="1"/>
      <w:marLeft w:val="0"/>
      <w:marRight w:val="0"/>
      <w:marTop w:val="0"/>
      <w:marBottom w:val="0"/>
      <w:divBdr>
        <w:top w:val="none" w:sz="0" w:space="0" w:color="auto"/>
        <w:left w:val="none" w:sz="0" w:space="0" w:color="auto"/>
        <w:bottom w:val="none" w:sz="0" w:space="0" w:color="auto"/>
        <w:right w:val="none" w:sz="0" w:space="0" w:color="auto"/>
      </w:divBdr>
    </w:div>
    <w:div w:id="589899303">
      <w:bodyDiv w:val="1"/>
      <w:marLeft w:val="0"/>
      <w:marRight w:val="0"/>
      <w:marTop w:val="0"/>
      <w:marBottom w:val="0"/>
      <w:divBdr>
        <w:top w:val="none" w:sz="0" w:space="0" w:color="auto"/>
        <w:left w:val="none" w:sz="0" w:space="0" w:color="auto"/>
        <w:bottom w:val="none" w:sz="0" w:space="0" w:color="auto"/>
        <w:right w:val="none" w:sz="0" w:space="0" w:color="auto"/>
      </w:divBdr>
    </w:div>
    <w:div w:id="661280636">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60031263">
      <w:bodyDiv w:val="1"/>
      <w:marLeft w:val="0"/>
      <w:marRight w:val="0"/>
      <w:marTop w:val="0"/>
      <w:marBottom w:val="0"/>
      <w:divBdr>
        <w:top w:val="none" w:sz="0" w:space="0" w:color="auto"/>
        <w:left w:val="none" w:sz="0" w:space="0" w:color="auto"/>
        <w:bottom w:val="none" w:sz="0" w:space="0" w:color="auto"/>
        <w:right w:val="none" w:sz="0" w:space="0" w:color="auto"/>
      </w:divBdr>
    </w:div>
    <w:div w:id="8344136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190952650">
      <w:bodyDiv w:val="1"/>
      <w:marLeft w:val="0"/>
      <w:marRight w:val="0"/>
      <w:marTop w:val="0"/>
      <w:marBottom w:val="0"/>
      <w:divBdr>
        <w:top w:val="none" w:sz="0" w:space="0" w:color="auto"/>
        <w:left w:val="none" w:sz="0" w:space="0" w:color="auto"/>
        <w:bottom w:val="none" w:sz="0" w:space="0" w:color="auto"/>
        <w:right w:val="none" w:sz="0" w:space="0" w:color="auto"/>
      </w:divBdr>
    </w:div>
    <w:div w:id="1267271626">
      <w:bodyDiv w:val="1"/>
      <w:marLeft w:val="0"/>
      <w:marRight w:val="0"/>
      <w:marTop w:val="0"/>
      <w:marBottom w:val="0"/>
      <w:divBdr>
        <w:top w:val="none" w:sz="0" w:space="0" w:color="auto"/>
        <w:left w:val="none" w:sz="0" w:space="0" w:color="auto"/>
        <w:bottom w:val="none" w:sz="0" w:space="0" w:color="auto"/>
        <w:right w:val="none" w:sz="0" w:space="0" w:color="auto"/>
      </w:divBdr>
    </w:div>
    <w:div w:id="1284770776">
      <w:bodyDiv w:val="1"/>
      <w:marLeft w:val="0"/>
      <w:marRight w:val="0"/>
      <w:marTop w:val="0"/>
      <w:marBottom w:val="0"/>
      <w:divBdr>
        <w:top w:val="none" w:sz="0" w:space="0" w:color="auto"/>
        <w:left w:val="none" w:sz="0" w:space="0" w:color="auto"/>
        <w:bottom w:val="none" w:sz="0" w:space="0" w:color="auto"/>
        <w:right w:val="none" w:sz="0" w:space="0" w:color="auto"/>
      </w:divBdr>
    </w:div>
    <w:div w:id="1506898300">
      <w:bodyDiv w:val="1"/>
      <w:marLeft w:val="0"/>
      <w:marRight w:val="0"/>
      <w:marTop w:val="0"/>
      <w:marBottom w:val="0"/>
      <w:divBdr>
        <w:top w:val="none" w:sz="0" w:space="0" w:color="auto"/>
        <w:left w:val="none" w:sz="0" w:space="0" w:color="auto"/>
        <w:bottom w:val="none" w:sz="0" w:space="0" w:color="auto"/>
        <w:right w:val="none" w:sz="0" w:space="0" w:color="auto"/>
      </w:divBdr>
    </w:div>
    <w:div w:id="1544752983">
      <w:bodyDiv w:val="1"/>
      <w:marLeft w:val="0"/>
      <w:marRight w:val="0"/>
      <w:marTop w:val="0"/>
      <w:marBottom w:val="0"/>
      <w:divBdr>
        <w:top w:val="none" w:sz="0" w:space="0" w:color="auto"/>
        <w:left w:val="none" w:sz="0" w:space="0" w:color="auto"/>
        <w:bottom w:val="none" w:sz="0" w:space="0" w:color="auto"/>
        <w:right w:val="none" w:sz="0" w:space="0" w:color="auto"/>
      </w:divBdr>
    </w:div>
    <w:div w:id="1617520807">
      <w:bodyDiv w:val="1"/>
      <w:marLeft w:val="0"/>
      <w:marRight w:val="0"/>
      <w:marTop w:val="0"/>
      <w:marBottom w:val="0"/>
      <w:divBdr>
        <w:top w:val="none" w:sz="0" w:space="0" w:color="auto"/>
        <w:left w:val="none" w:sz="0" w:space="0" w:color="auto"/>
        <w:bottom w:val="none" w:sz="0" w:space="0" w:color="auto"/>
        <w:right w:val="none" w:sz="0" w:space="0" w:color="auto"/>
      </w:divBdr>
    </w:div>
    <w:div w:id="1673096798">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16744">
      <w:bodyDiv w:val="1"/>
      <w:marLeft w:val="0"/>
      <w:marRight w:val="0"/>
      <w:marTop w:val="0"/>
      <w:marBottom w:val="0"/>
      <w:divBdr>
        <w:top w:val="none" w:sz="0" w:space="0" w:color="auto"/>
        <w:left w:val="none" w:sz="0" w:space="0" w:color="auto"/>
        <w:bottom w:val="none" w:sz="0" w:space="0" w:color="auto"/>
        <w:right w:val="none" w:sz="0" w:space="0" w:color="auto"/>
      </w:divBdr>
    </w:div>
    <w:div w:id="1768185379">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1958945650">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9597681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1883</Words>
  <Characters>11548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2016-04-21T02:01:00Z</dcterms:created>
  <dcterms:modified xsi:type="dcterms:W3CDTF">2016-04-21T02:08:00Z</dcterms:modified>
</cp:coreProperties>
</file>