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2005"/>
        <w:gridCol w:w="4248"/>
        <w:gridCol w:w="5562"/>
      </w:tblGrid>
      <w:tr w:rsidR="00FE54F6" w:rsidRPr="00767E3C" w:rsidTr="00193812">
        <w:trPr>
          <w:tblHeader/>
        </w:trPr>
        <w:tc>
          <w:tcPr>
            <w:tcW w:w="3799" w:type="dxa"/>
            <w:tcMar>
              <w:top w:w="28" w:type="dxa"/>
              <w:bottom w:w="28" w:type="dxa"/>
            </w:tcMar>
          </w:tcPr>
          <w:p w:rsidR="00FE54F6" w:rsidRPr="00767E3C" w:rsidRDefault="00477DE8" w:rsidP="00472215">
            <w:pPr>
              <w:jc w:val="center"/>
              <w:rPr>
                <w:rFonts w:ascii="Arial" w:hAnsi="Arial" w:cs="Arial"/>
                <w:b/>
              </w:rPr>
            </w:pPr>
            <w:bookmarkStart w:id="0" w:name="_GoBack"/>
            <w:bookmarkEnd w:id="0"/>
            <w:r w:rsidRPr="00767E3C">
              <w:rPr>
                <w:rFonts w:ascii="Arial" w:hAnsi="Arial" w:cs="Arial"/>
                <w:b/>
              </w:rPr>
              <w:t xml:space="preserve">DRUG, </w:t>
            </w:r>
            <w:r w:rsidR="00FE54F6" w:rsidRPr="00767E3C">
              <w:rPr>
                <w:rFonts w:ascii="Arial" w:hAnsi="Arial" w:cs="Arial"/>
                <w:b/>
              </w:rPr>
              <w:t>SPONSOR</w:t>
            </w:r>
            <w:r w:rsidRPr="00767E3C">
              <w:rPr>
                <w:rFonts w:ascii="Arial" w:hAnsi="Arial" w:cs="Arial"/>
                <w:b/>
              </w:rPr>
              <w:t>, TYPE OF SUBMISSION</w:t>
            </w:r>
          </w:p>
          <w:p w:rsidR="00FE54F6" w:rsidRPr="00767E3C" w:rsidRDefault="00FE54F6" w:rsidP="00472215">
            <w:pPr>
              <w:jc w:val="center"/>
              <w:rPr>
                <w:rFonts w:ascii="Arial" w:hAnsi="Arial" w:cs="Arial"/>
                <w:snapToGrid w:val="0"/>
                <w:lang w:eastAsia="en-US"/>
              </w:rPr>
            </w:pPr>
          </w:p>
          <w:p w:rsidR="00FE54F6" w:rsidRPr="00767E3C" w:rsidRDefault="00FE54F6" w:rsidP="00472215">
            <w:pPr>
              <w:jc w:val="center"/>
              <w:rPr>
                <w:rFonts w:ascii="Arial" w:hAnsi="Arial" w:cs="Arial"/>
                <w:b/>
              </w:rPr>
            </w:pPr>
          </w:p>
        </w:tc>
        <w:tc>
          <w:tcPr>
            <w:tcW w:w="2005" w:type="dxa"/>
            <w:tcMar>
              <w:top w:w="28" w:type="dxa"/>
              <w:bottom w:w="28" w:type="dxa"/>
            </w:tcMar>
          </w:tcPr>
          <w:p w:rsidR="00FE54F6" w:rsidRPr="00767E3C" w:rsidRDefault="00FE54F6" w:rsidP="00472215">
            <w:pPr>
              <w:jc w:val="center"/>
              <w:rPr>
                <w:rFonts w:ascii="Arial" w:hAnsi="Arial" w:cs="Arial"/>
                <w:b/>
                <w:snapToGrid w:val="0"/>
                <w:lang w:eastAsia="en-US"/>
              </w:rPr>
            </w:pPr>
            <w:r w:rsidRPr="00767E3C">
              <w:rPr>
                <w:rFonts w:ascii="Arial" w:hAnsi="Arial" w:cs="Arial"/>
                <w:b/>
                <w:snapToGrid w:val="0"/>
                <w:lang w:eastAsia="en-US"/>
              </w:rPr>
              <w:t>DRUG TYPE OR USE</w:t>
            </w:r>
          </w:p>
          <w:p w:rsidR="00FE54F6" w:rsidRPr="00767E3C" w:rsidRDefault="00FE54F6" w:rsidP="00472215">
            <w:pPr>
              <w:jc w:val="center"/>
              <w:rPr>
                <w:rFonts w:ascii="Arial" w:hAnsi="Arial" w:cs="Arial"/>
                <w:b/>
                <w:i/>
                <w:snapToGrid w:val="0"/>
                <w:lang w:eastAsia="en-US"/>
              </w:rPr>
            </w:pPr>
          </w:p>
        </w:tc>
        <w:tc>
          <w:tcPr>
            <w:tcW w:w="4248" w:type="dxa"/>
            <w:tcMar>
              <w:top w:w="28" w:type="dxa"/>
              <w:bottom w:w="28" w:type="dxa"/>
            </w:tcMar>
          </w:tcPr>
          <w:p w:rsidR="00FE54F6" w:rsidRPr="00767E3C" w:rsidRDefault="00FE54F6" w:rsidP="00472215">
            <w:pPr>
              <w:jc w:val="center"/>
              <w:rPr>
                <w:rFonts w:ascii="Arial" w:hAnsi="Arial" w:cs="Arial"/>
                <w:i/>
                <w:snapToGrid w:val="0"/>
                <w:lang w:eastAsia="en-US"/>
              </w:rPr>
            </w:pPr>
            <w:r w:rsidRPr="00767E3C">
              <w:rPr>
                <w:rFonts w:ascii="Arial" w:hAnsi="Arial" w:cs="Arial"/>
                <w:b/>
                <w:snapToGrid w:val="0"/>
                <w:lang w:eastAsia="en-US"/>
              </w:rPr>
              <w:t>LISTING REQUESTED BY SPONSOR</w:t>
            </w:r>
            <w:r w:rsidR="00012FB9" w:rsidRPr="00767E3C">
              <w:rPr>
                <w:rFonts w:ascii="Arial" w:hAnsi="Arial" w:cs="Arial"/>
                <w:b/>
                <w:snapToGrid w:val="0"/>
                <w:lang w:eastAsia="en-US"/>
              </w:rPr>
              <w:t xml:space="preserve"> / PURPOSE OF SUBMISSION</w:t>
            </w:r>
          </w:p>
          <w:p w:rsidR="00FE54F6" w:rsidRPr="00767E3C" w:rsidRDefault="00FE54F6" w:rsidP="00472215">
            <w:pPr>
              <w:rPr>
                <w:rFonts w:ascii="Arial" w:hAnsi="Arial" w:cs="Arial"/>
                <w:b/>
                <w:snapToGrid w:val="0"/>
                <w:lang w:eastAsia="en-US"/>
              </w:rPr>
            </w:pPr>
          </w:p>
        </w:tc>
        <w:tc>
          <w:tcPr>
            <w:tcW w:w="5562" w:type="dxa"/>
          </w:tcPr>
          <w:p w:rsidR="00FE54F6" w:rsidRPr="00767E3C" w:rsidRDefault="00FE54F6" w:rsidP="00472215">
            <w:pPr>
              <w:jc w:val="center"/>
              <w:rPr>
                <w:rFonts w:ascii="Arial" w:hAnsi="Arial" w:cs="Arial"/>
                <w:b/>
                <w:snapToGrid w:val="0"/>
                <w:lang w:eastAsia="en-US"/>
              </w:rPr>
            </w:pPr>
            <w:r w:rsidRPr="00767E3C">
              <w:rPr>
                <w:rFonts w:ascii="Arial" w:hAnsi="Arial" w:cs="Arial"/>
                <w:b/>
                <w:snapToGrid w:val="0"/>
                <w:lang w:eastAsia="en-US"/>
              </w:rPr>
              <w:t xml:space="preserve">PBAC </w:t>
            </w:r>
            <w:r w:rsidR="002F1CF8" w:rsidRPr="00767E3C">
              <w:rPr>
                <w:rFonts w:ascii="Arial" w:hAnsi="Arial" w:cs="Arial"/>
                <w:b/>
                <w:snapToGrid w:val="0"/>
                <w:lang w:eastAsia="en-US"/>
              </w:rPr>
              <w:t>OUTCOME</w:t>
            </w:r>
          </w:p>
        </w:tc>
      </w:tr>
      <w:tr w:rsidR="00250208"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A1758" w:rsidRDefault="00940BA5" w:rsidP="009A1758">
            <w:pPr>
              <w:rPr>
                <w:rFonts w:ascii="Arial" w:hAnsi="Arial" w:cs="Arial"/>
                <w:bCs/>
                <w:color w:val="000000"/>
              </w:rPr>
            </w:pPr>
            <w:r w:rsidRPr="005D1C1E">
              <w:rPr>
                <w:rFonts w:ascii="Arial" w:hAnsi="Arial" w:cs="Arial"/>
                <w:bCs/>
                <w:color w:val="000000"/>
              </w:rPr>
              <w:t>ADRENALINE</w:t>
            </w:r>
            <w:r w:rsidRPr="005D1C1E">
              <w:rPr>
                <w:rFonts w:ascii="Arial" w:hAnsi="Arial" w:cs="Arial"/>
                <w:bCs/>
                <w:color w:val="000000"/>
              </w:rPr>
              <w:br/>
            </w:r>
            <w:r w:rsidRPr="005D1C1E">
              <w:rPr>
                <w:rFonts w:ascii="Arial" w:hAnsi="Arial" w:cs="Arial"/>
                <w:bCs/>
                <w:color w:val="000000"/>
              </w:rPr>
              <w:br/>
              <w:t>I.M. injection 150 micrograms in 0.3</w:t>
            </w:r>
            <w:r w:rsidR="004450E9">
              <w:rPr>
                <w:rFonts w:ascii="Arial" w:hAnsi="Arial" w:cs="Arial"/>
                <w:bCs/>
                <w:color w:val="000000"/>
              </w:rPr>
              <w:t> </w:t>
            </w:r>
            <w:r w:rsidRPr="005D1C1E">
              <w:rPr>
                <w:rFonts w:ascii="Arial" w:hAnsi="Arial" w:cs="Arial"/>
                <w:bCs/>
                <w:color w:val="000000"/>
              </w:rPr>
              <w:t>mL single dose syringe auto-injector</w:t>
            </w:r>
            <w:r w:rsidRPr="005D1C1E">
              <w:rPr>
                <w:rFonts w:ascii="Arial" w:hAnsi="Arial" w:cs="Arial"/>
                <w:bCs/>
                <w:color w:val="000000"/>
              </w:rPr>
              <w:br/>
              <w:t>I.M. injection 300 micrograms in 0.3</w:t>
            </w:r>
            <w:r w:rsidR="004450E9">
              <w:rPr>
                <w:rFonts w:ascii="Arial" w:hAnsi="Arial" w:cs="Arial"/>
                <w:bCs/>
                <w:color w:val="000000"/>
              </w:rPr>
              <w:t> </w:t>
            </w:r>
            <w:r w:rsidRPr="005D1C1E">
              <w:rPr>
                <w:rFonts w:ascii="Arial" w:hAnsi="Arial" w:cs="Arial"/>
                <w:bCs/>
                <w:color w:val="000000"/>
              </w:rPr>
              <w:t>mL single dose syringe auto-injector</w:t>
            </w:r>
            <w:r w:rsidRPr="005D1C1E">
              <w:rPr>
                <w:rFonts w:ascii="Arial" w:hAnsi="Arial" w:cs="Arial"/>
                <w:bCs/>
                <w:color w:val="000000"/>
              </w:rPr>
              <w:br/>
            </w:r>
            <w:r w:rsidRPr="005D1C1E">
              <w:rPr>
                <w:rFonts w:ascii="Arial" w:hAnsi="Arial" w:cs="Arial"/>
                <w:bCs/>
                <w:color w:val="000000"/>
              </w:rPr>
              <w:br/>
              <w:t>Adrenaline Auto Inject Sun-JV</w:t>
            </w:r>
            <w:r w:rsidR="001F20BD" w:rsidRPr="001F20BD">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Ranbaxy Australia (Sun Pharma)</w:t>
            </w:r>
          </w:p>
          <w:p w:rsidR="00940BA5" w:rsidRPr="00767E3C" w:rsidRDefault="00940BA5" w:rsidP="009A1758">
            <w:pPr>
              <w:rPr>
                <w:rFonts w:ascii="Arial" w:hAnsi="Arial" w:cs="Arial"/>
                <w:color w:val="000000"/>
              </w:rPr>
            </w:pPr>
          </w:p>
          <w:p w:rsidR="00940BA5" w:rsidRDefault="00940BA5" w:rsidP="0049160F">
            <w:pPr>
              <w:rPr>
                <w:rFonts w:ascii="Arial" w:hAnsi="Arial" w:cs="Arial"/>
                <w:bCs/>
                <w:color w:val="000000"/>
              </w:rPr>
            </w:pPr>
            <w:r>
              <w:rPr>
                <w:rFonts w:ascii="Arial" w:hAnsi="Arial" w:cs="Arial"/>
                <w:bCs/>
                <w:color w:val="000000"/>
              </w:rPr>
              <w:t>New listing</w:t>
            </w:r>
            <w:r>
              <w:rPr>
                <w:rFonts w:ascii="Arial" w:hAnsi="Arial" w:cs="Arial"/>
                <w:bCs/>
                <w:color w:val="000000"/>
              </w:rPr>
              <w:br/>
            </w:r>
          </w:p>
          <w:p w:rsidR="00250208" w:rsidRPr="00767E3C" w:rsidRDefault="00940BA5" w:rsidP="0049160F">
            <w:pPr>
              <w:rPr>
                <w:rFonts w:ascii="Arial" w:hAnsi="Arial" w:cs="Arial"/>
                <w:color w:val="000000"/>
              </w:rPr>
            </w:pPr>
            <w:r>
              <w:rPr>
                <w:rFonts w:ascii="Arial" w:hAnsi="Arial" w:cs="Arial"/>
                <w:bCs/>
                <w:color w:val="000000"/>
              </w:rPr>
              <w:t>(</w:t>
            </w:r>
            <w:r w:rsidRPr="005D1C1E">
              <w:rPr>
                <w:rFonts w:ascii="Arial" w:hAnsi="Arial" w:cs="Arial"/>
                <w:bCs/>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250208" w:rsidRDefault="00940BA5" w:rsidP="00940BA5">
            <w:pPr>
              <w:rPr>
                <w:rFonts w:ascii="Arial" w:hAnsi="Arial" w:cs="Arial"/>
                <w:color w:val="000000"/>
              </w:rPr>
            </w:pPr>
            <w:r w:rsidRPr="005D1C1E">
              <w:rPr>
                <w:rFonts w:ascii="Arial" w:hAnsi="Arial" w:cs="Arial"/>
                <w:bCs/>
                <w:color w:val="000000"/>
              </w:rPr>
              <w:t>Anaphylaxis</w:t>
            </w:r>
            <w:r w:rsidRPr="00767E3C">
              <w:rPr>
                <w:rFonts w:ascii="Arial" w:hAnsi="Arial" w:cs="Arial"/>
                <w:color w:val="000000"/>
              </w:rPr>
              <w:t xml:space="preserve"> </w:t>
            </w:r>
          </w:p>
          <w:p w:rsidR="00940BA5" w:rsidRPr="00767E3C" w:rsidRDefault="00940BA5" w:rsidP="00940BA5">
            <w:pPr>
              <w:rPr>
                <w:rFonts w:ascii="Arial" w:hAnsi="Arial" w:cs="Arial"/>
                <w:color w:val="000000"/>
              </w:rPr>
            </w:pP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250208" w:rsidRDefault="00940BA5" w:rsidP="00940BA5">
            <w:pPr>
              <w:rPr>
                <w:rFonts w:ascii="Arial" w:hAnsi="Arial" w:cs="Arial"/>
                <w:color w:val="000000"/>
              </w:rPr>
            </w:pPr>
            <w:r w:rsidRPr="005D1C1E">
              <w:rPr>
                <w:rFonts w:ascii="Arial" w:hAnsi="Arial" w:cs="Arial"/>
                <w:bCs/>
                <w:color w:val="000000"/>
              </w:rPr>
              <w:t>Authority Required listing for anaphylaxis.</w:t>
            </w:r>
          </w:p>
          <w:p w:rsidR="00940BA5" w:rsidRPr="00767E3C" w:rsidRDefault="00940BA5" w:rsidP="00940BA5">
            <w:pPr>
              <w:rPr>
                <w:rFonts w:ascii="Arial" w:hAnsi="Arial" w:cs="Arial"/>
                <w:color w:val="000000"/>
              </w:rPr>
            </w:pPr>
          </w:p>
        </w:tc>
        <w:tc>
          <w:tcPr>
            <w:tcW w:w="5562" w:type="dxa"/>
            <w:tcBorders>
              <w:top w:val="single" w:sz="4" w:space="0" w:color="auto"/>
              <w:left w:val="single" w:sz="4" w:space="0" w:color="auto"/>
              <w:bottom w:val="single" w:sz="4" w:space="0" w:color="auto"/>
              <w:right w:val="single" w:sz="4" w:space="0" w:color="auto"/>
            </w:tcBorders>
          </w:tcPr>
          <w:p w:rsidR="00250208" w:rsidRPr="00767E3C" w:rsidRDefault="006E47B3" w:rsidP="001F20BD">
            <w:pPr>
              <w:rPr>
                <w:rFonts w:ascii="Arial" w:hAnsi="Arial" w:cs="Arial"/>
              </w:rPr>
            </w:pPr>
            <w:r w:rsidRPr="006E47B3">
              <w:rPr>
                <w:rFonts w:ascii="Arial" w:hAnsi="Arial" w:cs="Arial"/>
              </w:rPr>
              <w:t>The PBAC recommended the listing of adrenaline 150</w:t>
            </w:r>
            <w:r w:rsidR="00A02865">
              <w:rPr>
                <w:rFonts w:ascii="Arial" w:hAnsi="Arial" w:cs="Arial"/>
              </w:rPr>
              <w:t> </w:t>
            </w:r>
            <w:r w:rsidRPr="006E47B3">
              <w:rPr>
                <w:rFonts w:ascii="Arial" w:hAnsi="Arial" w:cs="Arial"/>
              </w:rPr>
              <w:t>micrograms in 0.3 mL single dose syringe auto-injector I.M. injection and 300</w:t>
            </w:r>
            <w:r w:rsidR="00A02865">
              <w:rPr>
                <w:rFonts w:ascii="Arial" w:hAnsi="Arial" w:cs="Arial"/>
              </w:rPr>
              <w:t> </w:t>
            </w:r>
            <w:r w:rsidRPr="006E47B3">
              <w:rPr>
                <w:rFonts w:ascii="Arial" w:hAnsi="Arial" w:cs="Arial"/>
              </w:rPr>
              <w:t>micrograms in 0.3</w:t>
            </w:r>
            <w:r w:rsidR="00A02865">
              <w:rPr>
                <w:rFonts w:ascii="Arial" w:hAnsi="Arial" w:cs="Arial"/>
              </w:rPr>
              <w:t> </w:t>
            </w:r>
            <w:r w:rsidRPr="006E47B3">
              <w:rPr>
                <w:rFonts w:ascii="Arial" w:hAnsi="Arial" w:cs="Arial"/>
              </w:rPr>
              <w:t xml:space="preserve">mL single dose syringe auto-injector I.M. injection (Adrenaline Auto Inject Sun-JV®) as a </w:t>
            </w:r>
            <w:r w:rsidR="001F20BD">
              <w:rPr>
                <w:rFonts w:ascii="Arial" w:hAnsi="Arial" w:cs="Arial"/>
              </w:rPr>
              <w:t>S</w:t>
            </w:r>
            <w:r w:rsidRPr="006E47B3">
              <w:rPr>
                <w:rFonts w:ascii="Arial" w:hAnsi="Arial" w:cs="Arial"/>
              </w:rPr>
              <w:t>ection 85 Authority Required listing for patients at significant risk of anaphylaxis. The PBAC noted that adrenaline auto injector products have different administration techniques and should not be prescribed or dispensed to a patient without adequate training in their use.</w:t>
            </w:r>
          </w:p>
        </w:tc>
      </w:tr>
      <w:tr w:rsidR="00250208"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10792" w:rsidRDefault="00940BA5" w:rsidP="009A1758">
            <w:pPr>
              <w:rPr>
                <w:rFonts w:ascii="Arial" w:hAnsi="Arial" w:cs="Arial"/>
                <w:bCs/>
                <w:color w:val="000000"/>
              </w:rPr>
            </w:pPr>
            <w:r w:rsidRPr="005D1C1E">
              <w:rPr>
                <w:rFonts w:ascii="Arial" w:hAnsi="Arial" w:cs="Arial"/>
                <w:bCs/>
                <w:color w:val="000000"/>
              </w:rPr>
              <w:t>ALENDRONATE</w:t>
            </w:r>
            <w:r w:rsidRPr="005D1C1E">
              <w:rPr>
                <w:rFonts w:ascii="Arial" w:hAnsi="Arial" w:cs="Arial"/>
                <w:bCs/>
                <w:color w:val="000000"/>
              </w:rPr>
              <w:br/>
            </w:r>
            <w:r w:rsidRPr="005D1C1E">
              <w:rPr>
                <w:rFonts w:ascii="Arial" w:hAnsi="Arial" w:cs="Arial"/>
                <w:bCs/>
                <w:color w:val="000000"/>
              </w:rPr>
              <w:br/>
              <w:t>70 mg tablet: effervescent, 4</w:t>
            </w:r>
            <w:r w:rsidRPr="005D1C1E">
              <w:rPr>
                <w:rFonts w:ascii="Arial" w:hAnsi="Arial" w:cs="Arial"/>
                <w:bCs/>
                <w:color w:val="000000"/>
              </w:rPr>
              <w:br/>
            </w:r>
            <w:r w:rsidRPr="005D1C1E">
              <w:rPr>
                <w:rFonts w:ascii="Arial" w:hAnsi="Arial" w:cs="Arial"/>
                <w:bCs/>
                <w:color w:val="000000"/>
              </w:rPr>
              <w:br/>
              <w:t>Binosto</w:t>
            </w:r>
            <w:r w:rsidRPr="001F20BD">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My Health 365 Pty Ltd</w:t>
            </w:r>
          </w:p>
          <w:p w:rsidR="00940BA5" w:rsidRDefault="00940BA5" w:rsidP="009A1758">
            <w:pPr>
              <w:rPr>
                <w:rFonts w:ascii="Arial" w:hAnsi="Arial" w:cs="Arial"/>
                <w:bCs/>
                <w:color w:val="000000"/>
              </w:rPr>
            </w:pPr>
          </w:p>
          <w:p w:rsidR="00940BA5" w:rsidRPr="00767E3C" w:rsidRDefault="00940BA5" w:rsidP="009A1758">
            <w:pPr>
              <w:rPr>
                <w:rFonts w:ascii="Arial" w:hAnsi="Arial" w:cs="Arial"/>
                <w:color w:val="000000"/>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w:t>
            </w:r>
            <w:r w:rsidRPr="001A37EB">
              <w:rPr>
                <w:rFonts w:ascii="Arial" w:hAnsi="Arial" w:cs="Arial"/>
                <w:bCs/>
                <w:color w:val="000000"/>
              </w:rPr>
              <w:t>Minor</w:t>
            </w:r>
            <w:r w:rsidRPr="005D1C1E">
              <w:rPr>
                <w:rFonts w:ascii="Arial" w:hAnsi="Arial" w:cs="Arial"/>
                <w:bCs/>
                <w:color w:val="000000"/>
              </w:rPr>
              <w:t xml:space="preserve">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250208" w:rsidRPr="00767E3C" w:rsidRDefault="00940BA5" w:rsidP="00940BA5">
            <w:pPr>
              <w:rPr>
                <w:rFonts w:ascii="Arial" w:hAnsi="Arial" w:cs="Arial"/>
                <w:color w:val="000000"/>
              </w:rPr>
            </w:pPr>
            <w:r w:rsidRPr="005D1C1E">
              <w:rPr>
                <w:rFonts w:ascii="Arial" w:hAnsi="Arial" w:cs="Arial"/>
                <w:bCs/>
                <w:color w:val="000000"/>
              </w:rPr>
              <w:t>Osteoporosis</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250208" w:rsidRPr="00767E3C" w:rsidRDefault="00940BA5" w:rsidP="00940BA5">
            <w:pPr>
              <w:rPr>
                <w:rFonts w:ascii="Arial" w:hAnsi="Arial" w:cs="Arial"/>
                <w:color w:val="000000"/>
              </w:rPr>
            </w:pPr>
            <w:r w:rsidRPr="005D1C1E">
              <w:rPr>
                <w:rFonts w:ascii="Arial" w:hAnsi="Arial" w:cs="Arial"/>
                <w:bCs/>
                <w:color w:val="000000"/>
              </w:rPr>
              <w:t xml:space="preserve">Restricted </w:t>
            </w:r>
            <w:r w:rsidR="0045555E">
              <w:rPr>
                <w:rFonts w:ascii="Arial" w:hAnsi="Arial" w:cs="Arial"/>
                <w:bCs/>
                <w:color w:val="000000"/>
              </w:rPr>
              <w:t>B</w:t>
            </w:r>
            <w:r w:rsidRPr="005D1C1E">
              <w:rPr>
                <w:rFonts w:ascii="Arial" w:hAnsi="Arial" w:cs="Arial"/>
                <w:bCs/>
                <w:color w:val="000000"/>
              </w:rPr>
              <w:t>enefit listing for a new formulation of alendronate for the treatment of osteoporosis</w:t>
            </w:r>
            <w:r w:rsidR="00B444BC">
              <w:rPr>
                <w:rFonts w:ascii="Arial" w:hAnsi="Arial" w:cs="Arial"/>
                <w:color w:val="000000"/>
              </w:rPr>
              <w:t>.</w:t>
            </w:r>
          </w:p>
        </w:tc>
        <w:tc>
          <w:tcPr>
            <w:tcW w:w="5562" w:type="dxa"/>
            <w:tcBorders>
              <w:top w:val="single" w:sz="4" w:space="0" w:color="auto"/>
              <w:left w:val="single" w:sz="4" w:space="0" w:color="auto"/>
              <w:bottom w:val="single" w:sz="4" w:space="0" w:color="auto"/>
              <w:right w:val="single" w:sz="4" w:space="0" w:color="auto"/>
            </w:tcBorders>
          </w:tcPr>
          <w:p w:rsidR="00812647" w:rsidRPr="00812647" w:rsidRDefault="00812647" w:rsidP="00812647">
            <w:pPr>
              <w:rPr>
                <w:rFonts w:ascii="Arial" w:hAnsi="Arial" w:cs="Arial"/>
                <w:bCs/>
                <w:color w:val="000000"/>
              </w:rPr>
            </w:pPr>
            <w:r w:rsidRPr="00812647">
              <w:rPr>
                <w:rFonts w:ascii="Arial" w:hAnsi="Arial" w:cs="Arial"/>
                <w:bCs/>
                <w:color w:val="000000"/>
              </w:rPr>
              <w:t>The PBAC recommended the Restricted Benefit listing of alendronic acid in the form of 70 mg effervescent tablets for the treatment of osteoporosis, on the basis that it is bioequivalent to alendronate tablets. The PBAC recommended the restriction and pricing for alendronate effervescent tablets be aligned with alendronate tablets as the two forms are bioequivalent</w:t>
            </w:r>
            <w:r w:rsidR="001F20BD">
              <w:rPr>
                <w:rFonts w:ascii="Arial" w:hAnsi="Arial" w:cs="Arial"/>
                <w:bCs/>
                <w:color w:val="000000"/>
              </w:rPr>
              <w:t xml:space="preserve">, </w:t>
            </w:r>
            <w:r w:rsidRPr="00812647">
              <w:rPr>
                <w:rFonts w:ascii="Arial" w:hAnsi="Arial" w:cs="Arial"/>
                <w:bCs/>
                <w:color w:val="000000"/>
              </w:rPr>
              <w:t>and because clinical superiority of the effervescent formulation over the tablet was not substantiated.</w:t>
            </w:r>
            <w:r w:rsidR="0021078F">
              <w:rPr>
                <w:rFonts w:ascii="Arial" w:hAnsi="Arial" w:cs="Arial"/>
                <w:bCs/>
                <w:color w:val="000000"/>
              </w:rPr>
              <w:t xml:space="preserve"> </w:t>
            </w:r>
            <w:r w:rsidRPr="00812647">
              <w:rPr>
                <w:rFonts w:ascii="Arial" w:hAnsi="Arial" w:cs="Arial"/>
                <w:bCs/>
                <w:color w:val="000000"/>
              </w:rPr>
              <w:t xml:space="preserve"> </w:t>
            </w:r>
          </w:p>
          <w:p w:rsidR="00250208" w:rsidRPr="00767E3C" w:rsidRDefault="00250208" w:rsidP="00D45FC9">
            <w:pPr>
              <w:rPr>
                <w:rFonts w:ascii="Arial" w:hAnsi="Arial" w:cs="Arial"/>
              </w:rPr>
            </w:pPr>
          </w:p>
        </w:tc>
      </w:tr>
      <w:tr w:rsidR="00C77A62"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Default="00940BA5" w:rsidP="00472215">
            <w:pPr>
              <w:rPr>
                <w:rFonts w:ascii="Arial" w:hAnsi="Arial" w:cs="Arial"/>
                <w:color w:val="000000"/>
              </w:rPr>
            </w:pPr>
            <w:r w:rsidRPr="005D1C1E">
              <w:rPr>
                <w:rFonts w:ascii="Arial" w:hAnsi="Arial" w:cs="Arial"/>
                <w:bCs/>
                <w:caps/>
                <w:color w:val="000000"/>
              </w:rPr>
              <w:t>Amino acid formula with fat, carbohydrate, vitamins, mineral and trace elements without phenylalanine and tyrosine</w:t>
            </w:r>
            <w:r w:rsidRPr="005D1C1E">
              <w:rPr>
                <w:rFonts w:ascii="Arial" w:hAnsi="Arial" w:cs="Arial"/>
                <w:bCs/>
                <w:color w:val="000000"/>
              </w:rPr>
              <w:br/>
            </w:r>
            <w:r w:rsidRPr="005D1C1E">
              <w:rPr>
                <w:rFonts w:ascii="Arial" w:hAnsi="Arial" w:cs="Arial"/>
                <w:bCs/>
                <w:color w:val="000000"/>
              </w:rPr>
              <w:br/>
              <w:t xml:space="preserve">34 g bottle, powder for oral liquid, 30 </w:t>
            </w:r>
            <w:r w:rsidRPr="005D1C1E">
              <w:rPr>
                <w:rFonts w:ascii="Arial" w:hAnsi="Arial" w:cs="Arial"/>
                <w:bCs/>
                <w:color w:val="000000"/>
              </w:rPr>
              <w:br/>
            </w:r>
            <w:r w:rsidRPr="005D1C1E">
              <w:rPr>
                <w:rFonts w:ascii="Arial" w:hAnsi="Arial" w:cs="Arial"/>
                <w:bCs/>
                <w:color w:val="000000"/>
              </w:rPr>
              <w:br/>
              <w:t>TYR Easy Shake &amp; Go</w:t>
            </w:r>
            <w:r w:rsidRPr="001F20BD">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Orpharma Pty Ltd</w:t>
            </w:r>
            <w:r w:rsidRPr="00767E3C">
              <w:rPr>
                <w:rFonts w:ascii="Arial" w:hAnsi="Arial" w:cs="Arial"/>
                <w:color w:val="000000"/>
              </w:rPr>
              <w:t xml:space="preserve"> </w:t>
            </w:r>
          </w:p>
          <w:p w:rsidR="00940BA5" w:rsidRPr="00767E3C" w:rsidRDefault="00940BA5" w:rsidP="00472215">
            <w:pPr>
              <w:rPr>
                <w:rFonts w:ascii="Arial" w:hAnsi="Arial" w:cs="Arial"/>
                <w:color w:val="000000"/>
              </w:rPr>
            </w:pPr>
          </w:p>
          <w:p w:rsidR="00A10792" w:rsidRPr="00767E3C" w:rsidRDefault="00940BA5" w:rsidP="00472215">
            <w:pPr>
              <w:rPr>
                <w:rFonts w:ascii="Arial" w:hAnsi="Arial" w:cs="Arial"/>
                <w:color w:val="000000"/>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1F20BD" w:rsidP="00472215">
            <w:pPr>
              <w:rPr>
                <w:rFonts w:ascii="Arial" w:hAnsi="Arial" w:cs="Arial"/>
                <w:color w:val="000000"/>
              </w:rPr>
            </w:pPr>
            <w:r>
              <w:rPr>
                <w:rFonts w:ascii="Arial" w:hAnsi="Arial" w:cs="Arial"/>
                <w:color w:val="000000"/>
              </w:rPr>
              <w:lastRenderedPageBreak/>
              <w:t>Tyrosinaemia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 xml:space="preserve">Restricted Benefit listing for </w:t>
            </w:r>
            <w:r w:rsidR="001F20BD">
              <w:rPr>
                <w:rFonts w:ascii="Arial" w:hAnsi="Arial" w:cs="Arial"/>
                <w:color w:val="000000"/>
              </w:rPr>
              <w:t>tyrosinaemia.</w:t>
            </w:r>
          </w:p>
          <w:p w:rsidR="00C77A62" w:rsidRPr="00767E3C" w:rsidRDefault="00C77A62" w:rsidP="00472215">
            <w:pPr>
              <w:rPr>
                <w:rFonts w:ascii="Arial" w:hAnsi="Arial" w:cs="Arial"/>
                <w:color w:val="000000"/>
              </w:rPr>
            </w:pPr>
          </w:p>
        </w:tc>
        <w:tc>
          <w:tcPr>
            <w:tcW w:w="5562" w:type="dxa"/>
            <w:tcBorders>
              <w:top w:val="single" w:sz="4" w:space="0" w:color="auto"/>
              <w:left w:val="single" w:sz="4" w:space="0" w:color="auto"/>
              <w:bottom w:val="single" w:sz="4" w:space="0" w:color="auto"/>
              <w:right w:val="single" w:sz="4" w:space="0" w:color="auto"/>
            </w:tcBorders>
          </w:tcPr>
          <w:p w:rsidR="00C77A62" w:rsidRPr="00193812" w:rsidRDefault="0089060E" w:rsidP="00413971">
            <w:pPr>
              <w:rPr>
                <w:rFonts w:ascii="Arial" w:hAnsi="Arial" w:cs="Arial"/>
                <w:bCs/>
              </w:rPr>
            </w:pPr>
            <w:r w:rsidRPr="0089060E">
              <w:rPr>
                <w:rFonts w:ascii="Arial" w:hAnsi="Arial" w:cs="Arial"/>
              </w:rPr>
              <w:t>The PBAC recommended the</w:t>
            </w:r>
            <w:r w:rsidR="001F20BD">
              <w:rPr>
                <w:rFonts w:ascii="Arial" w:hAnsi="Arial" w:cs="Arial"/>
              </w:rPr>
              <w:t xml:space="preserve"> listing of TYR Easy Shake &amp; Go</w:t>
            </w:r>
            <w:r w:rsidRPr="0089060E">
              <w:rPr>
                <w:rFonts w:ascii="Arial" w:hAnsi="Arial" w:cs="Arial"/>
              </w:rPr>
              <w:t xml:space="preserve"> as a Restricted Benefit for tyrosinaemia on a cost-minimisation basis against TYR Express 15</w:t>
            </w:r>
            <w:r w:rsidRPr="0034720F">
              <w:rPr>
                <w:rFonts w:ascii="Arial" w:hAnsi="Arial" w:cs="Arial"/>
                <w:vertAlign w:val="superscript"/>
              </w:rPr>
              <w:t>®</w:t>
            </w:r>
            <w:r w:rsidRPr="0089060E">
              <w:rPr>
                <w:rFonts w:ascii="Arial" w:hAnsi="Arial" w:cs="Arial"/>
              </w:rPr>
              <w:t xml:space="preserve"> at an equivalent price per gram of protein.</w:t>
            </w:r>
            <w:r>
              <w:rPr>
                <w:rFonts w:ascii="Arial" w:hAnsi="Arial" w:cs="Arial"/>
              </w:rPr>
              <w:t xml:space="preserve"> </w:t>
            </w:r>
          </w:p>
        </w:tc>
      </w:tr>
      <w:tr w:rsidR="00C77A62" w:rsidRPr="00767E3C" w:rsidTr="001F20BD">
        <w:trPr>
          <w:trHeight w:val="3111"/>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D20031" w:rsidRDefault="00C77A62" w:rsidP="009A1758">
            <w:pPr>
              <w:rPr>
                <w:rFonts w:ascii="Arial" w:hAnsi="Arial" w:cs="Arial"/>
                <w:bCs/>
                <w:color w:val="000000"/>
              </w:rPr>
            </w:pPr>
            <w:r w:rsidRPr="00767E3C">
              <w:rPr>
                <w:rFonts w:ascii="Arial" w:hAnsi="Arial" w:cs="Arial"/>
                <w:color w:val="000000"/>
              </w:rPr>
              <w:lastRenderedPageBreak/>
              <w:t>A</w:t>
            </w:r>
            <w:r w:rsidR="00940BA5" w:rsidRPr="005D1C1E">
              <w:rPr>
                <w:rFonts w:ascii="Arial" w:hAnsi="Arial" w:cs="Arial"/>
                <w:bCs/>
                <w:caps/>
                <w:color w:val="000000"/>
              </w:rPr>
              <w:t>POMORPHINE</w:t>
            </w:r>
            <w:r w:rsidR="00940BA5" w:rsidRPr="005D1C1E">
              <w:rPr>
                <w:rFonts w:ascii="Arial" w:hAnsi="Arial" w:cs="Arial"/>
                <w:bCs/>
                <w:caps/>
                <w:color w:val="000000"/>
              </w:rPr>
              <w:br/>
            </w:r>
            <w:r w:rsidR="00940BA5" w:rsidRPr="005D1C1E">
              <w:rPr>
                <w:rFonts w:ascii="Arial" w:hAnsi="Arial" w:cs="Arial"/>
                <w:bCs/>
                <w:caps/>
                <w:color w:val="000000"/>
              </w:rPr>
              <w:br/>
            </w:r>
            <w:r w:rsidR="00352B61">
              <w:rPr>
                <w:rFonts w:ascii="Arial" w:hAnsi="Arial" w:cs="Arial"/>
                <w:bCs/>
                <w:color w:val="000000"/>
              </w:rPr>
              <w:t>50 mg/</w:t>
            </w:r>
            <w:r w:rsidR="00940BA5" w:rsidRPr="005D1C1E">
              <w:rPr>
                <w:rFonts w:ascii="Arial" w:hAnsi="Arial" w:cs="Arial"/>
                <w:bCs/>
                <w:color w:val="000000"/>
              </w:rPr>
              <w:t>10 mL solution for subcutaneo</w:t>
            </w:r>
            <w:r w:rsidR="00D20031">
              <w:rPr>
                <w:rFonts w:ascii="Arial" w:hAnsi="Arial" w:cs="Arial"/>
                <w:bCs/>
                <w:color w:val="000000"/>
              </w:rPr>
              <w:t>us infusion, 5 x 10 mL syringe</w:t>
            </w:r>
            <w:r w:rsidR="00D20031">
              <w:rPr>
                <w:rFonts w:ascii="Arial" w:hAnsi="Arial" w:cs="Arial"/>
                <w:bCs/>
                <w:color w:val="000000"/>
              </w:rPr>
              <w:br/>
            </w:r>
          </w:p>
          <w:p w:rsidR="00940BA5" w:rsidRDefault="00940BA5" w:rsidP="009A1758">
            <w:pPr>
              <w:rPr>
                <w:rFonts w:ascii="Arial" w:hAnsi="Arial" w:cs="Arial"/>
                <w:bCs/>
                <w:color w:val="000000"/>
              </w:rPr>
            </w:pPr>
            <w:r w:rsidRPr="005D1C1E">
              <w:rPr>
                <w:rFonts w:ascii="Arial" w:hAnsi="Arial" w:cs="Arial"/>
                <w:bCs/>
                <w:color w:val="000000"/>
              </w:rPr>
              <w:t>MOVAPO</w:t>
            </w:r>
            <w:r w:rsidR="00D20031" w:rsidRPr="00D20031">
              <w:rPr>
                <w:rFonts w:ascii="Arial" w:hAnsi="Arial" w:cs="Arial"/>
                <w:color w:val="000000"/>
                <w:vertAlign w:val="superscript"/>
              </w:rPr>
              <w:t>®</w:t>
            </w:r>
            <w:r w:rsidRPr="005D1C1E">
              <w:rPr>
                <w:rFonts w:ascii="Arial" w:hAnsi="Arial" w:cs="Arial"/>
                <w:bCs/>
                <w:color w:val="000000"/>
              </w:rPr>
              <w:t xml:space="preserve"> PFS</w:t>
            </w:r>
            <w:r w:rsidRPr="005D1C1E">
              <w:rPr>
                <w:rFonts w:ascii="Arial" w:hAnsi="Arial" w:cs="Arial"/>
                <w:bCs/>
                <w:color w:val="000000"/>
              </w:rPr>
              <w:br/>
            </w:r>
            <w:r w:rsidRPr="005D1C1E">
              <w:rPr>
                <w:rFonts w:ascii="Arial" w:hAnsi="Arial" w:cs="Arial"/>
                <w:bCs/>
                <w:color w:val="000000"/>
              </w:rPr>
              <w:br/>
              <w:t xml:space="preserve">STADA Pharmaceuticals Australia Pty Limited </w:t>
            </w:r>
          </w:p>
          <w:p w:rsidR="00940BA5" w:rsidRDefault="00940BA5" w:rsidP="009A1758">
            <w:pPr>
              <w:rPr>
                <w:rFonts w:ascii="Arial" w:hAnsi="Arial" w:cs="Arial"/>
                <w:bCs/>
                <w:color w:val="000000"/>
              </w:rPr>
            </w:pPr>
          </w:p>
          <w:p w:rsidR="00A10792" w:rsidRPr="00767E3C" w:rsidRDefault="00940BA5" w:rsidP="009A1758">
            <w:pPr>
              <w:rPr>
                <w:rFonts w:ascii="Arial" w:hAnsi="Arial" w:cs="Arial"/>
                <w:color w:val="000000"/>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w:t>
            </w:r>
            <w:r w:rsidRPr="001A37EB">
              <w:rPr>
                <w:rFonts w:ascii="Arial" w:hAnsi="Arial" w:cs="Arial"/>
                <w:bCs/>
                <w:color w:val="000000"/>
              </w:rPr>
              <w:t>Minor</w:t>
            </w:r>
            <w:r w:rsidRPr="005D1C1E">
              <w:rPr>
                <w:rFonts w:ascii="Arial" w:hAnsi="Arial" w:cs="Arial"/>
                <w:bCs/>
                <w:color w:val="000000"/>
              </w:rPr>
              <w:t xml:space="preserve">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940BA5" w:rsidP="00940BA5">
            <w:pPr>
              <w:rPr>
                <w:rFonts w:ascii="Arial" w:hAnsi="Arial" w:cs="Arial"/>
                <w:color w:val="000000"/>
              </w:rPr>
            </w:pPr>
            <w:r w:rsidRPr="005D1C1E">
              <w:rPr>
                <w:rFonts w:ascii="Arial" w:hAnsi="Arial" w:cs="Arial"/>
                <w:bCs/>
                <w:color w:val="000000"/>
              </w:rPr>
              <w:t>Parkinson disease</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940BA5" w:rsidP="00D20031">
            <w:pPr>
              <w:rPr>
                <w:rFonts w:ascii="Arial" w:hAnsi="Arial" w:cs="Arial"/>
                <w:color w:val="000000"/>
              </w:rPr>
            </w:pPr>
            <w:r w:rsidRPr="005D1C1E">
              <w:rPr>
                <w:rFonts w:ascii="Arial" w:hAnsi="Arial" w:cs="Arial"/>
                <w:bCs/>
                <w:color w:val="000000"/>
              </w:rPr>
              <w:t xml:space="preserve">Section 100 </w:t>
            </w:r>
            <w:r w:rsidRPr="001A37EB">
              <w:rPr>
                <w:rFonts w:ascii="Arial" w:hAnsi="Arial" w:cs="Arial"/>
                <w:bCs/>
                <w:color w:val="000000"/>
              </w:rPr>
              <w:t>(</w:t>
            </w:r>
            <w:r w:rsidRPr="005D1C1E">
              <w:rPr>
                <w:rFonts w:ascii="Arial" w:hAnsi="Arial" w:cs="Arial"/>
                <w:bCs/>
                <w:color w:val="000000"/>
              </w:rPr>
              <w:t xml:space="preserve">Highly Specialised Drugs </w:t>
            </w:r>
            <w:r w:rsidRPr="001A37EB">
              <w:rPr>
                <w:rFonts w:ascii="Arial" w:hAnsi="Arial" w:cs="Arial"/>
                <w:bCs/>
                <w:color w:val="000000"/>
              </w:rPr>
              <w:t xml:space="preserve">Program) listing </w:t>
            </w:r>
            <w:r w:rsidRPr="005D1C1E">
              <w:rPr>
                <w:rFonts w:ascii="Arial" w:hAnsi="Arial" w:cs="Arial"/>
                <w:bCs/>
                <w:color w:val="000000"/>
              </w:rPr>
              <w:t>of a new formulation of apomorphine for the treatment of Parkinson disease</w:t>
            </w:r>
            <w:r w:rsidR="0045555E">
              <w:rPr>
                <w:rFonts w:ascii="Arial" w:hAnsi="Arial" w:cs="Arial"/>
                <w:bCs/>
                <w:color w:val="000000"/>
              </w:rPr>
              <w:t>.</w:t>
            </w:r>
          </w:p>
        </w:tc>
        <w:tc>
          <w:tcPr>
            <w:tcW w:w="5562" w:type="dxa"/>
            <w:tcBorders>
              <w:top w:val="single" w:sz="4" w:space="0" w:color="auto"/>
              <w:left w:val="single" w:sz="4" w:space="0" w:color="auto"/>
              <w:bottom w:val="single" w:sz="4" w:space="0" w:color="auto"/>
              <w:right w:val="single" w:sz="4" w:space="0" w:color="auto"/>
            </w:tcBorders>
          </w:tcPr>
          <w:p w:rsidR="005663E6" w:rsidRPr="00767E3C" w:rsidRDefault="007B56F2" w:rsidP="00D20031">
            <w:pPr>
              <w:rPr>
                <w:rFonts w:ascii="Arial" w:hAnsi="Arial" w:cs="Arial"/>
              </w:rPr>
            </w:pPr>
            <w:r w:rsidRPr="007B56F2">
              <w:rPr>
                <w:rFonts w:ascii="Arial" w:hAnsi="Arial" w:cs="Arial"/>
              </w:rPr>
              <w:t>The PBAC recommended the Authority Required (STREAMLINED), Section 100 (Highly Specialised Drugs Program) PBS listing of apomorphine 50 mg/10 mL, injection, pre filled syringe (MOVAPO</w:t>
            </w:r>
            <w:r w:rsidR="00D20031" w:rsidRPr="00D20031">
              <w:rPr>
                <w:rFonts w:ascii="Arial" w:hAnsi="Arial" w:cs="Arial"/>
                <w:color w:val="000000"/>
                <w:vertAlign w:val="superscript"/>
              </w:rPr>
              <w:t>®</w:t>
            </w:r>
            <w:r w:rsidRPr="007B56F2">
              <w:rPr>
                <w:rFonts w:ascii="Arial" w:hAnsi="Arial" w:cs="Arial"/>
              </w:rPr>
              <w:t xml:space="preserve"> PFS) for the treatment of motor fluctuations associated with Parkinson disease, under the same listing conditions as the existing PBS-listed MOVAPO</w:t>
            </w:r>
            <w:r w:rsidR="00D20031" w:rsidRPr="00D20031">
              <w:rPr>
                <w:rFonts w:ascii="Arial" w:hAnsi="Arial" w:cs="Arial"/>
                <w:color w:val="000000"/>
                <w:vertAlign w:val="superscript"/>
              </w:rPr>
              <w:t>®</w:t>
            </w:r>
            <w:r w:rsidRPr="007B56F2">
              <w:rPr>
                <w:rFonts w:ascii="Arial" w:hAnsi="Arial" w:cs="Arial"/>
              </w:rPr>
              <w:t xml:space="preserve"> injection 50 mg/5 mL and at the same price per mg.</w:t>
            </w:r>
          </w:p>
        </w:tc>
      </w:tr>
      <w:tr w:rsidR="0091606A" w:rsidRPr="00767E3C" w:rsidTr="001F20BD">
        <w:trPr>
          <w:trHeight w:val="2544"/>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1606A" w:rsidRPr="00D20031" w:rsidRDefault="0091606A" w:rsidP="0091606A">
            <w:pPr>
              <w:rPr>
                <w:rFonts w:ascii="Arial" w:hAnsi="Arial" w:cs="Arial"/>
                <w:color w:val="000000"/>
              </w:rPr>
            </w:pPr>
            <w:r w:rsidRPr="00D20031">
              <w:rPr>
                <w:rFonts w:ascii="Arial" w:hAnsi="Arial" w:cs="Arial"/>
                <w:color w:val="000000"/>
              </w:rPr>
              <w:t>AURANOFIN</w:t>
            </w:r>
          </w:p>
          <w:p w:rsidR="0091606A" w:rsidRPr="00D20031" w:rsidRDefault="0091606A" w:rsidP="0091606A">
            <w:pPr>
              <w:rPr>
                <w:rFonts w:ascii="Arial" w:hAnsi="Arial" w:cs="Arial"/>
                <w:color w:val="000000"/>
              </w:rPr>
            </w:pPr>
          </w:p>
          <w:p w:rsidR="0091606A" w:rsidRPr="00D20031" w:rsidRDefault="0091606A" w:rsidP="0091606A">
            <w:pPr>
              <w:rPr>
                <w:rFonts w:ascii="Arial" w:hAnsi="Arial" w:cs="Arial"/>
                <w:color w:val="000000"/>
              </w:rPr>
            </w:pPr>
            <w:r w:rsidRPr="00D20031">
              <w:rPr>
                <w:rFonts w:ascii="Arial" w:hAnsi="Arial" w:cs="Arial"/>
                <w:color w:val="000000"/>
              </w:rPr>
              <w:t>Tablet, 3 mg, 100</w:t>
            </w:r>
          </w:p>
          <w:p w:rsidR="001F20BD" w:rsidRPr="00D20031" w:rsidRDefault="001F20BD" w:rsidP="0091606A">
            <w:pPr>
              <w:rPr>
                <w:rFonts w:ascii="Arial" w:hAnsi="Arial" w:cs="Arial"/>
                <w:color w:val="000000"/>
              </w:rPr>
            </w:pPr>
          </w:p>
          <w:p w:rsidR="0091606A" w:rsidRPr="00D20031" w:rsidRDefault="0091606A" w:rsidP="0091606A">
            <w:pPr>
              <w:rPr>
                <w:rFonts w:ascii="Arial" w:hAnsi="Arial" w:cs="Arial"/>
                <w:color w:val="000000"/>
              </w:rPr>
            </w:pPr>
            <w:r w:rsidRPr="00D20031">
              <w:rPr>
                <w:rFonts w:ascii="Arial" w:hAnsi="Arial" w:cs="Arial"/>
                <w:color w:val="000000"/>
              </w:rPr>
              <w:t>Riadura</w:t>
            </w:r>
            <w:r w:rsidRPr="00D20031">
              <w:rPr>
                <w:rFonts w:ascii="Arial" w:hAnsi="Arial" w:cs="Arial"/>
                <w:color w:val="000000"/>
                <w:vertAlign w:val="superscript"/>
              </w:rPr>
              <w:t>®</w:t>
            </w:r>
          </w:p>
          <w:p w:rsidR="0091606A" w:rsidRPr="00D20031" w:rsidRDefault="0091606A" w:rsidP="0091606A">
            <w:pPr>
              <w:rPr>
                <w:rFonts w:ascii="Arial" w:hAnsi="Arial" w:cs="Arial"/>
                <w:color w:val="000000"/>
              </w:rPr>
            </w:pPr>
          </w:p>
          <w:p w:rsidR="0091606A" w:rsidRPr="00D20031" w:rsidRDefault="0091606A" w:rsidP="0091606A">
            <w:pPr>
              <w:rPr>
                <w:rFonts w:ascii="Arial" w:hAnsi="Arial" w:cs="Arial"/>
                <w:color w:val="000000"/>
              </w:rPr>
            </w:pPr>
            <w:r w:rsidRPr="00D20031">
              <w:rPr>
                <w:rFonts w:ascii="Arial" w:hAnsi="Arial" w:cs="Arial"/>
                <w:color w:val="000000"/>
              </w:rPr>
              <w:t>Amdipharm Mercury Pty. Ltd.</w:t>
            </w:r>
          </w:p>
          <w:p w:rsidR="0091606A" w:rsidRPr="00D20031" w:rsidRDefault="0091606A" w:rsidP="0091606A">
            <w:pPr>
              <w:rPr>
                <w:rFonts w:ascii="Arial" w:hAnsi="Arial" w:cs="Arial"/>
                <w:color w:val="000000"/>
              </w:rPr>
            </w:pPr>
          </w:p>
          <w:p w:rsidR="0091606A" w:rsidRPr="00D20031" w:rsidRDefault="0091606A" w:rsidP="0091606A">
            <w:pPr>
              <w:rPr>
                <w:rFonts w:ascii="Arial" w:hAnsi="Arial" w:cs="Arial"/>
                <w:bCs/>
                <w:color w:val="000000"/>
              </w:rPr>
            </w:pPr>
            <w:r w:rsidRPr="00D20031">
              <w:rPr>
                <w:rFonts w:ascii="Arial" w:hAnsi="Arial" w:cs="Arial"/>
                <w:bCs/>
                <w:color w:val="000000"/>
              </w:rPr>
              <w:t>Change to listing</w:t>
            </w:r>
          </w:p>
          <w:p w:rsidR="0091606A" w:rsidRPr="00D20031" w:rsidRDefault="0091606A" w:rsidP="0091606A">
            <w:pPr>
              <w:rPr>
                <w:rFonts w:ascii="Arial" w:hAnsi="Arial" w:cs="Arial"/>
                <w:color w:val="000000"/>
              </w:rPr>
            </w:pPr>
          </w:p>
          <w:p w:rsidR="0091606A" w:rsidRPr="00D20031" w:rsidRDefault="0091606A" w:rsidP="0091606A">
            <w:pPr>
              <w:rPr>
                <w:rFonts w:ascii="Arial" w:hAnsi="Arial" w:cs="Arial"/>
                <w:color w:val="000000"/>
              </w:rPr>
            </w:pPr>
            <w:r w:rsidRPr="00D20031">
              <w:rPr>
                <w:rFonts w:ascii="Arial" w:hAnsi="Arial" w:cs="Arial"/>
                <w:bCs/>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1606A" w:rsidRPr="00D20031" w:rsidRDefault="00DF5BF1" w:rsidP="00940BA5">
            <w:pPr>
              <w:rPr>
                <w:rFonts w:ascii="Arial" w:hAnsi="Arial" w:cs="Arial"/>
                <w:bCs/>
                <w:color w:val="000000"/>
              </w:rPr>
            </w:pPr>
            <w:r w:rsidRPr="00D20031">
              <w:rPr>
                <w:rFonts w:ascii="Arial" w:hAnsi="Arial" w:cs="Arial"/>
                <w:szCs w:val="22"/>
              </w:rPr>
              <w:t>Rheumatoid arthritis</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1606A" w:rsidRPr="00D20031" w:rsidRDefault="00DF5BF1" w:rsidP="00940BA5">
            <w:pPr>
              <w:rPr>
                <w:rFonts w:ascii="Arial" w:hAnsi="Arial" w:cs="Arial"/>
                <w:bCs/>
                <w:color w:val="000000"/>
              </w:rPr>
            </w:pPr>
            <w:r w:rsidRPr="00D20031">
              <w:rPr>
                <w:rFonts w:ascii="Arial" w:hAnsi="Arial"/>
                <w:szCs w:val="22"/>
              </w:rPr>
              <w:t>The submission requested the listing under the same conditions as the current listing for auranofin 3 mg, with an increase in maximum quantity to 100.</w:t>
            </w:r>
          </w:p>
        </w:tc>
        <w:tc>
          <w:tcPr>
            <w:tcW w:w="5562" w:type="dxa"/>
            <w:tcBorders>
              <w:top w:val="single" w:sz="4" w:space="0" w:color="auto"/>
              <w:left w:val="single" w:sz="4" w:space="0" w:color="auto"/>
              <w:bottom w:val="single" w:sz="4" w:space="0" w:color="auto"/>
              <w:right w:val="single" w:sz="4" w:space="0" w:color="auto"/>
            </w:tcBorders>
          </w:tcPr>
          <w:p w:rsidR="0091606A" w:rsidRPr="00D20031" w:rsidRDefault="00DF5BF1" w:rsidP="001F20BD">
            <w:pPr>
              <w:rPr>
                <w:rFonts w:ascii="Arial" w:hAnsi="Arial" w:cs="Arial"/>
                <w:szCs w:val="22"/>
              </w:rPr>
            </w:pPr>
            <w:r w:rsidRPr="00D20031">
              <w:rPr>
                <w:rFonts w:ascii="Arial" w:hAnsi="Arial" w:cs="Arial"/>
                <w:szCs w:val="22"/>
              </w:rPr>
              <w:t>The PBAC recommended the addition of a maximum quantity of 100 to the current auranofin 3</w:t>
            </w:r>
            <w:r w:rsidR="00ED4807" w:rsidRPr="00D20031">
              <w:rPr>
                <w:rFonts w:ascii="Arial" w:hAnsi="Arial" w:cs="Arial"/>
                <w:szCs w:val="22"/>
              </w:rPr>
              <w:t> </w:t>
            </w:r>
            <w:r w:rsidRPr="00D20031">
              <w:rPr>
                <w:rFonts w:ascii="Arial" w:hAnsi="Arial" w:cs="Arial"/>
                <w:szCs w:val="22"/>
              </w:rPr>
              <w:t xml:space="preserve">mg listing, </w:t>
            </w:r>
            <w:r w:rsidR="001F20BD" w:rsidRPr="00D20031">
              <w:rPr>
                <w:rFonts w:ascii="Arial" w:hAnsi="Arial" w:cs="Arial"/>
                <w:szCs w:val="22"/>
              </w:rPr>
              <w:t>at</w:t>
            </w:r>
            <w:r w:rsidRPr="00D20031">
              <w:rPr>
                <w:rFonts w:ascii="Arial" w:hAnsi="Arial" w:cs="Arial"/>
                <w:szCs w:val="22"/>
              </w:rPr>
              <w:t xml:space="preserve"> the same price per tablet (</w:t>
            </w:r>
            <w:r w:rsidR="00DA56FC" w:rsidRPr="00D20031">
              <w:rPr>
                <w:rFonts w:ascii="Arial" w:hAnsi="Arial" w:cs="Arial"/>
                <w:szCs w:val="22"/>
              </w:rPr>
              <w:t>approved ex-manufacturer price</w:t>
            </w:r>
            <w:r w:rsidRPr="00D20031">
              <w:rPr>
                <w:rFonts w:ascii="Arial" w:hAnsi="Arial" w:cs="Arial"/>
                <w:szCs w:val="22"/>
              </w:rPr>
              <w:t>)</w:t>
            </w:r>
            <w:r w:rsidR="001F20BD" w:rsidRPr="00D20031">
              <w:rPr>
                <w:rFonts w:ascii="Arial" w:hAnsi="Arial" w:cs="Arial"/>
                <w:szCs w:val="22"/>
              </w:rPr>
              <w:t xml:space="preserve">, </w:t>
            </w:r>
            <w:r w:rsidRPr="00D20031">
              <w:rPr>
                <w:rFonts w:ascii="Arial" w:hAnsi="Arial" w:cs="Arial"/>
                <w:szCs w:val="22"/>
              </w:rPr>
              <w:t>and under the same listing conditions</w:t>
            </w:r>
            <w:r w:rsidR="001F20BD" w:rsidRPr="00D20031">
              <w:rPr>
                <w:rFonts w:ascii="Arial" w:hAnsi="Arial" w:cs="Arial"/>
                <w:szCs w:val="22"/>
              </w:rPr>
              <w:t>,</w:t>
            </w:r>
            <w:r w:rsidRPr="00D20031">
              <w:rPr>
                <w:rFonts w:ascii="Arial" w:hAnsi="Arial" w:cs="Arial"/>
                <w:szCs w:val="22"/>
              </w:rPr>
              <w:t xml:space="preserve"> as auranofin 3 mg, 60 tablet pack.</w:t>
            </w:r>
          </w:p>
        </w:tc>
      </w:tr>
      <w:tr w:rsidR="00C77A62" w:rsidRPr="00767E3C" w:rsidTr="0034720F">
        <w:trPr>
          <w:trHeight w:val="2686"/>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Default="00940BA5" w:rsidP="009A1758">
            <w:pPr>
              <w:rPr>
                <w:rFonts w:ascii="Arial" w:hAnsi="Arial" w:cs="Arial"/>
                <w:color w:val="000000"/>
              </w:rPr>
            </w:pPr>
            <w:r w:rsidRPr="005D1C1E">
              <w:rPr>
                <w:rFonts w:ascii="Arial" w:hAnsi="Arial" w:cs="Arial"/>
                <w:bCs/>
                <w:color w:val="000000"/>
              </w:rPr>
              <w:lastRenderedPageBreak/>
              <w:t>BLINATUMOMAB</w:t>
            </w:r>
            <w:r w:rsidRPr="005D1C1E">
              <w:rPr>
                <w:rFonts w:ascii="Arial" w:hAnsi="Arial" w:cs="Arial"/>
                <w:bCs/>
                <w:color w:val="000000"/>
              </w:rPr>
              <w:br/>
            </w:r>
            <w:r w:rsidRPr="005D1C1E">
              <w:rPr>
                <w:rFonts w:ascii="Arial" w:hAnsi="Arial" w:cs="Arial"/>
                <w:bCs/>
                <w:caps/>
                <w:color w:val="000000"/>
              </w:rPr>
              <w:br/>
            </w:r>
            <w:r w:rsidRPr="005D1C1E">
              <w:rPr>
                <w:rFonts w:ascii="Arial" w:hAnsi="Arial" w:cs="Arial"/>
                <w:bCs/>
                <w:color w:val="000000"/>
              </w:rPr>
              <w:t>Injection 38.5 microgram [1 vial] (&amp;) inert substance solution [10 mL vial], 1 pack</w:t>
            </w:r>
            <w:r w:rsidRPr="005D1C1E">
              <w:rPr>
                <w:rFonts w:ascii="Arial" w:hAnsi="Arial" w:cs="Arial"/>
                <w:bCs/>
                <w:color w:val="000000"/>
              </w:rPr>
              <w:br/>
            </w:r>
            <w:r w:rsidRPr="005D1C1E">
              <w:rPr>
                <w:rFonts w:ascii="Arial" w:hAnsi="Arial" w:cs="Arial"/>
                <w:bCs/>
                <w:color w:val="000000"/>
              </w:rPr>
              <w:br/>
              <w:t>Blincyto</w:t>
            </w:r>
            <w:r w:rsidRPr="001F20BD">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Amgen Australia Pty Ltd</w:t>
            </w:r>
            <w:r w:rsidRPr="00767E3C">
              <w:rPr>
                <w:rFonts w:ascii="Arial" w:hAnsi="Arial" w:cs="Arial"/>
                <w:color w:val="000000"/>
              </w:rPr>
              <w:t xml:space="preserve"> </w:t>
            </w:r>
          </w:p>
          <w:p w:rsidR="00940BA5" w:rsidRDefault="00940BA5" w:rsidP="009A1758">
            <w:pPr>
              <w:rPr>
                <w:rFonts w:ascii="Arial" w:hAnsi="Arial" w:cs="Arial"/>
                <w:color w:val="000000"/>
              </w:rPr>
            </w:pPr>
          </w:p>
          <w:p w:rsidR="00A10792" w:rsidRPr="00767E3C" w:rsidRDefault="00940BA5" w:rsidP="009A1758">
            <w:pPr>
              <w:rPr>
                <w:rFonts w:ascii="Arial" w:hAnsi="Arial" w:cs="Arial"/>
                <w:color w:val="000000"/>
              </w:rPr>
            </w:pPr>
            <w:r w:rsidRPr="001A37EB">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940BA5" w:rsidP="00940BA5">
            <w:pPr>
              <w:rPr>
                <w:rFonts w:ascii="Arial" w:hAnsi="Arial" w:cs="Arial"/>
                <w:color w:val="000000"/>
              </w:rPr>
            </w:pPr>
            <w:r w:rsidRPr="005D1C1E">
              <w:rPr>
                <w:rFonts w:ascii="Arial" w:hAnsi="Arial" w:cs="Arial"/>
                <w:bCs/>
                <w:color w:val="000000"/>
              </w:rPr>
              <w:t>Acute lymphocytic leukaemia</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940BA5" w:rsidP="009A1758">
            <w:pPr>
              <w:rPr>
                <w:rFonts w:ascii="Arial" w:hAnsi="Arial" w:cs="Arial"/>
                <w:color w:val="000000"/>
              </w:rPr>
            </w:pPr>
            <w:r w:rsidRPr="001A37EB">
              <w:rPr>
                <w:rFonts w:ascii="Arial" w:hAnsi="Arial" w:cs="Arial"/>
                <w:bCs/>
                <w:color w:val="000000"/>
              </w:rPr>
              <w:t xml:space="preserve">Resubmission for an </w:t>
            </w:r>
            <w:r w:rsidRPr="005D1C1E">
              <w:rPr>
                <w:rFonts w:ascii="Arial" w:hAnsi="Arial" w:cs="Arial"/>
                <w:bCs/>
                <w:color w:val="000000"/>
              </w:rPr>
              <w:t>Authority Required</w:t>
            </w:r>
            <w:r w:rsidRPr="001A37EB">
              <w:rPr>
                <w:rFonts w:ascii="Arial" w:hAnsi="Arial" w:cs="Arial"/>
                <w:bCs/>
                <w:color w:val="000000"/>
              </w:rPr>
              <w:t xml:space="preserve"> listing</w:t>
            </w:r>
            <w:r w:rsidRPr="005D1C1E">
              <w:rPr>
                <w:rFonts w:ascii="Arial" w:hAnsi="Arial" w:cs="Arial"/>
                <w:bCs/>
                <w:color w:val="000000"/>
              </w:rPr>
              <w:t xml:space="preserve"> for acute lymphoblastic leukaemia.</w:t>
            </w:r>
          </w:p>
        </w:tc>
        <w:tc>
          <w:tcPr>
            <w:tcW w:w="5562" w:type="dxa"/>
            <w:tcBorders>
              <w:top w:val="single" w:sz="4" w:space="0" w:color="auto"/>
              <w:left w:val="single" w:sz="4" w:space="0" w:color="auto"/>
              <w:bottom w:val="single" w:sz="4" w:space="0" w:color="auto"/>
              <w:right w:val="single" w:sz="4" w:space="0" w:color="auto"/>
            </w:tcBorders>
          </w:tcPr>
          <w:p w:rsidR="009C6B84" w:rsidRPr="009C6B84" w:rsidRDefault="00C77A62" w:rsidP="0045555E">
            <w:pPr>
              <w:rPr>
                <w:rFonts w:ascii="Arial" w:hAnsi="Arial" w:cs="Arial"/>
                <w:bCs/>
              </w:rPr>
            </w:pPr>
            <w:r w:rsidRPr="009C6B84">
              <w:rPr>
                <w:rFonts w:ascii="Arial" w:hAnsi="Arial" w:cs="Arial"/>
              </w:rPr>
              <w:t xml:space="preserve">The </w:t>
            </w:r>
            <w:r w:rsidR="009C6B84" w:rsidRPr="009C6B84">
              <w:rPr>
                <w:rFonts w:ascii="Arial" w:hAnsi="Arial" w:cs="Arial"/>
                <w:bCs/>
              </w:rPr>
              <w:t>PBAC recommended an Authority Required listing of blinatumomab for the treatment of relapsed or refractory Philadelphia</w:t>
            </w:r>
            <w:r w:rsidR="001F20BD">
              <w:rPr>
                <w:rFonts w:ascii="Arial" w:hAnsi="Arial" w:cs="Arial"/>
                <w:bCs/>
              </w:rPr>
              <w:t xml:space="preserve"> chromosome</w:t>
            </w:r>
            <w:r w:rsidR="009C6B84" w:rsidRPr="009C6B84">
              <w:rPr>
                <w:rFonts w:ascii="Arial" w:hAnsi="Arial" w:cs="Arial"/>
                <w:bCs/>
              </w:rPr>
              <w:t xml:space="preserve"> negative B-precursor acute lymphocytic leukaemia on the basis of acceptable cost-effectiveness over standard care chemotherapies, to be achieved in the context of a managed entry framework.</w:t>
            </w:r>
          </w:p>
          <w:p w:rsidR="009C6B84" w:rsidRPr="009C6B84" w:rsidRDefault="009C6B84" w:rsidP="006F1E55">
            <w:pPr>
              <w:rPr>
                <w:rFonts w:ascii="Arial" w:hAnsi="Arial" w:cs="Arial"/>
                <w:bCs/>
              </w:rPr>
            </w:pPr>
          </w:p>
          <w:p w:rsidR="009C6B84" w:rsidRDefault="009C6B84">
            <w:pPr>
              <w:rPr>
                <w:rFonts w:ascii="Arial" w:hAnsi="Arial" w:cs="Arial"/>
                <w:bCs/>
              </w:rPr>
            </w:pPr>
            <w:r w:rsidRPr="009C6B84">
              <w:rPr>
                <w:rFonts w:ascii="Arial" w:hAnsi="Arial" w:cs="Arial"/>
                <w:bCs/>
              </w:rPr>
              <w:t xml:space="preserve">In making its recommendation, the PBAC considered that </w:t>
            </w:r>
            <w:r w:rsidR="00D20031">
              <w:rPr>
                <w:rFonts w:ascii="Arial" w:hAnsi="Arial" w:cs="Arial"/>
                <w:bCs/>
              </w:rPr>
              <w:t xml:space="preserve">blinatumomab does improve survival, however the </w:t>
            </w:r>
            <w:r w:rsidR="00775D6F">
              <w:rPr>
                <w:rFonts w:ascii="Arial" w:hAnsi="Arial" w:cs="Arial"/>
                <w:bCs/>
              </w:rPr>
              <w:t xml:space="preserve">evidence for this is comparatively weak at this point in time. </w:t>
            </w:r>
            <w:r w:rsidR="00D20031">
              <w:rPr>
                <w:rFonts w:ascii="Arial" w:hAnsi="Arial" w:cs="Arial"/>
                <w:bCs/>
              </w:rPr>
              <w:t>There is currently a clinical trial</w:t>
            </w:r>
            <w:r w:rsidR="00F3698C">
              <w:rPr>
                <w:rFonts w:ascii="Arial" w:hAnsi="Arial" w:cs="Arial"/>
                <w:bCs/>
              </w:rPr>
              <w:t>, the TOWER Trial,</w:t>
            </w:r>
            <w:r w:rsidR="00D20031">
              <w:rPr>
                <w:rFonts w:ascii="Arial" w:hAnsi="Arial" w:cs="Arial"/>
                <w:bCs/>
              </w:rPr>
              <w:t xml:space="preserve"> being conducted</w:t>
            </w:r>
            <w:r w:rsidR="00F3698C">
              <w:rPr>
                <w:rFonts w:ascii="Arial" w:hAnsi="Arial" w:cs="Arial"/>
                <w:bCs/>
              </w:rPr>
              <w:t xml:space="preserve"> of blinatumomab.</w:t>
            </w:r>
            <w:r w:rsidR="00D20031">
              <w:rPr>
                <w:rFonts w:ascii="Arial" w:hAnsi="Arial" w:cs="Arial"/>
                <w:bCs/>
              </w:rPr>
              <w:t xml:space="preserve"> </w:t>
            </w:r>
            <w:r w:rsidR="00F3698C">
              <w:rPr>
                <w:rFonts w:ascii="Arial" w:hAnsi="Arial" w:cs="Arial"/>
                <w:bCs/>
              </w:rPr>
              <w:t>T</w:t>
            </w:r>
            <w:r w:rsidRPr="009C6B84">
              <w:rPr>
                <w:rFonts w:ascii="Arial" w:hAnsi="Arial" w:cs="Arial"/>
                <w:bCs/>
              </w:rPr>
              <w:t>he preliminary results from th</w:t>
            </w:r>
            <w:r w:rsidR="00D20031">
              <w:rPr>
                <w:rFonts w:ascii="Arial" w:hAnsi="Arial" w:cs="Arial"/>
                <w:bCs/>
              </w:rPr>
              <w:t>is</w:t>
            </w:r>
            <w:r w:rsidRPr="009C6B84">
              <w:rPr>
                <w:rFonts w:ascii="Arial" w:hAnsi="Arial" w:cs="Arial"/>
                <w:bCs/>
              </w:rPr>
              <w:t xml:space="preserve"> </w:t>
            </w:r>
            <w:r w:rsidR="00D20031">
              <w:rPr>
                <w:rFonts w:ascii="Arial" w:hAnsi="Arial" w:cs="Arial"/>
                <w:bCs/>
              </w:rPr>
              <w:t>tr</w:t>
            </w:r>
            <w:r w:rsidRPr="009C6B84">
              <w:rPr>
                <w:rFonts w:ascii="Arial" w:hAnsi="Arial" w:cs="Arial"/>
                <w:bCs/>
              </w:rPr>
              <w:t>ial provide reassurance that more robust evidence will be forthcoming in the foreseeable future</w:t>
            </w:r>
            <w:r w:rsidR="00F3698C">
              <w:rPr>
                <w:rFonts w:ascii="Arial" w:hAnsi="Arial" w:cs="Arial"/>
                <w:bCs/>
              </w:rPr>
              <w:t xml:space="preserve">. </w:t>
            </w:r>
            <w:r w:rsidR="00EA42D5">
              <w:rPr>
                <w:rFonts w:ascii="Arial" w:hAnsi="Arial" w:cs="Arial"/>
                <w:bCs/>
              </w:rPr>
              <w:t>T</w:t>
            </w:r>
            <w:r w:rsidRPr="009C6B84">
              <w:rPr>
                <w:rFonts w:ascii="Arial" w:hAnsi="Arial" w:cs="Arial"/>
                <w:bCs/>
              </w:rPr>
              <w:t xml:space="preserve">he PBAC has proposed to review this evidence as soon as it becomes available to ensure patients receiving medicines on the PBS are being treated according to the best available evidence and that the cost of the treatment remains justified. </w:t>
            </w:r>
          </w:p>
          <w:p w:rsidR="00775D6F" w:rsidRPr="009C6B84" w:rsidRDefault="00775D6F">
            <w:pPr>
              <w:rPr>
                <w:rFonts w:ascii="Arial" w:hAnsi="Arial" w:cs="Arial"/>
                <w:bCs/>
              </w:rPr>
            </w:pPr>
          </w:p>
          <w:p w:rsidR="00D20031" w:rsidRDefault="00775D6F" w:rsidP="00D20031">
            <w:pPr>
              <w:rPr>
                <w:rFonts w:ascii="Arial" w:hAnsi="Arial" w:cs="Arial"/>
              </w:rPr>
            </w:pPr>
            <w:r>
              <w:rPr>
                <w:rFonts w:ascii="Arial" w:hAnsi="Arial" w:cs="Arial"/>
              </w:rPr>
              <w:t xml:space="preserve">This </w:t>
            </w:r>
            <w:r w:rsidR="00D20031" w:rsidRPr="00E31361">
              <w:rPr>
                <w:rFonts w:ascii="Arial" w:hAnsi="Arial" w:cs="Arial"/>
              </w:rPr>
              <w:t>places the financial burden on the Commonwealth for the upfront risk associated with the uncertain clinical benefit of blinatumomab</w:t>
            </w:r>
            <w:r>
              <w:rPr>
                <w:rFonts w:ascii="Arial" w:hAnsi="Arial" w:cs="Arial"/>
              </w:rPr>
              <w:t>.</w:t>
            </w:r>
            <w:r w:rsidR="00D20031" w:rsidRPr="00E31361">
              <w:rPr>
                <w:rFonts w:ascii="Arial" w:hAnsi="Arial" w:cs="Arial"/>
              </w:rPr>
              <w:t xml:space="preserve"> </w:t>
            </w:r>
          </w:p>
          <w:p w:rsidR="00775D6F" w:rsidRPr="00E31361" w:rsidRDefault="00775D6F" w:rsidP="00D20031">
            <w:pPr>
              <w:rPr>
                <w:rFonts w:ascii="Arial" w:hAnsi="Arial" w:cs="Arial"/>
              </w:rPr>
            </w:pPr>
          </w:p>
          <w:p w:rsidR="009C6B84" w:rsidRPr="009C6B84" w:rsidRDefault="009C6B84">
            <w:pPr>
              <w:rPr>
                <w:rFonts w:ascii="Arial" w:hAnsi="Arial" w:cs="Arial"/>
              </w:rPr>
            </w:pPr>
            <w:r w:rsidRPr="009C6B84">
              <w:rPr>
                <w:rFonts w:ascii="Arial" w:hAnsi="Arial" w:cs="Arial"/>
              </w:rPr>
              <w:t xml:space="preserve">The PBAC considered that </w:t>
            </w:r>
            <w:r w:rsidR="00775D6F">
              <w:rPr>
                <w:rFonts w:ascii="Arial" w:hAnsi="Arial" w:cs="Arial"/>
              </w:rPr>
              <w:t>this risk should be</w:t>
            </w:r>
            <w:r w:rsidRPr="009C6B84">
              <w:rPr>
                <w:rFonts w:ascii="Arial" w:hAnsi="Arial" w:cs="Arial"/>
              </w:rPr>
              <w:t xml:space="preserve"> </w:t>
            </w:r>
            <w:r w:rsidR="00775D6F">
              <w:rPr>
                <w:rFonts w:ascii="Arial" w:hAnsi="Arial" w:cs="Arial"/>
              </w:rPr>
              <w:t xml:space="preserve">dealt with through a </w:t>
            </w:r>
            <w:r w:rsidR="00EA42D5">
              <w:rPr>
                <w:rFonts w:ascii="Arial" w:hAnsi="Arial" w:cs="Arial"/>
              </w:rPr>
              <w:t>managed entry scheme (</w:t>
            </w:r>
            <w:r w:rsidRPr="009C6B84">
              <w:rPr>
                <w:rFonts w:ascii="Arial" w:hAnsi="Arial" w:cs="Arial"/>
              </w:rPr>
              <w:t>MES</w:t>
            </w:r>
            <w:r w:rsidR="00EA42D5">
              <w:rPr>
                <w:rFonts w:ascii="Arial" w:hAnsi="Arial" w:cs="Arial"/>
              </w:rPr>
              <w:t>)</w:t>
            </w:r>
            <w:r w:rsidR="00775D6F">
              <w:rPr>
                <w:rFonts w:ascii="Arial" w:hAnsi="Arial" w:cs="Arial"/>
              </w:rPr>
              <w:t xml:space="preserve">, </w:t>
            </w:r>
            <w:r w:rsidRPr="009C6B84">
              <w:rPr>
                <w:rFonts w:ascii="Arial" w:hAnsi="Arial" w:cs="Arial"/>
              </w:rPr>
              <w:t>guided by the following conditions</w:t>
            </w:r>
            <w:r w:rsidR="00EA42D5">
              <w:rPr>
                <w:rFonts w:ascii="Arial" w:hAnsi="Arial" w:cs="Arial"/>
              </w:rPr>
              <w:t>:</w:t>
            </w:r>
          </w:p>
          <w:p w:rsidR="009C6B84" w:rsidRPr="009C6B84" w:rsidRDefault="009C6B84" w:rsidP="0034720F">
            <w:pPr>
              <w:pStyle w:val="ListParagraph"/>
              <w:widowControl w:val="0"/>
              <w:numPr>
                <w:ilvl w:val="0"/>
                <w:numId w:val="39"/>
              </w:numPr>
              <w:ind w:hanging="294"/>
              <w:rPr>
                <w:rFonts w:ascii="Arial" w:hAnsi="Arial" w:cs="Arial"/>
                <w:bCs/>
                <w:sz w:val="20"/>
                <w:szCs w:val="20"/>
              </w:rPr>
            </w:pPr>
            <w:r w:rsidRPr="009C6B84">
              <w:rPr>
                <w:rFonts w:ascii="Arial" w:hAnsi="Arial" w:cs="Arial"/>
                <w:sz w:val="20"/>
                <w:szCs w:val="20"/>
              </w:rPr>
              <w:t>The initial price for blinatumomab in the MES would be established based on respecifying of the base case of the submitted model to use only the weighted historical control data from patients diagnosed post-2000 for the comparator;</w:t>
            </w:r>
          </w:p>
          <w:p w:rsidR="009C6B84" w:rsidRPr="009C6B84" w:rsidRDefault="009C6B84" w:rsidP="0034720F">
            <w:pPr>
              <w:pStyle w:val="ListParagraph"/>
              <w:widowControl w:val="0"/>
              <w:numPr>
                <w:ilvl w:val="0"/>
                <w:numId w:val="39"/>
              </w:numPr>
              <w:ind w:hanging="294"/>
              <w:rPr>
                <w:rFonts w:ascii="Arial" w:hAnsi="Arial" w:cs="Arial"/>
                <w:bCs/>
                <w:sz w:val="20"/>
                <w:szCs w:val="20"/>
              </w:rPr>
            </w:pPr>
            <w:r w:rsidRPr="009C6B84">
              <w:rPr>
                <w:rFonts w:ascii="Arial" w:hAnsi="Arial" w:cs="Arial"/>
                <w:sz w:val="20"/>
                <w:szCs w:val="20"/>
              </w:rPr>
              <w:t>The possible outcomes following completion of the MES would be that either:</w:t>
            </w:r>
          </w:p>
          <w:p w:rsidR="009C6B84" w:rsidRPr="009C6B84" w:rsidRDefault="009C6B84" w:rsidP="0034720F">
            <w:pPr>
              <w:pStyle w:val="ListParagraph"/>
              <w:numPr>
                <w:ilvl w:val="1"/>
                <w:numId w:val="38"/>
              </w:numPr>
              <w:rPr>
                <w:rFonts w:ascii="Arial" w:hAnsi="Arial" w:cs="Arial"/>
                <w:sz w:val="20"/>
                <w:szCs w:val="20"/>
              </w:rPr>
            </w:pPr>
            <w:r w:rsidRPr="009C6B84">
              <w:rPr>
                <w:rFonts w:ascii="Arial" w:hAnsi="Arial" w:cs="Arial"/>
                <w:sz w:val="20"/>
                <w:szCs w:val="20"/>
              </w:rPr>
              <w:t>the price of blinatumomab would reduce; or</w:t>
            </w:r>
          </w:p>
          <w:p w:rsidR="00D20031" w:rsidRDefault="009C6B84" w:rsidP="0034720F">
            <w:pPr>
              <w:pStyle w:val="ListParagraph"/>
              <w:numPr>
                <w:ilvl w:val="1"/>
                <w:numId w:val="38"/>
              </w:numPr>
              <w:rPr>
                <w:rFonts w:ascii="Arial" w:hAnsi="Arial" w:cs="Arial"/>
                <w:sz w:val="20"/>
                <w:szCs w:val="20"/>
              </w:rPr>
            </w:pPr>
            <w:r w:rsidRPr="009C6B84">
              <w:rPr>
                <w:rFonts w:ascii="Arial" w:hAnsi="Arial" w:cs="Arial"/>
                <w:sz w:val="20"/>
                <w:szCs w:val="20"/>
              </w:rPr>
              <w:t xml:space="preserve">the price of blinatumomab would be </w:t>
            </w:r>
            <w:r w:rsidRPr="009C6B84">
              <w:rPr>
                <w:rFonts w:ascii="Arial" w:hAnsi="Arial" w:cs="Arial"/>
                <w:sz w:val="20"/>
                <w:szCs w:val="20"/>
              </w:rPr>
              <w:lastRenderedPageBreak/>
              <w:t>maintained.</w:t>
            </w:r>
          </w:p>
          <w:p w:rsidR="009C6B84" w:rsidRPr="0034720F" w:rsidRDefault="00D20031" w:rsidP="0034720F">
            <w:pPr>
              <w:pStyle w:val="ListParagraph"/>
              <w:widowControl w:val="0"/>
              <w:numPr>
                <w:ilvl w:val="0"/>
                <w:numId w:val="39"/>
              </w:numPr>
              <w:ind w:hanging="294"/>
              <w:rPr>
                <w:rFonts w:ascii="Arial" w:hAnsi="Arial" w:cs="Arial"/>
                <w:sz w:val="20"/>
                <w:szCs w:val="20"/>
              </w:rPr>
            </w:pPr>
            <w:r w:rsidRPr="0034720F">
              <w:rPr>
                <w:rFonts w:ascii="Arial" w:hAnsi="Arial" w:cs="Arial"/>
                <w:sz w:val="20"/>
                <w:szCs w:val="20"/>
              </w:rPr>
              <w:t xml:space="preserve">Any </w:t>
            </w:r>
            <w:r w:rsidR="009C6B84" w:rsidRPr="0034720F">
              <w:rPr>
                <w:rFonts w:ascii="Arial" w:hAnsi="Arial" w:cs="Arial"/>
                <w:sz w:val="20"/>
                <w:szCs w:val="20"/>
              </w:rPr>
              <w:t>price reduction of blinatumomab would be calculated to maintain the current</w:t>
            </w:r>
            <w:r w:rsidR="0034720F">
              <w:rPr>
                <w:rFonts w:ascii="Arial" w:hAnsi="Arial" w:cs="Arial"/>
                <w:sz w:val="20"/>
                <w:szCs w:val="20"/>
              </w:rPr>
              <w:t xml:space="preserve"> incremental cost effectiveness ratio</w:t>
            </w:r>
            <w:r w:rsidR="009C6B84" w:rsidRPr="0034720F">
              <w:rPr>
                <w:rFonts w:ascii="Arial" w:hAnsi="Arial" w:cs="Arial"/>
                <w:sz w:val="20"/>
                <w:szCs w:val="20"/>
              </w:rPr>
              <w:t xml:space="preserve"> </w:t>
            </w:r>
            <w:r w:rsidR="0034720F">
              <w:rPr>
                <w:rFonts w:ascii="Arial" w:hAnsi="Arial" w:cs="Arial"/>
                <w:sz w:val="20"/>
                <w:szCs w:val="20"/>
              </w:rPr>
              <w:t>(</w:t>
            </w:r>
            <w:r w:rsidR="009C6B84" w:rsidRPr="0034720F">
              <w:rPr>
                <w:rFonts w:ascii="Arial" w:hAnsi="Arial" w:cs="Arial"/>
                <w:sz w:val="20"/>
                <w:szCs w:val="20"/>
              </w:rPr>
              <w:t>ICER</w:t>
            </w:r>
            <w:r w:rsidR="0034720F">
              <w:rPr>
                <w:rFonts w:ascii="Arial" w:hAnsi="Arial" w:cs="Arial"/>
                <w:sz w:val="20"/>
                <w:szCs w:val="20"/>
              </w:rPr>
              <w:t>)</w:t>
            </w:r>
            <w:r w:rsidR="009C6B84" w:rsidRPr="0034720F">
              <w:rPr>
                <w:rFonts w:ascii="Arial" w:hAnsi="Arial" w:cs="Arial"/>
                <w:sz w:val="20"/>
                <w:szCs w:val="20"/>
              </w:rPr>
              <w:t xml:space="preserve"> with reduced clinical benefits</w:t>
            </w:r>
            <w:r w:rsidR="00EA42D5" w:rsidRPr="0034720F">
              <w:rPr>
                <w:rFonts w:ascii="Arial" w:hAnsi="Arial" w:cs="Arial"/>
                <w:sz w:val="20"/>
                <w:szCs w:val="20"/>
              </w:rPr>
              <w:t>; and</w:t>
            </w:r>
          </w:p>
          <w:p w:rsidR="00C77A62" w:rsidRDefault="00413971" w:rsidP="0034720F">
            <w:pPr>
              <w:pStyle w:val="ListParagraph"/>
              <w:widowControl w:val="0"/>
              <w:numPr>
                <w:ilvl w:val="0"/>
                <w:numId w:val="39"/>
              </w:numPr>
              <w:ind w:hanging="294"/>
              <w:rPr>
                <w:rFonts w:ascii="Arial" w:hAnsi="Arial" w:cs="Arial"/>
                <w:sz w:val="20"/>
                <w:szCs w:val="20"/>
              </w:rPr>
            </w:pPr>
            <w:r>
              <w:rPr>
                <w:rFonts w:ascii="Arial" w:hAnsi="Arial" w:cs="Arial"/>
                <w:sz w:val="20"/>
                <w:szCs w:val="20"/>
              </w:rPr>
              <w:t xml:space="preserve">A </w:t>
            </w:r>
            <w:r w:rsidR="009C6B84" w:rsidRPr="009C6B84">
              <w:rPr>
                <w:rFonts w:ascii="Arial" w:hAnsi="Arial" w:cs="Arial"/>
                <w:sz w:val="20"/>
                <w:szCs w:val="20"/>
              </w:rPr>
              <w:t xml:space="preserve">rebate </w:t>
            </w:r>
            <w:r>
              <w:rPr>
                <w:rFonts w:ascii="Arial" w:hAnsi="Arial" w:cs="Arial"/>
                <w:sz w:val="20"/>
                <w:szCs w:val="20"/>
              </w:rPr>
              <w:t xml:space="preserve">for payments made while the drug was subsidised at a higher price </w:t>
            </w:r>
            <w:r w:rsidR="009C6B84" w:rsidRPr="009C6B84">
              <w:rPr>
                <w:rFonts w:ascii="Arial" w:hAnsi="Arial" w:cs="Arial"/>
                <w:sz w:val="20"/>
                <w:szCs w:val="20"/>
              </w:rPr>
              <w:t xml:space="preserve">would be calculated by multiplying </w:t>
            </w:r>
            <w:r>
              <w:rPr>
                <w:rFonts w:ascii="Arial" w:hAnsi="Arial" w:cs="Arial"/>
                <w:sz w:val="20"/>
                <w:szCs w:val="20"/>
              </w:rPr>
              <w:t>the</w:t>
            </w:r>
            <w:r w:rsidRPr="009C6B84">
              <w:rPr>
                <w:rFonts w:ascii="Arial" w:hAnsi="Arial" w:cs="Arial"/>
                <w:sz w:val="20"/>
                <w:szCs w:val="20"/>
              </w:rPr>
              <w:t xml:space="preserve"> </w:t>
            </w:r>
            <w:r w:rsidR="009C6B84" w:rsidRPr="009C6B84">
              <w:rPr>
                <w:rFonts w:ascii="Arial" w:hAnsi="Arial" w:cs="Arial"/>
                <w:sz w:val="20"/>
                <w:szCs w:val="20"/>
              </w:rPr>
              <w:t>price reduction by the number of PBS-dispensed prescriptions of blinatumomab between the date of listing and the date of implementation of the price reduction</w:t>
            </w:r>
            <w:r w:rsidR="005F7A59">
              <w:rPr>
                <w:rFonts w:ascii="Arial" w:hAnsi="Arial" w:cs="Arial"/>
                <w:sz w:val="20"/>
                <w:szCs w:val="20"/>
              </w:rPr>
              <w:t xml:space="preserve"> (</w:t>
            </w:r>
            <w:r w:rsidR="009C6B84" w:rsidRPr="009C6B84">
              <w:rPr>
                <w:rFonts w:ascii="Arial" w:hAnsi="Arial" w:cs="Arial"/>
                <w:sz w:val="20"/>
                <w:szCs w:val="20"/>
              </w:rPr>
              <w:t>after applying an interest rate deemed appropriate by the Commonwealth</w:t>
            </w:r>
            <w:r w:rsidR="005F7A59">
              <w:rPr>
                <w:rFonts w:ascii="Arial" w:hAnsi="Arial" w:cs="Arial"/>
                <w:sz w:val="20"/>
                <w:szCs w:val="20"/>
              </w:rPr>
              <w:t>)</w:t>
            </w:r>
            <w:r w:rsidR="009C6B84" w:rsidRPr="009C6B84">
              <w:rPr>
                <w:rFonts w:ascii="Arial" w:hAnsi="Arial" w:cs="Arial"/>
                <w:sz w:val="20"/>
                <w:szCs w:val="20"/>
              </w:rPr>
              <w:t>.</w:t>
            </w:r>
          </w:p>
          <w:p w:rsidR="00D20031" w:rsidRPr="0034720F" w:rsidRDefault="00D20031" w:rsidP="0034720F">
            <w:pPr>
              <w:rPr>
                <w:rFonts w:ascii="Arial" w:hAnsi="Arial" w:cs="Arial"/>
              </w:rPr>
            </w:pPr>
          </w:p>
        </w:tc>
      </w:tr>
      <w:tr w:rsidR="00E73655" w:rsidRPr="00767E3C" w:rsidTr="001F20BD">
        <w:trPr>
          <w:trHeight w:val="4103"/>
        </w:trPr>
        <w:tc>
          <w:tcPr>
            <w:tcW w:w="3799" w:type="dxa"/>
            <w:tcBorders>
              <w:top w:val="single" w:sz="4" w:space="0" w:color="auto"/>
              <w:left w:val="single" w:sz="4" w:space="0" w:color="auto"/>
              <w:bottom w:val="single" w:sz="4" w:space="0" w:color="auto"/>
              <w:right w:val="single" w:sz="4" w:space="0" w:color="auto"/>
            </w:tcBorders>
          </w:tcPr>
          <w:p w:rsidR="00940BA5" w:rsidRDefault="00940BA5" w:rsidP="00940BA5">
            <w:pPr>
              <w:rPr>
                <w:rFonts w:ascii="Arial" w:hAnsi="Arial" w:cs="Arial"/>
                <w:color w:val="000000"/>
              </w:rPr>
            </w:pPr>
            <w:r w:rsidRPr="005D1C1E">
              <w:rPr>
                <w:rFonts w:ascii="Arial" w:hAnsi="Arial" w:cs="Arial"/>
                <w:bCs/>
                <w:color w:val="000000"/>
              </w:rPr>
              <w:lastRenderedPageBreak/>
              <w:t>B</w:t>
            </w:r>
            <w:r w:rsidRPr="001A37EB">
              <w:rPr>
                <w:rFonts w:ascii="Arial" w:hAnsi="Arial" w:cs="Arial"/>
                <w:bCs/>
                <w:color w:val="000000"/>
              </w:rPr>
              <w:t>UPRENORPHINE</w:t>
            </w:r>
            <w:r w:rsidRPr="005D1C1E">
              <w:rPr>
                <w:rFonts w:ascii="Arial" w:hAnsi="Arial" w:cs="Arial"/>
                <w:bCs/>
                <w:color w:val="000000"/>
              </w:rPr>
              <w:br/>
            </w:r>
            <w:r w:rsidRPr="005D1C1E">
              <w:rPr>
                <w:rFonts w:ascii="Arial" w:hAnsi="Arial" w:cs="Arial"/>
                <w:bCs/>
                <w:color w:val="000000"/>
              </w:rPr>
              <w:br/>
              <w:t>5 μg/hour patch</w:t>
            </w:r>
            <w:r w:rsidRPr="005D1C1E">
              <w:rPr>
                <w:rFonts w:ascii="Arial" w:hAnsi="Arial" w:cs="Arial"/>
                <w:bCs/>
                <w:color w:val="000000"/>
              </w:rPr>
              <w:br/>
              <w:t>10 μg/hour patch</w:t>
            </w:r>
            <w:r w:rsidRPr="005D1C1E">
              <w:rPr>
                <w:rFonts w:ascii="Arial" w:hAnsi="Arial" w:cs="Arial"/>
                <w:bCs/>
                <w:color w:val="000000"/>
              </w:rPr>
              <w:br/>
              <w:t>15 μg/hour patch</w:t>
            </w:r>
            <w:r w:rsidRPr="005D1C1E">
              <w:rPr>
                <w:rFonts w:ascii="Arial" w:hAnsi="Arial" w:cs="Arial"/>
                <w:bCs/>
                <w:color w:val="000000"/>
              </w:rPr>
              <w:br/>
              <w:t>20 μg/hour patch</w:t>
            </w:r>
            <w:r w:rsidRPr="005D1C1E">
              <w:rPr>
                <w:rFonts w:ascii="Arial" w:hAnsi="Arial" w:cs="Arial"/>
                <w:bCs/>
                <w:color w:val="000000"/>
              </w:rPr>
              <w:br/>
              <w:t>25 μg/hour patch</w:t>
            </w:r>
            <w:r w:rsidRPr="005D1C1E">
              <w:rPr>
                <w:rFonts w:ascii="Arial" w:hAnsi="Arial" w:cs="Arial"/>
                <w:bCs/>
                <w:color w:val="000000"/>
              </w:rPr>
              <w:br/>
              <w:t>30 μg/hour patch</w:t>
            </w:r>
            <w:r w:rsidRPr="005D1C1E">
              <w:rPr>
                <w:rFonts w:ascii="Arial" w:hAnsi="Arial" w:cs="Arial"/>
                <w:bCs/>
                <w:color w:val="000000"/>
              </w:rPr>
              <w:br/>
              <w:t>40 μg/hour patch</w:t>
            </w:r>
            <w:r w:rsidRPr="005D1C1E">
              <w:rPr>
                <w:rFonts w:ascii="Arial" w:hAnsi="Arial" w:cs="Arial"/>
                <w:bCs/>
                <w:color w:val="000000"/>
              </w:rPr>
              <w:br/>
            </w:r>
            <w:r w:rsidRPr="005D1C1E">
              <w:rPr>
                <w:rFonts w:ascii="Arial" w:hAnsi="Arial" w:cs="Arial"/>
                <w:bCs/>
                <w:color w:val="000000"/>
              </w:rPr>
              <w:br/>
              <w:t>Norspan</w:t>
            </w:r>
            <w:r w:rsidRPr="001F20BD">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Mundipharma Pty Ltd</w:t>
            </w:r>
            <w:r w:rsidRPr="00767E3C">
              <w:rPr>
                <w:rFonts w:ascii="Arial" w:hAnsi="Arial" w:cs="Arial"/>
                <w:color w:val="000000"/>
              </w:rPr>
              <w:t xml:space="preserve"> </w:t>
            </w:r>
          </w:p>
          <w:p w:rsidR="00940BA5" w:rsidRDefault="00940BA5" w:rsidP="00940BA5">
            <w:pPr>
              <w:rPr>
                <w:rFonts w:ascii="Arial" w:hAnsi="Arial" w:cs="Arial"/>
                <w:color w:val="000000"/>
              </w:rPr>
            </w:pPr>
          </w:p>
          <w:p w:rsidR="00A10792" w:rsidRPr="00767E3C" w:rsidRDefault="00940BA5" w:rsidP="00940BA5">
            <w:pPr>
              <w:rPr>
                <w:rFonts w:ascii="Arial" w:hAnsi="Arial" w:cs="Arial"/>
                <w:color w:val="000000"/>
              </w:rPr>
            </w:pPr>
            <w:r w:rsidRPr="005D1C1E">
              <w:rPr>
                <w:rFonts w:ascii="Arial" w:hAnsi="Arial" w:cs="Arial"/>
                <w:bCs/>
                <w:color w:val="000000"/>
              </w:rPr>
              <w:t>Change to listing</w:t>
            </w:r>
            <w:r w:rsidRPr="005D1C1E">
              <w:rPr>
                <w:rFonts w:ascii="Arial" w:hAnsi="Arial" w:cs="Arial"/>
                <w:bCs/>
                <w:color w:val="000000"/>
              </w:rPr>
              <w:br/>
            </w:r>
            <w:r w:rsidRPr="005D1C1E">
              <w:rPr>
                <w:rFonts w:ascii="Arial" w:hAnsi="Arial" w:cs="Arial"/>
                <w:bCs/>
                <w:color w:val="000000"/>
              </w:rPr>
              <w:br/>
              <w:t>(</w:t>
            </w:r>
            <w:r w:rsidRPr="001A37EB">
              <w:rPr>
                <w:rFonts w:ascii="Arial" w:hAnsi="Arial" w:cs="Arial"/>
                <w:bCs/>
                <w:color w:val="000000"/>
              </w:rPr>
              <w:t>Minor</w:t>
            </w:r>
            <w:r w:rsidRPr="005D1C1E">
              <w:rPr>
                <w:rFonts w:ascii="Arial" w:hAnsi="Arial" w:cs="Arial"/>
                <w:bCs/>
                <w:color w:val="000000"/>
              </w:rPr>
              <w:t xml:space="preserve">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940BA5" w:rsidP="00940BA5">
            <w:pPr>
              <w:rPr>
                <w:rFonts w:ascii="Arial" w:hAnsi="Arial" w:cs="Arial"/>
                <w:color w:val="000000"/>
              </w:rPr>
            </w:pPr>
            <w:r w:rsidRPr="005D1C1E">
              <w:rPr>
                <w:rFonts w:ascii="Arial" w:hAnsi="Arial" w:cs="Arial"/>
                <w:bCs/>
                <w:color w:val="000000"/>
              </w:rPr>
              <w:t>Chronic severe disabling pain</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940BA5" w:rsidP="009A1758">
            <w:pPr>
              <w:rPr>
                <w:rFonts w:ascii="Arial" w:hAnsi="Arial" w:cs="Arial"/>
                <w:color w:val="000000"/>
              </w:rPr>
            </w:pPr>
            <w:r w:rsidRPr="005D1C1E">
              <w:rPr>
                <w:rFonts w:ascii="Arial" w:hAnsi="Arial" w:cs="Arial"/>
                <w:bCs/>
                <w:color w:val="000000"/>
              </w:rPr>
              <w:t>Authority Required (STREAMLINED) listing on the palliative care schedule providing up to 3 months' supply</w:t>
            </w:r>
            <w:r>
              <w:rPr>
                <w:rFonts w:ascii="Arial" w:hAnsi="Arial" w:cs="Arial"/>
                <w:color w:val="000000"/>
              </w:rPr>
              <w:t>.</w:t>
            </w:r>
          </w:p>
        </w:tc>
        <w:tc>
          <w:tcPr>
            <w:tcW w:w="5562" w:type="dxa"/>
            <w:tcBorders>
              <w:top w:val="single" w:sz="4" w:space="0" w:color="auto"/>
              <w:left w:val="single" w:sz="4" w:space="0" w:color="auto"/>
              <w:bottom w:val="single" w:sz="4" w:space="0" w:color="auto"/>
              <w:right w:val="single" w:sz="4" w:space="0" w:color="auto"/>
            </w:tcBorders>
          </w:tcPr>
          <w:p w:rsidR="007B01CB" w:rsidRPr="00193812" w:rsidRDefault="005A3945" w:rsidP="00F3698C">
            <w:pPr>
              <w:widowControl w:val="0"/>
              <w:rPr>
                <w:rFonts w:ascii="Arial" w:hAnsi="Arial" w:cs="Arial"/>
                <w:snapToGrid w:val="0"/>
                <w:sz w:val="22"/>
              </w:rPr>
            </w:pPr>
            <w:r w:rsidRPr="005A3945">
              <w:rPr>
                <w:rFonts w:ascii="Arial" w:hAnsi="Arial" w:cs="Arial"/>
              </w:rPr>
              <w:t>The PBAC recommended listing all</w:t>
            </w:r>
            <w:r w:rsidR="001F20BD">
              <w:rPr>
                <w:rFonts w:ascii="Arial" w:hAnsi="Arial" w:cs="Arial"/>
              </w:rPr>
              <w:t xml:space="preserve"> currently available</w:t>
            </w:r>
            <w:r w:rsidRPr="005A3945">
              <w:rPr>
                <w:rFonts w:ascii="Arial" w:hAnsi="Arial" w:cs="Arial"/>
              </w:rPr>
              <w:t xml:space="preserve"> strengths of buprenorphine transdermal patches on the Palliative Care Schedule as an Authority Required listing with a maximum quantity of 4 patches with two repeats, providing up to three months</w:t>
            </w:r>
            <w:r w:rsidR="00EA42D5">
              <w:rPr>
                <w:rFonts w:ascii="Arial" w:hAnsi="Arial" w:cs="Arial"/>
              </w:rPr>
              <w:t>’</w:t>
            </w:r>
            <w:r w:rsidRPr="005A3945">
              <w:rPr>
                <w:rFonts w:ascii="Arial" w:hAnsi="Arial" w:cs="Arial"/>
              </w:rPr>
              <w:t xml:space="preserve"> supply in each prescription. The PBAC recommended that the listing for buprenorphine be aligned with the listing for modified release morphine on the Palliative Care Schedule.</w:t>
            </w:r>
          </w:p>
        </w:tc>
      </w:tr>
      <w:tr w:rsidR="00E73655" w:rsidRPr="00767E3C" w:rsidTr="001F20BD">
        <w:trPr>
          <w:trHeight w:val="3395"/>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Default="00940BA5" w:rsidP="009A1758">
            <w:pPr>
              <w:rPr>
                <w:rFonts w:ascii="Arial" w:hAnsi="Arial" w:cs="Arial"/>
                <w:bCs/>
                <w:color w:val="000000"/>
              </w:rPr>
            </w:pPr>
            <w:r w:rsidRPr="005D1C1E">
              <w:rPr>
                <w:rFonts w:ascii="Arial" w:hAnsi="Arial" w:cs="Arial"/>
                <w:bCs/>
                <w:color w:val="000000"/>
              </w:rPr>
              <w:lastRenderedPageBreak/>
              <w:t>DASATINIB</w:t>
            </w:r>
            <w:r w:rsidRPr="005D1C1E">
              <w:rPr>
                <w:rFonts w:ascii="Arial" w:hAnsi="Arial" w:cs="Arial"/>
                <w:bCs/>
                <w:color w:val="000000"/>
              </w:rPr>
              <w:br/>
            </w:r>
            <w:r w:rsidRPr="005D1C1E">
              <w:rPr>
                <w:rFonts w:ascii="Arial" w:hAnsi="Arial" w:cs="Arial"/>
                <w:bCs/>
                <w:color w:val="000000"/>
              </w:rPr>
              <w:br/>
              <w:t>20 mg tablet, 60</w:t>
            </w:r>
            <w:r w:rsidRPr="005D1C1E">
              <w:rPr>
                <w:rFonts w:ascii="Arial" w:hAnsi="Arial" w:cs="Arial"/>
                <w:bCs/>
                <w:color w:val="000000"/>
              </w:rPr>
              <w:br/>
              <w:t>50 mg tablet, 60</w:t>
            </w:r>
            <w:r w:rsidRPr="005D1C1E">
              <w:rPr>
                <w:rFonts w:ascii="Arial" w:hAnsi="Arial" w:cs="Arial"/>
                <w:bCs/>
                <w:color w:val="000000"/>
              </w:rPr>
              <w:br/>
              <w:t>70 mg tablet, 60</w:t>
            </w:r>
            <w:r w:rsidRPr="005D1C1E">
              <w:rPr>
                <w:rFonts w:ascii="Arial" w:hAnsi="Arial" w:cs="Arial"/>
                <w:bCs/>
                <w:color w:val="000000"/>
              </w:rPr>
              <w:br/>
              <w:t>100 mg tablet, 30</w:t>
            </w:r>
            <w:r w:rsidRPr="005D1C1E">
              <w:rPr>
                <w:rFonts w:ascii="Arial" w:hAnsi="Arial" w:cs="Arial"/>
                <w:bCs/>
                <w:color w:val="000000"/>
              </w:rPr>
              <w:br/>
            </w:r>
            <w:r w:rsidRPr="005D1C1E">
              <w:rPr>
                <w:rFonts w:ascii="Arial" w:hAnsi="Arial" w:cs="Arial"/>
                <w:bCs/>
                <w:color w:val="000000"/>
              </w:rPr>
              <w:br/>
              <w:t>Sprycel</w:t>
            </w:r>
            <w:r w:rsidRPr="001F20BD">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 xml:space="preserve">Bristol-Myers Squibb Australia Ltd </w:t>
            </w:r>
          </w:p>
          <w:p w:rsidR="00940BA5" w:rsidRDefault="00940BA5" w:rsidP="009A1758">
            <w:pPr>
              <w:rPr>
                <w:rFonts w:ascii="Arial" w:hAnsi="Arial" w:cs="Arial"/>
                <w:bCs/>
                <w:color w:val="000000"/>
              </w:rPr>
            </w:pPr>
          </w:p>
          <w:p w:rsidR="00A10792" w:rsidRPr="00767E3C" w:rsidRDefault="00940BA5" w:rsidP="009A1758">
            <w:pPr>
              <w:rPr>
                <w:rFonts w:ascii="Arial" w:hAnsi="Arial" w:cs="Arial"/>
                <w:color w:val="000000"/>
              </w:rPr>
            </w:pPr>
            <w:r w:rsidRPr="005D1C1E">
              <w:rPr>
                <w:rFonts w:ascii="Arial" w:hAnsi="Arial" w:cs="Arial"/>
                <w:bCs/>
                <w:color w:val="000000"/>
              </w:rPr>
              <w:t>Change to listing</w:t>
            </w:r>
            <w:r w:rsidRPr="005D1C1E">
              <w:rPr>
                <w:rFonts w:ascii="Arial" w:hAnsi="Arial" w:cs="Arial"/>
                <w:bCs/>
                <w:color w:val="000000"/>
              </w:rPr>
              <w:br/>
            </w:r>
            <w:r w:rsidRPr="005D1C1E">
              <w:rPr>
                <w:rFonts w:ascii="Arial" w:hAnsi="Arial" w:cs="Arial"/>
                <w:bCs/>
                <w:color w:val="000000"/>
              </w:rPr>
              <w:b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940BA5" w:rsidP="00940BA5">
            <w:pPr>
              <w:rPr>
                <w:rFonts w:ascii="Arial" w:hAnsi="Arial" w:cs="Arial"/>
                <w:color w:val="000000"/>
              </w:rPr>
            </w:pPr>
            <w:r w:rsidRPr="005D1C1E">
              <w:rPr>
                <w:rFonts w:ascii="Arial" w:hAnsi="Arial" w:cs="Arial"/>
                <w:bCs/>
                <w:color w:val="000000"/>
              </w:rPr>
              <w:t>Chronic myeloid leukaemia</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940BA5" w:rsidP="009A1758">
            <w:pPr>
              <w:rPr>
                <w:rFonts w:ascii="Arial" w:hAnsi="Arial" w:cs="Arial"/>
                <w:color w:val="000000"/>
              </w:rPr>
            </w:pPr>
            <w:r w:rsidRPr="005D1C1E">
              <w:rPr>
                <w:rFonts w:ascii="Arial" w:hAnsi="Arial" w:cs="Arial"/>
                <w:bCs/>
                <w:color w:val="000000"/>
              </w:rPr>
              <w:t>Resubmission to request an amendment to the current first-line PBS restriction for dasatinib for treatment of patients with chronic myeloid leukaemia to ensure consistency with the first-line listing for the alternative</w:t>
            </w:r>
            <w:r w:rsidRPr="001A37EB">
              <w:rPr>
                <w:rFonts w:ascii="Arial" w:hAnsi="Arial" w:cs="Arial"/>
                <w:bCs/>
                <w:color w:val="000000"/>
              </w:rPr>
              <w:t xml:space="preserve"> tyrosine kinase inhibitor</w:t>
            </w:r>
            <w:r w:rsidRPr="005D1C1E">
              <w:rPr>
                <w:rFonts w:ascii="Arial" w:hAnsi="Arial" w:cs="Arial"/>
                <w:bCs/>
                <w:color w:val="000000"/>
              </w:rPr>
              <w:t>, imatinib</w:t>
            </w:r>
            <w:r w:rsidRPr="001A37EB">
              <w:rPr>
                <w:rFonts w:ascii="Arial" w:hAnsi="Arial" w:cs="Arial"/>
                <w:bCs/>
                <w:color w:val="000000"/>
              </w:rPr>
              <w:t>.</w:t>
            </w:r>
          </w:p>
        </w:tc>
        <w:tc>
          <w:tcPr>
            <w:tcW w:w="5562" w:type="dxa"/>
            <w:tcBorders>
              <w:top w:val="single" w:sz="4" w:space="0" w:color="auto"/>
              <w:left w:val="single" w:sz="4" w:space="0" w:color="auto"/>
              <w:bottom w:val="single" w:sz="4" w:space="0" w:color="auto"/>
              <w:right w:val="single" w:sz="4" w:space="0" w:color="auto"/>
            </w:tcBorders>
          </w:tcPr>
          <w:p w:rsidR="00E73655" w:rsidRPr="00767E3C" w:rsidRDefault="00E73655" w:rsidP="00F3698C">
            <w:pPr>
              <w:widowControl w:val="0"/>
              <w:rPr>
                <w:rFonts w:ascii="Arial" w:hAnsi="Arial" w:cs="Arial"/>
              </w:rPr>
            </w:pPr>
            <w:r w:rsidRPr="00767E3C">
              <w:rPr>
                <w:rFonts w:ascii="Arial" w:hAnsi="Arial" w:cs="Arial"/>
              </w:rPr>
              <w:t xml:space="preserve">The </w:t>
            </w:r>
            <w:r w:rsidR="000F3F95" w:rsidRPr="000F3F95">
              <w:rPr>
                <w:rFonts w:ascii="Arial" w:hAnsi="Arial" w:cs="Arial"/>
              </w:rPr>
              <w:t>PBAC recommended amending the current PBS listings for dasatinib for use in first-line treatment of chronic myeloid leukaemia by changing the benefit type from Authority Required (Written) to Authority Required (Telephone) for second continuing and subsequent treatment applications.</w:t>
            </w:r>
          </w:p>
        </w:tc>
      </w:tr>
      <w:tr w:rsidR="00940BA5"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Default="00940BA5" w:rsidP="00A02865">
            <w:pPr>
              <w:rPr>
                <w:rFonts w:ascii="Arial" w:hAnsi="Arial" w:cs="Arial"/>
                <w:bCs/>
                <w:color w:val="000000"/>
              </w:rPr>
            </w:pPr>
            <w:r w:rsidRPr="005D1C1E">
              <w:rPr>
                <w:rFonts w:ascii="Arial" w:hAnsi="Arial" w:cs="Arial"/>
                <w:bCs/>
                <w:color w:val="000000"/>
              </w:rPr>
              <w:t>DENOSUMAB</w:t>
            </w:r>
            <w:r w:rsidRPr="005D1C1E">
              <w:rPr>
                <w:rFonts w:ascii="Arial" w:hAnsi="Arial" w:cs="Arial"/>
                <w:bCs/>
                <w:color w:val="000000"/>
              </w:rPr>
              <w:br/>
            </w:r>
            <w:r w:rsidRPr="005D1C1E">
              <w:rPr>
                <w:rFonts w:ascii="Arial" w:hAnsi="Arial" w:cs="Arial"/>
                <w:bCs/>
                <w:color w:val="000000"/>
              </w:rPr>
              <w:br/>
              <w:t>60 mg/mL injection, 1 x 1 mL syringe</w:t>
            </w:r>
            <w:r w:rsidRPr="005D1C1E">
              <w:rPr>
                <w:rFonts w:ascii="Arial" w:hAnsi="Arial" w:cs="Arial"/>
                <w:bCs/>
                <w:color w:val="000000"/>
              </w:rPr>
              <w:br/>
            </w:r>
            <w:r w:rsidRPr="005D1C1E">
              <w:rPr>
                <w:rFonts w:ascii="Arial" w:hAnsi="Arial" w:cs="Arial"/>
                <w:bCs/>
                <w:color w:val="000000"/>
              </w:rPr>
              <w:br/>
              <w:t>Prolia</w:t>
            </w:r>
            <w:r w:rsidRPr="001F20BD">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Amgen Australia Pty Ltd</w:t>
            </w:r>
          </w:p>
          <w:p w:rsidR="0002265A" w:rsidRDefault="0002265A" w:rsidP="00A02865">
            <w:pPr>
              <w:rPr>
                <w:rFonts w:ascii="Arial" w:hAnsi="Arial" w:cs="Arial"/>
              </w:rPr>
            </w:pPr>
          </w:p>
          <w:p w:rsidR="00940BA5" w:rsidRPr="001A37EB" w:rsidRDefault="0002265A" w:rsidP="00A02865">
            <w:pPr>
              <w:rPr>
                <w:rFonts w:ascii="Arial" w:hAnsi="Arial" w:cs="Arial"/>
              </w:rPr>
            </w:pPr>
            <w:r w:rsidRPr="005D1C1E">
              <w:rPr>
                <w:rFonts w:ascii="Arial" w:hAnsi="Arial" w:cs="Arial"/>
                <w:bCs/>
                <w:color w:val="000000"/>
              </w:rPr>
              <w:t>Change to listing</w:t>
            </w:r>
            <w:r w:rsidRPr="005D1C1E">
              <w:rPr>
                <w:rFonts w:ascii="Arial" w:hAnsi="Arial" w:cs="Arial"/>
                <w:bCs/>
                <w:color w:val="000000"/>
              </w:rPr>
              <w:br/>
            </w:r>
            <w:r w:rsidRPr="005D1C1E">
              <w:rPr>
                <w:rFonts w:ascii="Arial" w:hAnsi="Arial" w:cs="Arial"/>
                <w:bCs/>
                <w:color w:val="000000"/>
              </w:rPr>
              <w:b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940BA5" w:rsidP="00940BA5">
            <w:pPr>
              <w:rPr>
                <w:rFonts w:ascii="Arial" w:hAnsi="Arial" w:cs="Arial"/>
                <w:color w:val="000000"/>
              </w:rPr>
            </w:pPr>
            <w:r w:rsidRPr="005D1C1E">
              <w:rPr>
                <w:rFonts w:ascii="Arial" w:hAnsi="Arial" w:cs="Arial"/>
                <w:bCs/>
                <w:color w:val="000000"/>
              </w:rPr>
              <w:t>Osteoporosis</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940BA5" w:rsidP="00940BA5">
            <w:pPr>
              <w:rPr>
                <w:rFonts w:ascii="Arial" w:hAnsi="Arial" w:cs="Arial"/>
                <w:color w:val="000000"/>
              </w:rPr>
            </w:pPr>
            <w:r w:rsidRPr="005D1C1E">
              <w:rPr>
                <w:rFonts w:ascii="Arial" w:hAnsi="Arial" w:cs="Arial"/>
                <w:bCs/>
                <w:color w:val="000000"/>
              </w:rPr>
              <w:t>Reques</w:t>
            </w:r>
            <w:r w:rsidRPr="001A37EB">
              <w:rPr>
                <w:rFonts w:ascii="Arial" w:hAnsi="Arial" w:cs="Arial"/>
                <w:bCs/>
                <w:color w:val="000000"/>
              </w:rPr>
              <w:t>t to change the current listing</w:t>
            </w:r>
            <w:r w:rsidRPr="005D1C1E">
              <w:rPr>
                <w:rFonts w:ascii="Arial" w:hAnsi="Arial" w:cs="Arial"/>
                <w:bCs/>
                <w:color w:val="000000"/>
              </w:rPr>
              <w:t xml:space="preserve"> for the treatment of osteoporosis to allow prescribing by Nurse Practitioners for initiation of therapy.</w:t>
            </w:r>
            <w:r w:rsidRPr="00767E3C">
              <w:rPr>
                <w:rFonts w:ascii="Arial" w:hAnsi="Arial" w:cs="Arial"/>
                <w:color w:val="000000"/>
              </w:rPr>
              <w:t xml:space="preserve"> </w:t>
            </w:r>
          </w:p>
        </w:tc>
        <w:tc>
          <w:tcPr>
            <w:tcW w:w="5562" w:type="dxa"/>
            <w:tcBorders>
              <w:top w:val="single" w:sz="4" w:space="0" w:color="auto"/>
              <w:left w:val="single" w:sz="4" w:space="0" w:color="auto"/>
              <w:bottom w:val="single" w:sz="4" w:space="0" w:color="auto"/>
              <w:right w:val="single" w:sz="4" w:space="0" w:color="auto"/>
            </w:tcBorders>
          </w:tcPr>
          <w:p w:rsidR="00911F29" w:rsidRPr="00CC0F50" w:rsidRDefault="00911F29" w:rsidP="00F3698C">
            <w:pPr>
              <w:widowControl w:val="0"/>
              <w:rPr>
                <w:rFonts w:ascii="Arial" w:hAnsi="Arial" w:cs="Arial"/>
                <w:snapToGrid w:val="0"/>
                <w:sz w:val="22"/>
                <w:highlight w:val="yellow"/>
              </w:rPr>
            </w:pPr>
            <w:r w:rsidRPr="00911F29">
              <w:rPr>
                <w:rFonts w:ascii="Arial" w:hAnsi="Arial" w:cs="Arial"/>
              </w:rPr>
              <w:t>The PBAC recommended a change to the PBS listing for denosumab to allow initiation of treatment of osteoporosis by nurse practitioners, aligning with the prescriber types approved for the PBS prescribing of other treatments for osteoporosis including bisphosphonates and raloxifene.</w:t>
            </w:r>
            <w:r w:rsidRPr="00CC0F50">
              <w:rPr>
                <w:rFonts w:ascii="Arial" w:hAnsi="Arial" w:cs="Arial"/>
                <w:bCs/>
                <w:snapToGrid w:val="0"/>
                <w:sz w:val="22"/>
                <w:lang w:val="en-GB"/>
              </w:rPr>
              <w:t xml:space="preserve"> </w:t>
            </w:r>
          </w:p>
          <w:p w:rsidR="00940BA5" w:rsidRPr="00767E3C" w:rsidRDefault="00940BA5" w:rsidP="0045555E">
            <w:pPr>
              <w:rPr>
                <w:rFonts w:ascii="Arial" w:hAnsi="Arial" w:cs="Arial"/>
              </w:rPr>
            </w:pPr>
          </w:p>
        </w:tc>
      </w:tr>
      <w:tr w:rsidR="00940BA5" w:rsidRPr="00767E3C" w:rsidTr="001F20BD">
        <w:trPr>
          <w:trHeight w:val="2629"/>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1A37EB" w:rsidRDefault="0002265A" w:rsidP="0002265A">
            <w:pPr>
              <w:rPr>
                <w:rFonts w:ascii="Arial" w:hAnsi="Arial" w:cs="Arial"/>
              </w:rPr>
            </w:pPr>
            <w:r w:rsidRPr="001A37EB">
              <w:rPr>
                <w:rFonts w:ascii="Arial" w:hAnsi="Arial" w:cs="Arial"/>
              </w:rPr>
              <w:lastRenderedPageBreak/>
              <w:t xml:space="preserve">DENOSUMAB </w:t>
            </w:r>
          </w:p>
          <w:p w:rsidR="0002265A" w:rsidRPr="001A37EB" w:rsidRDefault="0002265A" w:rsidP="0002265A">
            <w:pPr>
              <w:rPr>
                <w:rFonts w:ascii="Arial" w:hAnsi="Arial" w:cs="Arial"/>
              </w:rPr>
            </w:pPr>
          </w:p>
          <w:p w:rsidR="0002265A" w:rsidRPr="001A37EB" w:rsidRDefault="0002265A" w:rsidP="0002265A">
            <w:pPr>
              <w:rPr>
                <w:rFonts w:ascii="Arial" w:hAnsi="Arial" w:cs="Arial"/>
              </w:rPr>
            </w:pPr>
            <w:r w:rsidRPr="001A37EB">
              <w:rPr>
                <w:rFonts w:ascii="Arial" w:hAnsi="Arial" w:cs="Arial"/>
              </w:rPr>
              <w:t xml:space="preserve">120 mg/1.7 mL injection, 1 x 1.7 mL vial </w:t>
            </w:r>
          </w:p>
          <w:p w:rsidR="0002265A" w:rsidRPr="001A37EB" w:rsidRDefault="0002265A" w:rsidP="0002265A">
            <w:pPr>
              <w:rPr>
                <w:rFonts w:ascii="Arial" w:hAnsi="Arial" w:cs="Arial"/>
              </w:rPr>
            </w:pPr>
          </w:p>
          <w:p w:rsidR="0002265A" w:rsidRPr="001A37EB" w:rsidRDefault="0002265A" w:rsidP="0002265A">
            <w:pPr>
              <w:rPr>
                <w:rFonts w:ascii="Arial" w:hAnsi="Arial" w:cs="Arial"/>
              </w:rPr>
            </w:pPr>
            <w:r w:rsidRPr="001A37EB">
              <w:rPr>
                <w:rFonts w:ascii="Arial" w:hAnsi="Arial" w:cs="Arial"/>
              </w:rPr>
              <w:t>Xgeva</w:t>
            </w:r>
            <w:r w:rsidRPr="001F20BD">
              <w:rPr>
                <w:rFonts w:ascii="Arial" w:hAnsi="Arial" w:cs="Arial"/>
                <w:vertAlign w:val="superscript"/>
              </w:rPr>
              <w:t xml:space="preserve">® </w:t>
            </w:r>
          </w:p>
          <w:p w:rsidR="0002265A" w:rsidRPr="001A37EB" w:rsidRDefault="0002265A" w:rsidP="0002265A">
            <w:pPr>
              <w:rPr>
                <w:rFonts w:ascii="Arial" w:hAnsi="Arial" w:cs="Arial"/>
              </w:rPr>
            </w:pPr>
          </w:p>
          <w:p w:rsidR="0002265A" w:rsidRDefault="0002265A" w:rsidP="0002265A">
            <w:pPr>
              <w:rPr>
                <w:rFonts w:ascii="Arial" w:hAnsi="Arial" w:cs="Arial"/>
                <w:bCs/>
              </w:rPr>
            </w:pPr>
            <w:r w:rsidRPr="001A37EB">
              <w:rPr>
                <w:rFonts w:ascii="Arial" w:hAnsi="Arial" w:cs="Arial"/>
              </w:rPr>
              <w:t>Amgen Australia Pty Ltd</w:t>
            </w:r>
            <w:r w:rsidRPr="00767E3C">
              <w:rPr>
                <w:rFonts w:ascii="Arial" w:hAnsi="Arial" w:cs="Arial"/>
                <w:bCs/>
              </w:rPr>
              <w:t xml:space="preserve"> </w:t>
            </w:r>
          </w:p>
          <w:p w:rsidR="001F20BD" w:rsidRDefault="001F20BD" w:rsidP="0002265A">
            <w:pPr>
              <w:rPr>
                <w:rFonts w:ascii="Arial" w:hAnsi="Arial" w:cs="Arial"/>
                <w:bCs/>
              </w:rPr>
            </w:pPr>
          </w:p>
          <w:p w:rsidR="0002265A" w:rsidRPr="001A37EB" w:rsidRDefault="0002265A" w:rsidP="0002265A">
            <w:pPr>
              <w:rPr>
                <w:rFonts w:ascii="Arial" w:hAnsi="Arial" w:cs="Arial"/>
              </w:rPr>
            </w:pPr>
            <w:r w:rsidRPr="001A37EB">
              <w:rPr>
                <w:rFonts w:ascii="Arial" w:hAnsi="Arial" w:cs="Arial"/>
              </w:rPr>
              <w:t xml:space="preserve">Change to listing </w:t>
            </w:r>
          </w:p>
          <w:p w:rsidR="0002265A" w:rsidRPr="001A37EB" w:rsidRDefault="0002265A" w:rsidP="0002265A">
            <w:pPr>
              <w:rPr>
                <w:rFonts w:ascii="Arial" w:hAnsi="Arial" w:cs="Arial"/>
              </w:rPr>
            </w:pPr>
          </w:p>
          <w:p w:rsidR="00940BA5" w:rsidRPr="00767E3C" w:rsidRDefault="0002265A" w:rsidP="0002265A">
            <w:pPr>
              <w:rPr>
                <w:rFonts w:ascii="Arial" w:hAnsi="Arial" w:cs="Arial"/>
              </w:rPr>
            </w:pPr>
            <w:r w:rsidRPr="001A37EB">
              <w:rPr>
                <w:rFonts w:ascii="Arial" w:hAnsi="Arial" w:cs="Arial"/>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02265A" w:rsidP="0002265A">
            <w:pPr>
              <w:rPr>
                <w:rFonts w:ascii="Arial" w:hAnsi="Arial" w:cs="Arial"/>
              </w:rPr>
            </w:pPr>
            <w:r w:rsidRPr="001A37EB">
              <w:rPr>
                <w:rFonts w:ascii="Arial" w:hAnsi="Arial" w:cs="Arial"/>
              </w:rPr>
              <w:t>Hypercalcaemia of malignancy</w:t>
            </w:r>
            <w:r w:rsidRPr="00767E3C">
              <w:rPr>
                <w:rFonts w:ascii="Arial" w:hAnsi="Arial" w:cs="Arial"/>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02265A" w:rsidP="009A1758">
            <w:pPr>
              <w:pStyle w:val="ListParagraph"/>
              <w:keepNext/>
              <w:ind w:left="0"/>
              <w:rPr>
                <w:rFonts w:ascii="Arial" w:hAnsi="Arial" w:cs="Arial"/>
              </w:rPr>
            </w:pPr>
            <w:r w:rsidRPr="0002265A">
              <w:rPr>
                <w:rFonts w:ascii="Arial" w:eastAsia="Times New Roman" w:hAnsi="Arial" w:cs="Arial"/>
                <w:bCs/>
                <w:color w:val="000000"/>
                <w:sz w:val="20"/>
                <w:szCs w:val="20"/>
              </w:rPr>
              <w:t>Resubmission for an Authority Required (STREAMLINED) listing for the treatment of hypercalcaemia of malignancy which is refractory to intravenous biphosphonate therapy.</w:t>
            </w:r>
          </w:p>
        </w:tc>
        <w:tc>
          <w:tcPr>
            <w:tcW w:w="5562" w:type="dxa"/>
            <w:tcBorders>
              <w:top w:val="single" w:sz="4" w:space="0" w:color="auto"/>
              <w:left w:val="single" w:sz="4" w:space="0" w:color="auto"/>
              <w:bottom w:val="single" w:sz="4" w:space="0" w:color="auto"/>
              <w:right w:val="single" w:sz="4" w:space="0" w:color="auto"/>
            </w:tcBorders>
          </w:tcPr>
          <w:p w:rsidR="007E63E3" w:rsidRPr="007E63E3" w:rsidRDefault="007E63E3" w:rsidP="007E63E3">
            <w:pPr>
              <w:rPr>
                <w:rFonts w:ascii="Arial" w:hAnsi="Arial" w:cs="Arial"/>
              </w:rPr>
            </w:pPr>
            <w:r w:rsidRPr="007E63E3">
              <w:rPr>
                <w:rFonts w:ascii="Arial" w:hAnsi="Arial" w:cs="Arial"/>
              </w:rPr>
              <w:t>The PBAC recommended the Authority Required (</w:t>
            </w:r>
            <w:r w:rsidRPr="001F20BD">
              <w:rPr>
                <w:rFonts w:ascii="Arial" w:hAnsi="Arial" w:cs="Arial"/>
                <w:caps/>
              </w:rPr>
              <w:t>Streamlined)</w:t>
            </w:r>
            <w:r w:rsidRPr="007E63E3">
              <w:rPr>
                <w:rFonts w:ascii="Arial" w:hAnsi="Arial" w:cs="Arial"/>
              </w:rPr>
              <w:t xml:space="preserve"> listing of denosumab</w:t>
            </w:r>
            <w:r w:rsidR="001F20BD">
              <w:rPr>
                <w:rFonts w:ascii="Arial" w:hAnsi="Arial" w:cs="Arial"/>
              </w:rPr>
              <w:t xml:space="preserve"> for the treatment of hypercalcaemia of malignancy</w:t>
            </w:r>
            <w:r w:rsidRPr="007E63E3">
              <w:rPr>
                <w:rFonts w:ascii="Arial" w:hAnsi="Arial" w:cs="Arial"/>
              </w:rPr>
              <w:t>, on a cost mini</w:t>
            </w:r>
            <w:r w:rsidR="001F20BD">
              <w:rPr>
                <w:rFonts w:ascii="Arial" w:hAnsi="Arial" w:cs="Arial"/>
              </w:rPr>
              <w:t xml:space="preserve">misation basis to pamidronate. </w:t>
            </w:r>
            <w:r w:rsidRPr="007E63E3">
              <w:rPr>
                <w:rFonts w:ascii="Arial" w:hAnsi="Arial" w:cs="Arial"/>
              </w:rPr>
              <w:t>The equi-effectiv</w:t>
            </w:r>
            <w:r w:rsidR="001F20BD">
              <w:rPr>
                <w:rFonts w:ascii="Arial" w:hAnsi="Arial" w:cs="Arial"/>
              </w:rPr>
              <w:t>e dose was considered to be 5 subcutaneous</w:t>
            </w:r>
            <w:r w:rsidRPr="007E63E3">
              <w:rPr>
                <w:rFonts w:ascii="Arial" w:hAnsi="Arial" w:cs="Arial"/>
              </w:rPr>
              <w:t xml:space="preserve"> injections of 120 mg denosumab to one 90 mg infusion of pamidronate. The PBAC considered that the clinical place for denosumab was in malignancy refractory to anti</w:t>
            </w:r>
            <w:r w:rsidR="001F20BD">
              <w:rPr>
                <w:rFonts w:ascii="Arial" w:hAnsi="Arial" w:cs="Arial"/>
              </w:rPr>
              <w:t>-</w:t>
            </w:r>
            <w:r w:rsidRPr="007E63E3">
              <w:rPr>
                <w:rFonts w:ascii="Arial" w:hAnsi="Arial" w:cs="Arial"/>
              </w:rPr>
              <w:t xml:space="preserve">neoplastic therapy and refractory to bisphosphonates. Data were not provided to show that </w:t>
            </w:r>
            <w:r w:rsidR="00737F8D">
              <w:rPr>
                <w:rFonts w:ascii="Arial" w:hAnsi="Arial" w:cs="Arial"/>
              </w:rPr>
              <w:t>d</w:t>
            </w:r>
            <w:r w:rsidRPr="007E63E3">
              <w:rPr>
                <w:rFonts w:ascii="Arial" w:hAnsi="Arial" w:cs="Arial"/>
              </w:rPr>
              <w:t>enosumab was superior to pamidronate nor non-inferior to zoledronic acid.</w:t>
            </w:r>
          </w:p>
          <w:p w:rsidR="00940BA5" w:rsidRPr="00767E3C" w:rsidRDefault="00940BA5" w:rsidP="00472215">
            <w:pPr>
              <w:rPr>
                <w:rFonts w:ascii="Arial" w:hAnsi="Arial" w:cs="Arial"/>
              </w:rPr>
            </w:pPr>
          </w:p>
        </w:tc>
      </w:tr>
      <w:tr w:rsidR="00940BA5"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Default="0002265A" w:rsidP="0002265A">
            <w:pPr>
              <w:rPr>
                <w:rFonts w:ascii="Arial" w:hAnsi="Arial" w:cs="Arial"/>
                <w:bCs/>
                <w:color w:val="000000"/>
              </w:rPr>
            </w:pPr>
            <w:r w:rsidRPr="005D1C1E">
              <w:rPr>
                <w:rFonts w:ascii="Arial" w:hAnsi="Arial" w:cs="Arial"/>
                <w:bCs/>
                <w:color w:val="000000"/>
              </w:rPr>
              <w:t>DIMETHYL FUMARATE</w:t>
            </w:r>
            <w:r w:rsidRPr="005D1C1E">
              <w:rPr>
                <w:rFonts w:ascii="Arial" w:hAnsi="Arial" w:cs="Arial"/>
                <w:bCs/>
                <w:color w:val="000000"/>
              </w:rPr>
              <w:br/>
            </w:r>
            <w:r w:rsidRPr="005D1C1E">
              <w:rPr>
                <w:rFonts w:ascii="Arial" w:hAnsi="Arial" w:cs="Arial"/>
                <w:bCs/>
                <w:color w:val="000000"/>
              </w:rPr>
              <w:br/>
              <w:t>120 mg capsules</w:t>
            </w:r>
            <w:r w:rsidRPr="005D1C1E">
              <w:rPr>
                <w:rFonts w:ascii="Arial" w:hAnsi="Arial" w:cs="Arial"/>
                <w:bCs/>
                <w:color w:val="000000"/>
              </w:rPr>
              <w:br/>
            </w:r>
            <w:r w:rsidRPr="005D1C1E">
              <w:rPr>
                <w:rFonts w:ascii="Arial" w:hAnsi="Arial" w:cs="Arial"/>
                <w:bCs/>
                <w:color w:val="000000"/>
              </w:rPr>
              <w:br/>
              <w:t>Tecfidera®</w:t>
            </w:r>
            <w:r w:rsidRPr="005D1C1E">
              <w:rPr>
                <w:rFonts w:ascii="Arial" w:hAnsi="Arial" w:cs="Arial"/>
                <w:bCs/>
                <w:color w:val="000000"/>
              </w:rPr>
              <w:br/>
            </w:r>
            <w:r w:rsidRPr="005D1C1E">
              <w:rPr>
                <w:rFonts w:ascii="Arial" w:hAnsi="Arial" w:cs="Arial"/>
                <w:bCs/>
                <w:color w:val="000000"/>
              </w:rPr>
              <w:br/>
              <w:t>Biogen Australia Pty Ltd</w:t>
            </w:r>
          </w:p>
          <w:p w:rsidR="0002265A" w:rsidRDefault="0002265A" w:rsidP="0002265A">
            <w:pPr>
              <w:rPr>
                <w:rFonts w:ascii="Arial" w:hAnsi="Arial" w:cs="Arial"/>
                <w:bCs/>
                <w:color w:val="000000"/>
              </w:rPr>
            </w:pPr>
          </w:p>
          <w:p w:rsidR="0002265A" w:rsidRPr="00767E3C" w:rsidRDefault="0002265A" w:rsidP="0002265A">
            <w:pPr>
              <w:rPr>
                <w:rFonts w:ascii="Arial" w:hAnsi="Arial" w:cs="Arial"/>
                <w:color w:val="000000"/>
              </w:rPr>
            </w:pPr>
            <w:r w:rsidRPr="005D1C1E">
              <w:rPr>
                <w:rFonts w:ascii="Arial" w:hAnsi="Arial" w:cs="Arial"/>
                <w:bCs/>
                <w:color w:val="000000"/>
              </w:rPr>
              <w:t>Change to listing</w:t>
            </w:r>
            <w:r w:rsidRPr="005D1C1E">
              <w:rPr>
                <w:rFonts w:ascii="Arial" w:hAnsi="Arial" w:cs="Arial"/>
                <w:bCs/>
                <w:color w:val="000000"/>
              </w:rPr>
              <w:br/>
            </w:r>
            <w:r w:rsidRPr="005D1C1E">
              <w:rPr>
                <w:rFonts w:ascii="Arial" w:hAnsi="Arial" w:cs="Arial"/>
                <w:bCs/>
                <w:color w:val="000000"/>
              </w:rPr>
              <w:b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02265A" w:rsidP="009A1758">
            <w:pPr>
              <w:rPr>
                <w:rFonts w:ascii="Arial" w:hAnsi="Arial" w:cs="Arial"/>
                <w:color w:val="000000"/>
              </w:rPr>
            </w:pPr>
            <w:r w:rsidRPr="005D1C1E">
              <w:rPr>
                <w:rFonts w:ascii="Arial" w:hAnsi="Arial" w:cs="Arial"/>
                <w:bCs/>
                <w:color w:val="000000"/>
              </w:rPr>
              <w:t>Relapsing-remitting multiple sclerosis</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02265A" w:rsidP="009A1758">
            <w:pPr>
              <w:rPr>
                <w:rFonts w:ascii="Arial" w:hAnsi="Arial" w:cs="Arial"/>
                <w:color w:val="000000"/>
              </w:rPr>
            </w:pPr>
            <w:r w:rsidRPr="005D1C1E">
              <w:rPr>
                <w:rFonts w:ascii="Arial" w:hAnsi="Arial" w:cs="Arial"/>
                <w:bCs/>
                <w:color w:val="000000"/>
              </w:rPr>
              <w:t>Request amendment to the PBS maximum quantity of dimethyl fumarate 120 mg to allow flexibility in dose titration</w:t>
            </w:r>
            <w:r w:rsidRPr="001A37EB">
              <w:rPr>
                <w:rFonts w:ascii="Arial" w:hAnsi="Arial" w:cs="Arial"/>
                <w:bCs/>
                <w:color w:val="000000"/>
              </w:rPr>
              <w:t>.</w:t>
            </w:r>
          </w:p>
        </w:tc>
        <w:tc>
          <w:tcPr>
            <w:tcW w:w="5562" w:type="dxa"/>
            <w:tcBorders>
              <w:top w:val="single" w:sz="4" w:space="0" w:color="auto"/>
              <w:left w:val="single" w:sz="4" w:space="0" w:color="auto"/>
              <w:bottom w:val="single" w:sz="4" w:space="0" w:color="auto"/>
              <w:right w:val="single" w:sz="4" w:space="0" w:color="auto"/>
            </w:tcBorders>
          </w:tcPr>
          <w:p w:rsidR="00940BA5" w:rsidRPr="00767E3C" w:rsidRDefault="00640FDC" w:rsidP="001F20BD">
            <w:pPr>
              <w:rPr>
                <w:rFonts w:ascii="Arial" w:hAnsi="Arial" w:cs="Arial"/>
              </w:rPr>
            </w:pPr>
            <w:r w:rsidRPr="00640FDC">
              <w:rPr>
                <w:rFonts w:ascii="Arial" w:hAnsi="Arial" w:cs="Arial"/>
              </w:rPr>
              <w:t>The PBAC recommended increasing the maximum quantity of 120 mg dimethyl fumarate</w:t>
            </w:r>
            <w:r w:rsidR="001F20BD">
              <w:rPr>
                <w:rFonts w:ascii="Arial" w:hAnsi="Arial" w:cs="Arial"/>
              </w:rPr>
              <w:t xml:space="preserve"> </w:t>
            </w:r>
            <w:r w:rsidRPr="00640FDC">
              <w:rPr>
                <w:rFonts w:ascii="Arial" w:hAnsi="Arial" w:cs="Arial"/>
              </w:rPr>
              <w:t>tablets from one to two packs for both the initial and continuing dose titration periods. In making its recommendation, the PBAC considered that increasing the maximum quantity would simplify dose titration for patients and medical practitioners</w:t>
            </w:r>
            <w:r w:rsidR="001F20BD">
              <w:rPr>
                <w:rFonts w:ascii="Arial" w:hAnsi="Arial" w:cs="Arial"/>
              </w:rPr>
              <w:t xml:space="preserve">.  </w:t>
            </w:r>
          </w:p>
        </w:tc>
      </w:tr>
      <w:tr w:rsidR="00940BA5" w:rsidRPr="00767E3C" w:rsidTr="00193812">
        <w:trPr>
          <w:trHeight w:val="5391"/>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1A37EB" w:rsidRDefault="0002265A" w:rsidP="0002265A">
            <w:pPr>
              <w:rPr>
                <w:rFonts w:ascii="Arial" w:hAnsi="Arial" w:cs="Arial"/>
                <w:bCs/>
                <w:color w:val="000000"/>
              </w:rPr>
            </w:pPr>
            <w:r w:rsidRPr="001A37EB">
              <w:rPr>
                <w:rFonts w:ascii="Arial" w:hAnsi="Arial" w:cs="Arial"/>
                <w:bCs/>
                <w:color w:val="000000"/>
              </w:rPr>
              <w:lastRenderedPageBreak/>
              <w:t>dTpa VACCINE</w:t>
            </w:r>
            <w:r w:rsidRPr="001A37EB">
              <w:rPr>
                <w:rFonts w:ascii="Arial" w:hAnsi="Arial" w:cs="Arial"/>
                <w:bCs/>
                <w:color w:val="000000"/>
              </w:rPr>
              <w:br/>
            </w:r>
          </w:p>
          <w:p w:rsidR="0002265A" w:rsidRDefault="0002265A" w:rsidP="0002265A">
            <w:pPr>
              <w:rPr>
                <w:rFonts w:ascii="Arial" w:hAnsi="Arial" w:cs="Arial"/>
                <w:bCs/>
                <w:color w:val="000000"/>
              </w:rPr>
            </w:pPr>
            <w:r w:rsidRPr="005D1C1E">
              <w:rPr>
                <w:rFonts w:ascii="Arial" w:hAnsi="Arial" w:cs="Arial"/>
                <w:bCs/>
                <w:color w:val="000000"/>
              </w:rPr>
              <w:t>0.5 mL injection</w:t>
            </w:r>
            <w:r w:rsidRPr="005D1C1E">
              <w:rPr>
                <w:rFonts w:ascii="Arial" w:hAnsi="Arial" w:cs="Arial"/>
                <w:bCs/>
                <w:color w:val="000000"/>
              </w:rPr>
              <w:br/>
            </w:r>
            <w:r w:rsidRPr="005D1C1E">
              <w:rPr>
                <w:rFonts w:ascii="Arial" w:hAnsi="Arial" w:cs="Arial"/>
                <w:bCs/>
                <w:color w:val="000000"/>
              </w:rPr>
              <w:br/>
              <w:t>Boost</w:t>
            </w:r>
            <w:r w:rsidR="00DB6FE6">
              <w:rPr>
                <w:rFonts w:ascii="Arial" w:hAnsi="Arial" w:cs="Arial"/>
                <w:bCs/>
                <w:color w:val="000000"/>
              </w:rPr>
              <w:t>r</w:t>
            </w:r>
            <w:r w:rsidRPr="005D1C1E">
              <w:rPr>
                <w:rFonts w:ascii="Arial" w:hAnsi="Arial" w:cs="Arial"/>
                <w:bCs/>
                <w:color w:val="000000"/>
              </w:rPr>
              <w:t>ix</w:t>
            </w:r>
            <w:r w:rsidRPr="001F20BD">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 xml:space="preserve">GlaxoSmithKline Australia Pty Ltd </w:t>
            </w:r>
          </w:p>
          <w:p w:rsidR="0002265A" w:rsidRDefault="0002265A" w:rsidP="0002265A">
            <w:pPr>
              <w:rPr>
                <w:rFonts w:ascii="Arial" w:hAnsi="Arial" w:cs="Arial"/>
                <w:bCs/>
                <w:color w:val="000000"/>
              </w:rPr>
            </w:pPr>
          </w:p>
          <w:p w:rsidR="00940BA5" w:rsidRPr="00767E3C" w:rsidRDefault="0002265A" w:rsidP="0002265A">
            <w:pPr>
              <w:rPr>
                <w:rFonts w:ascii="Arial" w:hAnsi="Arial" w:cs="Arial"/>
                <w:color w:val="000000"/>
              </w:rPr>
            </w:pPr>
            <w:r w:rsidRPr="005D1C1E">
              <w:rPr>
                <w:rFonts w:ascii="Arial" w:hAnsi="Arial" w:cs="Arial"/>
                <w:bCs/>
                <w:color w:val="000000"/>
              </w:rPr>
              <w:t>Change to listing</w:t>
            </w:r>
            <w:r w:rsidRPr="005D1C1E">
              <w:rPr>
                <w:rFonts w:ascii="Arial" w:hAnsi="Arial" w:cs="Arial"/>
                <w:bCs/>
                <w:color w:val="000000"/>
              </w:rPr>
              <w:br/>
            </w:r>
            <w:r w:rsidRPr="005D1C1E">
              <w:rPr>
                <w:rFonts w:ascii="Arial" w:hAnsi="Arial" w:cs="Arial"/>
                <w:bCs/>
                <w:color w:val="000000"/>
              </w:rPr>
              <w:b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02265A" w:rsidP="0002265A">
            <w:pPr>
              <w:rPr>
                <w:rFonts w:ascii="Arial" w:hAnsi="Arial" w:cs="Arial"/>
                <w:color w:val="000000"/>
              </w:rPr>
            </w:pPr>
            <w:r w:rsidRPr="005D1C1E">
              <w:rPr>
                <w:rFonts w:ascii="Arial" w:hAnsi="Arial" w:cs="Arial"/>
                <w:bCs/>
                <w:color w:val="000000"/>
              </w:rPr>
              <w:t>Prevention of pertussis</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02265A" w:rsidP="009A1758">
            <w:pPr>
              <w:rPr>
                <w:rFonts w:ascii="Arial" w:hAnsi="Arial" w:cs="Arial"/>
                <w:color w:val="000000"/>
              </w:rPr>
            </w:pPr>
            <w:r w:rsidRPr="005D1C1E">
              <w:rPr>
                <w:rFonts w:ascii="Arial" w:hAnsi="Arial" w:cs="Arial"/>
                <w:bCs/>
                <w:color w:val="000000"/>
              </w:rPr>
              <w:t>Nati</w:t>
            </w:r>
            <w:r w:rsidRPr="001A37EB">
              <w:rPr>
                <w:rFonts w:ascii="Arial" w:hAnsi="Arial" w:cs="Arial"/>
                <w:bCs/>
                <w:color w:val="000000"/>
              </w:rPr>
              <w:t xml:space="preserve">onal Immunisation Program </w:t>
            </w:r>
            <w:r w:rsidRPr="005D1C1E">
              <w:rPr>
                <w:rFonts w:ascii="Arial" w:hAnsi="Arial" w:cs="Arial"/>
                <w:bCs/>
                <w:color w:val="000000"/>
              </w:rPr>
              <w:t>listing for maternal vaccination against pertussis (via vaccination of pregnant women, during third trimester of pregnancy).</w:t>
            </w:r>
          </w:p>
        </w:tc>
        <w:tc>
          <w:tcPr>
            <w:tcW w:w="5562" w:type="dxa"/>
            <w:tcBorders>
              <w:top w:val="single" w:sz="4" w:space="0" w:color="auto"/>
              <w:left w:val="single" w:sz="4" w:space="0" w:color="auto"/>
              <w:bottom w:val="single" w:sz="4" w:space="0" w:color="auto"/>
              <w:right w:val="single" w:sz="4" w:space="0" w:color="auto"/>
            </w:tcBorders>
          </w:tcPr>
          <w:p w:rsidR="00FE4788" w:rsidRPr="00FE4788" w:rsidRDefault="00FE4788" w:rsidP="00FE4788">
            <w:pPr>
              <w:rPr>
                <w:rFonts w:ascii="Arial" w:hAnsi="Arial" w:cs="Arial"/>
              </w:rPr>
            </w:pPr>
            <w:r w:rsidRPr="00FE4788">
              <w:rPr>
                <w:rFonts w:ascii="Arial" w:hAnsi="Arial" w:cs="Arial"/>
              </w:rPr>
              <w:t>The PBAC recommended a change to the circumstances under which combined diphtheria, tetanus and acellular pertussis (dTpa) vaccine is made available as a designated vaccine for the National Immunisation Program (NIP) to include vaccination of women during each pregnancy to reduce pertussis disease in infants (prior to being vaccinated) and in mothers on the basis of cost-effectiveness compared with no vaccination.</w:t>
            </w:r>
          </w:p>
          <w:p w:rsidR="00FE4788" w:rsidRPr="00FE4788" w:rsidRDefault="00FE4788" w:rsidP="00FE4788">
            <w:pPr>
              <w:rPr>
                <w:rFonts w:ascii="Arial" w:hAnsi="Arial" w:cs="Arial"/>
              </w:rPr>
            </w:pPr>
          </w:p>
          <w:p w:rsidR="00FE4788" w:rsidRPr="00FE4788" w:rsidRDefault="00FE4788" w:rsidP="00FE4788">
            <w:pPr>
              <w:rPr>
                <w:rFonts w:ascii="Arial" w:hAnsi="Arial" w:cs="Arial"/>
              </w:rPr>
            </w:pPr>
            <w:r w:rsidRPr="00FE4788">
              <w:rPr>
                <w:rFonts w:ascii="Arial" w:hAnsi="Arial" w:cs="Arial"/>
              </w:rPr>
              <w:t xml:space="preserve">The PBAC noted that the states and territories currently fund dTpa vaccination during pregnancy in line with the Australian Immunisation Handbook recommendation (section 4.12.7). The PBAC considered that the introduction of dTpa for pregnant women on the NIP is warranted from a public health perspective as an additional measure to directly target the group with the highest burden of disease (i.e. infants). </w:t>
            </w:r>
          </w:p>
          <w:p w:rsidR="00FE4788" w:rsidRPr="00FE4788" w:rsidRDefault="00FE4788" w:rsidP="00FE4788">
            <w:pPr>
              <w:rPr>
                <w:rFonts w:ascii="Arial" w:hAnsi="Arial" w:cs="Arial"/>
              </w:rPr>
            </w:pPr>
          </w:p>
          <w:p w:rsidR="00FE4788" w:rsidRPr="00FE4788" w:rsidRDefault="00FE4788" w:rsidP="00FE4788">
            <w:pPr>
              <w:rPr>
                <w:rFonts w:ascii="Arial" w:hAnsi="Arial" w:cs="Arial"/>
              </w:rPr>
            </w:pPr>
            <w:r w:rsidRPr="00FE4788">
              <w:rPr>
                <w:rFonts w:ascii="Arial" w:hAnsi="Arial" w:cs="Arial"/>
              </w:rPr>
              <w:t>The PBAC considered that vaccination of women during each pregnancy is likely to reduce pertussis disease in infants and mothers. The PBAC noted that</w:t>
            </w:r>
            <w:r w:rsidR="00737F8D">
              <w:rPr>
                <w:rFonts w:ascii="Arial" w:hAnsi="Arial" w:cs="Arial"/>
              </w:rPr>
              <w:t>,</w:t>
            </w:r>
            <w:r w:rsidRPr="00FE4788">
              <w:rPr>
                <w:rFonts w:ascii="Arial" w:hAnsi="Arial" w:cs="Arial"/>
              </w:rPr>
              <w:t xml:space="preserve"> based on the non-randomised observational data, maternal vaccination is estimated to reduce the number of cases of pertussis in infants aged less than three months by 91%. The PBAC considered that vaccination with dTpa is inferior in safety compared with no vaccination, particularly with regards to local injection site reactions. However, the PBAC accepted that the safety profile was acceptable, noting that dTpa vaccination during pregnancy has not been associated with an increased risk of maternal or infant events, such as still birth, maternal or neonatal death, preterm delivery, pre-eclampsia, post-partum haemorrhage or low birth weight.</w:t>
            </w:r>
          </w:p>
          <w:p w:rsidR="00FE4788" w:rsidRPr="00FE4788" w:rsidRDefault="00FE4788" w:rsidP="00FE4788">
            <w:pPr>
              <w:rPr>
                <w:rFonts w:ascii="Arial" w:hAnsi="Arial" w:cs="Arial"/>
              </w:rPr>
            </w:pPr>
          </w:p>
          <w:p w:rsidR="00940BA5" w:rsidRPr="00767E3C" w:rsidRDefault="00FE4788" w:rsidP="00FE4788">
            <w:pPr>
              <w:rPr>
                <w:rFonts w:ascii="Arial" w:hAnsi="Arial" w:cs="Arial"/>
              </w:rPr>
            </w:pPr>
            <w:r w:rsidRPr="00FE4788">
              <w:rPr>
                <w:rFonts w:ascii="Arial" w:hAnsi="Arial" w:cs="Arial"/>
              </w:rPr>
              <w:t xml:space="preserve">The PBAC considered that some assumptions included in the </w:t>
            </w:r>
            <w:r w:rsidR="001F20BD">
              <w:rPr>
                <w:rFonts w:ascii="Arial" w:hAnsi="Arial" w:cs="Arial"/>
              </w:rPr>
              <w:t xml:space="preserve">economic </w:t>
            </w:r>
            <w:r w:rsidRPr="00FE4788">
              <w:rPr>
                <w:rFonts w:ascii="Arial" w:hAnsi="Arial" w:cs="Arial"/>
              </w:rPr>
              <w:t xml:space="preserve">model presented in the submission were likely to have overestimated the cost-effectiveness of maternal </w:t>
            </w:r>
            <w:r w:rsidRPr="00FE4788">
              <w:rPr>
                <w:rFonts w:ascii="Arial" w:hAnsi="Arial" w:cs="Arial"/>
              </w:rPr>
              <w:lastRenderedPageBreak/>
              <w:t xml:space="preserve">dTpa vaccination whereas others may have underestimated the cost-effectiveness. However, on balance and in the context of the public health imperative to prevent severe infection in infancy, the PBAC accepted that the incremental cost effectiveness ratio was likely to be around $15,000 to $45,000 per </w:t>
            </w:r>
            <w:r w:rsidR="00F3698C">
              <w:rPr>
                <w:rFonts w:ascii="Arial" w:hAnsi="Arial" w:cs="Arial"/>
              </w:rPr>
              <w:t>Quality Adjusted Life Year (</w:t>
            </w:r>
            <w:r w:rsidRPr="00FE4788">
              <w:rPr>
                <w:rFonts w:ascii="Arial" w:hAnsi="Arial" w:cs="Arial"/>
              </w:rPr>
              <w:t>QALY</w:t>
            </w:r>
            <w:r w:rsidR="00F3698C">
              <w:rPr>
                <w:rFonts w:ascii="Arial" w:hAnsi="Arial" w:cs="Arial"/>
              </w:rPr>
              <w:t>)</w:t>
            </w:r>
            <w:r w:rsidR="006B7FB8">
              <w:rPr>
                <w:rFonts w:ascii="Arial" w:hAnsi="Arial" w:cs="Arial"/>
              </w:rPr>
              <w:t xml:space="preserve"> gained</w:t>
            </w:r>
            <w:r w:rsidRPr="00FE4788">
              <w:rPr>
                <w:rFonts w:ascii="Arial" w:hAnsi="Arial" w:cs="Arial"/>
              </w:rPr>
              <w:t>. The PBAC considered that it would be preferable to examine the pertussis vaccination schedule as a whole rather than limit the assessment to cost-effectiveness of each individual vaccination. In this regard, the PBAC noted that one of the primary aims of pertussis containing vaccines on the NIP is to prevent disease in vulnerable infants. Given that maternal vaccination provides direct protection to infants in the first few months of life, the PBAC considered that dTpa vaccination of pregnant women was likely to be reasonably cost-effective. However, the PBAC requested advice from ATAGI on the clinical place and effectiveness of the vaccines currently listed on the NIP schedule aimed at preventing pertussis disease, particularly in light of the inclusion of dTpa vaccination of pregnant women and recent inclusion of an 18 month vaccine dose, with a view to potentially informing a review of the cost effectiveness of these vaccines.</w:t>
            </w:r>
          </w:p>
        </w:tc>
      </w:tr>
      <w:tr w:rsidR="00940BA5" w:rsidRPr="00767E3C" w:rsidTr="001F20BD">
        <w:trPr>
          <w:trHeight w:val="4812"/>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02265A" w:rsidP="0002265A">
            <w:pPr>
              <w:rPr>
                <w:rFonts w:ascii="Arial" w:hAnsi="Arial" w:cs="Arial"/>
                <w:bCs/>
                <w:color w:val="000000"/>
              </w:rPr>
            </w:pPr>
            <w:r w:rsidRPr="005D1C1E">
              <w:rPr>
                <w:rFonts w:ascii="Arial" w:hAnsi="Arial" w:cs="Arial"/>
                <w:bCs/>
                <w:color w:val="000000"/>
              </w:rPr>
              <w:lastRenderedPageBreak/>
              <w:t>ETANERCEPT</w:t>
            </w:r>
            <w:r w:rsidRPr="005D1C1E">
              <w:rPr>
                <w:rFonts w:ascii="Arial" w:hAnsi="Arial" w:cs="Arial"/>
                <w:bCs/>
                <w:color w:val="000000"/>
              </w:rPr>
              <w:br/>
            </w:r>
            <w:r w:rsidRPr="005D1C1E">
              <w:rPr>
                <w:rFonts w:ascii="Arial" w:hAnsi="Arial" w:cs="Arial"/>
                <w:bCs/>
                <w:color w:val="000000"/>
              </w:rPr>
              <w:br/>
              <w:t>50 mg/mL injection, 1 mL pre-filled syringe, 4</w:t>
            </w:r>
            <w:r w:rsidRPr="005D1C1E">
              <w:rPr>
                <w:rFonts w:ascii="Arial" w:hAnsi="Arial" w:cs="Arial"/>
                <w:bCs/>
                <w:color w:val="000000"/>
              </w:rPr>
              <w:br/>
              <w:t>50 mg/mL injection, 1 mL auto-injector, 4</w:t>
            </w:r>
            <w:r w:rsidRPr="005D1C1E">
              <w:rPr>
                <w:rFonts w:ascii="Arial" w:hAnsi="Arial" w:cs="Arial"/>
                <w:bCs/>
                <w:color w:val="000000"/>
              </w:rPr>
              <w:br/>
            </w:r>
            <w:r w:rsidRPr="005D1C1E">
              <w:rPr>
                <w:rFonts w:ascii="Arial" w:hAnsi="Arial" w:cs="Arial"/>
                <w:bCs/>
                <w:color w:val="000000"/>
              </w:rPr>
              <w:br/>
              <w:t>Brenzys</w:t>
            </w:r>
            <w:r w:rsidRPr="001F20BD">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 xml:space="preserve">Merck Sharp and Dohme (Australia) Pty Limited </w:t>
            </w:r>
          </w:p>
          <w:p w:rsidR="0002265A" w:rsidRDefault="0002265A" w:rsidP="0002265A">
            <w:pPr>
              <w:rPr>
                <w:rFonts w:ascii="Arial" w:hAnsi="Arial" w:cs="Arial"/>
                <w:bCs/>
                <w:color w:val="000000"/>
              </w:rPr>
            </w:pPr>
          </w:p>
          <w:p w:rsidR="00940BA5" w:rsidRPr="00767E3C" w:rsidRDefault="0002265A" w:rsidP="0002265A">
            <w:pPr>
              <w:rPr>
                <w:rFonts w:ascii="Arial" w:hAnsi="Arial" w:cs="Arial"/>
                <w:color w:val="000000"/>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02265A" w:rsidP="00F3698C">
            <w:pPr>
              <w:rPr>
                <w:rFonts w:ascii="Arial" w:hAnsi="Arial" w:cs="Arial"/>
                <w:color w:val="000000"/>
              </w:rPr>
            </w:pPr>
            <w:r w:rsidRPr="005D1C1E">
              <w:rPr>
                <w:rFonts w:ascii="Arial" w:hAnsi="Arial" w:cs="Arial"/>
                <w:bCs/>
                <w:color w:val="000000"/>
              </w:rPr>
              <w:t>Rheumatoid arthritis;</w:t>
            </w:r>
            <w:r w:rsidRPr="005D1C1E">
              <w:rPr>
                <w:rFonts w:ascii="Arial" w:hAnsi="Arial" w:cs="Arial"/>
                <w:bCs/>
                <w:color w:val="000000"/>
              </w:rPr>
              <w:br/>
              <w:t>Psoriatic arthritis;</w:t>
            </w:r>
            <w:r w:rsidRPr="005D1C1E">
              <w:rPr>
                <w:rFonts w:ascii="Arial" w:hAnsi="Arial" w:cs="Arial"/>
                <w:bCs/>
                <w:color w:val="000000"/>
              </w:rPr>
              <w:br/>
              <w:t>Plaque psoriasis;</w:t>
            </w:r>
            <w:r w:rsidRPr="005D1C1E">
              <w:rPr>
                <w:rFonts w:ascii="Arial" w:hAnsi="Arial" w:cs="Arial"/>
                <w:bCs/>
                <w:color w:val="000000"/>
              </w:rPr>
              <w:br/>
              <w:t>Ankylosing spondylitis;</w:t>
            </w:r>
            <w:r w:rsidRPr="005D1C1E">
              <w:rPr>
                <w:rFonts w:ascii="Arial" w:hAnsi="Arial" w:cs="Arial"/>
                <w:bCs/>
                <w:color w:val="000000"/>
              </w:rPr>
              <w:br/>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940BA5" w:rsidRPr="00767E3C" w:rsidRDefault="0002265A" w:rsidP="00F3698C">
            <w:pPr>
              <w:rPr>
                <w:rFonts w:ascii="Arial" w:hAnsi="Arial" w:cs="Arial"/>
                <w:color w:val="000000"/>
              </w:rPr>
            </w:pPr>
            <w:r>
              <w:rPr>
                <w:rFonts w:ascii="Arial" w:hAnsi="Arial" w:cs="Arial"/>
                <w:bCs/>
                <w:color w:val="000000"/>
              </w:rPr>
              <w:t xml:space="preserve">To request listing of </w:t>
            </w:r>
            <w:r w:rsidRPr="005D1C1E">
              <w:rPr>
                <w:rFonts w:ascii="Arial" w:hAnsi="Arial" w:cs="Arial"/>
                <w:bCs/>
                <w:color w:val="000000"/>
              </w:rPr>
              <w:t>Brenzys</w:t>
            </w:r>
            <w:r w:rsidRPr="00F3698C">
              <w:rPr>
                <w:rFonts w:ascii="Arial" w:hAnsi="Arial" w:cs="Arial"/>
                <w:bCs/>
                <w:color w:val="000000"/>
                <w:vertAlign w:val="superscript"/>
              </w:rPr>
              <w:t>®</w:t>
            </w:r>
            <w:r>
              <w:rPr>
                <w:rFonts w:ascii="Arial" w:hAnsi="Arial" w:cs="Arial"/>
                <w:bCs/>
                <w:color w:val="000000"/>
              </w:rPr>
              <w:t xml:space="preserve"> (etanercept), a similar biological medicinal product, with the same indications and restrictions as the currently PBS listed brand of etanercept (Enbrel), including the Authority Required listing for rheumatoid arthritis, psoriatic arthritis, plaque psoriasis,</w:t>
            </w:r>
            <w:r w:rsidR="00F3698C">
              <w:rPr>
                <w:rFonts w:ascii="Arial" w:hAnsi="Arial" w:cs="Arial"/>
                <w:bCs/>
                <w:color w:val="000000"/>
              </w:rPr>
              <w:t xml:space="preserve"> and</w:t>
            </w:r>
            <w:r>
              <w:rPr>
                <w:rFonts w:ascii="Arial" w:hAnsi="Arial" w:cs="Arial"/>
                <w:bCs/>
                <w:color w:val="000000"/>
              </w:rPr>
              <w:t xml:space="preserve"> ankylosing spondylitis</w:t>
            </w:r>
            <w:r w:rsidR="00F3698C">
              <w:rPr>
                <w:rFonts w:ascii="Arial" w:hAnsi="Arial" w:cs="Arial"/>
                <w:bCs/>
                <w:color w:val="000000"/>
              </w:rPr>
              <w:t>.</w:t>
            </w:r>
            <w:r w:rsidRPr="005D1C1E">
              <w:rPr>
                <w:rFonts w:ascii="Arial" w:hAnsi="Arial" w:cs="Arial"/>
                <w:bCs/>
                <w:color w:val="000000"/>
              </w:rPr>
              <w:br/>
            </w:r>
          </w:p>
        </w:tc>
        <w:tc>
          <w:tcPr>
            <w:tcW w:w="5562" w:type="dxa"/>
            <w:tcBorders>
              <w:top w:val="single" w:sz="4" w:space="0" w:color="auto"/>
              <w:left w:val="single" w:sz="4" w:space="0" w:color="auto"/>
              <w:bottom w:val="single" w:sz="4" w:space="0" w:color="auto"/>
              <w:right w:val="single" w:sz="4" w:space="0" w:color="auto"/>
            </w:tcBorders>
          </w:tcPr>
          <w:p w:rsidR="00805C9D" w:rsidRPr="00805C9D" w:rsidRDefault="00940BA5" w:rsidP="00805C9D">
            <w:pPr>
              <w:rPr>
                <w:rFonts w:ascii="Arial" w:hAnsi="Arial" w:cs="Arial"/>
                <w:bCs/>
                <w:color w:val="000000"/>
              </w:rPr>
            </w:pPr>
            <w:r w:rsidRPr="00767E3C">
              <w:rPr>
                <w:rFonts w:ascii="Arial" w:hAnsi="Arial" w:cs="Arial"/>
              </w:rPr>
              <w:t xml:space="preserve">The </w:t>
            </w:r>
            <w:r w:rsidR="00805C9D" w:rsidRPr="00805C9D">
              <w:rPr>
                <w:rFonts w:ascii="Arial" w:hAnsi="Arial" w:cs="Arial"/>
                <w:bCs/>
                <w:color w:val="000000"/>
              </w:rPr>
              <w:t>PBAC recommended the listing of Brenzys</w:t>
            </w:r>
            <w:r w:rsidR="00805C9D" w:rsidRPr="00F3698C">
              <w:rPr>
                <w:rFonts w:ascii="Arial" w:hAnsi="Arial" w:cs="Arial"/>
                <w:bCs/>
                <w:color w:val="000000"/>
                <w:vertAlign w:val="superscript"/>
              </w:rPr>
              <w:t>®</w:t>
            </w:r>
            <w:r w:rsidR="00805C9D" w:rsidRPr="00805C9D">
              <w:rPr>
                <w:rFonts w:ascii="Arial" w:hAnsi="Arial" w:cs="Arial"/>
                <w:bCs/>
                <w:color w:val="000000"/>
              </w:rPr>
              <w:t xml:space="preserve"> as a biosimilar of originator brand etanercept (Enbrel</w:t>
            </w:r>
            <w:r w:rsidR="00805C9D" w:rsidRPr="00F3698C">
              <w:rPr>
                <w:rFonts w:ascii="Arial" w:hAnsi="Arial" w:cs="Arial"/>
                <w:bCs/>
                <w:color w:val="000000"/>
                <w:vertAlign w:val="superscript"/>
              </w:rPr>
              <w:t>®</w:t>
            </w:r>
            <w:r w:rsidR="00805C9D" w:rsidRPr="00805C9D">
              <w:rPr>
                <w:rFonts w:ascii="Arial" w:hAnsi="Arial" w:cs="Arial"/>
                <w:bCs/>
                <w:color w:val="000000"/>
              </w:rPr>
              <w:t xml:space="preserve">) on a cost minimisation basis with Enbrel for all adult indications – rheumatoid arthritis, ankylosing spondylitis, psoriatic arthritis and chronic plaque psoriasis. The PBAC considered that the evidence presented in the submission supported the claims of comparative safety and effectiveness of Brenzys and Enbrel. </w:t>
            </w:r>
          </w:p>
          <w:p w:rsidR="00805C9D" w:rsidRPr="00805C9D" w:rsidRDefault="00805C9D" w:rsidP="00805C9D">
            <w:pPr>
              <w:rPr>
                <w:rFonts w:ascii="Arial" w:hAnsi="Arial" w:cs="Arial"/>
                <w:bCs/>
                <w:color w:val="000000"/>
              </w:rPr>
            </w:pPr>
          </w:p>
          <w:p w:rsidR="00805C9D" w:rsidRPr="00805C9D" w:rsidRDefault="00805C9D" w:rsidP="00805C9D">
            <w:pPr>
              <w:rPr>
                <w:rFonts w:ascii="Arial" w:hAnsi="Arial" w:cs="Arial"/>
                <w:bCs/>
                <w:color w:val="000000"/>
              </w:rPr>
            </w:pPr>
            <w:r w:rsidRPr="00805C9D">
              <w:rPr>
                <w:rFonts w:ascii="Arial" w:hAnsi="Arial" w:cs="Arial"/>
                <w:bCs/>
                <w:color w:val="000000"/>
              </w:rPr>
              <w:t>The PBAC advised the Minister that it considered the Enbrel and Brenzys brands of etanercept could be marked as equivalent in the Schedule of Pharmaceutical Benefits (‘a’ flagged), for the purposes of substitution by the pharmacist at the point of dispensing for all the circumstances (restrictions) that both brands are listed against. The PBAC noted that the substitution process allows for patient and prescriber choice and is not automatic. For any individual prescription, a prescriber may choose to not permit brand substitution. If substitution has been permitted by the prescriber, the patient may choose which brand they wish to receive from the pharmacist.</w:t>
            </w:r>
          </w:p>
          <w:p w:rsidR="00805C9D" w:rsidRPr="00805C9D" w:rsidRDefault="00805C9D" w:rsidP="00805C9D">
            <w:pPr>
              <w:rPr>
                <w:rFonts w:ascii="Arial" w:hAnsi="Arial" w:cs="Arial"/>
                <w:bCs/>
                <w:color w:val="000000"/>
              </w:rPr>
            </w:pPr>
          </w:p>
          <w:p w:rsidR="00805C9D" w:rsidRPr="00805C9D" w:rsidRDefault="00805C9D" w:rsidP="00805C9D">
            <w:pPr>
              <w:rPr>
                <w:rFonts w:ascii="Arial" w:hAnsi="Arial" w:cs="Arial"/>
                <w:bCs/>
                <w:color w:val="000000"/>
              </w:rPr>
            </w:pPr>
            <w:r w:rsidRPr="00805C9D">
              <w:rPr>
                <w:rFonts w:ascii="Arial" w:hAnsi="Arial" w:cs="Arial"/>
                <w:bCs/>
                <w:color w:val="000000"/>
              </w:rPr>
              <w:t>In forming its view on brand substitution (‘a’ flagging), the PBAC considered a range of factors including:</w:t>
            </w:r>
          </w:p>
          <w:p w:rsidR="00805C9D" w:rsidRPr="00682EE4" w:rsidRDefault="00805C9D" w:rsidP="00805C9D"/>
          <w:p w:rsidR="00805C9D" w:rsidRPr="00805C9D" w:rsidRDefault="00805C9D" w:rsidP="00F3698C">
            <w:pPr>
              <w:pStyle w:val="ListParagraph"/>
              <w:widowControl w:val="0"/>
              <w:numPr>
                <w:ilvl w:val="0"/>
                <w:numId w:val="37"/>
              </w:numPr>
              <w:rPr>
                <w:rFonts w:ascii="Arial" w:hAnsi="Arial" w:cs="Arial"/>
                <w:sz w:val="20"/>
                <w:szCs w:val="20"/>
              </w:rPr>
            </w:pPr>
            <w:r w:rsidRPr="00805C9D">
              <w:rPr>
                <w:rFonts w:ascii="Arial" w:hAnsi="Arial" w:cs="Arial"/>
                <w:sz w:val="20"/>
                <w:szCs w:val="20"/>
              </w:rPr>
              <w:t xml:space="preserve">The evidence presented in the SB4-G31-RA trial in treatment-naïve patients initiating on either Enbrel or Brenzys </w:t>
            </w:r>
            <w:r w:rsidR="00A71960">
              <w:rPr>
                <w:rFonts w:ascii="Arial" w:hAnsi="Arial" w:cs="Arial"/>
                <w:sz w:val="20"/>
                <w:szCs w:val="20"/>
              </w:rPr>
              <w:t>supported</w:t>
            </w:r>
            <w:r w:rsidRPr="00805C9D">
              <w:rPr>
                <w:rFonts w:ascii="Arial" w:hAnsi="Arial" w:cs="Arial"/>
                <w:sz w:val="20"/>
                <w:szCs w:val="20"/>
              </w:rPr>
              <w:t xml:space="preserve"> a finding that Brenzys has equivalent effectiveness and equivalent safety compared to Enbrel.</w:t>
            </w:r>
          </w:p>
          <w:p w:rsidR="00805C9D" w:rsidRPr="00805C9D" w:rsidRDefault="00805C9D" w:rsidP="00F3698C">
            <w:pPr>
              <w:pStyle w:val="ListParagraph"/>
              <w:widowControl w:val="0"/>
              <w:numPr>
                <w:ilvl w:val="0"/>
                <w:numId w:val="37"/>
              </w:numPr>
              <w:rPr>
                <w:rFonts w:ascii="Arial" w:hAnsi="Arial" w:cs="Arial"/>
                <w:sz w:val="20"/>
                <w:szCs w:val="20"/>
              </w:rPr>
            </w:pPr>
            <w:r w:rsidRPr="00805C9D">
              <w:rPr>
                <w:rFonts w:ascii="Arial" w:hAnsi="Arial" w:cs="Arial"/>
                <w:sz w:val="20"/>
                <w:szCs w:val="20"/>
              </w:rPr>
              <w:t>The key randomised clinical study in rheumatoid arthritis did not indicate differences in efficacy or safety of Brenzys compared with Enbrel.</w:t>
            </w:r>
          </w:p>
          <w:p w:rsidR="00805C9D" w:rsidRPr="00805C9D" w:rsidRDefault="00805C9D" w:rsidP="00F3698C">
            <w:pPr>
              <w:pStyle w:val="ListParagraph"/>
              <w:widowControl w:val="0"/>
              <w:numPr>
                <w:ilvl w:val="0"/>
                <w:numId w:val="37"/>
              </w:numPr>
              <w:rPr>
                <w:rFonts w:ascii="Arial" w:hAnsi="Arial" w:cs="Arial"/>
                <w:sz w:val="20"/>
                <w:szCs w:val="20"/>
              </w:rPr>
            </w:pPr>
            <w:r w:rsidRPr="00805C9D">
              <w:rPr>
                <w:rFonts w:ascii="Arial" w:hAnsi="Arial" w:cs="Arial"/>
                <w:sz w:val="20"/>
                <w:szCs w:val="20"/>
              </w:rPr>
              <w:t xml:space="preserve">The clinical data provided in the submission did not suggest there were any identified populations where the risks of using the biosimilar product in place of </w:t>
            </w:r>
            <w:r w:rsidRPr="00805C9D">
              <w:rPr>
                <w:rFonts w:ascii="Arial" w:hAnsi="Arial" w:cs="Arial"/>
                <w:sz w:val="20"/>
                <w:szCs w:val="20"/>
              </w:rPr>
              <w:lastRenderedPageBreak/>
              <w:t>the reference biologic were disproportionately high.</w:t>
            </w:r>
          </w:p>
          <w:p w:rsidR="00805C9D" w:rsidRPr="00805C9D" w:rsidRDefault="00805C9D" w:rsidP="00F3698C">
            <w:pPr>
              <w:pStyle w:val="ListParagraph"/>
              <w:widowControl w:val="0"/>
              <w:numPr>
                <w:ilvl w:val="0"/>
                <w:numId w:val="37"/>
              </w:numPr>
              <w:rPr>
                <w:rFonts w:ascii="Arial" w:hAnsi="Arial" w:cs="Arial"/>
                <w:sz w:val="20"/>
                <w:szCs w:val="20"/>
              </w:rPr>
            </w:pPr>
            <w:r w:rsidRPr="00805C9D">
              <w:rPr>
                <w:rFonts w:ascii="Arial" w:hAnsi="Arial" w:cs="Arial"/>
                <w:sz w:val="20"/>
                <w:szCs w:val="20"/>
              </w:rPr>
              <w:t>In the SB4-G31-RA Phase III extension study, which included 52 weeks of additional data, including from a one-way switch from Enbrel to Brenzys, the clinical evidence suggested no difference in efficacy, safety or immunogenicity between the biosimilar and the reference biologic.</w:t>
            </w:r>
          </w:p>
          <w:p w:rsidR="00805C9D" w:rsidRPr="00805C9D" w:rsidRDefault="00805C9D" w:rsidP="00F3698C">
            <w:pPr>
              <w:pStyle w:val="ListParagraph"/>
              <w:widowControl w:val="0"/>
              <w:numPr>
                <w:ilvl w:val="0"/>
                <w:numId w:val="37"/>
              </w:numPr>
              <w:rPr>
                <w:rFonts w:ascii="Arial" w:hAnsi="Arial" w:cs="Arial"/>
                <w:sz w:val="20"/>
                <w:szCs w:val="20"/>
              </w:rPr>
            </w:pPr>
            <w:r w:rsidRPr="00805C9D">
              <w:rPr>
                <w:rFonts w:ascii="Arial" w:hAnsi="Arial" w:cs="Arial"/>
                <w:sz w:val="20"/>
                <w:szCs w:val="20"/>
              </w:rPr>
              <w:t xml:space="preserve">The drug, etanercept, is not immunogenic per se, and anti-drug antibodies are rare. Switching between brands of etanercept is unlikely to change this. </w:t>
            </w:r>
          </w:p>
          <w:p w:rsidR="00940BA5" w:rsidRPr="00193812" w:rsidRDefault="00805C9D" w:rsidP="00F3698C">
            <w:pPr>
              <w:pStyle w:val="ListParagraph"/>
              <w:widowControl w:val="0"/>
              <w:numPr>
                <w:ilvl w:val="0"/>
                <w:numId w:val="37"/>
              </w:numPr>
              <w:rPr>
                <w:rFonts w:ascii="Arial" w:hAnsi="Arial" w:cs="Arial"/>
                <w:sz w:val="20"/>
                <w:szCs w:val="20"/>
              </w:rPr>
            </w:pPr>
            <w:r w:rsidRPr="00805C9D">
              <w:rPr>
                <w:rFonts w:ascii="Arial" w:hAnsi="Arial" w:cs="Arial"/>
                <w:sz w:val="20"/>
                <w:szCs w:val="20"/>
              </w:rPr>
              <w:t xml:space="preserve">The </w:t>
            </w:r>
            <w:r w:rsidR="00F3698C">
              <w:rPr>
                <w:rFonts w:ascii="Arial" w:hAnsi="Arial" w:cs="Arial"/>
                <w:sz w:val="20"/>
                <w:szCs w:val="20"/>
              </w:rPr>
              <w:t>Advisory Committee on Prescription Medicines (</w:t>
            </w:r>
            <w:r w:rsidRPr="00805C9D">
              <w:rPr>
                <w:rFonts w:ascii="Arial" w:hAnsi="Arial" w:cs="Arial"/>
                <w:sz w:val="20"/>
                <w:szCs w:val="20"/>
              </w:rPr>
              <w:t>ACPM</w:t>
            </w:r>
            <w:r w:rsidR="00F3698C">
              <w:rPr>
                <w:rFonts w:ascii="Arial" w:hAnsi="Arial" w:cs="Arial"/>
                <w:sz w:val="20"/>
                <w:szCs w:val="20"/>
              </w:rPr>
              <w:t>)</w:t>
            </w:r>
            <w:r w:rsidRPr="00805C9D">
              <w:rPr>
                <w:rFonts w:ascii="Arial" w:hAnsi="Arial" w:cs="Arial"/>
                <w:sz w:val="20"/>
                <w:szCs w:val="20"/>
              </w:rPr>
              <w:t xml:space="preserve"> has declared Brenzys a biosimilar for Enbrel. The ACPM was satisfied of the similar safety and efficacy of Brenzys and Enbrel in rheumatoid arthritis, psoriatic arthritis, plaque psoriasis, ankylosing spondylitis and non-radiographic axial spondyloarthritis.</w:t>
            </w:r>
          </w:p>
        </w:tc>
      </w:tr>
      <w:tr w:rsidR="0002265A" w:rsidRPr="00767E3C" w:rsidTr="001F20BD">
        <w:trPr>
          <w:trHeight w:val="3394"/>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02265A" w:rsidP="009A1758">
            <w:pPr>
              <w:rPr>
                <w:rFonts w:ascii="Arial" w:hAnsi="Arial" w:cs="Arial"/>
                <w:bCs/>
                <w:color w:val="000000"/>
              </w:rPr>
            </w:pPr>
            <w:r w:rsidRPr="005D1C1E">
              <w:rPr>
                <w:rFonts w:ascii="Arial" w:hAnsi="Arial" w:cs="Arial"/>
                <w:bCs/>
                <w:caps/>
                <w:color w:val="000000"/>
              </w:rPr>
              <w:lastRenderedPageBreak/>
              <w:t>glycomacropeptide and essential amino acids with vitamins and minerals</w:t>
            </w:r>
            <w:r w:rsidRPr="005D1C1E">
              <w:rPr>
                <w:rFonts w:ascii="Arial" w:hAnsi="Arial" w:cs="Arial"/>
                <w:bCs/>
                <w:color w:val="000000"/>
              </w:rPr>
              <w:br/>
            </w:r>
            <w:r w:rsidRPr="005D1C1E">
              <w:rPr>
                <w:rFonts w:ascii="Arial" w:hAnsi="Arial" w:cs="Arial"/>
                <w:bCs/>
                <w:color w:val="000000"/>
              </w:rPr>
              <w:br/>
              <w:t>oral liquid: powder for, 30 x 51 g sachets</w:t>
            </w:r>
            <w:r w:rsidRPr="005D1C1E">
              <w:rPr>
                <w:rFonts w:ascii="Arial" w:hAnsi="Arial" w:cs="Arial"/>
                <w:bCs/>
                <w:color w:val="000000"/>
              </w:rPr>
              <w:br/>
            </w:r>
            <w:r w:rsidRPr="005D1C1E">
              <w:rPr>
                <w:rFonts w:ascii="Arial" w:hAnsi="Arial" w:cs="Arial"/>
                <w:bCs/>
                <w:color w:val="000000"/>
              </w:rPr>
              <w:br/>
              <w:t>PKU Bettermilk Lite</w:t>
            </w:r>
            <w:r w:rsidR="001F20BD" w:rsidRPr="001F20BD">
              <w:rPr>
                <w:rFonts w:ascii="Arial" w:hAnsi="Arial" w:cs="Arial"/>
                <w:vertAlign w:val="superscript"/>
              </w:rPr>
              <w:t>®</w:t>
            </w:r>
            <w:r w:rsidRPr="005D1C1E">
              <w:rPr>
                <w:rFonts w:ascii="Arial" w:hAnsi="Arial" w:cs="Arial"/>
                <w:bCs/>
                <w:color w:val="000000"/>
              </w:rPr>
              <w:br/>
            </w:r>
            <w:r w:rsidRPr="005D1C1E">
              <w:rPr>
                <w:rFonts w:ascii="Arial" w:hAnsi="Arial" w:cs="Arial"/>
                <w:bCs/>
                <w:color w:val="000000"/>
              </w:rPr>
              <w:br/>
              <w:t xml:space="preserve">Cortex Health Pty Ltd </w:t>
            </w:r>
          </w:p>
          <w:p w:rsidR="0002265A" w:rsidRDefault="0002265A" w:rsidP="009A1758">
            <w:pPr>
              <w:rPr>
                <w:rFonts w:ascii="Arial" w:hAnsi="Arial" w:cs="Arial"/>
                <w:bCs/>
                <w:color w:val="000000"/>
              </w:rPr>
            </w:pPr>
          </w:p>
          <w:p w:rsidR="0002265A" w:rsidRPr="00767E3C" w:rsidRDefault="0002265A" w:rsidP="009A1758">
            <w:pPr>
              <w:rPr>
                <w:rFonts w:ascii="Arial" w:hAnsi="Arial" w:cs="Arial"/>
                <w:color w:val="000000"/>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1F20BD" w:rsidP="00A02865">
            <w:pPr>
              <w:rPr>
                <w:rFonts w:ascii="Arial" w:hAnsi="Arial" w:cs="Arial"/>
                <w:color w:val="000000"/>
              </w:rPr>
            </w:pPr>
            <w:r>
              <w:rPr>
                <w:rFonts w:ascii="Arial" w:hAnsi="Arial" w:cs="Arial"/>
                <w:color w:val="000000"/>
              </w:rPr>
              <w:t>Phenylketonuria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02265A">
            <w:pPr>
              <w:rPr>
                <w:rFonts w:ascii="Arial" w:hAnsi="Arial" w:cs="Arial"/>
                <w:color w:val="000000"/>
              </w:rPr>
            </w:pPr>
            <w:r w:rsidRPr="005D1C1E">
              <w:rPr>
                <w:rFonts w:ascii="Arial" w:hAnsi="Arial" w:cs="Arial"/>
                <w:bCs/>
                <w:color w:val="000000"/>
              </w:rPr>
              <w:t xml:space="preserve">Restricted </w:t>
            </w:r>
            <w:r w:rsidR="00037B2C">
              <w:rPr>
                <w:rFonts w:ascii="Arial" w:hAnsi="Arial" w:cs="Arial"/>
                <w:bCs/>
                <w:color w:val="000000"/>
              </w:rPr>
              <w:t>B</w:t>
            </w:r>
            <w:r w:rsidRPr="005D1C1E">
              <w:rPr>
                <w:rFonts w:ascii="Arial" w:hAnsi="Arial" w:cs="Arial"/>
                <w:bCs/>
                <w:color w:val="000000"/>
              </w:rPr>
              <w:t>enefit listing for phenylketonuria</w:t>
            </w:r>
            <w:r w:rsidRPr="001A37EB">
              <w:rPr>
                <w:rFonts w:ascii="Arial" w:hAnsi="Arial" w:cs="Arial"/>
                <w:bCs/>
                <w:color w:val="000000"/>
              </w:rPr>
              <w:t xml:space="preserve">. </w:t>
            </w:r>
          </w:p>
        </w:tc>
        <w:tc>
          <w:tcPr>
            <w:tcW w:w="5562" w:type="dxa"/>
            <w:tcBorders>
              <w:top w:val="single" w:sz="4" w:space="0" w:color="auto"/>
              <w:left w:val="single" w:sz="4" w:space="0" w:color="auto"/>
              <w:bottom w:val="single" w:sz="4" w:space="0" w:color="auto"/>
              <w:right w:val="single" w:sz="4" w:space="0" w:color="auto"/>
            </w:tcBorders>
          </w:tcPr>
          <w:p w:rsidR="002A0565" w:rsidRPr="00074725" w:rsidRDefault="002A0565" w:rsidP="00F3698C">
            <w:pPr>
              <w:rPr>
                <w:rFonts w:ascii="Arial" w:hAnsi="Arial" w:cs="Arial"/>
                <w:bCs/>
                <w:snapToGrid w:val="0"/>
                <w:sz w:val="22"/>
              </w:rPr>
            </w:pPr>
            <w:r w:rsidRPr="002A0565">
              <w:rPr>
                <w:rFonts w:ascii="Arial" w:hAnsi="Arial" w:cs="Arial"/>
              </w:rPr>
              <w:t xml:space="preserve">The PBAC recommended the listing of PKU </w:t>
            </w:r>
            <w:r w:rsidR="001F20BD">
              <w:rPr>
                <w:rFonts w:ascii="Arial" w:hAnsi="Arial" w:cs="Arial"/>
              </w:rPr>
              <w:t>Bettermilk</w:t>
            </w:r>
            <w:r w:rsidRPr="002A0565">
              <w:rPr>
                <w:rFonts w:ascii="Arial" w:hAnsi="Arial" w:cs="Arial"/>
              </w:rPr>
              <w:t xml:space="preserve"> Lite as a Restricted Benefit for phenylketonuria on a cost-minimisation basis against Camino Pro Bettermilk</w:t>
            </w:r>
            <w:r w:rsidR="001F20BD" w:rsidRPr="001F20BD">
              <w:rPr>
                <w:rFonts w:ascii="Arial" w:hAnsi="Arial" w:cs="Arial"/>
                <w:vertAlign w:val="superscript"/>
              </w:rPr>
              <w:t>®</w:t>
            </w:r>
            <w:r w:rsidRPr="002A0565">
              <w:rPr>
                <w:rFonts w:ascii="Arial" w:hAnsi="Arial" w:cs="Arial"/>
              </w:rPr>
              <w:t xml:space="preserve"> at an equivalent price per gram of protein.</w:t>
            </w:r>
          </w:p>
          <w:p w:rsidR="0002265A" w:rsidRPr="00767E3C" w:rsidRDefault="0002265A" w:rsidP="009A1758">
            <w:pPr>
              <w:rPr>
                <w:rFonts w:ascii="Arial" w:hAnsi="Arial" w:cs="Arial"/>
              </w:rPr>
            </w:pPr>
          </w:p>
        </w:tc>
      </w:tr>
      <w:tr w:rsidR="0002265A" w:rsidRPr="00767E3C" w:rsidTr="00193812">
        <w:trPr>
          <w:trHeight w:val="2261"/>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02265A" w:rsidP="009A1758">
            <w:pPr>
              <w:rPr>
                <w:rFonts w:ascii="Arial" w:hAnsi="Arial" w:cs="Arial"/>
                <w:bCs/>
                <w:color w:val="000000"/>
              </w:rPr>
            </w:pPr>
            <w:r w:rsidRPr="005D1C1E">
              <w:rPr>
                <w:rFonts w:ascii="Arial" w:hAnsi="Arial" w:cs="Arial"/>
                <w:bCs/>
                <w:color w:val="000000"/>
              </w:rPr>
              <w:lastRenderedPageBreak/>
              <w:t>GRAZOPREVIR with ELBASVIR</w:t>
            </w:r>
            <w:r w:rsidRPr="005D1C1E">
              <w:rPr>
                <w:rFonts w:ascii="Arial" w:hAnsi="Arial" w:cs="Arial"/>
                <w:bCs/>
                <w:color w:val="000000"/>
              </w:rPr>
              <w:br/>
            </w:r>
            <w:r w:rsidRPr="005D1C1E">
              <w:rPr>
                <w:rFonts w:ascii="Arial" w:hAnsi="Arial" w:cs="Arial"/>
                <w:bCs/>
                <w:color w:val="000000"/>
              </w:rPr>
              <w:br/>
              <w:t>grazoprevir 100 mg + elbasvir 50</w:t>
            </w:r>
            <w:r w:rsidR="007B5C93">
              <w:rPr>
                <w:rFonts w:ascii="Arial" w:hAnsi="Arial" w:cs="Arial"/>
                <w:bCs/>
                <w:color w:val="000000"/>
              </w:rPr>
              <w:t> </w:t>
            </w:r>
            <w:r w:rsidRPr="005D1C1E">
              <w:rPr>
                <w:rFonts w:ascii="Arial" w:hAnsi="Arial" w:cs="Arial"/>
                <w:bCs/>
                <w:color w:val="000000"/>
              </w:rPr>
              <w:t>mg tablet, 28</w:t>
            </w:r>
            <w:r w:rsidRPr="005D1C1E">
              <w:rPr>
                <w:rFonts w:ascii="Arial" w:hAnsi="Arial" w:cs="Arial"/>
                <w:bCs/>
                <w:color w:val="000000"/>
              </w:rPr>
              <w:br/>
            </w:r>
            <w:r w:rsidRPr="005D1C1E">
              <w:rPr>
                <w:rFonts w:ascii="Arial" w:hAnsi="Arial" w:cs="Arial"/>
                <w:bCs/>
                <w:color w:val="000000"/>
              </w:rPr>
              <w:br/>
              <w:t>Zepatier</w:t>
            </w:r>
            <w:r w:rsidRPr="00A50173">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 xml:space="preserve">Merck Sharp and Dohme (Australia) Pty Limited </w:t>
            </w:r>
          </w:p>
          <w:p w:rsidR="0002265A" w:rsidRDefault="0002265A" w:rsidP="009A1758">
            <w:pPr>
              <w:rPr>
                <w:rFonts w:ascii="Arial" w:hAnsi="Arial" w:cs="Arial"/>
                <w:bCs/>
                <w:color w:val="000000"/>
              </w:rPr>
            </w:pPr>
          </w:p>
          <w:p w:rsidR="0002265A" w:rsidRPr="00767E3C" w:rsidRDefault="0002265A" w:rsidP="009A1758">
            <w:pPr>
              <w:rPr>
                <w:rFonts w:ascii="Arial" w:hAnsi="Arial" w:cs="Arial"/>
                <w:color w:val="000000"/>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9A1758">
            <w:pPr>
              <w:rPr>
                <w:rFonts w:ascii="Arial" w:hAnsi="Arial" w:cs="Arial"/>
                <w:color w:val="000000"/>
              </w:rPr>
            </w:pPr>
            <w:r w:rsidRPr="005D1C1E">
              <w:rPr>
                <w:rFonts w:ascii="Arial" w:hAnsi="Arial" w:cs="Arial"/>
                <w:bCs/>
                <w:color w:val="000000"/>
              </w:rPr>
              <w:t>Chronic Hepatitis C virus infection</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9A1758">
            <w:pPr>
              <w:rPr>
                <w:rFonts w:ascii="Arial" w:hAnsi="Arial" w:cs="Arial"/>
                <w:color w:val="000000"/>
              </w:rPr>
            </w:pPr>
            <w:r w:rsidRPr="005D1C1E">
              <w:rPr>
                <w:rFonts w:ascii="Arial" w:hAnsi="Arial" w:cs="Arial"/>
                <w:bCs/>
                <w:color w:val="000000"/>
              </w:rPr>
              <w:t>Authority Required (STREAMLINED) listing for treatment of Chronic Hepatitis C infection.</w:t>
            </w:r>
          </w:p>
        </w:tc>
        <w:tc>
          <w:tcPr>
            <w:tcW w:w="5562" w:type="dxa"/>
            <w:tcBorders>
              <w:top w:val="single" w:sz="4" w:space="0" w:color="auto"/>
              <w:left w:val="single" w:sz="4" w:space="0" w:color="auto"/>
              <w:bottom w:val="single" w:sz="4" w:space="0" w:color="auto"/>
              <w:right w:val="single" w:sz="4" w:space="0" w:color="auto"/>
            </w:tcBorders>
          </w:tcPr>
          <w:p w:rsidR="0002265A" w:rsidRPr="00767E3C" w:rsidRDefault="00951EDC" w:rsidP="00A50173">
            <w:pPr>
              <w:rPr>
                <w:rFonts w:ascii="Arial" w:hAnsi="Arial" w:cs="Arial"/>
              </w:rPr>
            </w:pPr>
            <w:r w:rsidRPr="00951EDC">
              <w:rPr>
                <w:rFonts w:ascii="Arial" w:hAnsi="Arial" w:cs="Arial"/>
              </w:rPr>
              <w:t xml:space="preserve">The PBAC recommended the </w:t>
            </w:r>
            <w:r w:rsidR="00F3698C">
              <w:rPr>
                <w:rFonts w:ascii="Arial" w:hAnsi="Arial" w:cs="Arial"/>
              </w:rPr>
              <w:t xml:space="preserve">Authority Required </w:t>
            </w:r>
            <w:r w:rsidRPr="00951EDC">
              <w:rPr>
                <w:rFonts w:ascii="Arial" w:hAnsi="Arial" w:cs="Arial"/>
              </w:rPr>
              <w:t xml:space="preserve">listing of grazoprevir </w:t>
            </w:r>
            <w:r w:rsidR="00A50173">
              <w:rPr>
                <w:rFonts w:ascii="Arial" w:hAnsi="Arial" w:cs="Arial"/>
              </w:rPr>
              <w:t>with</w:t>
            </w:r>
            <w:r w:rsidRPr="00951EDC">
              <w:rPr>
                <w:rFonts w:ascii="Arial" w:hAnsi="Arial" w:cs="Arial"/>
              </w:rPr>
              <w:t xml:space="preserve"> elbasvir (GRZ/EBR) for the treatment of </w:t>
            </w:r>
            <w:r w:rsidR="00A50173">
              <w:rPr>
                <w:rFonts w:ascii="Arial" w:hAnsi="Arial" w:cs="Arial"/>
              </w:rPr>
              <w:t xml:space="preserve">chronic </w:t>
            </w:r>
            <w:r w:rsidRPr="00951EDC">
              <w:rPr>
                <w:rFonts w:ascii="Arial" w:hAnsi="Arial" w:cs="Arial"/>
              </w:rPr>
              <w:t xml:space="preserve">hepatitis C virus (CHC) infection for treatment-naïve and treatment experienced genotypes (GT) 1, 4 and 6 patients. The PBAC </w:t>
            </w:r>
            <w:r w:rsidR="00A50173">
              <w:rPr>
                <w:rFonts w:ascii="Arial" w:hAnsi="Arial" w:cs="Arial"/>
              </w:rPr>
              <w:t>did not recommend</w:t>
            </w:r>
            <w:r w:rsidRPr="00951EDC">
              <w:rPr>
                <w:rFonts w:ascii="Arial" w:hAnsi="Arial" w:cs="Arial"/>
              </w:rPr>
              <w:t xml:space="preserve"> list</w:t>
            </w:r>
            <w:r w:rsidR="00A50173">
              <w:rPr>
                <w:rFonts w:ascii="Arial" w:hAnsi="Arial" w:cs="Arial"/>
              </w:rPr>
              <w:t>ing</w:t>
            </w:r>
            <w:r w:rsidRPr="00951EDC">
              <w:rPr>
                <w:rFonts w:ascii="Arial" w:hAnsi="Arial" w:cs="Arial"/>
              </w:rPr>
              <w:t xml:space="preserve"> GRZ/EBR for treatment naïve GT 3 CHC. Evidence from two phase III and three phase II randomised clinical trials were presented in the submission</w:t>
            </w:r>
            <w:r w:rsidR="007B5C93">
              <w:rPr>
                <w:rFonts w:ascii="Arial" w:hAnsi="Arial" w:cs="Arial"/>
              </w:rPr>
              <w:t>, and</w:t>
            </w:r>
            <w:r w:rsidR="00DA56FC">
              <w:rPr>
                <w:rFonts w:ascii="Arial" w:hAnsi="Arial" w:cs="Arial"/>
              </w:rPr>
              <w:t xml:space="preserve"> </w:t>
            </w:r>
            <w:r w:rsidR="007B5C93">
              <w:rPr>
                <w:rFonts w:ascii="Arial" w:hAnsi="Arial" w:cs="Arial"/>
              </w:rPr>
              <w:t>the PBAC was satisfied that sufficient evidence was available to recommend regimens containing GRZ/EBR.</w:t>
            </w:r>
            <w:r w:rsidRPr="00951EDC">
              <w:rPr>
                <w:rFonts w:ascii="Arial" w:hAnsi="Arial" w:cs="Arial"/>
              </w:rPr>
              <w:t xml:space="preserve"> The PBAC considered the evidence for GT 1 was sufficient to establish safety and effectiveness. For GT 4 and 6, the PBAC agreed there was a clinical need for treatment r</w:t>
            </w:r>
            <w:r>
              <w:rPr>
                <w:rFonts w:ascii="Arial" w:hAnsi="Arial" w:cs="Arial"/>
              </w:rPr>
              <w:t>egimens that do not contain peg-</w:t>
            </w:r>
            <w:r w:rsidRPr="00951EDC">
              <w:rPr>
                <w:rFonts w:ascii="Arial" w:hAnsi="Arial" w:cs="Arial"/>
              </w:rPr>
              <w:t>interferon and recommended GRZ/EBR for these genotypes. The PBAC considered that there were insufficient data to recommend GRZ/EBR for listing for GT 3.</w:t>
            </w:r>
          </w:p>
        </w:tc>
      </w:tr>
      <w:tr w:rsidR="0002265A" w:rsidRPr="00767E3C" w:rsidTr="00A50173">
        <w:trPr>
          <w:trHeight w:val="2686"/>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02265A" w:rsidP="009A1758">
            <w:pPr>
              <w:rPr>
                <w:rFonts w:ascii="Arial" w:hAnsi="Arial" w:cs="Arial"/>
                <w:bCs/>
                <w:color w:val="000000"/>
              </w:rPr>
            </w:pPr>
            <w:r w:rsidRPr="005D1C1E">
              <w:rPr>
                <w:rFonts w:ascii="Arial" w:hAnsi="Arial" w:cs="Arial"/>
                <w:bCs/>
                <w:color w:val="000000"/>
              </w:rPr>
              <w:t>IDELALISIB</w:t>
            </w:r>
            <w:r w:rsidRPr="005D1C1E">
              <w:rPr>
                <w:rFonts w:ascii="Arial" w:hAnsi="Arial" w:cs="Arial"/>
                <w:bCs/>
                <w:color w:val="000000"/>
              </w:rPr>
              <w:br/>
            </w:r>
            <w:r w:rsidRPr="005D1C1E">
              <w:rPr>
                <w:rFonts w:ascii="Arial" w:hAnsi="Arial" w:cs="Arial"/>
                <w:bCs/>
                <w:color w:val="000000"/>
              </w:rPr>
              <w:br/>
              <w:t>100 mg tablet, 60</w:t>
            </w:r>
            <w:r w:rsidRPr="005D1C1E">
              <w:rPr>
                <w:rFonts w:ascii="Arial" w:hAnsi="Arial" w:cs="Arial"/>
                <w:bCs/>
                <w:color w:val="000000"/>
              </w:rPr>
              <w:br/>
              <w:t>150 mg tablet, 60</w:t>
            </w:r>
            <w:r w:rsidRPr="005D1C1E">
              <w:rPr>
                <w:rFonts w:ascii="Arial" w:hAnsi="Arial" w:cs="Arial"/>
                <w:bCs/>
                <w:color w:val="000000"/>
              </w:rPr>
              <w:br/>
            </w:r>
            <w:r w:rsidRPr="005D1C1E">
              <w:rPr>
                <w:rFonts w:ascii="Arial" w:hAnsi="Arial" w:cs="Arial"/>
                <w:bCs/>
                <w:color w:val="000000"/>
              </w:rPr>
              <w:br/>
              <w:t>Zydelig</w:t>
            </w:r>
            <w:r w:rsidRPr="00A50173">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Gilead Sciences Pty Ltd</w:t>
            </w:r>
          </w:p>
          <w:p w:rsidR="0002265A" w:rsidRDefault="0002265A" w:rsidP="009A1758">
            <w:pPr>
              <w:rPr>
                <w:rFonts w:ascii="Arial" w:hAnsi="Arial" w:cs="Arial"/>
                <w:bCs/>
                <w:color w:val="000000"/>
              </w:rPr>
            </w:pPr>
          </w:p>
          <w:p w:rsidR="0002265A" w:rsidRPr="00767E3C" w:rsidRDefault="0002265A" w:rsidP="009A1758">
            <w:pPr>
              <w:rPr>
                <w:rFonts w:ascii="Arial" w:hAnsi="Arial" w:cs="Arial"/>
                <w:color w:val="000000"/>
              </w:rPr>
            </w:pPr>
            <w:r w:rsidRPr="005D1C1E">
              <w:rPr>
                <w:rFonts w:ascii="Arial" w:hAnsi="Arial" w:cs="Arial"/>
                <w:bCs/>
                <w:color w:val="000000"/>
              </w:rPr>
              <w:t>Matters Outstanding</w:t>
            </w:r>
            <w:r w:rsidRPr="005D1C1E">
              <w:rPr>
                <w:rFonts w:ascii="Arial" w:hAnsi="Arial" w:cs="Arial"/>
                <w:bCs/>
                <w:color w:val="000000"/>
              </w:rPr>
              <w:br/>
            </w:r>
            <w:r w:rsidRPr="005D1C1E">
              <w:rPr>
                <w:rFonts w:ascii="Arial" w:hAnsi="Arial" w:cs="Arial"/>
                <w:bCs/>
                <w:color w:val="000000"/>
              </w:rPr>
              <w:b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02265A">
            <w:pPr>
              <w:rPr>
                <w:rFonts w:ascii="Arial" w:hAnsi="Arial" w:cs="Arial"/>
                <w:color w:val="000000"/>
              </w:rPr>
            </w:pPr>
            <w:r w:rsidRPr="005D1C1E">
              <w:rPr>
                <w:rFonts w:ascii="Arial" w:hAnsi="Arial" w:cs="Arial"/>
                <w:bCs/>
                <w:color w:val="000000"/>
              </w:rPr>
              <w:t>Chronic lymphocytic leukaemia and small lymphocytic lymphoma</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A50173">
            <w:pPr>
              <w:rPr>
                <w:rFonts w:ascii="Arial" w:hAnsi="Arial" w:cs="Arial"/>
                <w:color w:val="000000"/>
              </w:rPr>
            </w:pPr>
            <w:r w:rsidRPr="005D1C1E">
              <w:rPr>
                <w:rFonts w:ascii="Arial" w:hAnsi="Arial" w:cs="Arial"/>
                <w:bCs/>
                <w:color w:val="000000"/>
              </w:rPr>
              <w:t xml:space="preserve">Resubmission for Authority Required listing for the treatment </w:t>
            </w:r>
            <w:r w:rsidR="00A50173">
              <w:rPr>
                <w:rFonts w:ascii="Arial" w:hAnsi="Arial" w:cs="Arial"/>
                <w:bCs/>
                <w:color w:val="000000"/>
              </w:rPr>
              <w:t xml:space="preserve">of relapsed or refractory </w:t>
            </w:r>
            <w:r w:rsidRPr="005D1C1E">
              <w:rPr>
                <w:rFonts w:ascii="Arial" w:hAnsi="Arial" w:cs="Arial"/>
                <w:bCs/>
                <w:color w:val="000000"/>
              </w:rPr>
              <w:t xml:space="preserve">chronic lymphocytic leukaemia </w:t>
            </w:r>
            <w:r w:rsidR="00A50173">
              <w:rPr>
                <w:rFonts w:ascii="Arial" w:hAnsi="Arial" w:cs="Arial"/>
                <w:bCs/>
                <w:color w:val="000000"/>
              </w:rPr>
              <w:t>or small lymphocytic leukaemia</w:t>
            </w:r>
            <w:r w:rsidR="00037B2C">
              <w:rPr>
                <w:rFonts w:ascii="Arial" w:hAnsi="Arial" w:cs="Arial"/>
                <w:bCs/>
                <w:color w:val="000000"/>
              </w:rPr>
              <w:t>.</w:t>
            </w:r>
          </w:p>
        </w:tc>
        <w:tc>
          <w:tcPr>
            <w:tcW w:w="5562" w:type="dxa"/>
            <w:tcBorders>
              <w:top w:val="single" w:sz="4" w:space="0" w:color="auto"/>
              <w:left w:val="single" w:sz="4" w:space="0" w:color="auto"/>
              <w:bottom w:val="single" w:sz="4" w:space="0" w:color="auto"/>
              <w:right w:val="single" w:sz="4" w:space="0" w:color="auto"/>
            </w:tcBorders>
          </w:tcPr>
          <w:p w:rsidR="0002265A" w:rsidRPr="00767E3C" w:rsidRDefault="009A2E19" w:rsidP="00A50173">
            <w:pPr>
              <w:rPr>
                <w:rFonts w:ascii="Arial" w:hAnsi="Arial" w:cs="Arial"/>
              </w:rPr>
            </w:pPr>
            <w:r w:rsidRPr="009A2E19">
              <w:rPr>
                <w:rFonts w:ascii="Arial" w:hAnsi="Arial" w:cs="Arial"/>
              </w:rPr>
              <w:t>The PBAC recommended the listing of idelalisib in combination with rituximab for use in patients with relapsed/refractory chronic lymphocytic leukaemia or small lymphocytic lymphoma.  The PBAC acknowledged that idelalisib, in combination with rituximab, provides a progression free survival and overall survival advantage when compared to best supportive care with rituximab.  The risk of significant adverse events with idelalisib use remained an issue of significant concern for PBAC</w:t>
            </w:r>
            <w:r w:rsidR="0032697C">
              <w:rPr>
                <w:rFonts w:ascii="Arial" w:hAnsi="Arial" w:cs="Arial"/>
              </w:rPr>
              <w:t>.</w:t>
            </w:r>
          </w:p>
        </w:tc>
      </w:tr>
      <w:tr w:rsidR="0002265A" w:rsidRPr="00767E3C" w:rsidTr="00A50173">
        <w:trPr>
          <w:trHeight w:val="3536"/>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02265A" w:rsidP="009A1758">
            <w:pPr>
              <w:rPr>
                <w:rFonts w:ascii="Arial" w:hAnsi="Arial" w:cs="Arial"/>
                <w:color w:val="000000"/>
              </w:rPr>
            </w:pPr>
            <w:r w:rsidRPr="005D1C1E">
              <w:rPr>
                <w:rFonts w:ascii="Arial" w:hAnsi="Arial" w:cs="Arial"/>
                <w:bCs/>
                <w:color w:val="000000"/>
              </w:rPr>
              <w:lastRenderedPageBreak/>
              <w:t>IDELALISIB</w:t>
            </w:r>
            <w:r w:rsidRPr="005D1C1E">
              <w:rPr>
                <w:rFonts w:ascii="Arial" w:hAnsi="Arial" w:cs="Arial"/>
                <w:bCs/>
                <w:color w:val="000000"/>
              </w:rPr>
              <w:br/>
            </w:r>
            <w:r w:rsidRPr="005D1C1E">
              <w:rPr>
                <w:rFonts w:ascii="Arial" w:hAnsi="Arial" w:cs="Arial"/>
                <w:bCs/>
                <w:color w:val="000000"/>
              </w:rPr>
              <w:br/>
              <w:t>100 mg tablet, 60</w:t>
            </w:r>
            <w:r w:rsidRPr="005D1C1E">
              <w:rPr>
                <w:rFonts w:ascii="Arial" w:hAnsi="Arial" w:cs="Arial"/>
                <w:bCs/>
                <w:color w:val="000000"/>
              </w:rPr>
              <w:br/>
              <w:t>150 mg tablet, 60</w:t>
            </w:r>
            <w:r w:rsidRPr="005D1C1E">
              <w:rPr>
                <w:rFonts w:ascii="Arial" w:hAnsi="Arial" w:cs="Arial"/>
                <w:bCs/>
                <w:color w:val="000000"/>
              </w:rPr>
              <w:br/>
            </w:r>
            <w:r w:rsidRPr="005D1C1E">
              <w:rPr>
                <w:rFonts w:ascii="Arial" w:hAnsi="Arial" w:cs="Arial"/>
                <w:bCs/>
                <w:color w:val="000000"/>
              </w:rPr>
              <w:br/>
              <w:t>Zydelig</w:t>
            </w:r>
            <w:r w:rsidRPr="00A50173">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Gilead Sciences Pty Ltd</w:t>
            </w:r>
            <w:r w:rsidRPr="00767E3C">
              <w:rPr>
                <w:rFonts w:ascii="Arial" w:hAnsi="Arial" w:cs="Arial"/>
                <w:color w:val="000000"/>
              </w:rPr>
              <w:t xml:space="preserve"> </w:t>
            </w:r>
          </w:p>
          <w:p w:rsidR="0002265A" w:rsidRDefault="0002265A" w:rsidP="009A1758">
            <w:pPr>
              <w:rPr>
                <w:rFonts w:ascii="Arial" w:hAnsi="Arial" w:cs="Arial"/>
                <w:color w:val="000000"/>
              </w:rPr>
            </w:pPr>
          </w:p>
          <w:p w:rsidR="0002265A" w:rsidRPr="00767E3C" w:rsidRDefault="0002265A" w:rsidP="009A1758">
            <w:pPr>
              <w:rPr>
                <w:rFonts w:ascii="Arial" w:hAnsi="Arial" w:cs="Arial"/>
                <w:color w:val="000000"/>
              </w:rPr>
            </w:pPr>
            <w:r w:rsidRPr="005D1C1E">
              <w:rPr>
                <w:rFonts w:ascii="Arial" w:hAnsi="Arial" w:cs="Arial"/>
                <w:bCs/>
                <w:color w:val="000000"/>
              </w:rPr>
              <w:t>Matters Outstanding</w:t>
            </w:r>
            <w:r w:rsidRPr="005D1C1E">
              <w:rPr>
                <w:rFonts w:ascii="Arial" w:hAnsi="Arial" w:cs="Arial"/>
                <w:bCs/>
                <w:color w:val="000000"/>
              </w:rPr>
              <w:br/>
            </w:r>
            <w:r w:rsidRPr="005D1C1E">
              <w:rPr>
                <w:rFonts w:ascii="Arial" w:hAnsi="Arial" w:cs="Arial"/>
                <w:bCs/>
                <w:color w:val="000000"/>
              </w:rPr>
              <w:br/>
              <w:t>(</w:t>
            </w:r>
            <w:r w:rsidRPr="001A37EB">
              <w:rPr>
                <w:rFonts w:ascii="Arial" w:hAnsi="Arial" w:cs="Arial"/>
                <w:bCs/>
                <w:color w:val="000000"/>
              </w:rPr>
              <w:t>Minor</w:t>
            </w:r>
            <w:r w:rsidRPr="005D1C1E">
              <w:rPr>
                <w:rFonts w:ascii="Arial" w:hAnsi="Arial" w:cs="Arial"/>
                <w:bCs/>
                <w:color w:val="000000"/>
              </w:rPr>
              <w:t xml:space="preserve">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2697C" w:rsidP="0002265A">
            <w:pPr>
              <w:rPr>
                <w:rFonts w:ascii="Arial" w:hAnsi="Arial" w:cs="Arial"/>
                <w:color w:val="000000"/>
              </w:rPr>
            </w:pPr>
            <w:r>
              <w:rPr>
                <w:rFonts w:ascii="Arial" w:hAnsi="Arial" w:cs="Arial"/>
                <w:bCs/>
                <w:color w:val="000000"/>
              </w:rPr>
              <w:t>Follicular Lymphoma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A50173">
            <w:pPr>
              <w:rPr>
                <w:rFonts w:ascii="Arial" w:hAnsi="Arial" w:cs="Arial"/>
                <w:color w:val="000000"/>
              </w:rPr>
            </w:pPr>
            <w:r w:rsidRPr="005D1C1E">
              <w:rPr>
                <w:rFonts w:ascii="Arial" w:hAnsi="Arial" w:cs="Arial"/>
                <w:bCs/>
                <w:color w:val="000000"/>
              </w:rPr>
              <w:t>Resubmission for Authority Required listing for the treatment of relapsed/refractory follicular lymphoma that has progressed despite prior treatment with rituximab and an alkylating agent.</w:t>
            </w:r>
          </w:p>
        </w:tc>
        <w:tc>
          <w:tcPr>
            <w:tcW w:w="5562" w:type="dxa"/>
            <w:tcBorders>
              <w:top w:val="single" w:sz="4" w:space="0" w:color="auto"/>
              <w:left w:val="single" w:sz="4" w:space="0" w:color="auto"/>
              <w:bottom w:val="single" w:sz="4" w:space="0" w:color="auto"/>
              <w:right w:val="single" w:sz="4" w:space="0" w:color="auto"/>
            </w:tcBorders>
          </w:tcPr>
          <w:p w:rsidR="0002265A" w:rsidRPr="00767E3C" w:rsidRDefault="003E1595" w:rsidP="00A50173">
            <w:pPr>
              <w:rPr>
                <w:rFonts w:ascii="Arial" w:hAnsi="Arial" w:cs="Arial"/>
                <w:bCs/>
                <w:lang w:val="en-GB"/>
              </w:rPr>
            </w:pPr>
            <w:r w:rsidRPr="003E1595">
              <w:rPr>
                <w:rFonts w:ascii="Arial" w:hAnsi="Arial" w:cs="Arial"/>
                <w:bCs/>
                <w:color w:val="000000"/>
              </w:rPr>
              <w:t xml:space="preserve">The PBAC recommended the Authority Required listing of idelalisib as monotherapy for the treatment of follicular B-cell non-Hodgkin’s lymphoma that is refractory to both rituximab and an alkylating agent.  The PBAC noted the high unmet clinical need for effective treatment for these patients, considering that idelalisib is a clinically effective last-line treatment option. The risk of significant adverse events with idelalisib use remained an issue of significant concern for </w:t>
            </w:r>
            <w:r w:rsidR="007B5C93">
              <w:rPr>
                <w:rFonts w:ascii="Arial" w:hAnsi="Arial" w:cs="Arial"/>
                <w:bCs/>
                <w:color w:val="000000"/>
              </w:rPr>
              <w:t xml:space="preserve">the </w:t>
            </w:r>
            <w:r w:rsidRPr="003E1595">
              <w:rPr>
                <w:rFonts w:ascii="Arial" w:hAnsi="Arial" w:cs="Arial"/>
                <w:bCs/>
                <w:color w:val="000000"/>
              </w:rPr>
              <w:t xml:space="preserve">PBAC, </w:t>
            </w:r>
            <w:r w:rsidR="00A50173">
              <w:rPr>
                <w:rFonts w:ascii="Arial" w:hAnsi="Arial" w:cs="Arial"/>
                <w:bCs/>
                <w:color w:val="000000"/>
              </w:rPr>
              <w:t xml:space="preserve">and therefore </w:t>
            </w:r>
            <w:r w:rsidRPr="003E1595">
              <w:rPr>
                <w:rFonts w:ascii="Arial" w:hAnsi="Arial" w:cs="Arial"/>
                <w:bCs/>
                <w:color w:val="000000"/>
              </w:rPr>
              <w:t>recommend</w:t>
            </w:r>
            <w:r w:rsidR="007B5C93">
              <w:rPr>
                <w:rFonts w:ascii="Arial" w:hAnsi="Arial" w:cs="Arial"/>
                <w:bCs/>
                <w:color w:val="000000"/>
              </w:rPr>
              <w:t>ed</w:t>
            </w:r>
            <w:r w:rsidRPr="003E1595">
              <w:rPr>
                <w:rFonts w:ascii="Arial" w:hAnsi="Arial" w:cs="Arial"/>
                <w:bCs/>
                <w:color w:val="000000"/>
              </w:rPr>
              <w:t xml:space="preserve"> that the listing </w:t>
            </w:r>
            <w:r w:rsidR="00A50173">
              <w:rPr>
                <w:rFonts w:ascii="Arial" w:hAnsi="Arial" w:cs="Arial"/>
                <w:bCs/>
                <w:color w:val="000000"/>
              </w:rPr>
              <w:t xml:space="preserve">of idelalisib for this indication </w:t>
            </w:r>
            <w:r w:rsidRPr="003E1595">
              <w:rPr>
                <w:rFonts w:ascii="Arial" w:hAnsi="Arial" w:cs="Arial"/>
                <w:bCs/>
                <w:color w:val="000000"/>
              </w:rPr>
              <w:t>should only proceed following further safety updates from the TGA. The PBAC maintained that the ICER remained high</w:t>
            </w:r>
            <w:r w:rsidR="00D34A90">
              <w:rPr>
                <w:rFonts w:ascii="Arial" w:hAnsi="Arial" w:cs="Arial"/>
                <w:bCs/>
                <w:color w:val="000000"/>
              </w:rPr>
              <w:t>,</w:t>
            </w:r>
            <w:r w:rsidRPr="003E1595">
              <w:rPr>
                <w:rFonts w:ascii="Arial" w:hAnsi="Arial" w:cs="Arial"/>
                <w:bCs/>
                <w:color w:val="000000"/>
              </w:rPr>
              <w:t xml:space="preserve"> but considered </w:t>
            </w:r>
            <w:r w:rsidR="00D34A90">
              <w:rPr>
                <w:rFonts w:ascii="Arial" w:hAnsi="Arial" w:cs="Arial"/>
                <w:bCs/>
                <w:color w:val="000000"/>
              </w:rPr>
              <w:t>it</w:t>
            </w:r>
            <w:r w:rsidRPr="003E1595">
              <w:rPr>
                <w:rFonts w:ascii="Arial" w:hAnsi="Arial" w:cs="Arial"/>
                <w:bCs/>
                <w:color w:val="000000"/>
              </w:rPr>
              <w:t xml:space="preserve"> acceptable for this patient population for whom there are few treatment options</w:t>
            </w:r>
            <w:r w:rsidR="00F3698C">
              <w:rPr>
                <w:rFonts w:ascii="Arial" w:hAnsi="Arial" w:cs="Arial"/>
                <w:bCs/>
                <w:color w:val="000000"/>
              </w:rPr>
              <w:t>.</w:t>
            </w:r>
          </w:p>
        </w:tc>
      </w:tr>
      <w:tr w:rsidR="0002265A"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02265A" w:rsidP="009A1758">
            <w:pPr>
              <w:rPr>
                <w:rFonts w:ascii="Arial" w:hAnsi="Arial" w:cs="Arial"/>
                <w:color w:val="000000"/>
              </w:rPr>
            </w:pPr>
            <w:r w:rsidRPr="005D1C1E">
              <w:rPr>
                <w:rFonts w:ascii="Arial" w:hAnsi="Arial" w:cs="Arial"/>
                <w:bCs/>
                <w:color w:val="000000"/>
              </w:rPr>
              <w:t>IPILIMUMAB</w:t>
            </w:r>
            <w:r w:rsidRPr="005D1C1E">
              <w:rPr>
                <w:rFonts w:ascii="Arial" w:hAnsi="Arial" w:cs="Arial"/>
                <w:bCs/>
                <w:color w:val="000000"/>
              </w:rPr>
              <w:br/>
            </w:r>
            <w:r w:rsidRPr="005D1C1E">
              <w:rPr>
                <w:rFonts w:ascii="Arial" w:hAnsi="Arial" w:cs="Arial"/>
                <w:bCs/>
                <w:color w:val="000000"/>
              </w:rPr>
              <w:br/>
              <w:t>50 mg/10 mL injection, 10 mL</w:t>
            </w:r>
            <w:r w:rsidRPr="005D1C1E">
              <w:rPr>
                <w:rFonts w:ascii="Arial" w:hAnsi="Arial" w:cs="Arial"/>
                <w:bCs/>
                <w:color w:val="000000"/>
              </w:rPr>
              <w:br/>
              <w:t>200 mg/40 mL injection, 40 mL</w:t>
            </w:r>
            <w:r w:rsidRPr="005D1C1E">
              <w:rPr>
                <w:rFonts w:ascii="Arial" w:hAnsi="Arial" w:cs="Arial"/>
                <w:bCs/>
                <w:color w:val="000000"/>
              </w:rPr>
              <w:br/>
            </w:r>
            <w:r w:rsidRPr="005D1C1E">
              <w:rPr>
                <w:rFonts w:ascii="Arial" w:hAnsi="Arial" w:cs="Arial"/>
                <w:bCs/>
                <w:color w:val="000000"/>
              </w:rPr>
              <w:br/>
              <w:t>Yervoy</w:t>
            </w:r>
            <w:r w:rsidRPr="00A50173">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Bristol-Myers Squibb Australia Ltd</w:t>
            </w:r>
            <w:r w:rsidRPr="00767E3C">
              <w:rPr>
                <w:rFonts w:ascii="Arial" w:hAnsi="Arial" w:cs="Arial"/>
                <w:color w:val="000000"/>
              </w:rPr>
              <w:t xml:space="preserve"> </w:t>
            </w:r>
          </w:p>
          <w:p w:rsidR="0002265A" w:rsidRDefault="0002265A" w:rsidP="009A1758">
            <w:pPr>
              <w:rPr>
                <w:rFonts w:ascii="Arial" w:hAnsi="Arial" w:cs="Arial"/>
                <w:color w:val="000000"/>
              </w:rPr>
            </w:pPr>
          </w:p>
          <w:p w:rsidR="0002265A" w:rsidRPr="00767E3C" w:rsidRDefault="0002265A" w:rsidP="009A1758">
            <w:pPr>
              <w:rPr>
                <w:rFonts w:ascii="Arial" w:hAnsi="Arial" w:cs="Arial"/>
                <w:color w:val="000000"/>
              </w:rPr>
            </w:pPr>
            <w:r w:rsidRPr="005D1C1E">
              <w:rPr>
                <w:rFonts w:ascii="Arial" w:hAnsi="Arial" w:cs="Arial"/>
                <w:bCs/>
                <w:color w:val="000000"/>
              </w:rPr>
              <w:t>Change to listing</w:t>
            </w:r>
            <w:r w:rsidRPr="005D1C1E">
              <w:rPr>
                <w:rFonts w:ascii="Arial" w:hAnsi="Arial" w:cs="Arial"/>
                <w:bCs/>
                <w:color w:val="000000"/>
              </w:rPr>
              <w:br/>
            </w:r>
            <w:r w:rsidRPr="005D1C1E">
              <w:rPr>
                <w:rFonts w:ascii="Arial" w:hAnsi="Arial" w:cs="Arial"/>
                <w:bCs/>
                <w:color w:val="000000"/>
              </w:rPr>
              <w:br/>
              <w:t>(</w:t>
            </w:r>
            <w:r w:rsidRPr="001A37EB">
              <w:rPr>
                <w:rFonts w:ascii="Arial" w:hAnsi="Arial" w:cs="Arial"/>
                <w:bCs/>
                <w:color w:val="000000"/>
              </w:rPr>
              <w:t>Minor</w:t>
            </w:r>
            <w:r w:rsidRPr="005D1C1E">
              <w:rPr>
                <w:rFonts w:ascii="Arial" w:hAnsi="Arial" w:cs="Arial"/>
                <w:bCs/>
                <w:color w:val="000000"/>
              </w:rPr>
              <w:t xml:space="preserve">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472215">
            <w:pPr>
              <w:rPr>
                <w:rFonts w:ascii="Arial" w:hAnsi="Arial" w:cs="Arial"/>
                <w:color w:val="000000"/>
              </w:rPr>
            </w:pPr>
            <w:r w:rsidRPr="005D1C1E">
              <w:rPr>
                <w:rFonts w:ascii="Arial" w:hAnsi="Arial" w:cs="Arial"/>
                <w:bCs/>
                <w:color w:val="000000"/>
              </w:rPr>
              <w:t>Metastatic melanoma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9A1758">
            <w:pPr>
              <w:rPr>
                <w:rFonts w:ascii="Arial" w:hAnsi="Arial" w:cs="Arial"/>
                <w:color w:val="000000"/>
              </w:rPr>
            </w:pPr>
            <w:r w:rsidRPr="005D1C1E">
              <w:rPr>
                <w:rFonts w:ascii="Arial" w:hAnsi="Arial" w:cs="Arial"/>
                <w:bCs/>
                <w:color w:val="000000"/>
              </w:rPr>
              <w:t xml:space="preserve">Request to change the wording in the current restriction from 'the treatment must be as monotherapy' to 'the treatment must be the sole PBS-subsidised therapy for this condition' </w:t>
            </w:r>
          </w:p>
        </w:tc>
        <w:tc>
          <w:tcPr>
            <w:tcW w:w="5562" w:type="dxa"/>
            <w:tcBorders>
              <w:top w:val="single" w:sz="4" w:space="0" w:color="auto"/>
              <w:left w:val="single" w:sz="4" w:space="0" w:color="auto"/>
              <w:bottom w:val="single" w:sz="4" w:space="0" w:color="auto"/>
              <w:right w:val="single" w:sz="4" w:space="0" w:color="auto"/>
            </w:tcBorders>
          </w:tcPr>
          <w:p w:rsidR="00530F0B" w:rsidRPr="00530F0B" w:rsidRDefault="0002265A" w:rsidP="00530F0B">
            <w:pPr>
              <w:rPr>
                <w:rFonts w:ascii="Arial" w:hAnsi="Arial" w:cs="Arial"/>
                <w:bCs/>
                <w:color w:val="000000"/>
              </w:rPr>
            </w:pPr>
            <w:r w:rsidRPr="00530F0B">
              <w:rPr>
                <w:rFonts w:ascii="Arial" w:hAnsi="Arial" w:cs="Arial"/>
                <w:bCs/>
                <w:color w:val="000000"/>
              </w:rPr>
              <w:t>The</w:t>
            </w:r>
            <w:r w:rsidR="00530F0B" w:rsidRPr="00530F0B">
              <w:rPr>
                <w:rFonts w:ascii="Arial" w:hAnsi="Arial" w:cs="Arial"/>
                <w:bCs/>
                <w:color w:val="000000"/>
              </w:rPr>
              <w:t xml:space="preserve"> PBAC recommended the PBS restriction for ipilimumab for the treatment of unresectable stage III or stage IV maligna</w:t>
            </w:r>
            <w:r w:rsidR="00A50173">
              <w:rPr>
                <w:rFonts w:ascii="Arial" w:hAnsi="Arial" w:cs="Arial"/>
                <w:bCs/>
                <w:color w:val="000000"/>
              </w:rPr>
              <w:t>nt melanoma be amended to read ‘</w:t>
            </w:r>
            <w:r w:rsidR="00530F0B" w:rsidRPr="00530F0B">
              <w:rPr>
                <w:rFonts w:ascii="Arial" w:hAnsi="Arial" w:cs="Arial"/>
                <w:bCs/>
                <w:color w:val="000000"/>
              </w:rPr>
              <w:t>The treatment must be the sole PBS-subsidised therapy for this condition</w:t>
            </w:r>
            <w:r w:rsidR="00A50173">
              <w:rPr>
                <w:rFonts w:ascii="Arial" w:hAnsi="Arial" w:cs="Arial"/>
                <w:bCs/>
                <w:color w:val="000000"/>
              </w:rPr>
              <w:t>’</w:t>
            </w:r>
            <w:r w:rsidR="00530F0B" w:rsidRPr="00530F0B">
              <w:rPr>
                <w:rFonts w:ascii="Arial" w:hAnsi="Arial" w:cs="Arial"/>
                <w:bCs/>
                <w:color w:val="000000"/>
              </w:rPr>
              <w:t>, on the basis that it would remain as an Authority Required (STREAMLINED) listing only under special arrangements under Section 100 Efficient Funding of Chemotherapy.  The PBAC was satisfied that the proposed change in restriction</w:t>
            </w:r>
            <w:r w:rsidR="00A50173">
              <w:rPr>
                <w:rFonts w:ascii="Arial" w:hAnsi="Arial" w:cs="Arial"/>
                <w:bCs/>
                <w:color w:val="000000"/>
              </w:rPr>
              <w:t xml:space="preserve"> wording was</w:t>
            </w:r>
            <w:r w:rsidR="00530F0B" w:rsidRPr="00530F0B">
              <w:rPr>
                <w:rFonts w:ascii="Arial" w:hAnsi="Arial" w:cs="Arial"/>
                <w:bCs/>
                <w:color w:val="000000"/>
              </w:rPr>
              <w:t xml:space="preserve"> consistent with other PBS listed agents currently available for the treatment of this condition. </w:t>
            </w:r>
          </w:p>
          <w:p w:rsidR="0002265A" w:rsidRPr="00767E3C" w:rsidRDefault="0002265A" w:rsidP="009A1758">
            <w:pPr>
              <w:rPr>
                <w:rFonts w:ascii="Arial" w:hAnsi="Arial" w:cs="Arial"/>
              </w:rPr>
            </w:pPr>
            <w:r w:rsidRPr="00767E3C">
              <w:rPr>
                <w:rFonts w:ascii="Arial" w:hAnsi="Arial" w:cs="Arial"/>
              </w:rPr>
              <w:t xml:space="preserve"> </w:t>
            </w:r>
          </w:p>
        </w:tc>
      </w:tr>
      <w:tr w:rsidR="0002265A" w:rsidRPr="00767E3C" w:rsidTr="00193812">
        <w:trPr>
          <w:trHeight w:val="5696"/>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02265A" w:rsidP="009A1758">
            <w:pPr>
              <w:rPr>
                <w:rFonts w:ascii="Arial" w:hAnsi="Arial" w:cs="Arial"/>
                <w:bCs/>
                <w:color w:val="000000"/>
              </w:rPr>
            </w:pPr>
            <w:r w:rsidRPr="005D1C1E">
              <w:rPr>
                <w:rFonts w:ascii="Arial" w:hAnsi="Arial" w:cs="Arial"/>
                <w:bCs/>
                <w:color w:val="000000"/>
              </w:rPr>
              <w:lastRenderedPageBreak/>
              <w:t>IXEKIZUMAB</w:t>
            </w:r>
            <w:r w:rsidRPr="005D1C1E">
              <w:rPr>
                <w:rFonts w:ascii="Arial" w:hAnsi="Arial" w:cs="Arial"/>
                <w:bCs/>
                <w:color w:val="000000"/>
              </w:rPr>
              <w:br/>
            </w:r>
            <w:r w:rsidRPr="005D1C1E">
              <w:rPr>
                <w:rFonts w:ascii="Arial" w:hAnsi="Arial" w:cs="Arial"/>
                <w:bCs/>
                <w:color w:val="000000"/>
              </w:rPr>
              <w:br/>
              <w:t>80 mg/mL injection 2</w:t>
            </w:r>
            <w:r w:rsidRPr="001A37EB">
              <w:rPr>
                <w:rFonts w:ascii="Arial" w:hAnsi="Arial" w:cs="Arial"/>
                <w:bCs/>
                <w:color w:val="000000"/>
              </w:rPr>
              <w:t xml:space="preserve"> x 1</w:t>
            </w:r>
            <w:r w:rsidR="00482096">
              <w:rPr>
                <w:rFonts w:ascii="Arial" w:hAnsi="Arial" w:cs="Arial"/>
                <w:bCs/>
                <w:color w:val="000000"/>
              </w:rPr>
              <w:t> </w:t>
            </w:r>
            <w:r w:rsidRPr="001A37EB">
              <w:rPr>
                <w:rFonts w:ascii="Arial" w:hAnsi="Arial" w:cs="Arial"/>
                <w:bCs/>
                <w:color w:val="000000"/>
              </w:rPr>
              <w:t>mL syringe</w:t>
            </w:r>
            <w:r w:rsidRPr="005D1C1E">
              <w:rPr>
                <w:rFonts w:ascii="Arial" w:hAnsi="Arial" w:cs="Arial"/>
                <w:bCs/>
                <w:color w:val="000000"/>
              </w:rPr>
              <w:br/>
              <w:t>80 mg/mL injection 2</w:t>
            </w:r>
            <w:r w:rsidRPr="001A37EB">
              <w:rPr>
                <w:rFonts w:ascii="Arial" w:hAnsi="Arial" w:cs="Arial"/>
                <w:bCs/>
                <w:color w:val="000000"/>
              </w:rPr>
              <w:t xml:space="preserve"> x 1</w:t>
            </w:r>
            <w:r w:rsidR="00482096">
              <w:rPr>
                <w:rFonts w:ascii="Arial" w:hAnsi="Arial" w:cs="Arial"/>
                <w:bCs/>
                <w:color w:val="000000"/>
              </w:rPr>
              <w:t> </w:t>
            </w:r>
            <w:r w:rsidRPr="001A37EB">
              <w:rPr>
                <w:rFonts w:ascii="Arial" w:hAnsi="Arial" w:cs="Arial"/>
                <w:bCs/>
                <w:color w:val="000000"/>
              </w:rPr>
              <w:t>mL injection device</w:t>
            </w:r>
            <w:r w:rsidRPr="005D1C1E">
              <w:rPr>
                <w:rFonts w:ascii="Arial" w:hAnsi="Arial" w:cs="Arial"/>
                <w:bCs/>
                <w:color w:val="000000"/>
              </w:rPr>
              <w:br/>
            </w:r>
            <w:r w:rsidRPr="005D1C1E">
              <w:rPr>
                <w:rFonts w:ascii="Arial" w:hAnsi="Arial" w:cs="Arial"/>
                <w:bCs/>
                <w:color w:val="000000"/>
              </w:rPr>
              <w:br/>
              <w:t>Taltz</w:t>
            </w:r>
            <w:r w:rsidRPr="00A50173">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 xml:space="preserve">Eli Lilly Australia Pty Ltd </w:t>
            </w:r>
          </w:p>
          <w:p w:rsidR="0002265A" w:rsidRDefault="0002265A" w:rsidP="009A1758">
            <w:pPr>
              <w:rPr>
                <w:rFonts w:ascii="Arial" w:hAnsi="Arial" w:cs="Arial"/>
                <w:bCs/>
                <w:color w:val="000000"/>
              </w:rPr>
            </w:pPr>
          </w:p>
          <w:p w:rsidR="0002265A" w:rsidRPr="00767E3C" w:rsidRDefault="0002265A" w:rsidP="009A1758">
            <w:pPr>
              <w:rPr>
                <w:rFonts w:ascii="Arial" w:hAnsi="Arial" w:cs="Arial"/>
                <w:color w:val="000000"/>
              </w:rPr>
            </w:pPr>
            <w:r w:rsidRPr="005D1C1E">
              <w:rPr>
                <w:rFonts w:ascii="Arial" w:hAnsi="Arial" w:cs="Arial"/>
                <w:bCs/>
                <w:color w:val="000000"/>
              </w:rPr>
              <w:t>New listing</w:t>
            </w:r>
            <w:r w:rsidRPr="005D1C1E">
              <w:rPr>
                <w:rFonts w:ascii="Arial" w:hAnsi="Arial" w:cs="Arial"/>
                <w:bCs/>
                <w:color w:val="000000"/>
              </w:rPr>
              <w:br/>
            </w:r>
            <w:r w:rsidRPr="005D1C1E">
              <w:rPr>
                <w:rFonts w:ascii="Arial" w:hAnsi="Arial" w:cs="Arial"/>
                <w:bCs/>
                <w:color w:val="000000"/>
              </w:rPr>
              <w:b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02265A">
            <w:pPr>
              <w:rPr>
                <w:rFonts w:ascii="Arial" w:hAnsi="Arial" w:cs="Arial"/>
                <w:color w:val="000000"/>
              </w:rPr>
            </w:pPr>
            <w:r w:rsidRPr="005D1C1E">
              <w:rPr>
                <w:rFonts w:ascii="Arial" w:hAnsi="Arial" w:cs="Arial"/>
                <w:bCs/>
                <w:color w:val="000000"/>
              </w:rPr>
              <w:t>Plaque psoriasis</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9A1758">
            <w:pPr>
              <w:rPr>
                <w:rFonts w:ascii="Arial" w:hAnsi="Arial" w:cs="Arial"/>
                <w:color w:val="000000"/>
              </w:rPr>
            </w:pPr>
            <w:r w:rsidRPr="005D1C1E">
              <w:rPr>
                <w:rFonts w:ascii="Arial" w:hAnsi="Arial" w:cs="Arial"/>
                <w:bCs/>
                <w:color w:val="000000"/>
              </w:rPr>
              <w:t>Authority Required listing for severe chronic plaque psoriasis.</w:t>
            </w:r>
          </w:p>
        </w:tc>
        <w:tc>
          <w:tcPr>
            <w:tcW w:w="5562" w:type="dxa"/>
            <w:tcBorders>
              <w:top w:val="single" w:sz="4" w:space="0" w:color="auto"/>
              <w:left w:val="single" w:sz="4" w:space="0" w:color="auto"/>
              <w:bottom w:val="single" w:sz="4" w:space="0" w:color="auto"/>
              <w:right w:val="single" w:sz="4" w:space="0" w:color="auto"/>
            </w:tcBorders>
          </w:tcPr>
          <w:p w:rsidR="0032697C" w:rsidRPr="0032697C" w:rsidRDefault="0002265A" w:rsidP="0032697C">
            <w:pPr>
              <w:rPr>
                <w:rFonts w:ascii="Arial" w:hAnsi="Arial" w:cs="Arial"/>
                <w:bCs/>
                <w:color w:val="000000"/>
              </w:rPr>
            </w:pPr>
            <w:r w:rsidRPr="0032697C">
              <w:rPr>
                <w:rFonts w:ascii="Arial" w:hAnsi="Arial" w:cs="Arial"/>
                <w:bCs/>
                <w:color w:val="000000"/>
              </w:rPr>
              <w:t xml:space="preserve">The </w:t>
            </w:r>
            <w:r w:rsidR="0032697C" w:rsidRPr="0032697C">
              <w:rPr>
                <w:rFonts w:ascii="Arial" w:hAnsi="Arial" w:cs="Arial"/>
                <w:bCs/>
                <w:color w:val="000000"/>
              </w:rPr>
              <w:t xml:space="preserve">PBAC recommended an Authority Required listing of ixekizumab for the treatment of severe chronic plaque psoriasis that is refractory to treatment with non-biological DMARDs. </w:t>
            </w:r>
          </w:p>
          <w:p w:rsidR="0032697C" w:rsidRPr="0032697C" w:rsidRDefault="0032697C" w:rsidP="0032697C">
            <w:pPr>
              <w:ind w:left="720"/>
              <w:rPr>
                <w:rFonts w:ascii="Arial" w:hAnsi="Arial" w:cs="Arial"/>
                <w:bCs/>
                <w:color w:val="000000"/>
              </w:rPr>
            </w:pPr>
          </w:p>
          <w:p w:rsidR="0032697C" w:rsidRPr="0032697C" w:rsidRDefault="0032697C" w:rsidP="0032697C">
            <w:pPr>
              <w:rPr>
                <w:rFonts w:ascii="Arial" w:hAnsi="Arial" w:cs="Arial"/>
                <w:bCs/>
                <w:color w:val="000000"/>
              </w:rPr>
            </w:pPr>
            <w:r w:rsidRPr="0032697C">
              <w:rPr>
                <w:rFonts w:ascii="Arial" w:hAnsi="Arial" w:cs="Arial"/>
                <w:bCs/>
                <w:color w:val="000000"/>
              </w:rPr>
              <w:t xml:space="preserve">The PBAC accepted that the clinical place </w:t>
            </w:r>
            <w:r w:rsidR="00A50173">
              <w:rPr>
                <w:rFonts w:ascii="Arial" w:hAnsi="Arial" w:cs="Arial"/>
                <w:bCs/>
                <w:color w:val="000000"/>
              </w:rPr>
              <w:t>in</w:t>
            </w:r>
            <w:r w:rsidRPr="0032697C">
              <w:rPr>
                <w:rFonts w:ascii="Arial" w:hAnsi="Arial" w:cs="Arial"/>
                <w:bCs/>
                <w:color w:val="000000"/>
              </w:rPr>
              <w:t xml:space="preserve"> therapy </w:t>
            </w:r>
            <w:r w:rsidR="00A50173">
              <w:rPr>
                <w:rFonts w:ascii="Arial" w:hAnsi="Arial" w:cs="Arial"/>
                <w:bCs/>
                <w:color w:val="000000"/>
              </w:rPr>
              <w:t xml:space="preserve">for treatment with </w:t>
            </w:r>
            <w:r w:rsidRPr="0032697C">
              <w:rPr>
                <w:rFonts w:ascii="Arial" w:hAnsi="Arial" w:cs="Arial"/>
                <w:bCs/>
                <w:color w:val="000000"/>
              </w:rPr>
              <w:t xml:space="preserve">ixekizumab would be as an alternative treatment option to the currently PBS listed bDMARDs. The PBAC noted the availability of five alternative bDMARDs listed on the PBS for the treatment of severe chronic plaque psoriasis and concluded that it was uncertain how ixekizumab addressed a clinical need that was not provided by another bDMARD. </w:t>
            </w:r>
          </w:p>
          <w:p w:rsidR="0032697C" w:rsidRPr="0032697C" w:rsidRDefault="0032697C" w:rsidP="0032697C">
            <w:pPr>
              <w:rPr>
                <w:rFonts w:ascii="Arial" w:hAnsi="Arial" w:cs="Arial"/>
                <w:bCs/>
                <w:color w:val="000000"/>
              </w:rPr>
            </w:pPr>
          </w:p>
          <w:p w:rsidR="0032697C" w:rsidRPr="0032697C" w:rsidRDefault="0032697C" w:rsidP="0032697C">
            <w:pPr>
              <w:rPr>
                <w:rFonts w:ascii="Arial" w:hAnsi="Arial" w:cs="Arial"/>
                <w:bCs/>
                <w:color w:val="000000"/>
              </w:rPr>
            </w:pPr>
            <w:r w:rsidRPr="0032697C">
              <w:rPr>
                <w:rFonts w:ascii="Arial" w:hAnsi="Arial" w:cs="Arial"/>
                <w:bCs/>
                <w:color w:val="000000"/>
              </w:rPr>
              <w:t xml:space="preserve">The PBAC noted that in the sponsor’s pre-PBAC response, the nominated comparator was changed (from ustekinumab in the submission) to secukinumab.  The PBAC considered that any of the currently PBS listed bDMARDs could be an appropriate </w:t>
            </w:r>
            <w:r w:rsidR="005703E4">
              <w:rPr>
                <w:rFonts w:ascii="Arial" w:hAnsi="Arial" w:cs="Arial"/>
                <w:bCs/>
                <w:color w:val="000000"/>
              </w:rPr>
              <w:t>alternative therapy</w:t>
            </w:r>
            <w:r w:rsidRPr="0032697C">
              <w:rPr>
                <w:rFonts w:ascii="Arial" w:hAnsi="Arial" w:cs="Arial"/>
                <w:bCs/>
                <w:color w:val="000000"/>
              </w:rPr>
              <w:t xml:space="preserve">, and that in the absence of demonstrated superior comparative effectiveness or safety over </w:t>
            </w:r>
            <w:r w:rsidR="005703E4">
              <w:rPr>
                <w:rFonts w:ascii="Arial" w:hAnsi="Arial" w:cs="Arial"/>
                <w:bCs/>
                <w:color w:val="000000"/>
              </w:rPr>
              <w:t xml:space="preserve">the </w:t>
            </w:r>
            <w:r w:rsidRPr="0032697C">
              <w:rPr>
                <w:rFonts w:ascii="Arial" w:hAnsi="Arial" w:cs="Arial"/>
                <w:bCs/>
                <w:color w:val="000000"/>
              </w:rPr>
              <w:t>alternative therapies, ixekizumab should be cost-minimised to the least costly bDMARD.</w:t>
            </w:r>
            <w:r w:rsidR="0021078F">
              <w:rPr>
                <w:rFonts w:ascii="Arial" w:hAnsi="Arial" w:cs="Arial"/>
                <w:bCs/>
                <w:color w:val="000000"/>
              </w:rPr>
              <w:t xml:space="preserve"> </w:t>
            </w:r>
          </w:p>
          <w:p w:rsidR="0032697C" w:rsidRPr="0032697C" w:rsidRDefault="0032697C" w:rsidP="0032697C">
            <w:pPr>
              <w:rPr>
                <w:rFonts w:ascii="Arial" w:hAnsi="Arial" w:cs="Arial"/>
                <w:bCs/>
                <w:color w:val="000000"/>
              </w:rPr>
            </w:pPr>
          </w:p>
          <w:p w:rsidR="0032697C" w:rsidRPr="0032697C" w:rsidRDefault="0032697C" w:rsidP="0032697C">
            <w:pPr>
              <w:rPr>
                <w:rFonts w:ascii="Arial" w:hAnsi="Arial" w:cs="Arial"/>
                <w:bCs/>
                <w:color w:val="000000"/>
              </w:rPr>
            </w:pPr>
            <w:r w:rsidRPr="0032697C">
              <w:rPr>
                <w:rFonts w:ascii="Arial" w:hAnsi="Arial" w:cs="Arial"/>
                <w:bCs/>
                <w:color w:val="000000"/>
              </w:rPr>
              <w:t xml:space="preserve">The PBAC did not accept the submission’s claim that ixekizumab was superior in comparative effectiveness and equivalent in comparative safety over ustekinumab and adalimumab. Noting potential exchangeability issues, and that only short-term comparative outcomes were available, the PBAC considered that there was no clear evidence that ixekizumab provided a significant improvement in efficacy or reduction of toxicity compared to the alternative bDMARDs.  </w:t>
            </w:r>
          </w:p>
          <w:p w:rsidR="0002265A" w:rsidRPr="0032697C" w:rsidRDefault="0002265A" w:rsidP="009A1758">
            <w:pPr>
              <w:rPr>
                <w:rFonts w:ascii="Arial" w:hAnsi="Arial" w:cs="Arial"/>
                <w:bCs/>
                <w:color w:val="000000"/>
              </w:rPr>
            </w:pPr>
          </w:p>
        </w:tc>
      </w:tr>
      <w:tr w:rsidR="00AE5DD0" w:rsidRPr="00767E3C" w:rsidTr="00A50173">
        <w:trPr>
          <w:trHeight w:val="3111"/>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AE5DD0" w:rsidRPr="00F3698C" w:rsidRDefault="00AE5DD0" w:rsidP="009A1758">
            <w:pPr>
              <w:rPr>
                <w:rFonts w:ascii="Arial" w:hAnsi="Arial" w:cs="Arial"/>
                <w:bCs/>
                <w:color w:val="000000"/>
              </w:rPr>
            </w:pPr>
            <w:r w:rsidRPr="00F3698C">
              <w:rPr>
                <w:rFonts w:ascii="Arial" w:hAnsi="Arial" w:cs="Arial"/>
                <w:bCs/>
                <w:color w:val="000000"/>
              </w:rPr>
              <w:lastRenderedPageBreak/>
              <w:t>LENVATINIB</w:t>
            </w:r>
          </w:p>
          <w:p w:rsidR="00AE5DD0" w:rsidRPr="00F3698C" w:rsidRDefault="00AE5DD0" w:rsidP="009A1758">
            <w:pPr>
              <w:rPr>
                <w:rFonts w:ascii="Arial" w:hAnsi="Arial" w:cs="Arial"/>
                <w:bCs/>
                <w:color w:val="000000"/>
              </w:rPr>
            </w:pPr>
          </w:p>
          <w:p w:rsidR="00AE5DD0" w:rsidRPr="00F3698C" w:rsidRDefault="00AE5DD0" w:rsidP="00AE5DD0">
            <w:pPr>
              <w:rPr>
                <w:rFonts w:ascii="Arial" w:hAnsi="Arial" w:cs="Arial"/>
                <w:color w:val="000000"/>
              </w:rPr>
            </w:pPr>
            <w:r w:rsidRPr="00F3698C">
              <w:rPr>
                <w:rFonts w:ascii="Arial" w:hAnsi="Arial" w:cs="Arial"/>
                <w:color w:val="000000"/>
              </w:rPr>
              <w:t>4 mg capsule, 30</w:t>
            </w:r>
          </w:p>
          <w:p w:rsidR="00AE5DD0" w:rsidRPr="00F3698C" w:rsidRDefault="00AE5DD0" w:rsidP="00AE5DD0">
            <w:pPr>
              <w:rPr>
                <w:rFonts w:ascii="Arial" w:hAnsi="Arial" w:cs="Arial"/>
                <w:color w:val="000000"/>
              </w:rPr>
            </w:pPr>
            <w:r w:rsidRPr="00F3698C">
              <w:rPr>
                <w:rFonts w:ascii="Arial" w:hAnsi="Arial" w:cs="Arial"/>
                <w:color w:val="000000"/>
              </w:rPr>
              <w:t>10 mg capsule, 30</w:t>
            </w:r>
          </w:p>
          <w:p w:rsidR="00AE5DD0" w:rsidRPr="00F3698C" w:rsidRDefault="00AE5DD0" w:rsidP="00AE5DD0">
            <w:pPr>
              <w:rPr>
                <w:rFonts w:ascii="Arial" w:hAnsi="Arial" w:cs="Arial"/>
                <w:color w:val="000000"/>
              </w:rPr>
            </w:pPr>
          </w:p>
          <w:p w:rsidR="00AE5DD0" w:rsidRPr="00F3698C" w:rsidRDefault="00AE5DD0" w:rsidP="00AE5DD0">
            <w:pPr>
              <w:rPr>
                <w:rFonts w:ascii="Arial" w:hAnsi="Arial" w:cs="Arial"/>
                <w:color w:val="000000"/>
              </w:rPr>
            </w:pPr>
            <w:r w:rsidRPr="00F3698C">
              <w:rPr>
                <w:rFonts w:ascii="Arial" w:hAnsi="Arial" w:cs="Arial"/>
                <w:color w:val="000000"/>
              </w:rPr>
              <w:t>Lenvima</w:t>
            </w:r>
            <w:r w:rsidRPr="00F3698C">
              <w:rPr>
                <w:rFonts w:ascii="Arial" w:hAnsi="Arial" w:cs="Arial"/>
                <w:color w:val="000000"/>
                <w:vertAlign w:val="superscript"/>
              </w:rPr>
              <w:t>®</w:t>
            </w:r>
          </w:p>
          <w:p w:rsidR="00AE5DD0" w:rsidRPr="00F3698C" w:rsidRDefault="00AE5DD0" w:rsidP="00AE5DD0">
            <w:pPr>
              <w:rPr>
                <w:rFonts w:ascii="Arial" w:hAnsi="Arial" w:cs="Arial"/>
                <w:color w:val="000000"/>
              </w:rPr>
            </w:pPr>
          </w:p>
          <w:p w:rsidR="00AE5DD0" w:rsidRPr="00F3698C" w:rsidRDefault="00AE5DD0" w:rsidP="00AE5DD0">
            <w:pPr>
              <w:rPr>
                <w:rFonts w:ascii="Arial" w:hAnsi="Arial" w:cs="Arial"/>
                <w:color w:val="000000"/>
              </w:rPr>
            </w:pPr>
            <w:r w:rsidRPr="00F3698C">
              <w:rPr>
                <w:rFonts w:ascii="Arial" w:hAnsi="Arial" w:cs="Arial"/>
                <w:color w:val="000000"/>
              </w:rPr>
              <w:t>Eisai Australia</w:t>
            </w:r>
          </w:p>
          <w:p w:rsidR="00AE5DD0" w:rsidRPr="00F3698C" w:rsidRDefault="00AE5DD0" w:rsidP="00AE5DD0">
            <w:pPr>
              <w:rPr>
                <w:rFonts w:ascii="Arial" w:hAnsi="Arial" w:cs="Arial"/>
                <w:color w:val="000000"/>
              </w:rPr>
            </w:pPr>
          </w:p>
          <w:p w:rsidR="00AE5DD0" w:rsidRPr="00F3698C" w:rsidRDefault="00AE5DD0" w:rsidP="00AE5DD0">
            <w:pPr>
              <w:rPr>
                <w:rFonts w:ascii="Arial" w:hAnsi="Arial" w:cs="Arial"/>
                <w:color w:val="000000"/>
              </w:rPr>
            </w:pPr>
            <w:r w:rsidRPr="00F3698C">
              <w:rPr>
                <w:rFonts w:ascii="Arial" w:hAnsi="Arial" w:cs="Arial"/>
                <w:color w:val="000000"/>
              </w:rPr>
              <w:t>Matters Outstanding</w:t>
            </w:r>
          </w:p>
          <w:p w:rsidR="00AE5DD0" w:rsidRPr="00F3698C" w:rsidRDefault="00AE5DD0" w:rsidP="00AE5DD0">
            <w:pPr>
              <w:rPr>
                <w:rFonts w:ascii="Arial" w:hAnsi="Arial" w:cs="Arial"/>
                <w:color w:val="000000"/>
              </w:rPr>
            </w:pPr>
          </w:p>
          <w:p w:rsidR="00AE5DD0" w:rsidRPr="00F3698C" w:rsidRDefault="00AE5DD0" w:rsidP="00AE5DD0">
            <w:pPr>
              <w:rPr>
                <w:rFonts w:ascii="Arial" w:hAnsi="Arial" w:cs="Arial"/>
                <w:bCs/>
                <w:color w:val="000000"/>
              </w:rPr>
            </w:pPr>
            <w:r w:rsidRPr="00F3698C">
              <w:rPr>
                <w:rFonts w:ascii="Arial" w:hAnsi="Arial" w:cs="Arial"/>
                <w:color w:val="000000"/>
              </w:rP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AE5DD0" w:rsidRPr="00F3698C" w:rsidRDefault="00AE5DD0" w:rsidP="0002265A">
            <w:pPr>
              <w:rPr>
                <w:rFonts w:ascii="Arial" w:hAnsi="Arial" w:cs="Arial"/>
                <w:bCs/>
                <w:color w:val="000000"/>
              </w:rPr>
            </w:pPr>
            <w:r w:rsidRPr="00F3698C">
              <w:rPr>
                <w:rFonts w:ascii="Arial" w:hAnsi="Arial" w:cs="Arial"/>
                <w:bCs/>
                <w:color w:val="000000"/>
              </w:rPr>
              <w:t>Thyroid cancer</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AE5DD0" w:rsidRPr="00F3698C" w:rsidRDefault="00AE5DD0" w:rsidP="00AE5DD0">
            <w:pPr>
              <w:rPr>
                <w:rFonts w:ascii="Arial" w:hAnsi="Arial" w:cs="Arial"/>
                <w:color w:val="000000"/>
              </w:rPr>
            </w:pPr>
            <w:r w:rsidRPr="00F3698C">
              <w:rPr>
                <w:rFonts w:ascii="Arial" w:hAnsi="Arial" w:cs="Arial"/>
                <w:color w:val="000000"/>
              </w:rPr>
              <w:t xml:space="preserve">The </w:t>
            </w:r>
            <w:r w:rsidR="00A50173" w:rsidRPr="00F3698C">
              <w:rPr>
                <w:rFonts w:ascii="Arial" w:hAnsi="Arial" w:cs="Arial"/>
                <w:color w:val="000000"/>
              </w:rPr>
              <w:t>re</w:t>
            </w:r>
            <w:r w:rsidRPr="00F3698C">
              <w:rPr>
                <w:rFonts w:ascii="Arial" w:hAnsi="Arial" w:cs="Arial"/>
                <w:color w:val="000000"/>
              </w:rPr>
              <w:t xml:space="preserve">submission requested </w:t>
            </w:r>
            <w:r w:rsidR="00F3698C" w:rsidRPr="00F3698C">
              <w:rPr>
                <w:rFonts w:ascii="Arial" w:hAnsi="Arial" w:cs="Arial"/>
                <w:color w:val="000000"/>
              </w:rPr>
              <w:t>an</w:t>
            </w:r>
            <w:r w:rsidRPr="00F3698C">
              <w:rPr>
                <w:rFonts w:ascii="Arial" w:hAnsi="Arial" w:cs="Arial"/>
                <w:color w:val="000000"/>
              </w:rPr>
              <w:t xml:space="preserve"> Authority Required listing for lenvatinib for treatment of locally advanced or metastatic radioactive iodine refractory differentiated thyroid cancer.</w:t>
            </w:r>
          </w:p>
          <w:p w:rsidR="00A50173" w:rsidRPr="00F3698C" w:rsidRDefault="00A50173" w:rsidP="00AE5DD0">
            <w:pPr>
              <w:rPr>
                <w:rFonts w:ascii="Arial" w:hAnsi="Arial" w:cs="Arial"/>
                <w:color w:val="000000"/>
              </w:rPr>
            </w:pPr>
          </w:p>
          <w:p w:rsidR="00A50173" w:rsidRPr="00F3698C" w:rsidRDefault="00A50173" w:rsidP="00AE5DD0">
            <w:pPr>
              <w:rPr>
                <w:rFonts w:ascii="Arial" w:hAnsi="Arial" w:cs="Arial"/>
                <w:bCs/>
                <w:i/>
                <w:color w:val="000000"/>
              </w:rPr>
            </w:pPr>
          </w:p>
        </w:tc>
        <w:tc>
          <w:tcPr>
            <w:tcW w:w="5562" w:type="dxa"/>
            <w:tcBorders>
              <w:top w:val="single" w:sz="4" w:space="0" w:color="auto"/>
              <w:left w:val="single" w:sz="4" w:space="0" w:color="auto"/>
              <w:bottom w:val="single" w:sz="4" w:space="0" w:color="auto"/>
              <w:right w:val="single" w:sz="4" w:space="0" w:color="auto"/>
            </w:tcBorders>
          </w:tcPr>
          <w:p w:rsidR="00AE5DD0" w:rsidRPr="00F3698C" w:rsidRDefault="00AE5DD0" w:rsidP="00AE5DD0">
            <w:pPr>
              <w:rPr>
                <w:rFonts w:ascii="Arial" w:hAnsi="Arial" w:cs="Arial"/>
                <w:bCs/>
                <w:color w:val="000000"/>
              </w:rPr>
            </w:pPr>
            <w:r w:rsidRPr="00F3698C">
              <w:rPr>
                <w:rFonts w:ascii="Arial" w:hAnsi="Arial" w:cs="Arial"/>
                <w:bCs/>
                <w:color w:val="000000"/>
              </w:rPr>
              <w:t>The PBAC recommended the listing of lenvatinib for the treatment of radioactive iodine refra</w:t>
            </w:r>
            <w:r w:rsidR="00A50173" w:rsidRPr="00F3698C">
              <w:rPr>
                <w:rFonts w:ascii="Arial" w:hAnsi="Arial" w:cs="Arial"/>
                <w:bCs/>
                <w:color w:val="000000"/>
              </w:rPr>
              <w:t>ctory differentiated thyroid cancer</w:t>
            </w:r>
            <w:r w:rsidRPr="00F3698C">
              <w:rPr>
                <w:rFonts w:ascii="Arial" w:hAnsi="Arial" w:cs="Arial"/>
                <w:bCs/>
                <w:color w:val="000000"/>
              </w:rPr>
              <w:t xml:space="preserve"> (RAI-R DTC) on the basis of acceptable cost effectiveness over best supportive care.  The listing was recommended based on the new offered price and a risk sharing arrangement.</w:t>
            </w:r>
          </w:p>
          <w:p w:rsidR="00AE5DD0" w:rsidRPr="00F3698C" w:rsidRDefault="00AE5DD0" w:rsidP="0032697C">
            <w:pPr>
              <w:rPr>
                <w:rFonts w:ascii="Arial" w:hAnsi="Arial" w:cs="Arial"/>
                <w:bCs/>
                <w:color w:val="000000"/>
              </w:rPr>
            </w:pPr>
          </w:p>
        </w:tc>
      </w:tr>
      <w:tr w:rsidR="0002265A" w:rsidRPr="00767E3C" w:rsidTr="00A50173">
        <w:trPr>
          <w:trHeight w:val="382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3148C8" w:rsidRDefault="003148C8" w:rsidP="003148C8">
            <w:pPr>
              <w:rPr>
                <w:rFonts w:ascii="Arial" w:hAnsi="Arial" w:cs="Arial"/>
                <w:bCs/>
                <w:color w:val="000000"/>
              </w:rPr>
            </w:pPr>
            <w:r w:rsidRPr="005D1C1E">
              <w:rPr>
                <w:rFonts w:ascii="Arial" w:hAnsi="Arial" w:cs="Arial"/>
                <w:bCs/>
                <w:caps/>
                <w:color w:val="000000"/>
              </w:rPr>
              <w:t>Leuprorelin and Bicalutamide</w:t>
            </w:r>
            <w:r w:rsidRPr="005D1C1E">
              <w:rPr>
                <w:rFonts w:ascii="Arial" w:hAnsi="Arial" w:cs="Arial"/>
                <w:bCs/>
                <w:caps/>
                <w:color w:val="000000"/>
              </w:rPr>
              <w:br/>
            </w:r>
            <w:r>
              <w:rPr>
                <w:rFonts w:ascii="Arial" w:hAnsi="Arial" w:cs="Arial"/>
                <w:bCs/>
                <w:color w:val="000000"/>
              </w:rPr>
              <w:br/>
              <w:t>Leuprorelin 7.5</w:t>
            </w:r>
            <w:r w:rsidRPr="005D1C1E">
              <w:rPr>
                <w:rFonts w:ascii="Arial" w:hAnsi="Arial" w:cs="Arial"/>
                <w:bCs/>
                <w:color w:val="000000"/>
              </w:rPr>
              <w:t xml:space="preserve"> mg injection and bicalutamide 50 mg tablet</w:t>
            </w:r>
            <w:r>
              <w:rPr>
                <w:rFonts w:ascii="Arial" w:hAnsi="Arial" w:cs="Arial"/>
                <w:bCs/>
                <w:color w:val="000000"/>
              </w:rPr>
              <w:t>, 28</w:t>
            </w:r>
          </w:p>
          <w:p w:rsidR="003148C8" w:rsidRDefault="003148C8" w:rsidP="003148C8">
            <w:pPr>
              <w:rPr>
                <w:rFonts w:ascii="Arial" w:hAnsi="Arial" w:cs="Arial"/>
                <w:bCs/>
                <w:color w:val="000000"/>
              </w:rPr>
            </w:pPr>
            <w:r>
              <w:rPr>
                <w:rFonts w:ascii="Arial" w:hAnsi="Arial" w:cs="Arial"/>
                <w:bCs/>
                <w:color w:val="000000"/>
              </w:rPr>
              <w:t>Leuprorelin 22.5</w:t>
            </w:r>
            <w:r w:rsidRPr="005D1C1E">
              <w:rPr>
                <w:rFonts w:ascii="Arial" w:hAnsi="Arial" w:cs="Arial"/>
                <w:bCs/>
                <w:color w:val="000000"/>
              </w:rPr>
              <w:t xml:space="preserve"> mg injection and bicalutamide 50 mg tablet</w:t>
            </w:r>
            <w:r>
              <w:rPr>
                <w:rFonts w:ascii="Arial" w:hAnsi="Arial" w:cs="Arial"/>
                <w:bCs/>
                <w:color w:val="000000"/>
              </w:rPr>
              <w:t>, 28</w:t>
            </w:r>
          </w:p>
          <w:p w:rsidR="0002265A" w:rsidRDefault="003148C8" w:rsidP="003148C8">
            <w:pPr>
              <w:rPr>
                <w:rFonts w:ascii="Arial" w:hAnsi="Arial" w:cs="Arial"/>
                <w:color w:val="000000"/>
              </w:rPr>
            </w:pPr>
            <w:r>
              <w:rPr>
                <w:rFonts w:ascii="Arial" w:hAnsi="Arial" w:cs="Arial"/>
                <w:bCs/>
                <w:color w:val="000000"/>
              </w:rPr>
              <w:t>Leuprorelin 22.5</w:t>
            </w:r>
            <w:r w:rsidRPr="005D1C1E">
              <w:rPr>
                <w:rFonts w:ascii="Arial" w:hAnsi="Arial" w:cs="Arial"/>
                <w:bCs/>
                <w:color w:val="000000"/>
              </w:rPr>
              <w:t xml:space="preserve"> mg injection and bicalutamide 50 mg tablet</w:t>
            </w:r>
            <w:r>
              <w:rPr>
                <w:rFonts w:ascii="Arial" w:hAnsi="Arial" w:cs="Arial"/>
                <w:bCs/>
                <w:color w:val="000000"/>
              </w:rPr>
              <w:t>, 84</w:t>
            </w:r>
            <w:r w:rsidRPr="005D1C1E">
              <w:rPr>
                <w:rFonts w:ascii="Arial" w:hAnsi="Arial" w:cs="Arial"/>
                <w:bCs/>
                <w:color w:val="000000"/>
              </w:rPr>
              <w:br/>
            </w:r>
            <w:r w:rsidRPr="005D1C1E">
              <w:rPr>
                <w:rFonts w:ascii="Arial" w:hAnsi="Arial" w:cs="Arial"/>
                <w:bCs/>
                <w:color w:val="000000"/>
              </w:rPr>
              <w:br/>
              <w:t>Bi E</w:t>
            </w:r>
            <w:r w:rsidR="00FC2C74">
              <w:rPr>
                <w:rFonts w:ascii="Arial" w:hAnsi="Arial" w:cs="Arial"/>
                <w:bCs/>
                <w:color w:val="000000"/>
              </w:rPr>
              <w:t>ligard</w:t>
            </w:r>
            <w:r w:rsidRPr="005D1C1E">
              <w:rPr>
                <w:rFonts w:ascii="Arial" w:hAnsi="Arial" w:cs="Arial"/>
                <w:bCs/>
                <w:color w:val="000000"/>
              </w:rPr>
              <w:t xml:space="preserve"> CP</w:t>
            </w:r>
            <w:r w:rsidRPr="00A50173">
              <w:rPr>
                <w:rFonts w:ascii="Arial" w:hAnsi="Arial" w:cs="Arial"/>
                <w:bCs/>
                <w:color w:val="000000"/>
                <w:vertAlign w:val="superscript"/>
              </w:rPr>
              <w:t>®</w:t>
            </w:r>
            <w:r w:rsidRPr="005D1C1E">
              <w:rPr>
                <w:rFonts w:ascii="Arial" w:hAnsi="Arial" w:cs="Arial"/>
                <w:bCs/>
                <w:color w:val="000000"/>
              </w:rPr>
              <w:br/>
            </w:r>
            <w:r w:rsidRPr="005D1C1E">
              <w:rPr>
                <w:rFonts w:ascii="Arial" w:hAnsi="Arial" w:cs="Arial"/>
                <w:bCs/>
                <w:color w:val="000000"/>
              </w:rPr>
              <w:br/>
              <w:t>Tolmar Australia Pty Ltd</w:t>
            </w:r>
          </w:p>
          <w:p w:rsidR="003148C8" w:rsidRDefault="003148C8" w:rsidP="003148C8">
            <w:pPr>
              <w:rPr>
                <w:rFonts w:ascii="Arial" w:hAnsi="Arial" w:cs="Arial"/>
                <w:bCs/>
                <w:color w:val="000000"/>
              </w:rPr>
            </w:pPr>
          </w:p>
          <w:p w:rsidR="003148C8" w:rsidRDefault="003148C8" w:rsidP="003148C8">
            <w:pPr>
              <w:rPr>
                <w:rFonts w:ascii="Arial" w:hAnsi="Arial" w:cs="Arial"/>
                <w:color w:val="000000"/>
              </w:rPr>
            </w:pPr>
            <w:r w:rsidRPr="001A37EB">
              <w:rPr>
                <w:rFonts w:ascii="Arial" w:hAnsi="Arial" w:cs="Arial"/>
                <w:bCs/>
                <w:color w:val="000000"/>
              </w:rPr>
              <w:t>New listing</w:t>
            </w:r>
            <w:r w:rsidRPr="001A37EB">
              <w:rPr>
                <w:rFonts w:ascii="Arial" w:hAnsi="Arial" w:cs="Arial"/>
                <w:bCs/>
                <w:color w:val="000000"/>
              </w:rPr>
              <w:br/>
            </w:r>
            <w:r w:rsidRPr="001A37EB">
              <w:rPr>
                <w:rFonts w:ascii="Arial" w:hAnsi="Arial" w:cs="Arial"/>
                <w:bCs/>
                <w:color w:val="000000"/>
              </w:rPr>
              <w:br/>
              <w:t xml:space="preserve">(Minor </w:t>
            </w:r>
            <w:r w:rsidRPr="005D1C1E">
              <w:rPr>
                <w:rFonts w:ascii="Arial" w:hAnsi="Arial" w:cs="Arial"/>
                <w:bCs/>
                <w:color w:val="000000"/>
              </w:rPr>
              <w:t>Submission)</w:t>
            </w:r>
          </w:p>
          <w:p w:rsidR="003148C8" w:rsidRPr="00767E3C" w:rsidRDefault="003148C8" w:rsidP="003148C8">
            <w:pPr>
              <w:rPr>
                <w:rFonts w:ascii="Arial" w:hAnsi="Arial" w:cs="Arial"/>
                <w:color w:val="000000"/>
              </w:rPr>
            </w:pP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9A1758">
            <w:pPr>
              <w:rPr>
                <w:rFonts w:ascii="Arial" w:hAnsi="Arial" w:cs="Arial"/>
                <w:color w:val="000000"/>
              </w:rPr>
            </w:pPr>
            <w:r w:rsidRPr="005D1C1E">
              <w:rPr>
                <w:rFonts w:ascii="Arial" w:hAnsi="Arial" w:cs="Arial"/>
                <w:bCs/>
                <w:color w:val="000000"/>
              </w:rPr>
              <w:t>Metastatic (Stage D) prostate cancer</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9A1758">
            <w:pPr>
              <w:rPr>
                <w:rFonts w:ascii="Arial" w:hAnsi="Arial" w:cs="Arial"/>
                <w:color w:val="000000"/>
              </w:rPr>
            </w:pPr>
            <w:r w:rsidRPr="005D1C1E">
              <w:rPr>
                <w:rFonts w:ascii="Arial" w:hAnsi="Arial" w:cs="Arial"/>
                <w:bCs/>
                <w:color w:val="000000"/>
              </w:rPr>
              <w:t xml:space="preserve">Restricted </w:t>
            </w:r>
            <w:r w:rsidR="00DF1742">
              <w:rPr>
                <w:rFonts w:ascii="Arial" w:hAnsi="Arial" w:cs="Arial"/>
                <w:bCs/>
                <w:color w:val="000000"/>
              </w:rPr>
              <w:t>B</w:t>
            </w:r>
            <w:r w:rsidRPr="005D1C1E">
              <w:rPr>
                <w:rFonts w:ascii="Arial" w:hAnsi="Arial" w:cs="Arial"/>
                <w:bCs/>
                <w:color w:val="000000"/>
              </w:rPr>
              <w:t>enefit listing of a combination pack containing leuprorelin and bicalutamide for metastatic (Stage D) prostate cancer.</w:t>
            </w:r>
          </w:p>
        </w:tc>
        <w:tc>
          <w:tcPr>
            <w:tcW w:w="5562" w:type="dxa"/>
            <w:tcBorders>
              <w:top w:val="single" w:sz="4" w:space="0" w:color="auto"/>
              <w:left w:val="single" w:sz="4" w:space="0" w:color="auto"/>
              <w:bottom w:val="single" w:sz="4" w:space="0" w:color="auto"/>
              <w:right w:val="single" w:sz="4" w:space="0" w:color="auto"/>
            </w:tcBorders>
          </w:tcPr>
          <w:p w:rsidR="0002265A" w:rsidRPr="00767E3C" w:rsidRDefault="00640FDC" w:rsidP="00D45FC9">
            <w:pPr>
              <w:rPr>
                <w:rFonts w:ascii="Arial" w:hAnsi="Arial" w:cs="Arial"/>
              </w:rPr>
            </w:pPr>
            <w:r w:rsidRPr="00640FDC">
              <w:rPr>
                <w:rFonts w:ascii="Arial" w:hAnsi="Arial" w:cs="Arial"/>
              </w:rPr>
              <w:t xml:space="preserve">The PBAC recommended the listing of the leuprorelin and bicalutamide combination pack for metastatic (Stage D) </w:t>
            </w:r>
            <w:r w:rsidR="00A50173">
              <w:rPr>
                <w:rFonts w:ascii="Arial" w:hAnsi="Arial" w:cs="Arial"/>
              </w:rPr>
              <w:t xml:space="preserve">prostate </w:t>
            </w:r>
            <w:r w:rsidRPr="00640FDC">
              <w:rPr>
                <w:rFonts w:ascii="Arial" w:hAnsi="Arial" w:cs="Arial"/>
              </w:rPr>
              <w:t>cancer on a cost minimisation basis compared with the individual components. In making this recommendation, the PBAC noted that co-prescribed leuprorelin and bicalutamide has been used for many years, and an equivalent combination pack containing goserelin and bicalutamide has been on the PBS for more than five years with stable use.</w:t>
            </w:r>
          </w:p>
        </w:tc>
      </w:tr>
      <w:tr w:rsidR="0002265A"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9A1758">
            <w:pPr>
              <w:rPr>
                <w:rFonts w:ascii="Arial" w:hAnsi="Arial" w:cs="Arial"/>
                <w:color w:val="000000"/>
              </w:rPr>
            </w:pPr>
            <w:r w:rsidRPr="00363865">
              <w:rPr>
                <w:rFonts w:ascii="Arial" w:hAnsi="Arial" w:cs="Arial"/>
                <w:bCs/>
                <w:color w:val="000000"/>
              </w:rPr>
              <w:t>MEPOLIZUMAB</w:t>
            </w:r>
            <w:r w:rsidRPr="00363865">
              <w:rPr>
                <w:rFonts w:ascii="Arial" w:hAnsi="Arial" w:cs="Arial"/>
                <w:bCs/>
                <w:color w:val="000000"/>
              </w:rPr>
              <w:br/>
            </w:r>
            <w:r w:rsidRPr="00363865">
              <w:rPr>
                <w:rFonts w:ascii="Arial" w:hAnsi="Arial" w:cs="Arial"/>
                <w:bCs/>
                <w:color w:val="000000"/>
              </w:rPr>
              <w:br/>
              <w:t>100 mg/10 mL vial, powder for injection, 1</w:t>
            </w:r>
            <w:r w:rsidRPr="00363865">
              <w:rPr>
                <w:rFonts w:ascii="Arial" w:hAnsi="Arial" w:cs="Arial"/>
                <w:bCs/>
                <w:color w:val="000000"/>
              </w:rPr>
              <w:br/>
            </w:r>
            <w:r w:rsidRPr="00363865">
              <w:rPr>
                <w:rFonts w:ascii="Arial" w:hAnsi="Arial" w:cs="Arial"/>
                <w:bCs/>
                <w:color w:val="000000"/>
              </w:rPr>
              <w:br/>
            </w:r>
            <w:r w:rsidRPr="00363865">
              <w:rPr>
                <w:rFonts w:ascii="Arial" w:hAnsi="Arial" w:cs="Arial"/>
                <w:bCs/>
                <w:color w:val="000000"/>
              </w:rPr>
              <w:lastRenderedPageBreak/>
              <w:t>Nucala</w:t>
            </w:r>
            <w:r w:rsidRPr="00A50173">
              <w:rPr>
                <w:rFonts w:ascii="Arial" w:hAnsi="Arial" w:cs="Arial"/>
                <w:bCs/>
                <w:color w:val="000000"/>
                <w:vertAlign w:val="superscript"/>
              </w:rPr>
              <w:t>®</w:t>
            </w:r>
            <w:r w:rsidRPr="00363865">
              <w:rPr>
                <w:rFonts w:ascii="Arial" w:hAnsi="Arial" w:cs="Arial"/>
                <w:bCs/>
                <w:color w:val="000000"/>
              </w:rPr>
              <w:br/>
            </w:r>
            <w:r w:rsidRPr="00363865">
              <w:rPr>
                <w:rFonts w:ascii="Arial" w:hAnsi="Arial" w:cs="Arial"/>
                <w:bCs/>
                <w:color w:val="000000"/>
              </w:rPr>
              <w:br/>
              <w:t>GlaxoSmithKline Australia Pty Ltd</w:t>
            </w:r>
            <w:r w:rsidRPr="00767E3C">
              <w:rPr>
                <w:rFonts w:ascii="Arial" w:hAnsi="Arial" w:cs="Arial"/>
                <w:color w:val="000000"/>
              </w:rPr>
              <w:t xml:space="preserve"> </w:t>
            </w:r>
          </w:p>
          <w:p w:rsidR="0002265A" w:rsidRDefault="0002265A" w:rsidP="00472215">
            <w:pPr>
              <w:rPr>
                <w:rFonts w:ascii="Arial" w:hAnsi="Arial" w:cs="Arial"/>
                <w:color w:val="000000"/>
              </w:rPr>
            </w:pPr>
          </w:p>
          <w:p w:rsidR="003148C8" w:rsidRDefault="003148C8" w:rsidP="00472215">
            <w:pPr>
              <w:rPr>
                <w:rFonts w:ascii="Arial" w:hAnsi="Arial" w:cs="Arial"/>
                <w:bCs/>
                <w:color w:val="000000"/>
              </w:rPr>
            </w:pPr>
            <w:r w:rsidRPr="001A37EB">
              <w:rPr>
                <w:rFonts w:ascii="Arial" w:hAnsi="Arial" w:cs="Arial"/>
                <w:bCs/>
                <w:color w:val="000000"/>
              </w:rPr>
              <w:t>New listing</w:t>
            </w:r>
            <w:r w:rsidRPr="00363865">
              <w:rPr>
                <w:rFonts w:ascii="Arial" w:hAnsi="Arial" w:cs="Arial"/>
                <w:bCs/>
                <w:color w:val="000000"/>
              </w:rPr>
              <w:br/>
            </w:r>
            <w:r w:rsidRPr="00363865">
              <w:rPr>
                <w:rFonts w:ascii="Arial" w:hAnsi="Arial" w:cs="Arial"/>
                <w:bCs/>
                <w:color w:val="000000"/>
              </w:rPr>
              <w:br/>
              <w:t>(</w:t>
            </w:r>
            <w:r w:rsidRPr="001A37EB">
              <w:rPr>
                <w:rFonts w:ascii="Arial" w:hAnsi="Arial" w:cs="Arial"/>
                <w:bCs/>
                <w:color w:val="000000"/>
              </w:rPr>
              <w:t xml:space="preserve">Minor </w:t>
            </w:r>
            <w:r w:rsidRPr="00363865">
              <w:rPr>
                <w:rFonts w:ascii="Arial" w:hAnsi="Arial" w:cs="Arial"/>
                <w:bCs/>
                <w:color w:val="000000"/>
              </w:rPr>
              <w:t>Submission)</w:t>
            </w:r>
          </w:p>
          <w:p w:rsidR="0021078F" w:rsidRPr="00767E3C" w:rsidRDefault="0021078F" w:rsidP="00472215">
            <w:pPr>
              <w:rPr>
                <w:rFonts w:ascii="Arial" w:hAnsi="Arial" w:cs="Arial"/>
                <w:color w:val="000000"/>
              </w:rPr>
            </w:pP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9A1758">
            <w:pPr>
              <w:rPr>
                <w:rFonts w:ascii="Arial" w:hAnsi="Arial" w:cs="Arial"/>
                <w:color w:val="000000"/>
              </w:rPr>
            </w:pPr>
            <w:r w:rsidRPr="00363865">
              <w:rPr>
                <w:rFonts w:ascii="Arial" w:hAnsi="Arial" w:cs="Arial"/>
                <w:bCs/>
                <w:color w:val="000000"/>
              </w:rPr>
              <w:lastRenderedPageBreak/>
              <w:t>Severe eosinophilic asthma</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472215">
            <w:pPr>
              <w:rPr>
                <w:rFonts w:ascii="Arial" w:hAnsi="Arial" w:cs="Arial"/>
                <w:color w:val="000000"/>
              </w:rPr>
            </w:pPr>
            <w:r w:rsidRPr="00363865">
              <w:rPr>
                <w:rFonts w:ascii="Arial" w:hAnsi="Arial" w:cs="Arial"/>
                <w:bCs/>
                <w:color w:val="000000"/>
              </w:rPr>
              <w:t>Resubmission for a Section 100 (Hi</w:t>
            </w:r>
            <w:r w:rsidR="00A50173">
              <w:rPr>
                <w:rFonts w:ascii="Arial" w:hAnsi="Arial" w:cs="Arial"/>
                <w:bCs/>
                <w:color w:val="000000"/>
              </w:rPr>
              <w:t>ghly Specialised Drugs Program</w:t>
            </w:r>
            <w:r w:rsidRPr="00363865">
              <w:rPr>
                <w:rFonts w:ascii="Arial" w:hAnsi="Arial" w:cs="Arial"/>
                <w:bCs/>
                <w:color w:val="000000"/>
              </w:rPr>
              <w:t>) Authority Required listing for the treatment of severe eosinophilic asthma.</w:t>
            </w:r>
          </w:p>
        </w:tc>
        <w:tc>
          <w:tcPr>
            <w:tcW w:w="5562" w:type="dxa"/>
            <w:tcBorders>
              <w:top w:val="single" w:sz="4" w:space="0" w:color="auto"/>
              <w:left w:val="single" w:sz="4" w:space="0" w:color="auto"/>
              <w:bottom w:val="single" w:sz="4" w:space="0" w:color="auto"/>
              <w:right w:val="single" w:sz="4" w:space="0" w:color="auto"/>
            </w:tcBorders>
          </w:tcPr>
          <w:p w:rsidR="0002265A" w:rsidRPr="00767E3C" w:rsidRDefault="00AF4B87" w:rsidP="00A50173">
            <w:pPr>
              <w:rPr>
                <w:rFonts w:ascii="Arial" w:hAnsi="Arial" w:cs="Arial"/>
              </w:rPr>
            </w:pPr>
            <w:r w:rsidRPr="00AF4B87">
              <w:rPr>
                <w:rFonts w:ascii="Arial" w:hAnsi="Arial" w:cs="Arial"/>
                <w:bCs/>
                <w:color w:val="000000"/>
              </w:rPr>
              <w:t xml:space="preserve">The PBAC recommended the Section 100 </w:t>
            </w:r>
            <w:r w:rsidR="00A50173">
              <w:rPr>
                <w:rFonts w:ascii="Arial" w:hAnsi="Arial" w:cs="Arial"/>
                <w:bCs/>
                <w:color w:val="000000"/>
              </w:rPr>
              <w:t xml:space="preserve">(Highly Specialised Drugs Program) </w:t>
            </w:r>
            <w:r w:rsidRPr="00AF4B87">
              <w:rPr>
                <w:rFonts w:ascii="Arial" w:hAnsi="Arial" w:cs="Arial"/>
                <w:bCs/>
                <w:color w:val="000000"/>
              </w:rPr>
              <w:t>listing of mepolizumab on a cost-minimisation basis with omalizumab. The PBAC noted that the minor resubmission presented arguments for incorporating utilisation data into the calculation of equi-</w:t>
            </w:r>
            <w:r w:rsidRPr="00AF4B87">
              <w:rPr>
                <w:rFonts w:ascii="Arial" w:hAnsi="Arial" w:cs="Arial"/>
                <w:bCs/>
                <w:color w:val="000000"/>
              </w:rPr>
              <w:lastRenderedPageBreak/>
              <w:t>effective doses, but maintained their previous view that the equi-effective doses should be derived from clinical trial data. The equi-effective doses accepted by PBAC were mepolizumab 100 mg and omalizumab 398 mg.</w:t>
            </w:r>
          </w:p>
        </w:tc>
      </w:tr>
      <w:tr w:rsidR="0002265A" w:rsidRPr="00767E3C" w:rsidTr="00A50173">
        <w:trPr>
          <w:trHeight w:val="2912"/>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3148C8" w:rsidP="009A1758">
            <w:pPr>
              <w:rPr>
                <w:rFonts w:ascii="Arial" w:hAnsi="Arial" w:cs="Arial"/>
                <w:color w:val="000000"/>
              </w:rPr>
            </w:pPr>
            <w:r w:rsidRPr="004F0FCC">
              <w:rPr>
                <w:rFonts w:ascii="Arial" w:hAnsi="Arial" w:cs="Arial"/>
                <w:color w:val="000000"/>
              </w:rPr>
              <w:lastRenderedPageBreak/>
              <w:t>MILK POWDER - LACTOSE INTOLERANCE FORMULA</w:t>
            </w:r>
            <w:r w:rsidRPr="004F0FCC">
              <w:rPr>
                <w:rFonts w:ascii="Arial" w:hAnsi="Arial" w:cs="Arial"/>
                <w:color w:val="000000"/>
              </w:rPr>
              <w:br/>
            </w:r>
            <w:r w:rsidRPr="004F0FCC">
              <w:rPr>
                <w:rFonts w:ascii="Arial" w:hAnsi="Arial" w:cs="Arial"/>
                <w:color w:val="000000"/>
              </w:rPr>
              <w:br/>
              <w:t>Oral liquid: powder for, 900 g</w:t>
            </w:r>
            <w:r w:rsidRPr="004F0FCC">
              <w:rPr>
                <w:rFonts w:ascii="Arial" w:hAnsi="Arial" w:cs="Arial"/>
                <w:color w:val="000000"/>
              </w:rPr>
              <w:br/>
            </w:r>
            <w:r w:rsidRPr="004F0FCC">
              <w:rPr>
                <w:rFonts w:ascii="Arial" w:hAnsi="Arial" w:cs="Arial"/>
                <w:color w:val="000000"/>
              </w:rPr>
              <w:br/>
              <w:t>S-26 Original LI</w:t>
            </w:r>
            <w:r w:rsidRPr="00A50173">
              <w:rPr>
                <w:rFonts w:ascii="Arial" w:hAnsi="Arial" w:cs="Arial"/>
                <w:color w:val="000000"/>
                <w:vertAlign w:val="superscript"/>
              </w:rPr>
              <w:t>®</w:t>
            </w:r>
            <w:r w:rsidRPr="004F0FCC">
              <w:rPr>
                <w:rFonts w:ascii="Arial" w:hAnsi="Arial" w:cs="Arial"/>
                <w:color w:val="000000"/>
              </w:rPr>
              <w:br/>
            </w:r>
            <w:r w:rsidRPr="004F0FCC">
              <w:rPr>
                <w:rFonts w:ascii="Arial" w:hAnsi="Arial" w:cs="Arial"/>
                <w:color w:val="000000"/>
              </w:rPr>
              <w:br/>
              <w:t>Aspen Pharmacare Australia Pty Ltd</w:t>
            </w:r>
            <w:r w:rsidRPr="00767E3C">
              <w:rPr>
                <w:rFonts w:ascii="Arial" w:hAnsi="Arial" w:cs="Arial"/>
                <w:color w:val="000000"/>
              </w:rPr>
              <w:t xml:space="preserve"> </w:t>
            </w:r>
          </w:p>
          <w:p w:rsidR="003148C8" w:rsidRDefault="003148C8" w:rsidP="009A1758">
            <w:pPr>
              <w:rPr>
                <w:rFonts w:ascii="Arial" w:hAnsi="Arial" w:cs="Arial"/>
                <w:color w:val="000000"/>
              </w:rPr>
            </w:pPr>
          </w:p>
          <w:p w:rsidR="0002265A" w:rsidRPr="00767E3C" w:rsidRDefault="003148C8" w:rsidP="00472215">
            <w:pPr>
              <w:rPr>
                <w:rFonts w:ascii="Arial" w:hAnsi="Arial" w:cs="Arial"/>
                <w:color w:val="000000"/>
              </w:rPr>
            </w:pPr>
            <w:r w:rsidRPr="004F0FCC">
              <w:rPr>
                <w:rFonts w:ascii="Arial" w:hAnsi="Arial" w:cs="Arial"/>
                <w:color w:val="000000"/>
              </w:rPr>
              <w:t>New listing</w:t>
            </w:r>
            <w:r w:rsidRPr="004F0FCC">
              <w:rPr>
                <w:rFonts w:ascii="Arial" w:hAnsi="Arial" w:cs="Arial"/>
                <w:color w:val="000000"/>
              </w:rPr>
              <w:br/>
            </w:r>
            <w:r w:rsidRPr="004F0FCC">
              <w:rPr>
                <w:rFonts w:ascii="Arial" w:hAnsi="Arial" w:cs="Arial"/>
                <w:color w:val="000000"/>
              </w:rPr>
              <w:b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A50173" w:rsidP="00354A0E">
            <w:pPr>
              <w:rPr>
                <w:rFonts w:ascii="Arial" w:hAnsi="Arial" w:cs="Arial"/>
                <w:color w:val="000000"/>
              </w:rPr>
            </w:pPr>
            <w:r>
              <w:rPr>
                <w:rFonts w:ascii="Arial" w:hAnsi="Arial" w:cs="Arial"/>
                <w:color w:val="000000"/>
              </w:rPr>
              <w:t>L</w:t>
            </w:r>
            <w:r w:rsidR="003148C8" w:rsidRPr="00354A0E">
              <w:rPr>
                <w:rFonts w:ascii="Arial" w:hAnsi="Arial" w:cs="Arial"/>
                <w:color w:val="000000"/>
              </w:rPr>
              <w:t>actose intolerance</w:t>
            </w:r>
            <w:r w:rsidR="003148C8" w:rsidRPr="00767E3C">
              <w:rPr>
                <w:rFonts w:ascii="Arial" w:hAnsi="Arial" w:cs="Arial"/>
                <w:color w:val="000000"/>
              </w:rPr>
              <w:t xml:space="preserve"> </w:t>
            </w:r>
            <w:r w:rsidR="00FC2C74">
              <w:rPr>
                <w:rFonts w:ascii="Arial" w:hAnsi="Arial" w:cs="Arial"/>
                <w:color w:val="000000"/>
              </w:rPr>
              <w:t>in infants</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9A1758">
            <w:pPr>
              <w:rPr>
                <w:rFonts w:ascii="Arial" w:hAnsi="Arial" w:cs="Arial"/>
                <w:color w:val="000000"/>
              </w:rPr>
            </w:pPr>
            <w:r w:rsidRPr="004F0FCC">
              <w:rPr>
                <w:rFonts w:ascii="Arial" w:hAnsi="Arial" w:cs="Arial"/>
                <w:color w:val="000000"/>
              </w:rPr>
              <w:t>Authority Required listing for the treatment of acute and chronic lactose intolerance in infants up to the age of 12 months</w:t>
            </w:r>
            <w:r w:rsidRPr="001A37EB">
              <w:rPr>
                <w:rFonts w:ascii="Arial" w:hAnsi="Arial" w:cs="Arial"/>
                <w:color w:val="000000"/>
              </w:rPr>
              <w:t xml:space="preserve"> to replace</w:t>
            </w:r>
            <w:r w:rsidRPr="004F0FCC">
              <w:rPr>
                <w:rFonts w:ascii="Arial" w:hAnsi="Arial" w:cs="Arial"/>
                <w:color w:val="000000"/>
              </w:rPr>
              <w:t xml:space="preserve"> the current listings for Milk Powder Lactose Free Formula (S-26 LF).</w:t>
            </w:r>
          </w:p>
        </w:tc>
        <w:tc>
          <w:tcPr>
            <w:tcW w:w="5562" w:type="dxa"/>
            <w:tcBorders>
              <w:top w:val="single" w:sz="4" w:space="0" w:color="auto"/>
              <w:left w:val="single" w:sz="4" w:space="0" w:color="auto"/>
              <w:bottom w:val="single" w:sz="4" w:space="0" w:color="auto"/>
              <w:right w:val="single" w:sz="4" w:space="0" w:color="auto"/>
            </w:tcBorders>
          </w:tcPr>
          <w:p w:rsidR="00354A0E" w:rsidRDefault="00354A0E" w:rsidP="00FC2C74">
            <w:pPr>
              <w:rPr>
                <w:rFonts w:ascii="Arial" w:hAnsi="Arial" w:cs="Arial"/>
                <w:snapToGrid w:val="0"/>
              </w:rPr>
            </w:pPr>
            <w:r>
              <w:rPr>
                <w:rFonts w:ascii="Arial" w:hAnsi="Arial" w:cs="Arial"/>
                <w:snapToGrid w:val="0"/>
              </w:rPr>
              <w:t xml:space="preserve">The PBAC recommended the listing of </w:t>
            </w:r>
            <w:r>
              <w:rPr>
                <w:rFonts w:ascii="Arial" w:hAnsi="Arial" w:cs="Arial"/>
              </w:rPr>
              <w:t>S-26 Original LI</w:t>
            </w:r>
            <w:r>
              <w:rPr>
                <w:rFonts w:ascii="Arial" w:hAnsi="Arial" w:cs="Arial"/>
                <w:vertAlign w:val="superscript"/>
              </w:rPr>
              <w:t>®</w:t>
            </w:r>
            <w:r>
              <w:rPr>
                <w:rFonts w:ascii="Arial" w:hAnsi="Arial" w:cs="Arial"/>
              </w:rPr>
              <w:t xml:space="preserve"> as a written Authority Required benefit for the treatment of acute lactose intolerance, on a cost-minimisation basis against S-26 LF</w:t>
            </w:r>
            <w:r>
              <w:rPr>
                <w:rFonts w:ascii="Arial" w:hAnsi="Arial" w:cs="Arial"/>
                <w:vertAlign w:val="superscript"/>
              </w:rPr>
              <w:t>®</w:t>
            </w:r>
            <w:r w:rsidR="00A50173">
              <w:rPr>
                <w:rFonts w:ascii="Arial" w:hAnsi="Arial" w:cs="Arial"/>
              </w:rPr>
              <w:t xml:space="preserve"> at an equivalent price</w:t>
            </w:r>
            <w:r>
              <w:rPr>
                <w:rFonts w:ascii="Arial" w:hAnsi="Arial" w:cs="Arial"/>
              </w:rPr>
              <w:t>.  S-26 Original LI</w:t>
            </w:r>
            <w:r>
              <w:rPr>
                <w:rFonts w:ascii="Arial" w:hAnsi="Arial" w:cs="Arial"/>
                <w:vertAlign w:val="superscript"/>
              </w:rPr>
              <w:t xml:space="preserve">® </w:t>
            </w:r>
            <w:r>
              <w:rPr>
                <w:rFonts w:ascii="Arial" w:hAnsi="Arial" w:cs="Arial"/>
              </w:rPr>
              <w:t>will be a direct replacement for S-26 LF</w:t>
            </w:r>
            <w:r>
              <w:rPr>
                <w:rFonts w:ascii="Arial" w:hAnsi="Arial" w:cs="Arial"/>
                <w:vertAlign w:val="superscript"/>
              </w:rPr>
              <w:t>®</w:t>
            </w:r>
            <w:r w:rsidR="00891367">
              <w:rPr>
                <w:rFonts w:ascii="Arial" w:hAnsi="Arial" w:cs="Arial"/>
              </w:rPr>
              <w:t>,</w:t>
            </w:r>
            <w:r>
              <w:rPr>
                <w:rFonts w:ascii="Arial" w:hAnsi="Arial" w:cs="Arial"/>
              </w:rPr>
              <w:t xml:space="preserve"> which will be removed from the PBS.</w:t>
            </w:r>
          </w:p>
          <w:p w:rsidR="0002265A" w:rsidRPr="0015625B" w:rsidRDefault="0002265A" w:rsidP="00D45FC9">
            <w:pPr>
              <w:rPr>
                <w:rFonts w:ascii="Arial" w:hAnsi="Arial" w:cs="Arial"/>
                <w:bCs/>
                <w:color w:val="000000"/>
              </w:rPr>
            </w:pPr>
          </w:p>
        </w:tc>
      </w:tr>
      <w:tr w:rsidR="0002265A"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3148C8" w:rsidP="009A1758">
            <w:pPr>
              <w:rPr>
                <w:rFonts w:ascii="Arial" w:hAnsi="Arial" w:cs="Arial"/>
                <w:color w:val="000000"/>
              </w:rPr>
            </w:pPr>
            <w:r w:rsidRPr="00363865">
              <w:rPr>
                <w:rFonts w:ascii="Arial" w:hAnsi="Arial" w:cs="Arial"/>
                <w:bCs/>
                <w:color w:val="000000"/>
              </w:rPr>
              <w:t>OMALIZUMAB</w:t>
            </w:r>
            <w:r w:rsidRPr="00363865">
              <w:rPr>
                <w:rFonts w:ascii="Arial" w:hAnsi="Arial" w:cs="Arial"/>
                <w:bCs/>
                <w:color w:val="000000"/>
              </w:rPr>
              <w:br/>
            </w:r>
            <w:r w:rsidRPr="00363865">
              <w:rPr>
                <w:rFonts w:ascii="Arial" w:hAnsi="Arial" w:cs="Arial"/>
                <w:bCs/>
                <w:color w:val="000000"/>
              </w:rPr>
              <w:br/>
              <w:t>75 mg/0.5</w:t>
            </w:r>
            <w:r w:rsidR="00891367">
              <w:rPr>
                <w:rFonts w:ascii="Arial" w:hAnsi="Arial" w:cs="Arial"/>
                <w:bCs/>
                <w:color w:val="000000"/>
              </w:rPr>
              <w:t> </w:t>
            </w:r>
            <w:r w:rsidRPr="00363865">
              <w:rPr>
                <w:rFonts w:ascii="Arial" w:hAnsi="Arial" w:cs="Arial"/>
                <w:bCs/>
                <w:color w:val="000000"/>
              </w:rPr>
              <w:t>mL injection, 1 x 0.5 mL syringe</w:t>
            </w:r>
            <w:r w:rsidRPr="00363865">
              <w:rPr>
                <w:rFonts w:ascii="Arial" w:hAnsi="Arial" w:cs="Arial"/>
                <w:bCs/>
                <w:color w:val="000000"/>
              </w:rPr>
              <w:br/>
              <w:t>150 mg/mL injection, 1 x 1 mL syringe</w:t>
            </w:r>
            <w:r w:rsidRPr="00363865">
              <w:rPr>
                <w:rFonts w:ascii="Arial" w:hAnsi="Arial" w:cs="Arial"/>
                <w:bCs/>
                <w:color w:val="000000"/>
              </w:rPr>
              <w:br/>
            </w:r>
            <w:r w:rsidRPr="00363865">
              <w:rPr>
                <w:rFonts w:ascii="Arial" w:hAnsi="Arial" w:cs="Arial"/>
                <w:bCs/>
                <w:color w:val="000000"/>
              </w:rPr>
              <w:br/>
              <w:t>Xolair</w:t>
            </w:r>
            <w:r w:rsidRPr="00A50173">
              <w:rPr>
                <w:rFonts w:ascii="Arial" w:hAnsi="Arial" w:cs="Arial"/>
                <w:bCs/>
                <w:color w:val="000000"/>
                <w:vertAlign w:val="superscript"/>
              </w:rPr>
              <w:t>®</w:t>
            </w:r>
            <w:r w:rsidRPr="00363865">
              <w:rPr>
                <w:rFonts w:ascii="Arial" w:hAnsi="Arial" w:cs="Arial"/>
                <w:bCs/>
                <w:color w:val="000000"/>
              </w:rPr>
              <w:br/>
            </w:r>
            <w:r w:rsidRPr="00363865">
              <w:rPr>
                <w:rFonts w:ascii="Arial" w:hAnsi="Arial" w:cs="Arial"/>
                <w:bCs/>
                <w:color w:val="000000"/>
              </w:rPr>
              <w:br/>
              <w:t>Novartis Pharmaceuticals Australia Pty Ltd</w:t>
            </w:r>
            <w:r w:rsidRPr="00767E3C">
              <w:rPr>
                <w:rFonts w:ascii="Arial" w:hAnsi="Arial" w:cs="Arial"/>
                <w:color w:val="000000"/>
              </w:rPr>
              <w:t xml:space="preserve"> </w:t>
            </w:r>
          </w:p>
          <w:p w:rsidR="003148C8" w:rsidRDefault="003148C8" w:rsidP="009A1758">
            <w:pPr>
              <w:rPr>
                <w:rFonts w:ascii="Arial" w:hAnsi="Arial" w:cs="Arial"/>
                <w:color w:val="000000"/>
              </w:rPr>
            </w:pPr>
          </w:p>
          <w:p w:rsidR="003148C8" w:rsidRPr="00767E3C" w:rsidRDefault="003148C8" w:rsidP="009A1758">
            <w:pPr>
              <w:rPr>
                <w:rFonts w:ascii="Arial" w:hAnsi="Arial" w:cs="Arial"/>
                <w:color w:val="000000"/>
              </w:rPr>
            </w:pPr>
            <w:r w:rsidRPr="00363865">
              <w:rPr>
                <w:rFonts w:ascii="Arial" w:hAnsi="Arial" w:cs="Arial"/>
                <w:bCs/>
                <w:color w:val="000000"/>
              </w:rPr>
              <w:t>Change to listing</w:t>
            </w:r>
            <w:r w:rsidRPr="00363865">
              <w:rPr>
                <w:rFonts w:ascii="Arial" w:hAnsi="Arial" w:cs="Arial"/>
                <w:bCs/>
                <w:color w:val="000000"/>
              </w:rPr>
              <w:br/>
            </w:r>
            <w:r w:rsidRPr="00363865">
              <w:rPr>
                <w:rFonts w:ascii="Arial" w:hAnsi="Arial" w:cs="Arial"/>
                <w:bCs/>
                <w:color w:val="000000"/>
              </w:rPr>
              <w:b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3148C8">
            <w:pPr>
              <w:rPr>
                <w:rFonts w:ascii="Arial" w:hAnsi="Arial" w:cs="Arial"/>
                <w:color w:val="000000"/>
              </w:rPr>
            </w:pPr>
            <w:r w:rsidRPr="00363865">
              <w:rPr>
                <w:rFonts w:ascii="Arial" w:hAnsi="Arial" w:cs="Arial"/>
                <w:bCs/>
                <w:color w:val="000000"/>
              </w:rPr>
              <w:t>Paediatric severe allergic asthma</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7F4F85">
            <w:pPr>
              <w:rPr>
                <w:rFonts w:ascii="Arial" w:hAnsi="Arial" w:cs="Arial"/>
                <w:color w:val="000000"/>
              </w:rPr>
            </w:pPr>
            <w:r w:rsidRPr="00363865">
              <w:rPr>
                <w:rFonts w:ascii="Arial" w:hAnsi="Arial" w:cs="Arial"/>
                <w:bCs/>
                <w:color w:val="000000"/>
              </w:rPr>
              <w:t>Authority Required listing for treatment of severe allergic asthma in patients aged 6 to less than 12 years.</w:t>
            </w:r>
          </w:p>
        </w:tc>
        <w:tc>
          <w:tcPr>
            <w:tcW w:w="5562" w:type="dxa"/>
            <w:tcBorders>
              <w:top w:val="single" w:sz="4" w:space="0" w:color="auto"/>
              <w:left w:val="single" w:sz="4" w:space="0" w:color="auto"/>
              <w:bottom w:val="single" w:sz="4" w:space="0" w:color="auto"/>
              <w:right w:val="single" w:sz="4" w:space="0" w:color="auto"/>
            </w:tcBorders>
          </w:tcPr>
          <w:p w:rsidR="0002265A" w:rsidRPr="0015625B" w:rsidRDefault="00022DCB" w:rsidP="00FC2C74">
            <w:pPr>
              <w:rPr>
                <w:rFonts w:ascii="Arial" w:hAnsi="Arial" w:cs="Arial"/>
                <w:bCs/>
                <w:color w:val="000000"/>
                <w:sz w:val="16"/>
                <w:szCs w:val="16"/>
              </w:rPr>
            </w:pPr>
            <w:r w:rsidRPr="0032697C">
              <w:rPr>
                <w:rFonts w:ascii="Arial" w:hAnsi="Arial" w:cs="Arial"/>
                <w:bCs/>
                <w:color w:val="000000"/>
              </w:rPr>
              <w:t xml:space="preserve">The PBAC recommended </w:t>
            </w:r>
            <w:r w:rsidR="00A50173">
              <w:rPr>
                <w:rFonts w:ascii="Arial" w:hAnsi="Arial" w:cs="Arial"/>
                <w:bCs/>
                <w:color w:val="000000"/>
              </w:rPr>
              <w:t xml:space="preserve">a Section 100 (Highly Specialised Drugs Program) listing of </w:t>
            </w:r>
            <w:r w:rsidRPr="0032697C">
              <w:rPr>
                <w:rFonts w:ascii="Arial" w:hAnsi="Arial" w:cs="Arial"/>
                <w:bCs/>
                <w:color w:val="000000"/>
              </w:rPr>
              <w:t>omalizumab for treatment of severe allergic asthma in patients aged 6</w:t>
            </w:r>
            <w:r w:rsidR="00A50173">
              <w:rPr>
                <w:rFonts w:ascii="Arial" w:hAnsi="Arial" w:cs="Arial"/>
                <w:bCs/>
                <w:color w:val="000000"/>
              </w:rPr>
              <w:t xml:space="preserve"> years</w:t>
            </w:r>
            <w:r w:rsidRPr="0032697C">
              <w:rPr>
                <w:rFonts w:ascii="Arial" w:hAnsi="Arial" w:cs="Arial"/>
                <w:bCs/>
                <w:color w:val="000000"/>
              </w:rPr>
              <w:t xml:space="preserve"> to less than 12 years. The </w:t>
            </w:r>
            <w:r w:rsidR="00A50173">
              <w:rPr>
                <w:rFonts w:ascii="Arial" w:hAnsi="Arial" w:cs="Arial"/>
                <w:bCs/>
                <w:color w:val="000000"/>
              </w:rPr>
              <w:t>recommendation</w:t>
            </w:r>
            <w:r w:rsidRPr="0032697C">
              <w:rPr>
                <w:rFonts w:ascii="Arial" w:hAnsi="Arial" w:cs="Arial"/>
                <w:bCs/>
                <w:color w:val="000000"/>
              </w:rPr>
              <w:t xml:space="preserve"> was made on the basis of sufficient evidence to demonstrate the effectiveness of omalizumab when compared to placebo plus optimised asthma therapy. The benefits from using omalizumab to reduce severe asthma exacerbations was considered to be </w:t>
            </w:r>
            <w:r w:rsidR="00FC2C74">
              <w:rPr>
                <w:rFonts w:ascii="Arial" w:hAnsi="Arial" w:cs="Arial"/>
                <w:bCs/>
                <w:color w:val="000000"/>
              </w:rPr>
              <w:t>important</w:t>
            </w:r>
            <w:r w:rsidRPr="0032697C">
              <w:rPr>
                <w:rFonts w:ascii="Arial" w:hAnsi="Arial" w:cs="Arial"/>
                <w:bCs/>
                <w:color w:val="000000"/>
              </w:rPr>
              <w:t xml:space="preserve"> for the small paediatric population</w:t>
            </w:r>
            <w:r w:rsidR="00891367">
              <w:rPr>
                <w:rFonts w:ascii="Arial" w:hAnsi="Arial" w:cs="Arial"/>
                <w:bCs/>
                <w:color w:val="000000"/>
              </w:rPr>
              <w:t>,</w:t>
            </w:r>
            <w:r w:rsidRPr="0032697C">
              <w:rPr>
                <w:rFonts w:ascii="Arial" w:hAnsi="Arial" w:cs="Arial"/>
                <w:bCs/>
                <w:color w:val="000000"/>
              </w:rPr>
              <w:t xml:space="preserve"> as there are current</w:t>
            </w:r>
            <w:r w:rsidR="00891367">
              <w:rPr>
                <w:rFonts w:ascii="Arial" w:hAnsi="Arial" w:cs="Arial"/>
                <w:bCs/>
                <w:color w:val="000000"/>
              </w:rPr>
              <w:t>ly</w:t>
            </w:r>
            <w:r w:rsidRPr="0032697C">
              <w:rPr>
                <w:rFonts w:ascii="Arial" w:hAnsi="Arial" w:cs="Arial"/>
                <w:bCs/>
                <w:color w:val="000000"/>
              </w:rPr>
              <w:t xml:space="preserve"> limited options available to treat the proposed group and long term oral steroid use is </w:t>
            </w:r>
            <w:r w:rsidR="00FC2C74">
              <w:rPr>
                <w:rFonts w:ascii="Arial" w:hAnsi="Arial" w:cs="Arial"/>
                <w:bCs/>
                <w:color w:val="000000"/>
              </w:rPr>
              <w:t>undesirable</w:t>
            </w:r>
            <w:r w:rsidRPr="0032697C">
              <w:rPr>
                <w:rFonts w:ascii="Arial" w:hAnsi="Arial" w:cs="Arial"/>
                <w:bCs/>
                <w:color w:val="000000"/>
              </w:rPr>
              <w:t>.</w:t>
            </w:r>
          </w:p>
        </w:tc>
      </w:tr>
      <w:tr w:rsidR="00604783"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604783" w:rsidRPr="00FC2C74" w:rsidRDefault="00604783" w:rsidP="009A1758">
            <w:pPr>
              <w:rPr>
                <w:rFonts w:ascii="Arial" w:hAnsi="Arial" w:cs="Arial"/>
                <w:bCs/>
                <w:color w:val="000000"/>
              </w:rPr>
            </w:pPr>
            <w:r w:rsidRPr="00FC2C74">
              <w:rPr>
                <w:rFonts w:ascii="Arial" w:hAnsi="Arial" w:cs="Arial"/>
                <w:bCs/>
                <w:color w:val="000000"/>
              </w:rPr>
              <w:lastRenderedPageBreak/>
              <w:t>PNEUMOCOCCAL CONJUGATE VACCINE</w:t>
            </w:r>
          </w:p>
          <w:p w:rsidR="00604783" w:rsidRPr="00FC2C74" w:rsidRDefault="00604783" w:rsidP="009A1758">
            <w:pPr>
              <w:rPr>
                <w:rFonts w:ascii="Arial" w:hAnsi="Arial" w:cs="Arial"/>
                <w:bCs/>
                <w:color w:val="000000"/>
              </w:rPr>
            </w:pPr>
          </w:p>
          <w:p w:rsidR="00604783" w:rsidRPr="00FC2C74" w:rsidRDefault="00604783" w:rsidP="009A1758">
            <w:pPr>
              <w:rPr>
                <w:rFonts w:ascii="Arial" w:hAnsi="Arial" w:cs="Arial"/>
                <w:bCs/>
                <w:color w:val="000000"/>
              </w:rPr>
            </w:pPr>
            <w:r w:rsidRPr="00FC2C74">
              <w:rPr>
                <w:rFonts w:ascii="Arial" w:hAnsi="Arial" w:cs="Arial"/>
                <w:bCs/>
                <w:color w:val="000000"/>
              </w:rPr>
              <w:t>13-Valent Adsorbed Pre-Filled Syringe, 0.5 mL</w:t>
            </w:r>
          </w:p>
          <w:p w:rsidR="00604783" w:rsidRPr="00FC2C74" w:rsidRDefault="00604783" w:rsidP="009A1758">
            <w:pPr>
              <w:rPr>
                <w:rFonts w:ascii="Arial" w:hAnsi="Arial" w:cs="Arial"/>
                <w:bCs/>
                <w:color w:val="000000"/>
              </w:rPr>
            </w:pPr>
          </w:p>
          <w:p w:rsidR="00604783" w:rsidRPr="00FC2C74" w:rsidRDefault="00604783" w:rsidP="009A1758">
            <w:pPr>
              <w:rPr>
                <w:rFonts w:ascii="Arial" w:hAnsi="Arial" w:cs="Arial"/>
                <w:bCs/>
                <w:color w:val="000000"/>
              </w:rPr>
            </w:pPr>
            <w:r w:rsidRPr="00FC2C74">
              <w:rPr>
                <w:rFonts w:ascii="Arial" w:hAnsi="Arial" w:cs="Arial"/>
                <w:bCs/>
                <w:color w:val="000000"/>
              </w:rPr>
              <w:t>Prevenar 13</w:t>
            </w:r>
            <w:r w:rsidRPr="00FC2C74">
              <w:rPr>
                <w:rFonts w:ascii="Arial" w:hAnsi="Arial" w:cs="Arial"/>
                <w:bCs/>
                <w:color w:val="000000"/>
                <w:vertAlign w:val="superscript"/>
              </w:rPr>
              <w:t>®</w:t>
            </w:r>
          </w:p>
          <w:p w:rsidR="00604783" w:rsidRPr="00FC2C74" w:rsidRDefault="00604783" w:rsidP="009A1758">
            <w:pPr>
              <w:rPr>
                <w:rFonts w:ascii="Arial" w:hAnsi="Arial" w:cs="Arial"/>
                <w:bCs/>
                <w:color w:val="000000"/>
              </w:rPr>
            </w:pPr>
          </w:p>
          <w:p w:rsidR="00604783" w:rsidRPr="00FC2C74" w:rsidRDefault="00604783" w:rsidP="009A1758">
            <w:pPr>
              <w:rPr>
                <w:rFonts w:ascii="Arial" w:hAnsi="Arial" w:cs="Arial"/>
                <w:bCs/>
                <w:color w:val="000000"/>
              </w:rPr>
            </w:pPr>
            <w:r w:rsidRPr="00FC2C74">
              <w:rPr>
                <w:rFonts w:ascii="Arial" w:hAnsi="Arial" w:cs="Arial"/>
                <w:bCs/>
                <w:color w:val="000000"/>
              </w:rPr>
              <w:t>Pfizer Australia Pty Ltd</w:t>
            </w:r>
          </w:p>
          <w:p w:rsidR="00604783" w:rsidRPr="00FC2C74" w:rsidRDefault="00604783" w:rsidP="009A1758">
            <w:pPr>
              <w:rPr>
                <w:rFonts w:ascii="Arial" w:hAnsi="Arial" w:cs="Arial"/>
                <w:bCs/>
                <w:color w:val="000000"/>
              </w:rPr>
            </w:pPr>
          </w:p>
          <w:p w:rsidR="00604783" w:rsidRPr="00FC2C74" w:rsidRDefault="00604783" w:rsidP="009A1758">
            <w:pPr>
              <w:rPr>
                <w:rFonts w:ascii="Arial" w:hAnsi="Arial" w:cs="Arial"/>
                <w:bCs/>
                <w:color w:val="000000"/>
              </w:rPr>
            </w:pPr>
            <w:r w:rsidRPr="00FC2C74">
              <w:rPr>
                <w:rFonts w:ascii="Arial" w:hAnsi="Arial" w:cs="Arial"/>
                <w:bCs/>
                <w:color w:val="000000"/>
              </w:rPr>
              <w:t>Change to listing</w:t>
            </w:r>
          </w:p>
          <w:p w:rsidR="00604783" w:rsidRPr="00FC2C74" w:rsidRDefault="00604783" w:rsidP="009A1758">
            <w:pPr>
              <w:rPr>
                <w:rFonts w:ascii="Arial" w:hAnsi="Arial" w:cs="Arial"/>
                <w:bCs/>
                <w:color w:val="000000"/>
              </w:rPr>
            </w:pPr>
          </w:p>
          <w:p w:rsidR="00604783" w:rsidRPr="00FC2C74" w:rsidRDefault="00604783" w:rsidP="00604783">
            <w:pPr>
              <w:rPr>
                <w:rFonts w:ascii="Arial" w:hAnsi="Arial" w:cs="Arial"/>
                <w:bCs/>
                <w:color w:val="000000"/>
              </w:rPr>
            </w:pPr>
            <w:r w:rsidRPr="00FC2C74">
              <w:rPr>
                <w:rFonts w:ascii="Arial" w:hAnsi="Arial" w:cs="Arial"/>
                <w:bCs/>
                <w:color w:val="000000"/>
              </w:rP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604783" w:rsidRPr="00FC2C74" w:rsidRDefault="00604783" w:rsidP="003148C8">
            <w:pPr>
              <w:rPr>
                <w:rFonts w:ascii="Arial" w:hAnsi="Arial" w:cs="Arial"/>
                <w:bCs/>
                <w:color w:val="000000"/>
              </w:rPr>
            </w:pPr>
            <w:r w:rsidRPr="00FC2C74">
              <w:rPr>
                <w:rFonts w:ascii="Arial" w:hAnsi="Arial" w:cs="Arial"/>
                <w:bCs/>
                <w:color w:val="000000"/>
              </w:rPr>
              <w:t>Prevention of pneumococcal disease</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604783" w:rsidRPr="00FC2C74" w:rsidRDefault="00604783" w:rsidP="00D87C07">
            <w:pPr>
              <w:rPr>
                <w:rFonts w:ascii="Arial" w:hAnsi="Arial" w:cs="Arial"/>
                <w:bCs/>
                <w:color w:val="000000"/>
              </w:rPr>
            </w:pPr>
            <w:r w:rsidRPr="00FC2C74">
              <w:rPr>
                <w:rFonts w:ascii="Arial" w:hAnsi="Arial" w:cs="Arial"/>
                <w:bCs/>
                <w:color w:val="000000"/>
              </w:rPr>
              <w:t>National Immunisation Program (NIP) listing for pneumococcal naive non-</w:t>
            </w:r>
            <w:r w:rsidR="00D87C07" w:rsidRPr="00FC2C74">
              <w:rPr>
                <w:rFonts w:ascii="Arial" w:hAnsi="Arial" w:cs="Arial"/>
                <w:bCs/>
                <w:color w:val="000000"/>
              </w:rPr>
              <w:t>I</w:t>
            </w:r>
            <w:r w:rsidRPr="00FC2C74">
              <w:rPr>
                <w:rFonts w:ascii="Arial" w:hAnsi="Arial" w:cs="Arial"/>
                <w:bCs/>
                <w:color w:val="000000"/>
              </w:rPr>
              <w:t xml:space="preserve">ndigenous adults aged 65 years and over and </w:t>
            </w:r>
            <w:r w:rsidR="00D87C07" w:rsidRPr="00FC2C74">
              <w:rPr>
                <w:rFonts w:ascii="Arial" w:hAnsi="Arial" w:cs="Arial"/>
                <w:bCs/>
                <w:color w:val="000000"/>
              </w:rPr>
              <w:t>I</w:t>
            </w:r>
            <w:r w:rsidRPr="00FC2C74">
              <w:rPr>
                <w:rFonts w:ascii="Arial" w:hAnsi="Arial" w:cs="Arial"/>
                <w:bCs/>
                <w:color w:val="000000"/>
              </w:rPr>
              <w:t>ndigenous adults aged 50 years and over.</w:t>
            </w:r>
          </w:p>
        </w:tc>
        <w:tc>
          <w:tcPr>
            <w:tcW w:w="5562" w:type="dxa"/>
            <w:tcBorders>
              <w:top w:val="single" w:sz="4" w:space="0" w:color="auto"/>
              <w:left w:val="single" w:sz="4" w:space="0" w:color="auto"/>
              <w:bottom w:val="single" w:sz="4" w:space="0" w:color="auto"/>
              <w:right w:val="single" w:sz="4" w:space="0" w:color="auto"/>
            </w:tcBorders>
          </w:tcPr>
          <w:p w:rsidR="00604783" w:rsidRPr="00FC2C74" w:rsidRDefault="00604783" w:rsidP="00604783">
            <w:pPr>
              <w:rPr>
                <w:rFonts w:ascii="Arial" w:hAnsi="Arial" w:cs="Arial"/>
                <w:bCs/>
                <w:color w:val="000000"/>
              </w:rPr>
            </w:pPr>
            <w:r w:rsidRPr="00FC2C74">
              <w:rPr>
                <w:rFonts w:ascii="Arial" w:hAnsi="Arial" w:cs="Arial"/>
                <w:bCs/>
                <w:color w:val="000000"/>
              </w:rPr>
              <w:t xml:space="preserve">The PBAC recommended a change to the circumstances under which </w:t>
            </w:r>
            <w:r w:rsidR="00A50173" w:rsidRPr="00FC2C74">
              <w:rPr>
                <w:rFonts w:ascii="Arial" w:hAnsi="Arial" w:cs="Arial"/>
                <w:bCs/>
                <w:color w:val="000000"/>
              </w:rPr>
              <w:t>13-valent Pneumococcal Conjugate Vaccine (</w:t>
            </w:r>
            <w:r w:rsidRPr="00FC2C74">
              <w:rPr>
                <w:rFonts w:ascii="Arial" w:hAnsi="Arial" w:cs="Arial"/>
                <w:bCs/>
                <w:color w:val="000000"/>
              </w:rPr>
              <w:t>13vPCV</w:t>
            </w:r>
            <w:r w:rsidR="00A50173" w:rsidRPr="00FC2C74">
              <w:rPr>
                <w:rFonts w:ascii="Arial" w:hAnsi="Arial" w:cs="Arial"/>
                <w:bCs/>
                <w:color w:val="000000"/>
              </w:rPr>
              <w:t>)</w:t>
            </w:r>
            <w:r w:rsidRPr="00FC2C74">
              <w:rPr>
                <w:rFonts w:ascii="Arial" w:hAnsi="Arial" w:cs="Arial"/>
                <w:bCs/>
                <w:color w:val="000000"/>
              </w:rPr>
              <w:t xml:space="preserve"> is made avail</w:t>
            </w:r>
            <w:r w:rsidR="00A50173" w:rsidRPr="00FC2C74">
              <w:rPr>
                <w:rFonts w:ascii="Arial" w:hAnsi="Arial" w:cs="Arial"/>
                <w:bCs/>
                <w:color w:val="000000"/>
              </w:rPr>
              <w:t>able as a designated vaccine on</w:t>
            </w:r>
            <w:r w:rsidRPr="00FC2C74">
              <w:rPr>
                <w:rFonts w:ascii="Arial" w:hAnsi="Arial" w:cs="Arial"/>
                <w:bCs/>
                <w:color w:val="000000"/>
              </w:rPr>
              <w:t xml:space="preserve"> the NIP for the prevention of pneumococcal pneumonia and</w:t>
            </w:r>
            <w:r w:rsidR="00A50173" w:rsidRPr="00FC2C74">
              <w:rPr>
                <w:rFonts w:ascii="Arial" w:hAnsi="Arial" w:cs="Arial"/>
                <w:bCs/>
                <w:color w:val="000000"/>
              </w:rPr>
              <w:t xml:space="preserve"> invasive pneumococcal disease</w:t>
            </w:r>
            <w:r w:rsidRPr="00FC2C74">
              <w:rPr>
                <w:rFonts w:ascii="Arial" w:hAnsi="Arial" w:cs="Arial"/>
                <w:bCs/>
                <w:color w:val="000000"/>
              </w:rPr>
              <w:t xml:space="preserve"> </w:t>
            </w:r>
            <w:r w:rsidR="00A50173" w:rsidRPr="00FC2C74">
              <w:rPr>
                <w:rFonts w:ascii="Arial" w:hAnsi="Arial" w:cs="Arial"/>
                <w:bCs/>
                <w:color w:val="000000"/>
              </w:rPr>
              <w:t>(</w:t>
            </w:r>
            <w:r w:rsidRPr="00FC2C74">
              <w:rPr>
                <w:rFonts w:ascii="Arial" w:hAnsi="Arial" w:cs="Arial"/>
                <w:bCs/>
                <w:color w:val="000000"/>
              </w:rPr>
              <w:t>IPD</w:t>
            </w:r>
            <w:r w:rsidR="00A50173" w:rsidRPr="00FC2C74">
              <w:rPr>
                <w:rFonts w:ascii="Arial" w:hAnsi="Arial" w:cs="Arial"/>
                <w:bCs/>
                <w:color w:val="000000"/>
              </w:rPr>
              <w:t>)</w:t>
            </w:r>
            <w:r w:rsidRPr="00FC2C74">
              <w:rPr>
                <w:rFonts w:ascii="Arial" w:hAnsi="Arial" w:cs="Arial"/>
                <w:bCs/>
                <w:color w:val="000000"/>
              </w:rPr>
              <w:t xml:space="preserve"> in adults on the basis of cost-effectiveness compared with 23</w:t>
            </w:r>
            <w:r w:rsidR="00FC2C74">
              <w:rPr>
                <w:rFonts w:ascii="Arial" w:hAnsi="Arial" w:cs="Arial"/>
                <w:bCs/>
                <w:color w:val="000000"/>
              </w:rPr>
              <w:t>-</w:t>
            </w:r>
            <w:r w:rsidRPr="00FC2C74">
              <w:rPr>
                <w:rFonts w:ascii="Arial" w:hAnsi="Arial" w:cs="Arial"/>
                <w:bCs/>
                <w:color w:val="000000"/>
              </w:rPr>
              <w:t>v</w:t>
            </w:r>
            <w:r w:rsidR="00FC2C74">
              <w:rPr>
                <w:rFonts w:ascii="Arial" w:hAnsi="Arial" w:cs="Arial"/>
                <w:bCs/>
                <w:color w:val="000000"/>
              </w:rPr>
              <w:t>alent pneumococcal polysaccharide vaccine (23vPPV, Pneumovax</w:t>
            </w:r>
            <w:r w:rsidR="0034720F" w:rsidRPr="00FC2C74">
              <w:rPr>
                <w:rFonts w:ascii="Arial" w:hAnsi="Arial" w:cs="Arial"/>
                <w:bCs/>
                <w:color w:val="000000"/>
                <w:vertAlign w:val="superscript"/>
              </w:rPr>
              <w:t>®</w:t>
            </w:r>
            <w:r w:rsidR="00FC2C74">
              <w:rPr>
                <w:rFonts w:ascii="Arial" w:hAnsi="Arial" w:cs="Arial"/>
                <w:bCs/>
                <w:color w:val="000000"/>
              </w:rPr>
              <w:t xml:space="preserve"> 23)</w:t>
            </w:r>
            <w:r w:rsidRPr="00FC2C74">
              <w:rPr>
                <w:rFonts w:ascii="Arial" w:hAnsi="Arial" w:cs="Arial"/>
                <w:bCs/>
                <w:color w:val="000000"/>
              </w:rPr>
              <w:t xml:space="preserve"> </w:t>
            </w:r>
          </w:p>
          <w:p w:rsidR="00604783" w:rsidRPr="00FC2C74" w:rsidRDefault="00604783" w:rsidP="00604783">
            <w:pPr>
              <w:rPr>
                <w:rFonts w:ascii="Arial" w:hAnsi="Arial" w:cs="Arial"/>
                <w:bCs/>
                <w:color w:val="000000"/>
              </w:rPr>
            </w:pPr>
          </w:p>
          <w:p w:rsidR="00604783" w:rsidRPr="00FC2C74" w:rsidRDefault="00604783" w:rsidP="00604783">
            <w:pPr>
              <w:rPr>
                <w:rFonts w:ascii="Arial" w:hAnsi="Arial" w:cs="Arial"/>
                <w:bCs/>
                <w:color w:val="000000"/>
              </w:rPr>
            </w:pPr>
            <w:r w:rsidRPr="00FC2C74">
              <w:rPr>
                <w:rFonts w:ascii="Arial" w:hAnsi="Arial" w:cs="Arial"/>
                <w:bCs/>
                <w:color w:val="000000"/>
              </w:rPr>
              <w:t>The PBAC recommended that a single dose of 13vPCV be made available to pneumococcal vaccine naïve non-Indigenous adults aged 65 years and over and to pneumococcal vaccine naïve Indigenous adults aged 50 years and over. The PBAC recommended that this dose of 13vPCV should replace the single dose (or the first dose for those adults with risk factors) of 23vPPV that is currently provided to these populations. The PBAC noted that if 13vPCV was included on the NIP for adults, then individuals in specified at-risk groups would continue to receive 23vPPV five years following the primary dose of 13vPCV.</w:t>
            </w:r>
          </w:p>
          <w:p w:rsidR="00193812" w:rsidRPr="00FC2C74" w:rsidRDefault="00193812" w:rsidP="00604783">
            <w:pPr>
              <w:rPr>
                <w:rFonts w:ascii="Arial" w:hAnsi="Arial" w:cs="Arial"/>
                <w:bCs/>
                <w:color w:val="000000"/>
              </w:rPr>
            </w:pPr>
          </w:p>
          <w:p w:rsidR="00604783" w:rsidRPr="00FC2C74" w:rsidRDefault="00604783" w:rsidP="00604783">
            <w:pPr>
              <w:rPr>
                <w:rFonts w:ascii="Arial" w:hAnsi="Arial" w:cs="Arial"/>
                <w:bCs/>
                <w:color w:val="000000"/>
              </w:rPr>
            </w:pPr>
            <w:r w:rsidRPr="00FC2C74">
              <w:rPr>
                <w:rFonts w:ascii="Arial" w:hAnsi="Arial" w:cs="Arial"/>
                <w:bCs/>
                <w:color w:val="000000"/>
              </w:rPr>
              <w:t xml:space="preserve">The PBAC recalled it previously noted that the evidence for 13vPCV over no vaccination was of higher quality than for 23vPPV over no vaccination. In the absence of direct comparative evidence between 13vPCV and 23vPPV, the PBAC accepted that the effectiveness of 13vPCV against </w:t>
            </w:r>
            <w:r w:rsidR="0057384C" w:rsidRPr="00FC2C74">
              <w:rPr>
                <w:rFonts w:ascii="Arial" w:hAnsi="Arial" w:cs="Arial"/>
                <w:bCs/>
                <w:color w:val="000000"/>
              </w:rPr>
              <w:t>community-acquired pneumonia (</w:t>
            </w:r>
            <w:r w:rsidRPr="00FC2C74">
              <w:rPr>
                <w:rFonts w:ascii="Arial" w:hAnsi="Arial" w:cs="Arial"/>
                <w:bCs/>
                <w:color w:val="000000"/>
              </w:rPr>
              <w:t>CAP</w:t>
            </w:r>
            <w:r w:rsidR="0057384C" w:rsidRPr="00FC2C74">
              <w:rPr>
                <w:rFonts w:ascii="Arial" w:hAnsi="Arial" w:cs="Arial"/>
                <w:bCs/>
                <w:color w:val="000000"/>
              </w:rPr>
              <w:t>)</w:t>
            </w:r>
            <w:r w:rsidRPr="00FC2C74">
              <w:rPr>
                <w:rFonts w:ascii="Arial" w:hAnsi="Arial" w:cs="Arial"/>
                <w:bCs/>
                <w:color w:val="000000"/>
              </w:rPr>
              <w:t xml:space="preserve"> is likely to be superior to that of 23vPPV</w:t>
            </w:r>
            <w:r w:rsidR="00D87C07" w:rsidRPr="00FC2C74">
              <w:rPr>
                <w:rFonts w:ascii="Arial" w:hAnsi="Arial" w:cs="Arial"/>
                <w:bCs/>
                <w:color w:val="000000"/>
              </w:rPr>
              <w:t>. The PBAC also accepted that the</w:t>
            </w:r>
            <w:r w:rsidRPr="00FC2C74">
              <w:rPr>
                <w:rFonts w:ascii="Arial" w:hAnsi="Arial" w:cs="Arial"/>
                <w:bCs/>
                <w:color w:val="000000"/>
              </w:rPr>
              <w:t xml:space="preserve"> effectiveness </w:t>
            </w:r>
            <w:r w:rsidR="00D87C07" w:rsidRPr="00FC2C74">
              <w:rPr>
                <w:rFonts w:ascii="Arial" w:hAnsi="Arial" w:cs="Arial"/>
                <w:bCs/>
                <w:color w:val="000000"/>
              </w:rPr>
              <w:t xml:space="preserve">of 13vPCV </w:t>
            </w:r>
            <w:r w:rsidRPr="00FC2C74">
              <w:rPr>
                <w:rFonts w:ascii="Arial" w:hAnsi="Arial" w:cs="Arial"/>
                <w:bCs/>
                <w:color w:val="000000"/>
              </w:rPr>
              <w:t>against IPD was likely to be at least equivalent to that of 23vPPV where IPD was caused by serotypes common to both vaccines, but not where IPD was caused by serotypes contained only within 23vPPV. The PBAC noted that no new evidence on the comparative effectiveness of 13vPCV and 23vPPV was presented</w:t>
            </w:r>
            <w:r w:rsidR="00D87C07" w:rsidRPr="00FC2C74">
              <w:rPr>
                <w:rFonts w:ascii="Arial" w:hAnsi="Arial" w:cs="Arial"/>
                <w:bCs/>
                <w:color w:val="000000"/>
              </w:rPr>
              <w:t>,</w:t>
            </w:r>
            <w:r w:rsidRPr="00FC2C74">
              <w:rPr>
                <w:rFonts w:ascii="Arial" w:hAnsi="Arial" w:cs="Arial"/>
                <w:bCs/>
                <w:color w:val="000000"/>
              </w:rPr>
              <w:t xml:space="preserve"> and </w:t>
            </w:r>
            <w:r w:rsidR="00D87C07" w:rsidRPr="00FC2C74">
              <w:rPr>
                <w:rFonts w:ascii="Arial" w:hAnsi="Arial" w:cs="Arial"/>
                <w:bCs/>
                <w:color w:val="000000"/>
              </w:rPr>
              <w:t xml:space="preserve">therefore </w:t>
            </w:r>
            <w:r w:rsidRPr="00FC2C74">
              <w:rPr>
                <w:rFonts w:ascii="Arial" w:hAnsi="Arial" w:cs="Arial"/>
                <w:bCs/>
                <w:color w:val="000000"/>
              </w:rPr>
              <w:t xml:space="preserve">did not change its previous </w:t>
            </w:r>
            <w:r w:rsidR="00A50173" w:rsidRPr="00FC2C74">
              <w:rPr>
                <w:rFonts w:ascii="Arial" w:hAnsi="Arial" w:cs="Arial"/>
                <w:bCs/>
                <w:color w:val="000000"/>
              </w:rPr>
              <w:t xml:space="preserve">recommendation regarding </w:t>
            </w:r>
            <w:r w:rsidRPr="00FC2C74">
              <w:rPr>
                <w:rFonts w:ascii="Arial" w:hAnsi="Arial" w:cs="Arial"/>
                <w:bCs/>
                <w:color w:val="000000"/>
              </w:rPr>
              <w:t>the clinical claims.</w:t>
            </w:r>
          </w:p>
          <w:p w:rsidR="00604783" w:rsidRPr="00FC2C74" w:rsidRDefault="00604783" w:rsidP="00604783">
            <w:pPr>
              <w:rPr>
                <w:rFonts w:ascii="Arial" w:hAnsi="Arial" w:cs="Arial"/>
                <w:bCs/>
                <w:color w:val="000000"/>
              </w:rPr>
            </w:pPr>
            <w:r w:rsidRPr="00FC2C74">
              <w:rPr>
                <w:rFonts w:ascii="Arial" w:hAnsi="Arial" w:cs="Arial"/>
                <w:bCs/>
                <w:color w:val="000000"/>
              </w:rPr>
              <w:lastRenderedPageBreak/>
              <w:t>The PBAC accepted the base case for the economic model in the pre-PBAC response which resulted in an ICER of less than $15,000 per QALY</w:t>
            </w:r>
            <w:r w:rsidR="00D520D7" w:rsidRPr="00FC2C74">
              <w:rPr>
                <w:rFonts w:ascii="Arial" w:hAnsi="Arial" w:cs="Arial"/>
                <w:bCs/>
                <w:color w:val="000000"/>
              </w:rPr>
              <w:t xml:space="preserve"> gained</w:t>
            </w:r>
            <w:r w:rsidR="009C6C45" w:rsidRPr="00FC2C74">
              <w:rPr>
                <w:rFonts w:ascii="Arial" w:hAnsi="Arial" w:cs="Arial"/>
                <w:bCs/>
                <w:color w:val="000000"/>
              </w:rPr>
              <w:t>,</w:t>
            </w:r>
            <w:r w:rsidRPr="00FC2C74">
              <w:rPr>
                <w:rFonts w:ascii="Arial" w:hAnsi="Arial" w:cs="Arial"/>
                <w:bCs/>
                <w:color w:val="000000"/>
              </w:rPr>
              <w:t xml:space="preserve"> and noted that the ICER </w:t>
            </w:r>
            <w:r w:rsidR="009C6C45" w:rsidRPr="00FC2C74">
              <w:rPr>
                <w:rFonts w:ascii="Arial" w:hAnsi="Arial" w:cs="Arial"/>
                <w:bCs/>
                <w:color w:val="000000"/>
              </w:rPr>
              <w:t xml:space="preserve">varied from </w:t>
            </w:r>
            <w:r w:rsidR="00C66457" w:rsidRPr="00FC2C74">
              <w:rPr>
                <w:rFonts w:ascii="Arial" w:hAnsi="Arial" w:cs="Arial"/>
                <w:bCs/>
                <w:color w:val="000000"/>
              </w:rPr>
              <w:t>less than</w:t>
            </w:r>
            <w:r w:rsidRPr="00FC2C74">
              <w:rPr>
                <w:rFonts w:ascii="Arial" w:hAnsi="Arial" w:cs="Arial"/>
                <w:bCs/>
                <w:color w:val="000000"/>
              </w:rPr>
              <w:t xml:space="preserve"> $15,000 to </w:t>
            </w:r>
            <w:r w:rsidR="00D520D7" w:rsidRPr="00FC2C74">
              <w:rPr>
                <w:rFonts w:ascii="Arial" w:hAnsi="Arial" w:cs="Arial"/>
                <w:bCs/>
                <w:color w:val="000000"/>
              </w:rPr>
              <w:t>$15,000-</w:t>
            </w:r>
            <w:r w:rsidRPr="00FC2C74">
              <w:rPr>
                <w:rFonts w:ascii="Arial" w:hAnsi="Arial" w:cs="Arial"/>
                <w:bCs/>
                <w:color w:val="000000"/>
              </w:rPr>
              <w:t xml:space="preserve">$45,000 per QALY </w:t>
            </w:r>
            <w:r w:rsidR="00D520D7" w:rsidRPr="00FC2C74">
              <w:rPr>
                <w:rFonts w:ascii="Arial" w:hAnsi="Arial" w:cs="Arial"/>
                <w:bCs/>
                <w:color w:val="000000"/>
              </w:rPr>
              <w:t xml:space="preserve">gained </w:t>
            </w:r>
            <w:r w:rsidRPr="00FC2C74">
              <w:rPr>
                <w:rFonts w:ascii="Arial" w:hAnsi="Arial" w:cs="Arial"/>
                <w:bCs/>
                <w:color w:val="000000"/>
              </w:rPr>
              <w:t xml:space="preserve">under a range of scenarios. The PBAC considered that the revised </w:t>
            </w:r>
            <w:r w:rsidR="00C66457" w:rsidRPr="00FC2C74">
              <w:rPr>
                <w:rFonts w:ascii="Arial" w:hAnsi="Arial" w:cs="Arial"/>
                <w:bCs/>
                <w:color w:val="000000"/>
              </w:rPr>
              <w:t xml:space="preserve">economic </w:t>
            </w:r>
            <w:r w:rsidRPr="00FC2C74">
              <w:rPr>
                <w:rFonts w:ascii="Arial" w:hAnsi="Arial" w:cs="Arial"/>
                <w:bCs/>
                <w:color w:val="000000"/>
              </w:rPr>
              <w:t xml:space="preserve">model, and the price reduction offered in the </w:t>
            </w:r>
            <w:r w:rsidR="00C66457" w:rsidRPr="00FC2C74">
              <w:rPr>
                <w:rFonts w:ascii="Arial" w:hAnsi="Arial" w:cs="Arial"/>
                <w:bCs/>
                <w:color w:val="000000"/>
              </w:rPr>
              <w:t xml:space="preserve">resubmission, enabled the Committee </w:t>
            </w:r>
            <w:r w:rsidRPr="00FC2C74">
              <w:rPr>
                <w:rFonts w:ascii="Arial" w:hAnsi="Arial" w:cs="Arial"/>
                <w:bCs/>
                <w:color w:val="000000"/>
              </w:rPr>
              <w:t>to have greater confidence that the requested listing of would be cost effective compared with 23vPPV.</w:t>
            </w:r>
          </w:p>
          <w:p w:rsidR="00604783" w:rsidRPr="00FC2C74" w:rsidRDefault="00604783" w:rsidP="00604783">
            <w:pPr>
              <w:rPr>
                <w:rFonts w:ascii="Arial" w:hAnsi="Arial" w:cs="Arial"/>
                <w:bCs/>
                <w:color w:val="000000"/>
              </w:rPr>
            </w:pPr>
          </w:p>
          <w:p w:rsidR="00604783" w:rsidRPr="00FC2C74" w:rsidRDefault="00604783" w:rsidP="0034720F">
            <w:pPr>
              <w:rPr>
                <w:rFonts w:ascii="Arial" w:hAnsi="Arial" w:cs="Arial"/>
                <w:bCs/>
                <w:color w:val="000000"/>
              </w:rPr>
            </w:pPr>
            <w:r w:rsidRPr="00FC2C74">
              <w:rPr>
                <w:rFonts w:ascii="Arial" w:hAnsi="Arial" w:cs="Arial"/>
                <w:bCs/>
                <w:color w:val="000000"/>
              </w:rPr>
              <w:t xml:space="preserve">The PBAC noted that the cost-effectiveness of 23vPPV had not been previously reviewed. It was further noted that the information provided in the 13vPCV submission suggested that 23vPPV is unlikely to prevent </w:t>
            </w:r>
            <w:r w:rsidR="00C66457" w:rsidRPr="00FC2C74">
              <w:rPr>
                <w:rFonts w:ascii="Arial" w:hAnsi="Arial" w:cs="Arial"/>
                <w:bCs/>
                <w:color w:val="000000"/>
              </w:rPr>
              <w:t>community acquired pneumonia</w:t>
            </w:r>
            <w:r w:rsidRPr="00FC2C74">
              <w:rPr>
                <w:rFonts w:ascii="Arial" w:hAnsi="Arial" w:cs="Arial"/>
                <w:bCs/>
                <w:color w:val="000000"/>
              </w:rPr>
              <w:t xml:space="preserve">, and the impact on the incidence of IPD may be minimal because of the short duration of protection and the reduction in 13vPCV-serotypes due to the infant programme. The PBAC requested advice from ATAGI on the clinical place and effectiveness of 23vPPV on the NIP with a view to potentially informing a review of the cost-effectiveness of 23vPPV compared with no vaccine. </w:t>
            </w:r>
            <w:r w:rsidR="0034720F" w:rsidRPr="00FC2C74">
              <w:rPr>
                <w:rFonts w:ascii="Arial" w:hAnsi="Arial" w:cs="Arial"/>
                <w:bCs/>
                <w:color w:val="000000"/>
              </w:rPr>
              <w:t>This review should include the use of 23vPPV as currently specified in the NIP schedule (i.e. in children and Aboriginal and Torres Strait Islander adolescents medically at risk and in adults with and without risk factors).</w:t>
            </w:r>
            <w:r w:rsidRPr="00FC2C74">
              <w:rPr>
                <w:rFonts w:ascii="Arial" w:hAnsi="Arial" w:cs="Arial"/>
                <w:bCs/>
                <w:color w:val="000000"/>
              </w:rPr>
              <w:t xml:space="preserve">The PBAC noted that any outcomes of the review of 23vPPV may have implications for the 13vPCV listing. </w:t>
            </w:r>
          </w:p>
        </w:tc>
      </w:tr>
      <w:tr w:rsidR="0002265A" w:rsidRPr="00767E3C" w:rsidTr="00C66457">
        <w:trPr>
          <w:trHeight w:val="4529"/>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3148C8" w:rsidRDefault="003148C8" w:rsidP="009A1758">
            <w:pPr>
              <w:rPr>
                <w:rFonts w:ascii="Arial" w:hAnsi="Arial" w:cs="Arial"/>
                <w:bCs/>
                <w:color w:val="000000"/>
              </w:rPr>
            </w:pPr>
            <w:r w:rsidRPr="00363865">
              <w:rPr>
                <w:rFonts w:ascii="Arial" w:hAnsi="Arial" w:cs="Arial"/>
                <w:bCs/>
                <w:color w:val="000000"/>
              </w:rPr>
              <w:lastRenderedPageBreak/>
              <w:t>PROGESTERONE</w:t>
            </w:r>
            <w:r w:rsidRPr="00363865">
              <w:rPr>
                <w:rFonts w:ascii="Arial" w:hAnsi="Arial" w:cs="Arial"/>
                <w:bCs/>
                <w:color w:val="000000"/>
              </w:rPr>
              <w:br/>
            </w:r>
            <w:r w:rsidRPr="00363865">
              <w:rPr>
                <w:rFonts w:ascii="Arial" w:hAnsi="Arial" w:cs="Arial"/>
                <w:bCs/>
                <w:color w:val="000000"/>
              </w:rPr>
              <w:br/>
              <w:t>200 mg capsule, 42</w:t>
            </w:r>
            <w:r w:rsidRPr="00363865">
              <w:rPr>
                <w:rFonts w:ascii="Arial" w:hAnsi="Arial" w:cs="Arial"/>
                <w:bCs/>
                <w:color w:val="000000"/>
              </w:rPr>
              <w:br/>
            </w:r>
            <w:r w:rsidRPr="00363865">
              <w:rPr>
                <w:rFonts w:ascii="Arial" w:hAnsi="Arial" w:cs="Arial"/>
                <w:bCs/>
                <w:color w:val="000000"/>
              </w:rPr>
              <w:br/>
              <w:t>Utrogestan</w:t>
            </w:r>
            <w:r w:rsidRPr="00C66457">
              <w:rPr>
                <w:rFonts w:ascii="Arial" w:hAnsi="Arial" w:cs="Arial"/>
                <w:bCs/>
                <w:color w:val="000000"/>
                <w:vertAlign w:val="superscript"/>
              </w:rPr>
              <w:t>®</w:t>
            </w:r>
            <w:r w:rsidRPr="00363865">
              <w:rPr>
                <w:rFonts w:ascii="Arial" w:hAnsi="Arial" w:cs="Arial"/>
                <w:bCs/>
                <w:color w:val="000000"/>
              </w:rPr>
              <w:br/>
            </w:r>
            <w:r w:rsidRPr="00363865">
              <w:rPr>
                <w:rFonts w:ascii="Arial" w:hAnsi="Arial" w:cs="Arial"/>
                <w:bCs/>
                <w:color w:val="000000"/>
              </w:rPr>
              <w:br/>
              <w:t>Besins Healthcare</w:t>
            </w:r>
            <w:r w:rsidRPr="001A37EB">
              <w:rPr>
                <w:rFonts w:ascii="Arial" w:hAnsi="Arial" w:cs="Arial"/>
                <w:bCs/>
                <w:color w:val="000000"/>
              </w:rPr>
              <w:t xml:space="preserve"> </w:t>
            </w:r>
          </w:p>
          <w:p w:rsidR="003148C8" w:rsidRDefault="003148C8" w:rsidP="009A1758">
            <w:pPr>
              <w:rPr>
                <w:rFonts w:ascii="Arial" w:hAnsi="Arial" w:cs="Arial"/>
                <w:bCs/>
                <w:color w:val="000000"/>
              </w:rPr>
            </w:pPr>
          </w:p>
          <w:p w:rsidR="0002265A" w:rsidRPr="00767E3C" w:rsidRDefault="003148C8" w:rsidP="009A1758">
            <w:pPr>
              <w:rPr>
                <w:rFonts w:ascii="Arial" w:hAnsi="Arial" w:cs="Arial"/>
                <w:color w:val="000000"/>
              </w:rPr>
            </w:pPr>
            <w:r w:rsidRPr="001A37EB">
              <w:rPr>
                <w:rFonts w:ascii="Arial" w:hAnsi="Arial" w:cs="Arial"/>
                <w:bCs/>
                <w:color w:val="000000"/>
              </w:rPr>
              <w:t>New listing</w:t>
            </w:r>
            <w:r w:rsidRPr="001A37EB">
              <w:rPr>
                <w:rFonts w:ascii="Arial" w:hAnsi="Arial" w:cs="Arial"/>
                <w:bCs/>
                <w:color w:val="000000"/>
              </w:rPr>
              <w:br/>
            </w:r>
            <w:r w:rsidRPr="001A37EB">
              <w:rPr>
                <w:rFonts w:ascii="Arial" w:hAnsi="Arial" w:cs="Arial"/>
                <w:bCs/>
                <w:color w:val="000000"/>
              </w:rPr>
              <w:br/>
              <w:t xml:space="preserve">(Minor </w:t>
            </w:r>
            <w:r w:rsidRPr="00363865">
              <w:rPr>
                <w:rFonts w:ascii="Arial" w:hAnsi="Arial" w:cs="Arial"/>
                <w:bCs/>
                <w:color w:val="000000"/>
              </w:rPr>
              <w:t>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02265A" w:rsidP="00472215">
            <w:pPr>
              <w:rPr>
                <w:rFonts w:ascii="Arial" w:hAnsi="Arial" w:cs="Arial"/>
                <w:color w:val="000000"/>
              </w:rPr>
            </w:pPr>
            <w:r w:rsidRPr="00767E3C">
              <w:rPr>
                <w:rFonts w:ascii="Arial" w:hAnsi="Arial" w:cs="Arial"/>
                <w:color w:val="000000"/>
              </w:rPr>
              <w:t>Assisted reproduction</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C66457">
            <w:pPr>
              <w:rPr>
                <w:rFonts w:ascii="Arial" w:hAnsi="Arial" w:cs="Arial"/>
                <w:color w:val="000000"/>
              </w:rPr>
            </w:pPr>
            <w:r w:rsidRPr="00363865">
              <w:rPr>
                <w:rFonts w:ascii="Arial" w:hAnsi="Arial" w:cs="Arial"/>
                <w:bCs/>
                <w:color w:val="000000"/>
              </w:rPr>
              <w:t xml:space="preserve">Resubmission </w:t>
            </w:r>
            <w:r w:rsidRPr="001A37EB">
              <w:rPr>
                <w:rFonts w:ascii="Arial" w:hAnsi="Arial" w:cs="Arial"/>
                <w:bCs/>
                <w:color w:val="000000"/>
              </w:rPr>
              <w:t>for Section</w:t>
            </w:r>
            <w:r w:rsidR="00C66457">
              <w:rPr>
                <w:rFonts w:ascii="Arial" w:hAnsi="Arial" w:cs="Arial"/>
                <w:bCs/>
                <w:color w:val="000000"/>
              </w:rPr>
              <w:t xml:space="preserve"> </w:t>
            </w:r>
            <w:r w:rsidRPr="001A37EB">
              <w:rPr>
                <w:rFonts w:ascii="Arial" w:hAnsi="Arial" w:cs="Arial"/>
                <w:bCs/>
                <w:color w:val="000000"/>
              </w:rPr>
              <w:t>100 (IVF</w:t>
            </w:r>
            <w:r w:rsidR="00C66457">
              <w:rPr>
                <w:rFonts w:ascii="Arial" w:hAnsi="Arial" w:cs="Arial"/>
                <w:bCs/>
                <w:color w:val="000000"/>
              </w:rPr>
              <w:t xml:space="preserve"> Program</w:t>
            </w:r>
            <w:r w:rsidRPr="001A37EB">
              <w:rPr>
                <w:rFonts w:ascii="Arial" w:hAnsi="Arial" w:cs="Arial"/>
                <w:bCs/>
                <w:color w:val="000000"/>
              </w:rPr>
              <w:t xml:space="preserve">) Authority Required (STREAMLINED) listing for </w:t>
            </w:r>
            <w:r w:rsidRPr="00363865">
              <w:rPr>
                <w:rFonts w:ascii="Arial" w:hAnsi="Arial" w:cs="Arial"/>
                <w:bCs/>
                <w:color w:val="000000"/>
              </w:rPr>
              <w:t xml:space="preserve">luteal phase support </w:t>
            </w:r>
            <w:r w:rsidRPr="001A37EB">
              <w:rPr>
                <w:rFonts w:ascii="Arial" w:hAnsi="Arial" w:cs="Arial"/>
                <w:bCs/>
                <w:color w:val="000000"/>
              </w:rPr>
              <w:t>as part of an assisted reproductive technology</w:t>
            </w:r>
            <w:r w:rsidR="0034720F">
              <w:rPr>
                <w:rFonts w:ascii="Arial" w:hAnsi="Arial" w:cs="Arial"/>
                <w:bCs/>
                <w:color w:val="000000"/>
              </w:rPr>
              <w:t xml:space="preserve"> (ART)</w:t>
            </w:r>
            <w:r w:rsidRPr="001A37EB">
              <w:rPr>
                <w:rFonts w:ascii="Arial" w:hAnsi="Arial" w:cs="Arial"/>
                <w:bCs/>
                <w:color w:val="000000"/>
              </w:rPr>
              <w:t xml:space="preserve"> treatment cycle.</w:t>
            </w:r>
            <w:r w:rsidR="0002265A" w:rsidRPr="00767E3C">
              <w:rPr>
                <w:rFonts w:ascii="Arial" w:hAnsi="Arial" w:cs="Arial"/>
                <w:color w:val="000000"/>
              </w:rPr>
              <w:t xml:space="preserve"> </w:t>
            </w:r>
          </w:p>
        </w:tc>
        <w:tc>
          <w:tcPr>
            <w:tcW w:w="5562" w:type="dxa"/>
            <w:tcBorders>
              <w:top w:val="single" w:sz="4" w:space="0" w:color="auto"/>
              <w:left w:val="single" w:sz="4" w:space="0" w:color="auto"/>
              <w:bottom w:val="single" w:sz="4" w:space="0" w:color="auto"/>
              <w:right w:val="single" w:sz="4" w:space="0" w:color="auto"/>
            </w:tcBorders>
          </w:tcPr>
          <w:p w:rsidR="009B6209" w:rsidRPr="0032697C" w:rsidRDefault="009B6209" w:rsidP="0032697C">
            <w:pPr>
              <w:rPr>
                <w:rFonts w:ascii="Arial" w:hAnsi="Arial" w:cs="Arial"/>
                <w:bCs/>
                <w:color w:val="000000"/>
              </w:rPr>
            </w:pPr>
            <w:r w:rsidRPr="0032697C">
              <w:rPr>
                <w:rFonts w:ascii="Arial" w:hAnsi="Arial" w:cs="Arial"/>
                <w:bCs/>
                <w:color w:val="000000"/>
              </w:rPr>
              <w:t xml:space="preserve">The PBAC recommended the Section 100 </w:t>
            </w:r>
            <w:r w:rsidR="00C66457">
              <w:rPr>
                <w:rFonts w:ascii="Arial" w:hAnsi="Arial" w:cs="Arial"/>
                <w:bCs/>
                <w:color w:val="000000"/>
              </w:rPr>
              <w:t>(</w:t>
            </w:r>
            <w:r w:rsidRPr="0032697C">
              <w:rPr>
                <w:rFonts w:ascii="Arial" w:hAnsi="Arial" w:cs="Arial"/>
                <w:bCs/>
                <w:color w:val="000000"/>
              </w:rPr>
              <w:t xml:space="preserve">IVF </w:t>
            </w:r>
            <w:r w:rsidR="00C66457">
              <w:rPr>
                <w:rFonts w:ascii="Arial" w:hAnsi="Arial" w:cs="Arial"/>
                <w:bCs/>
                <w:color w:val="000000"/>
              </w:rPr>
              <w:t xml:space="preserve">Program) Authority Required </w:t>
            </w:r>
            <w:r w:rsidRPr="0032697C">
              <w:rPr>
                <w:rFonts w:ascii="Arial" w:hAnsi="Arial" w:cs="Arial"/>
                <w:bCs/>
                <w:color w:val="000000"/>
              </w:rPr>
              <w:t>(</w:t>
            </w:r>
            <w:r w:rsidRPr="00C66457">
              <w:rPr>
                <w:rFonts w:ascii="Arial" w:hAnsi="Arial" w:cs="Arial"/>
                <w:bCs/>
                <w:caps/>
                <w:color w:val="000000"/>
              </w:rPr>
              <w:t>Streamlined</w:t>
            </w:r>
            <w:r w:rsidRPr="0032697C">
              <w:rPr>
                <w:rFonts w:ascii="Arial" w:hAnsi="Arial" w:cs="Arial"/>
                <w:bCs/>
                <w:color w:val="000000"/>
              </w:rPr>
              <w:t>) listing for progesterone fo</w:t>
            </w:r>
            <w:r w:rsidR="0034720F">
              <w:rPr>
                <w:rFonts w:ascii="Arial" w:hAnsi="Arial" w:cs="Arial"/>
                <w:bCs/>
                <w:color w:val="000000"/>
              </w:rPr>
              <w:t>r luteal support as part of an assisted reproductive t</w:t>
            </w:r>
            <w:r w:rsidRPr="0032697C">
              <w:rPr>
                <w:rFonts w:ascii="Arial" w:hAnsi="Arial" w:cs="Arial"/>
                <w:bCs/>
                <w:color w:val="000000"/>
              </w:rPr>
              <w:t>echnology (ART) treatment program for infertile women. The PBAC considered that any form of progesterone currently listed on the PBS for ART could be an appropriate comparator, and that in the absence of demonstrated superior comparative effectiveness or safety over the least costly comparator, progesterone 200</w:t>
            </w:r>
            <w:r w:rsidR="0057384C">
              <w:rPr>
                <w:rFonts w:ascii="Arial" w:hAnsi="Arial" w:cs="Arial"/>
                <w:bCs/>
                <w:color w:val="000000"/>
              </w:rPr>
              <w:t xml:space="preserve"> </w:t>
            </w:r>
            <w:r w:rsidRPr="0032697C">
              <w:rPr>
                <w:rFonts w:ascii="Arial" w:hAnsi="Arial" w:cs="Arial"/>
                <w:bCs/>
                <w:color w:val="000000"/>
              </w:rPr>
              <w:t>mg capsule should be cost-minimised to the least costly comparator, progesterone pessary.</w:t>
            </w:r>
          </w:p>
          <w:p w:rsidR="009B6209" w:rsidRPr="0032697C" w:rsidRDefault="009B6209" w:rsidP="0032697C">
            <w:pPr>
              <w:rPr>
                <w:rFonts w:ascii="Arial" w:hAnsi="Arial" w:cs="Arial"/>
                <w:bCs/>
                <w:color w:val="000000"/>
              </w:rPr>
            </w:pPr>
          </w:p>
          <w:p w:rsidR="009B6209" w:rsidRPr="0032697C" w:rsidRDefault="009B6209" w:rsidP="0032697C">
            <w:pPr>
              <w:rPr>
                <w:rFonts w:ascii="Arial" w:hAnsi="Arial" w:cs="Arial"/>
                <w:bCs/>
                <w:color w:val="000000"/>
              </w:rPr>
            </w:pPr>
            <w:r w:rsidRPr="0032697C">
              <w:rPr>
                <w:rFonts w:ascii="Arial" w:hAnsi="Arial" w:cs="Arial"/>
                <w:bCs/>
                <w:color w:val="000000"/>
              </w:rPr>
              <w:t>The PBAC considered that the equi-effective doses were progesterone (Utrogestan) 200</w:t>
            </w:r>
            <w:r w:rsidR="0057384C">
              <w:rPr>
                <w:rFonts w:ascii="Arial" w:hAnsi="Arial" w:cs="Arial"/>
                <w:bCs/>
                <w:color w:val="000000"/>
              </w:rPr>
              <w:t xml:space="preserve"> </w:t>
            </w:r>
            <w:r w:rsidRPr="0032697C">
              <w:rPr>
                <w:rFonts w:ascii="Arial" w:hAnsi="Arial" w:cs="Arial"/>
                <w:bCs/>
                <w:color w:val="000000"/>
              </w:rPr>
              <w:t>mg capsule administered vaginally three times daily and the previously accepted progesterone equi-effective doses, which are Oripro pessary 200-800</w:t>
            </w:r>
            <w:r w:rsidR="0057384C">
              <w:rPr>
                <w:rFonts w:ascii="Arial" w:hAnsi="Arial" w:cs="Arial"/>
                <w:bCs/>
                <w:color w:val="000000"/>
              </w:rPr>
              <w:t xml:space="preserve"> </w:t>
            </w:r>
            <w:r w:rsidRPr="0032697C">
              <w:rPr>
                <w:rFonts w:ascii="Arial" w:hAnsi="Arial" w:cs="Arial"/>
                <w:bCs/>
                <w:color w:val="000000"/>
              </w:rPr>
              <w:t>mg daily and Endometrin vaginal tablet 100</w:t>
            </w:r>
            <w:r w:rsidR="0057384C">
              <w:rPr>
                <w:rFonts w:ascii="Arial" w:hAnsi="Arial" w:cs="Arial"/>
                <w:bCs/>
                <w:color w:val="000000"/>
              </w:rPr>
              <w:t xml:space="preserve"> </w:t>
            </w:r>
            <w:r w:rsidRPr="0032697C">
              <w:rPr>
                <w:rFonts w:ascii="Arial" w:hAnsi="Arial" w:cs="Arial"/>
                <w:bCs/>
                <w:color w:val="000000"/>
              </w:rPr>
              <w:t xml:space="preserve">mg twice or three times daily.  The PBAC noted that no clinical evidence was provided to demonstrate the superiority of higher progesterone doses over lower doses. </w:t>
            </w:r>
          </w:p>
          <w:p w:rsidR="0002265A" w:rsidRPr="00767E3C" w:rsidRDefault="0002265A" w:rsidP="009A1758">
            <w:pPr>
              <w:spacing w:after="240"/>
              <w:rPr>
                <w:rFonts w:ascii="Arial" w:hAnsi="Arial" w:cs="Arial"/>
              </w:rPr>
            </w:pPr>
          </w:p>
        </w:tc>
      </w:tr>
      <w:tr w:rsidR="0002265A" w:rsidRPr="00767E3C" w:rsidTr="00C66457">
        <w:trPr>
          <w:trHeight w:val="2828"/>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3148C8" w:rsidRDefault="003148C8" w:rsidP="003148C8">
            <w:pPr>
              <w:rPr>
                <w:rFonts w:ascii="Arial" w:hAnsi="Arial" w:cs="Arial"/>
                <w:color w:val="000000"/>
              </w:rPr>
            </w:pPr>
            <w:r w:rsidRPr="00C318D4">
              <w:rPr>
                <w:rFonts w:ascii="Arial" w:hAnsi="Arial" w:cs="Arial"/>
                <w:color w:val="000000"/>
              </w:rPr>
              <w:t>RIBAVIRIN</w:t>
            </w:r>
            <w:r w:rsidRPr="00C318D4">
              <w:rPr>
                <w:rFonts w:ascii="Arial" w:hAnsi="Arial" w:cs="Arial"/>
                <w:color w:val="000000"/>
              </w:rPr>
              <w:br/>
            </w:r>
            <w:r w:rsidRPr="00C318D4">
              <w:rPr>
                <w:rFonts w:ascii="Arial" w:hAnsi="Arial" w:cs="Arial"/>
                <w:color w:val="000000"/>
              </w:rPr>
              <w:br/>
              <w:t>200 mg tablet</w:t>
            </w:r>
            <w:r w:rsidRPr="00C318D4">
              <w:rPr>
                <w:rFonts w:ascii="Arial" w:hAnsi="Arial" w:cs="Arial"/>
                <w:color w:val="000000"/>
              </w:rPr>
              <w:br/>
            </w:r>
            <w:r w:rsidRPr="00C318D4">
              <w:rPr>
                <w:rFonts w:ascii="Arial" w:hAnsi="Arial" w:cs="Arial"/>
                <w:color w:val="000000"/>
              </w:rPr>
              <w:br/>
              <w:t>Ibavyr</w:t>
            </w:r>
            <w:r w:rsidRPr="00C66457">
              <w:rPr>
                <w:rFonts w:ascii="Arial" w:hAnsi="Arial" w:cs="Arial"/>
                <w:color w:val="000000"/>
                <w:vertAlign w:val="superscript"/>
              </w:rPr>
              <w:t>®</w:t>
            </w:r>
            <w:r w:rsidRPr="00C318D4">
              <w:rPr>
                <w:rFonts w:ascii="Arial" w:hAnsi="Arial" w:cs="Arial"/>
                <w:color w:val="000000"/>
              </w:rPr>
              <w:br/>
            </w:r>
            <w:r w:rsidRPr="00C318D4">
              <w:rPr>
                <w:rFonts w:ascii="Arial" w:hAnsi="Arial" w:cs="Arial"/>
                <w:color w:val="000000"/>
              </w:rPr>
              <w:br/>
              <w:t>Clinect Pty Ltd</w:t>
            </w:r>
            <w:r w:rsidRPr="001A37EB">
              <w:rPr>
                <w:rFonts w:ascii="Arial" w:hAnsi="Arial" w:cs="Arial"/>
                <w:color w:val="000000"/>
              </w:rPr>
              <w:t xml:space="preserve"> </w:t>
            </w:r>
          </w:p>
          <w:p w:rsidR="003148C8" w:rsidRDefault="003148C8" w:rsidP="003148C8">
            <w:pPr>
              <w:rPr>
                <w:rFonts w:ascii="Arial" w:hAnsi="Arial" w:cs="Arial"/>
                <w:color w:val="000000"/>
              </w:rPr>
            </w:pPr>
          </w:p>
          <w:p w:rsidR="0002265A" w:rsidRPr="00767E3C" w:rsidRDefault="003148C8" w:rsidP="003148C8">
            <w:pPr>
              <w:rPr>
                <w:rFonts w:ascii="Arial" w:hAnsi="Arial" w:cs="Arial"/>
                <w:color w:val="000000"/>
              </w:rPr>
            </w:pPr>
            <w:r w:rsidRPr="001A37EB">
              <w:rPr>
                <w:rFonts w:ascii="Arial" w:hAnsi="Arial" w:cs="Arial"/>
                <w:color w:val="000000"/>
              </w:rPr>
              <w:t>New listing</w:t>
            </w:r>
            <w:r w:rsidRPr="001A37EB">
              <w:rPr>
                <w:rFonts w:ascii="Arial" w:hAnsi="Arial" w:cs="Arial"/>
                <w:color w:val="000000"/>
              </w:rPr>
              <w:br/>
            </w:r>
            <w:r w:rsidRPr="001A37EB">
              <w:rPr>
                <w:rFonts w:ascii="Arial" w:hAnsi="Arial" w:cs="Arial"/>
                <w:color w:val="000000"/>
              </w:rPr>
              <w:br/>
              <w:t xml:space="preserve">(Minor </w:t>
            </w:r>
            <w:r w:rsidRPr="00C318D4">
              <w:rPr>
                <w:rFonts w:ascii="Arial" w:hAnsi="Arial" w:cs="Arial"/>
                <w:color w:val="000000"/>
              </w:rPr>
              <w:t>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3148C8">
            <w:pPr>
              <w:rPr>
                <w:rFonts w:ascii="Arial" w:hAnsi="Arial" w:cs="Arial"/>
                <w:color w:val="000000"/>
              </w:rPr>
            </w:pPr>
            <w:r w:rsidRPr="00C318D4">
              <w:rPr>
                <w:rFonts w:ascii="Arial" w:hAnsi="Arial" w:cs="Arial"/>
                <w:color w:val="000000"/>
              </w:rPr>
              <w:t>Chronic hepatitis C virus infection</w:t>
            </w:r>
            <w:r w:rsidRPr="00767E3C">
              <w:rPr>
                <w:rFonts w:ascii="Arial" w:hAnsi="Arial" w:cs="Arial"/>
                <w:color w:val="000000"/>
              </w:rPr>
              <w:t xml:space="preserve"> </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9A1758">
            <w:pPr>
              <w:rPr>
                <w:rFonts w:ascii="Arial" w:hAnsi="Arial" w:cs="Arial"/>
                <w:color w:val="000000"/>
              </w:rPr>
            </w:pPr>
            <w:r w:rsidRPr="00C318D4">
              <w:rPr>
                <w:rFonts w:ascii="Arial" w:hAnsi="Arial" w:cs="Arial"/>
                <w:color w:val="000000"/>
              </w:rPr>
              <w:t xml:space="preserve">Authority </w:t>
            </w:r>
            <w:r w:rsidR="00C66457">
              <w:rPr>
                <w:rFonts w:ascii="Arial" w:hAnsi="Arial" w:cs="Arial"/>
                <w:color w:val="000000"/>
              </w:rPr>
              <w:t>Required Section 85 and S</w:t>
            </w:r>
            <w:r w:rsidRPr="00C318D4">
              <w:rPr>
                <w:rFonts w:ascii="Arial" w:hAnsi="Arial" w:cs="Arial"/>
                <w:color w:val="000000"/>
              </w:rPr>
              <w:t>ection 100 (Highly Specialised Drugs</w:t>
            </w:r>
            <w:r w:rsidR="00C66457">
              <w:rPr>
                <w:rFonts w:ascii="Arial" w:hAnsi="Arial" w:cs="Arial"/>
                <w:color w:val="000000"/>
              </w:rPr>
              <w:t xml:space="preserve"> Program</w:t>
            </w:r>
            <w:r w:rsidRPr="00C318D4">
              <w:rPr>
                <w:rFonts w:ascii="Arial" w:hAnsi="Arial" w:cs="Arial"/>
                <w:color w:val="000000"/>
              </w:rPr>
              <w:t>) listing of a new strength of ribavirin for the same indications as the currently listed strength</w:t>
            </w:r>
            <w:r>
              <w:rPr>
                <w:rFonts w:ascii="Arial" w:hAnsi="Arial" w:cs="Arial"/>
                <w:color w:val="000000"/>
              </w:rPr>
              <w:t>s</w:t>
            </w:r>
            <w:r w:rsidRPr="00C318D4">
              <w:rPr>
                <w:rFonts w:ascii="Arial" w:hAnsi="Arial" w:cs="Arial"/>
                <w:color w:val="000000"/>
              </w:rPr>
              <w:t>.</w:t>
            </w:r>
          </w:p>
        </w:tc>
        <w:tc>
          <w:tcPr>
            <w:tcW w:w="5562" w:type="dxa"/>
            <w:tcBorders>
              <w:top w:val="single" w:sz="4" w:space="0" w:color="auto"/>
              <w:left w:val="single" w:sz="4" w:space="0" w:color="auto"/>
              <w:bottom w:val="single" w:sz="4" w:space="0" w:color="auto"/>
              <w:right w:val="single" w:sz="4" w:space="0" w:color="auto"/>
            </w:tcBorders>
          </w:tcPr>
          <w:p w:rsidR="007209C6" w:rsidRPr="007209C6" w:rsidRDefault="007209C6" w:rsidP="007209C6">
            <w:pPr>
              <w:rPr>
                <w:rFonts w:ascii="Arial" w:hAnsi="Arial" w:cs="Arial"/>
                <w:color w:val="000000"/>
              </w:rPr>
            </w:pPr>
            <w:r w:rsidRPr="007209C6">
              <w:rPr>
                <w:rFonts w:ascii="Arial" w:hAnsi="Arial" w:cs="Arial"/>
                <w:color w:val="000000"/>
              </w:rPr>
              <w:t xml:space="preserve">The PBAC recommended the listing of ribavirin 200 mg, for use in combination therapy with other oral agents for treating chronic hepatitis C infection, under the same listing conditions and </w:t>
            </w:r>
            <w:r w:rsidR="00C66457">
              <w:rPr>
                <w:rFonts w:ascii="Arial" w:hAnsi="Arial" w:cs="Arial"/>
                <w:color w:val="000000"/>
              </w:rPr>
              <w:t>at an equivalent ex-manufacturer price</w:t>
            </w:r>
            <w:r w:rsidRPr="007209C6">
              <w:rPr>
                <w:rFonts w:ascii="Arial" w:hAnsi="Arial" w:cs="Arial"/>
                <w:color w:val="000000"/>
              </w:rPr>
              <w:t xml:space="preserve"> </w:t>
            </w:r>
            <w:r w:rsidR="00C66457">
              <w:rPr>
                <w:rFonts w:ascii="Arial" w:hAnsi="Arial" w:cs="Arial"/>
                <w:color w:val="000000"/>
              </w:rPr>
              <w:t>as</w:t>
            </w:r>
            <w:r w:rsidRPr="007209C6">
              <w:rPr>
                <w:rFonts w:ascii="Arial" w:hAnsi="Arial" w:cs="Arial"/>
                <w:color w:val="000000"/>
              </w:rPr>
              <w:t xml:space="preserve"> existing strengths ribavirin on the PBS. The availability of 200 mg tablets removes the need for the physical splitting of higher strength tablets to achieve lower doses in modified dosing regimens. The listing of the 200 mg strength will be cost neutral to the PBS.</w:t>
            </w:r>
          </w:p>
          <w:p w:rsidR="0002265A" w:rsidRPr="00767E3C" w:rsidRDefault="0002265A" w:rsidP="009A1758">
            <w:pPr>
              <w:rPr>
                <w:rFonts w:ascii="Arial" w:hAnsi="Arial" w:cs="Arial"/>
                <w:color w:val="000000"/>
              </w:rPr>
            </w:pPr>
          </w:p>
        </w:tc>
      </w:tr>
      <w:tr w:rsidR="0002265A"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3148C8" w:rsidP="009A1758">
            <w:pPr>
              <w:rPr>
                <w:rFonts w:ascii="Arial" w:hAnsi="Arial" w:cs="Arial"/>
                <w:color w:val="000000"/>
              </w:rPr>
            </w:pPr>
            <w:r w:rsidRPr="00C318D4">
              <w:rPr>
                <w:rFonts w:ascii="Arial" w:hAnsi="Arial" w:cs="Arial"/>
                <w:color w:val="000000"/>
              </w:rPr>
              <w:t>RIBAVIRIN</w:t>
            </w:r>
            <w:r w:rsidRPr="00C318D4">
              <w:rPr>
                <w:rFonts w:ascii="Arial" w:hAnsi="Arial" w:cs="Arial"/>
                <w:color w:val="000000"/>
              </w:rPr>
              <w:br/>
            </w:r>
            <w:r w:rsidRPr="00C318D4">
              <w:rPr>
                <w:rFonts w:ascii="Arial" w:hAnsi="Arial" w:cs="Arial"/>
                <w:color w:val="000000"/>
              </w:rPr>
              <w:lastRenderedPageBreak/>
              <w:br/>
              <w:t>400 mg tablet</w:t>
            </w:r>
            <w:r w:rsidRPr="00C318D4">
              <w:rPr>
                <w:rFonts w:ascii="Arial" w:hAnsi="Arial" w:cs="Arial"/>
                <w:color w:val="000000"/>
              </w:rPr>
              <w:br/>
              <w:t>600 mg tablet</w:t>
            </w:r>
            <w:r w:rsidRPr="00C318D4">
              <w:rPr>
                <w:rFonts w:ascii="Arial" w:hAnsi="Arial" w:cs="Arial"/>
                <w:color w:val="000000"/>
              </w:rPr>
              <w:br/>
            </w:r>
            <w:r w:rsidRPr="00C318D4">
              <w:rPr>
                <w:rFonts w:ascii="Arial" w:hAnsi="Arial" w:cs="Arial"/>
                <w:color w:val="000000"/>
              </w:rPr>
              <w:br/>
              <w:t>Ibavyr</w:t>
            </w:r>
            <w:r w:rsidRPr="00C66457">
              <w:rPr>
                <w:rFonts w:ascii="Arial" w:hAnsi="Arial" w:cs="Arial"/>
                <w:color w:val="000000"/>
                <w:vertAlign w:val="superscript"/>
              </w:rPr>
              <w:t>®</w:t>
            </w:r>
            <w:r w:rsidRPr="00C318D4">
              <w:rPr>
                <w:rFonts w:ascii="Arial" w:hAnsi="Arial" w:cs="Arial"/>
                <w:color w:val="000000"/>
              </w:rPr>
              <w:br/>
            </w:r>
            <w:r w:rsidRPr="00C318D4">
              <w:rPr>
                <w:rFonts w:ascii="Arial" w:hAnsi="Arial" w:cs="Arial"/>
                <w:color w:val="000000"/>
              </w:rPr>
              <w:br/>
              <w:t>Clinect Pty Ltd</w:t>
            </w:r>
            <w:r w:rsidRPr="00767E3C">
              <w:rPr>
                <w:rFonts w:ascii="Arial" w:hAnsi="Arial" w:cs="Arial"/>
                <w:color w:val="000000"/>
              </w:rPr>
              <w:t xml:space="preserve"> </w:t>
            </w:r>
          </w:p>
          <w:p w:rsidR="003148C8" w:rsidRDefault="003148C8" w:rsidP="009A1758">
            <w:pPr>
              <w:rPr>
                <w:rFonts w:ascii="Arial" w:hAnsi="Arial" w:cs="Arial"/>
                <w:color w:val="000000"/>
              </w:rPr>
            </w:pPr>
          </w:p>
          <w:p w:rsidR="003148C8" w:rsidRPr="00767E3C" w:rsidRDefault="003148C8" w:rsidP="009A1758">
            <w:pPr>
              <w:rPr>
                <w:rFonts w:ascii="Arial" w:hAnsi="Arial" w:cs="Arial"/>
                <w:color w:val="000000"/>
              </w:rPr>
            </w:pPr>
            <w:r w:rsidRPr="00C318D4">
              <w:rPr>
                <w:rFonts w:ascii="Arial" w:hAnsi="Arial" w:cs="Arial"/>
                <w:color w:val="000000"/>
              </w:rPr>
              <w:t>Change to listing</w:t>
            </w:r>
            <w:r w:rsidRPr="00C318D4">
              <w:rPr>
                <w:rFonts w:ascii="Arial" w:hAnsi="Arial" w:cs="Arial"/>
                <w:color w:val="000000"/>
              </w:rPr>
              <w:br/>
            </w:r>
            <w:r w:rsidRPr="00C318D4">
              <w:rPr>
                <w:rFonts w:ascii="Arial" w:hAnsi="Arial" w:cs="Arial"/>
                <w:color w:val="000000"/>
              </w:rPr>
              <w:br/>
              <w:t>(</w:t>
            </w:r>
            <w:r w:rsidRPr="001A37EB">
              <w:rPr>
                <w:rFonts w:ascii="Arial" w:hAnsi="Arial" w:cs="Arial"/>
                <w:color w:val="000000"/>
              </w:rPr>
              <w:t>Minor</w:t>
            </w:r>
            <w:r w:rsidRPr="00C318D4">
              <w:rPr>
                <w:rFonts w:ascii="Arial" w:hAnsi="Arial" w:cs="Arial"/>
                <w:color w:val="000000"/>
              </w:rPr>
              <w:t xml:space="preserve">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3148C8">
            <w:pPr>
              <w:rPr>
                <w:rFonts w:ascii="Arial" w:hAnsi="Arial" w:cs="Arial"/>
                <w:color w:val="000000"/>
              </w:rPr>
            </w:pPr>
            <w:r w:rsidRPr="00C318D4">
              <w:rPr>
                <w:rFonts w:ascii="Arial" w:hAnsi="Arial" w:cs="Arial"/>
                <w:color w:val="000000"/>
              </w:rPr>
              <w:lastRenderedPageBreak/>
              <w:t xml:space="preserve">Chronic hepatitis C </w:t>
            </w:r>
            <w:r w:rsidRPr="00C318D4">
              <w:rPr>
                <w:rFonts w:ascii="Arial" w:hAnsi="Arial" w:cs="Arial"/>
                <w:color w:val="000000"/>
              </w:rPr>
              <w:lastRenderedPageBreak/>
              <w:t>virus infection</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C66457" w:rsidP="00C66457">
            <w:pPr>
              <w:rPr>
                <w:rFonts w:ascii="Arial" w:hAnsi="Arial" w:cs="Arial"/>
                <w:color w:val="000000"/>
              </w:rPr>
            </w:pPr>
            <w:r>
              <w:rPr>
                <w:rFonts w:ascii="Arial" w:hAnsi="Arial" w:cs="Arial"/>
                <w:color w:val="000000"/>
              </w:rPr>
              <w:lastRenderedPageBreak/>
              <w:t>Authority Required S</w:t>
            </w:r>
            <w:r w:rsidR="003148C8" w:rsidRPr="00C318D4">
              <w:rPr>
                <w:rFonts w:ascii="Arial" w:hAnsi="Arial" w:cs="Arial"/>
                <w:color w:val="000000"/>
              </w:rPr>
              <w:t xml:space="preserve">ection 85 and </w:t>
            </w:r>
            <w:r>
              <w:rPr>
                <w:rFonts w:ascii="Arial" w:hAnsi="Arial" w:cs="Arial"/>
                <w:color w:val="000000"/>
              </w:rPr>
              <w:t>S</w:t>
            </w:r>
            <w:r w:rsidR="003148C8" w:rsidRPr="00C318D4">
              <w:rPr>
                <w:rFonts w:ascii="Arial" w:hAnsi="Arial" w:cs="Arial"/>
                <w:color w:val="000000"/>
              </w:rPr>
              <w:t xml:space="preserve">ection </w:t>
            </w:r>
            <w:r w:rsidR="003148C8" w:rsidRPr="00C318D4">
              <w:rPr>
                <w:rFonts w:ascii="Arial" w:hAnsi="Arial" w:cs="Arial"/>
                <w:color w:val="000000"/>
              </w:rPr>
              <w:lastRenderedPageBreak/>
              <w:t>100 (Highly Specialised Drugs</w:t>
            </w:r>
            <w:r>
              <w:rPr>
                <w:rFonts w:ascii="Arial" w:hAnsi="Arial" w:cs="Arial"/>
                <w:color w:val="000000"/>
              </w:rPr>
              <w:t xml:space="preserve"> Program</w:t>
            </w:r>
            <w:r w:rsidR="003148C8" w:rsidRPr="00C318D4">
              <w:rPr>
                <w:rFonts w:ascii="Arial" w:hAnsi="Arial" w:cs="Arial"/>
                <w:color w:val="000000"/>
              </w:rPr>
              <w:t xml:space="preserve">) listing of ribavirin, in combination with daclatasvir and sofosbuvir, for the treatment of genotypes 2, 3, 4, 5 and 6 </w:t>
            </w:r>
            <w:r>
              <w:rPr>
                <w:rFonts w:ascii="Arial" w:hAnsi="Arial" w:cs="Arial"/>
                <w:color w:val="000000"/>
              </w:rPr>
              <w:t>H</w:t>
            </w:r>
            <w:r w:rsidR="003148C8" w:rsidRPr="00C318D4">
              <w:rPr>
                <w:rFonts w:ascii="Arial" w:hAnsi="Arial" w:cs="Arial"/>
                <w:color w:val="000000"/>
              </w:rPr>
              <w:t xml:space="preserve">epatitis C viral infection in patients 18 years or older who have decompensated liver disease. </w:t>
            </w:r>
          </w:p>
        </w:tc>
        <w:tc>
          <w:tcPr>
            <w:tcW w:w="5562" w:type="dxa"/>
            <w:tcBorders>
              <w:top w:val="single" w:sz="4" w:space="0" w:color="auto"/>
              <w:left w:val="single" w:sz="4" w:space="0" w:color="auto"/>
              <w:bottom w:val="single" w:sz="4" w:space="0" w:color="auto"/>
              <w:right w:val="single" w:sz="4" w:space="0" w:color="auto"/>
            </w:tcBorders>
          </w:tcPr>
          <w:p w:rsidR="00F63BB1" w:rsidRPr="00F63BB1" w:rsidRDefault="00F63BB1" w:rsidP="0034720F">
            <w:pPr>
              <w:widowControl w:val="0"/>
              <w:rPr>
                <w:rFonts w:ascii="Arial" w:hAnsi="Arial" w:cs="Arial"/>
                <w:snapToGrid w:val="0"/>
              </w:rPr>
            </w:pPr>
            <w:r w:rsidRPr="00F63BB1">
              <w:rPr>
                <w:rFonts w:ascii="Arial" w:hAnsi="Arial" w:cs="Arial"/>
                <w:snapToGrid w:val="0"/>
              </w:rPr>
              <w:lastRenderedPageBreak/>
              <w:t xml:space="preserve">The PBAC recommended the listing of ribavirin in </w:t>
            </w:r>
            <w:r w:rsidRPr="00F63BB1">
              <w:rPr>
                <w:rFonts w:ascii="Arial" w:hAnsi="Arial" w:cs="Arial"/>
                <w:snapToGrid w:val="0"/>
              </w:rPr>
              <w:lastRenderedPageBreak/>
              <w:t xml:space="preserve">combination with daclatasvir and sofosbuvir for 12 weeks for the treatment of </w:t>
            </w:r>
            <w:r w:rsidR="00C66457" w:rsidRPr="00F63BB1">
              <w:rPr>
                <w:rFonts w:ascii="Arial" w:hAnsi="Arial" w:cs="Arial"/>
                <w:snapToGrid w:val="0"/>
              </w:rPr>
              <w:t>genotype 3</w:t>
            </w:r>
            <w:r w:rsidR="00C66457">
              <w:rPr>
                <w:rFonts w:ascii="Arial" w:hAnsi="Arial" w:cs="Arial"/>
                <w:snapToGrid w:val="0"/>
              </w:rPr>
              <w:t xml:space="preserve"> </w:t>
            </w:r>
            <w:r w:rsidRPr="00F63BB1">
              <w:rPr>
                <w:rFonts w:ascii="Arial" w:hAnsi="Arial" w:cs="Arial"/>
                <w:snapToGrid w:val="0"/>
              </w:rPr>
              <w:t>hepatitis C</w:t>
            </w:r>
            <w:r w:rsidR="00C66457">
              <w:rPr>
                <w:rFonts w:ascii="Arial" w:hAnsi="Arial" w:cs="Arial"/>
                <w:snapToGrid w:val="0"/>
              </w:rPr>
              <w:t xml:space="preserve"> virus</w:t>
            </w:r>
            <w:r w:rsidRPr="00F63BB1">
              <w:rPr>
                <w:rFonts w:ascii="Arial" w:hAnsi="Arial" w:cs="Arial"/>
                <w:snapToGrid w:val="0"/>
              </w:rPr>
              <w:t xml:space="preserve"> in treatment naïve and treatment experienced cirrhotic patients. The PBAC also recommended a footnote be added to the </w:t>
            </w:r>
            <w:r w:rsidR="00BA4640">
              <w:rPr>
                <w:rFonts w:ascii="Arial" w:hAnsi="Arial" w:cs="Arial"/>
                <w:snapToGrid w:val="0"/>
              </w:rPr>
              <w:t xml:space="preserve">genotype </w:t>
            </w:r>
            <w:r w:rsidRPr="00F63BB1">
              <w:rPr>
                <w:rFonts w:ascii="Arial" w:hAnsi="Arial" w:cs="Arial"/>
                <w:snapToGrid w:val="0"/>
              </w:rPr>
              <w:t xml:space="preserve">3 daclatasvir with sofosbuvir 24 week regimen to allow for the addition of ribavirin to this regimen when clinically appropriate, for example in patients with decompensated liver disease. </w:t>
            </w:r>
          </w:p>
          <w:p w:rsidR="0002265A" w:rsidRPr="00767E3C" w:rsidRDefault="0002265A" w:rsidP="00CE57C2">
            <w:pPr>
              <w:rPr>
                <w:rFonts w:ascii="Arial" w:hAnsi="Arial" w:cs="Arial"/>
              </w:rPr>
            </w:pPr>
          </w:p>
        </w:tc>
      </w:tr>
      <w:tr w:rsidR="0002265A"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3148C8" w:rsidP="00472215">
            <w:pPr>
              <w:rPr>
                <w:rFonts w:ascii="Arial" w:hAnsi="Arial" w:cs="Arial"/>
                <w:color w:val="000000"/>
              </w:rPr>
            </w:pPr>
            <w:r w:rsidRPr="00C318D4">
              <w:rPr>
                <w:rFonts w:ascii="Arial" w:hAnsi="Arial" w:cs="Arial"/>
                <w:color w:val="000000"/>
              </w:rPr>
              <w:lastRenderedPageBreak/>
              <w:t>RUXOLITINIB</w:t>
            </w:r>
            <w:r w:rsidRPr="00C318D4">
              <w:rPr>
                <w:rFonts w:ascii="Arial" w:hAnsi="Arial" w:cs="Arial"/>
                <w:color w:val="000000"/>
              </w:rPr>
              <w:br/>
            </w:r>
            <w:r w:rsidRPr="00C318D4">
              <w:rPr>
                <w:rFonts w:ascii="Arial" w:hAnsi="Arial" w:cs="Arial"/>
                <w:color w:val="000000"/>
              </w:rPr>
              <w:br/>
              <w:t>10 mg tablet, 56</w:t>
            </w:r>
            <w:r w:rsidRPr="00C318D4">
              <w:rPr>
                <w:rFonts w:ascii="Arial" w:hAnsi="Arial" w:cs="Arial"/>
                <w:color w:val="000000"/>
              </w:rPr>
              <w:br/>
            </w:r>
            <w:r w:rsidRPr="00C318D4">
              <w:rPr>
                <w:rFonts w:ascii="Arial" w:hAnsi="Arial" w:cs="Arial"/>
                <w:color w:val="000000"/>
              </w:rPr>
              <w:br/>
              <w:t>Jakavi</w:t>
            </w:r>
            <w:r w:rsidRPr="00BA4640">
              <w:rPr>
                <w:rFonts w:ascii="Arial" w:hAnsi="Arial" w:cs="Arial"/>
                <w:color w:val="000000"/>
                <w:vertAlign w:val="superscript"/>
              </w:rPr>
              <w:t>®</w:t>
            </w:r>
            <w:r w:rsidRPr="00C318D4">
              <w:rPr>
                <w:rFonts w:ascii="Arial" w:hAnsi="Arial" w:cs="Arial"/>
                <w:color w:val="000000"/>
              </w:rPr>
              <w:br/>
            </w:r>
            <w:r w:rsidRPr="00C318D4">
              <w:rPr>
                <w:rFonts w:ascii="Arial" w:hAnsi="Arial" w:cs="Arial"/>
                <w:color w:val="000000"/>
              </w:rPr>
              <w:br/>
              <w:t>Novartis Pharmaceuticals Australia Pty Ltd</w:t>
            </w:r>
          </w:p>
          <w:p w:rsidR="003148C8" w:rsidRDefault="003148C8" w:rsidP="00472215">
            <w:pPr>
              <w:rPr>
                <w:rFonts w:ascii="Arial" w:hAnsi="Arial" w:cs="Arial"/>
                <w:color w:val="000000"/>
              </w:rPr>
            </w:pPr>
          </w:p>
          <w:p w:rsidR="003148C8" w:rsidRPr="00767E3C" w:rsidRDefault="003148C8" w:rsidP="00472215">
            <w:pPr>
              <w:rPr>
                <w:rFonts w:ascii="Arial" w:hAnsi="Arial" w:cs="Arial"/>
                <w:color w:val="000000"/>
              </w:rPr>
            </w:pPr>
            <w:r w:rsidRPr="00C318D4">
              <w:rPr>
                <w:rFonts w:ascii="Arial" w:hAnsi="Arial" w:cs="Arial"/>
                <w:color w:val="000000"/>
              </w:rPr>
              <w:t>New listing</w:t>
            </w:r>
            <w:r w:rsidRPr="00C318D4">
              <w:rPr>
                <w:rFonts w:ascii="Arial" w:hAnsi="Arial" w:cs="Arial"/>
                <w:color w:val="000000"/>
              </w:rPr>
              <w:br/>
            </w:r>
            <w:r w:rsidRPr="00C318D4">
              <w:rPr>
                <w:rFonts w:ascii="Arial" w:hAnsi="Arial" w:cs="Arial"/>
                <w:color w:val="000000"/>
              </w:rPr>
              <w:br/>
              <w:t>(Minor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472215">
            <w:pPr>
              <w:rPr>
                <w:rFonts w:ascii="Arial" w:hAnsi="Arial" w:cs="Arial"/>
                <w:color w:val="000000"/>
              </w:rPr>
            </w:pPr>
            <w:r w:rsidRPr="00C318D4">
              <w:rPr>
                <w:rFonts w:ascii="Arial" w:hAnsi="Arial" w:cs="Arial"/>
                <w:color w:val="000000"/>
              </w:rPr>
              <w:t>Myelofibrosis</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472215">
            <w:pPr>
              <w:rPr>
                <w:rFonts w:ascii="Arial" w:hAnsi="Arial" w:cs="Arial"/>
                <w:color w:val="000000"/>
              </w:rPr>
            </w:pPr>
            <w:r w:rsidRPr="00C318D4">
              <w:rPr>
                <w:rFonts w:ascii="Arial" w:hAnsi="Arial" w:cs="Arial"/>
                <w:color w:val="000000"/>
              </w:rPr>
              <w:t xml:space="preserve">Authority Required listing for a new strength of ruxolitinib for the same indications as the currently listed </w:t>
            </w:r>
            <w:r w:rsidRPr="001A37EB">
              <w:rPr>
                <w:rFonts w:ascii="Arial" w:hAnsi="Arial" w:cs="Arial"/>
                <w:color w:val="000000"/>
              </w:rPr>
              <w:t>strengths</w:t>
            </w:r>
            <w:r w:rsidRPr="00C318D4">
              <w:rPr>
                <w:rFonts w:ascii="Arial" w:hAnsi="Arial" w:cs="Arial"/>
                <w:color w:val="000000"/>
              </w:rPr>
              <w:t xml:space="preserve"> of ruxolitinib.</w:t>
            </w:r>
          </w:p>
        </w:tc>
        <w:tc>
          <w:tcPr>
            <w:tcW w:w="5562" w:type="dxa"/>
            <w:tcBorders>
              <w:top w:val="single" w:sz="4" w:space="0" w:color="auto"/>
              <w:left w:val="single" w:sz="4" w:space="0" w:color="auto"/>
              <w:bottom w:val="single" w:sz="4" w:space="0" w:color="auto"/>
              <w:right w:val="single" w:sz="4" w:space="0" w:color="auto"/>
            </w:tcBorders>
          </w:tcPr>
          <w:p w:rsidR="0002265A" w:rsidRPr="00767E3C" w:rsidRDefault="008623C7" w:rsidP="00BA4640">
            <w:pPr>
              <w:pStyle w:val="Heading1"/>
              <w:rPr>
                <w:rFonts w:cs="Arial"/>
                <w:color w:val="000000"/>
              </w:rPr>
            </w:pPr>
            <w:r w:rsidRPr="00C80100">
              <w:rPr>
                <w:rFonts w:cs="Arial"/>
                <w:b w:val="0"/>
              </w:rPr>
              <w:t xml:space="preserve">The </w:t>
            </w:r>
            <w:r>
              <w:rPr>
                <w:rFonts w:cs="Arial"/>
                <w:b w:val="0"/>
              </w:rPr>
              <w:t>PBAC recommended the listing of</w:t>
            </w:r>
            <w:r w:rsidRPr="00C80100">
              <w:rPr>
                <w:rFonts w:cs="Arial"/>
                <w:b w:val="0"/>
              </w:rPr>
              <w:t xml:space="preserve"> ruxolitinib</w:t>
            </w:r>
            <w:r>
              <w:rPr>
                <w:rFonts w:cs="Arial"/>
                <w:b w:val="0"/>
              </w:rPr>
              <w:t xml:space="preserve"> 10 mg as a section 85 Authority Required listing, </w:t>
            </w:r>
            <w:r w:rsidRPr="00C80100">
              <w:rPr>
                <w:rFonts w:cs="Arial"/>
                <w:b w:val="0"/>
              </w:rPr>
              <w:t xml:space="preserve">for first-line or second-line management of myelofibrosis under the same </w:t>
            </w:r>
            <w:r>
              <w:rPr>
                <w:rFonts w:cs="Arial"/>
                <w:b w:val="0"/>
              </w:rPr>
              <w:t xml:space="preserve">listing conditions, and with the same pricing arrangement, as for the currently PBS listed strengths. </w:t>
            </w:r>
          </w:p>
        </w:tc>
      </w:tr>
      <w:tr w:rsidR="0002265A" w:rsidRPr="00767E3C" w:rsidTr="00193812">
        <w:trPr>
          <w:trHeight w:val="430"/>
        </w:trPr>
        <w:tc>
          <w:tcPr>
            <w:tcW w:w="3799"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Default="003148C8" w:rsidP="00472215">
            <w:pPr>
              <w:rPr>
                <w:rFonts w:ascii="Arial" w:hAnsi="Arial" w:cs="Arial"/>
                <w:bCs/>
                <w:color w:val="000000"/>
              </w:rPr>
            </w:pPr>
            <w:r w:rsidRPr="00363865">
              <w:rPr>
                <w:rFonts w:ascii="Arial" w:hAnsi="Arial" w:cs="Arial"/>
                <w:bCs/>
                <w:color w:val="000000"/>
              </w:rPr>
              <w:t>TRAMETINIB</w:t>
            </w:r>
            <w:r w:rsidRPr="00363865">
              <w:rPr>
                <w:rFonts w:ascii="Arial" w:hAnsi="Arial" w:cs="Arial"/>
                <w:bCs/>
                <w:color w:val="000000"/>
              </w:rPr>
              <w:br/>
            </w:r>
            <w:r w:rsidRPr="00363865">
              <w:rPr>
                <w:rFonts w:ascii="Arial" w:hAnsi="Arial" w:cs="Arial"/>
                <w:bCs/>
                <w:color w:val="000000"/>
              </w:rPr>
              <w:br/>
              <w:t>2 mg tablet, 90</w:t>
            </w:r>
            <w:r w:rsidRPr="00363865">
              <w:rPr>
                <w:rFonts w:ascii="Arial" w:hAnsi="Arial" w:cs="Arial"/>
                <w:bCs/>
                <w:color w:val="000000"/>
              </w:rPr>
              <w:br/>
              <w:t>0.5 mg tablet, 90</w:t>
            </w:r>
            <w:r w:rsidRPr="00363865">
              <w:rPr>
                <w:rFonts w:ascii="Arial" w:hAnsi="Arial" w:cs="Arial"/>
                <w:bCs/>
                <w:color w:val="000000"/>
              </w:rPr>
              <w:br/>
            </w:r>
            <w:r w:rsidRPr="00363865">
              <w:rPr>
                <w:rFonts w:ascii="Arial" w:hAnsi="Arial" w:cs="Arial"/>
                <w:bCs/>
                <w:color w:val="000000"/>
              </w:rPr>
              <w:br/>
              <w:t>Mekinist</w:t>
            </w:r>
            <w:r w:rsidRPr="00BA4640">
              <w:rPr>
                <w:rFonts w:ascii="Arial" w:hAnsi="Arial" w:cs="Arial"/>
                <w:bCs/>
                <w:color w:val="000000"/>
                <w:vertAlign w:val="superscript"/>
              </w:rPr>
              <w:t>®</w:t>
            </w:r>
            <w:r w:rsidRPr="00363865">
              <w:rPr>
                <w:rFonts w:ascii="Arial" w:hAnsi="Arial" w:cs="Arial"/>
                <w:bCs/>
                <w:color w:val="000000"/>
              </w:rPr>
              <w:br/>
            </w:r>
            <w:r w:rsidRPr="00363865">
              <w:rPr>
                <w:rFonts w:ascii="Arial" w:hAnsi="Arial" w:cs="Arial"/>
                <w:bCs/>
                <w:color w:val="000000"/>
              </w:rPr>
              <w:br/>
              <w:t>Novartis Pharmaceuticals Australia Pty Ltd</w:t>
            </w:r>
          </w:p>
          <w:p w:rsidR="003148C8" w:rsidRDefault="003148C8" w:rsidP="00472215">
            <w:pPr>
              <w:rPr>
                <w:rFonts w:ascii="Arial" w:hAnsi="Arial" w:cs="Arial"/>
                <w:bCs/>
                <w:color w:val="000000"/>
              </w:rPr>
            </w:pPr>
          </w:p>
          <w:p w:rsidR="003148C8" w:rsidRPr="00767E3C" w:rsidRDefault="003148C8" w:rsidP="00472215">
            <w:pPr>
              <w:rPr>
                <w:rFonts w:ascii="Arial" w:hAnsi="Arial" w:cs="Arial"/>
                <w:color w:val="000000"/>
              </w:rPr>
            </w:pPr>
            <w:r w:rsidRPr="00363865">
              <w:rPr>
                <w:rFonts w:ascii="Arial" w:hAnsi="Arial" w:cs="Arial"/>
                <w:bCs/>
                <w:color w:val="000000"/>
              </w:rPr>
              <w:t>Matter arising</w:t>
            </w:r>
            <w:r w:rsidRPr="00363865">
              <w:rPr>
                <w:rFonts w:ascii="Arial" w:hAnsi="Arial" w:cs="Arial"/>
                <w:bCs/>
                <w:color w:val="000000"/>
              </w:rPr>
              <w:br/>
            </w:r>
            <w:r w:rsidRPr="00363865">
              <w:rPr>
                <w:rFonts w:ascii="Arial" w:hAnsi="Arial" w:cs="Arial"/>
                <w:bCs/>
                <w:color w:val="000000"/>
              </w:rPr>
              <w:br/>
              <w:t>(Major Submission)</w:t>
            </w:r>
          </w:p>
        </w:tc>
        <w:tc>
          <w:tcPr>
            <w:tcW w:w="2005"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472215">
            <w:pPr>
              <w:rPr>
                <w:rFonts w:ascii="Arial" w:hAnsi="Arial" w:cs="Arial"/>
                <w:color w:val="000000"/>
              </w:rPr>
            </w:pPr>
            <w:r w:rsidRPr="001A37EB">
              <w:rPr>
                <w:rFonts w:ascii="Arial" w:hAnsi="Arial" w:cs="Arial"/>
                <w:bCs/>
                <w:color w:val="000000"/>
              </w:rPr>
              <w:t>M</w:t>
            </w:r>
            <w:r w:rsidRPr="00363865">
              <w:rPr>
                <w:rFonts w:ascii="Arial" w:hAnsi="Arial" w:cs="Arial"/>
                <w:bCs/>
                <w:color w:val="000000"/>
              </w:rPr>
              <w:t>elanoma</w:t>
            </w:r>
          </w:p>
        </w:tc>
        <w:tc>
          <w:tcPr>
            <w:tcW w:w="4248" w:type="dxa"/>
            <w:tcBorders>
              <w:top w:val="single" w:sz="4" w:space="0" w:color="auto"/>
              <w:left w:val="single" w:sz="4" w:space="0" w:color="auto"/>
              <w:bottom w:val="single" w:sz="4" w:space="0" w:color="auto"/>
              <w:right w:val="single" w:sz="4" w:space="0" w:color="auto"/>
            </w:tcBorders>
            <w:tcMar>
              <w:top w:w="28" w:type="dxa"/>
              <w:bottom w:w="28" w:type="dxa"/>
            </w:tcMar>
          </w:tcPr>
          <w:p w:rsidR="0002265A" w:rsidRPr="00767E3C" w:rsidRDefault="003148C8" w:rsidP="007F4F85">
            <w:pPr>
              <w:rPr>
                <w:rFonts w:ascii="Arial" w:hAnsi="Arial" w:cs="Arial"/>
                <w:color w:val="000000"/>
              </w:rPr>
            </w:pPr>
            <w:r>
              <w:rPr>
                <w:rFonts w:ascii="Arial" w:hAnsi="Arial" w:cs="Arial"/>
                <w:bCs/>
                <w:color w:val="000000"/>
              </w:rPr>
              <w:t>To seek PBAC reconsideration of the cost-effectiveness of trametinib for the treatment of metastatic melanoma and to fulfil the requirements of the Managed Entry Scheme.</w:t>
            </w:r>
          </w:p>
        </w:tc>
        <w:tc>
          <w:tcPr>
            <w:tcW w:w="5562" w:type="dxa"/>
            <w:tcBorders>
              <w:top w:val="single" w:sz="4" w:space="0" w:color="auto"/>
              <w:left w:val="single" w:sz="4" w:space="0" w:color="auto"/>
              <w:bottom w:val="single" w:sz="4" w:space="0" w:color="auto"/>
              <w:right w:val="single" w:sz="4" w:space="0" w:color="auto"/>
            </w:tcBorders>
          </w:tcPr>
          <w:p w:rsidR="009C0870" w:rsidRPr="009C0870" w:rsidRDefault="009C0870" w:rsidP="009C0870">
            <w:pPr>
              <w:rPr>
                <w:rFonts w:ascii="Arial" w:hAnsi="Arial" w:cs="Arial"/>
                <w:bCs/>
                <w:color w:val="000000"/>
              </w:rPr>
            </w:pPr>
            <w:r w:rsidRPr="009C0870">
              <w:rPr>
                <w:rFonts w:ascii="Arial" w:hAnsi="Arial" w:cs="Arial"/>
                <w:bCs/>
                <w:color w:val="000000"/>
              </w:rPr>
              <w:t>The PBAC recommended continuation of the Authority required listing of trametinib, for use in combination with dabrafenib, for the treatment of patients with BRAF V600 mutation positive unresectable stage III or metastatic (stage IV) malignant melanoma.</w:t>
            </w:r>
          </w:p>
          <w:p w:rsidR="009C0870" w:rsidRPr="009C0870" w:rsidRDefault="009C0870" w:rsidP="009C0870">
            <w:pPr>
              <w:rPr>
                <w:rFonts w:ascii="Arial" w:hAnsi="Arial" w:cs="Arial"/>
                <w:bCs/>
                <w:color w:val="000000"/>
              </w:rPr>
            </w:pPr>
          </w:p>
          <w:p w:rsidR="009C0870" w:rsidRPr="009C0870" w:rsidRDefault="009C0870" w:rsidP="009C0870">
            <w:pPr>
              <w:rPr>
                <w:rFonts w:ascii="Arial" w:hAnsi="Arial" w:cs="Arial"/>
                <w:bCs/>
                <w:color w:val="000000"/>
              </w:rPr>
            </w:pPr>
            <w:r w:rsidRPr="009C0870">
              <w:rPr>
                <w:rFonts w:ascii="Arial" w:hAnsi="Arial" w:cs="Arial"/>
                <w:bCs/>
                <w:color w:val="000000"/>
              </w:rPr>
              <w:t>The PBAC accepted the inclusion of the PBS-relevant post-progression anti-cancer treatment (PPACT) costs in the model. The PBAC recalled that it has accepted the inclusion of th</w:t>
            </w:r>
            <w:r w:rsidR="0057384C">
              <w:rPr>
                <w:rFonts w:ascii="Arial" w:hAnsi="Arial" w:cs="Arial"/>
                <w:bCs/>
                <w:color w:val="000000"/>
              </w:rPr>
              <w:t>ese</w:t>
            </w:r>
            <w:r w:rsidRPr="009C0870">
              <w:rPr>
                <w:rFonts w:ascii="Arial" w:hAnsi="Arial" w:cs="Arial"/>
                <w:bCs/>
                <w:color w:val="000000"/>
              </w:rPr>
              <w:t xml:space="preserve"> type</w:t>
            </w:r>
            <w:r w:rsidR="0057384C">
              <w:rPr>
                <w:rFonts w:ascii="Arial" w:hAnsi="Arial" w:cs="Arial"/>
                <w:bCs/>
                <w:color w:val="000000"/>
              </w:rPr>
              <w:t>s</w:t>
            </w:r>
            <w:r w:rsidRPr="009C0870">
              <w:rPr>
                <w:rFonts w:ascii="Arial" w:hAnsi="Arial" w:cs="Arial"/>
                <w:bCs/>
                <w:color w:val="000000"/>
              </w:rPr>
              <w:t xml:space="preserve"> of costs in its consideration of other medicines previously.</w:t>
            </w:r>
          </w:p>
          <w:p w:rsidR="009C0870" w:rsidRPr="009C0870" w:rsidRDefault="009C0870" w:rsidP="009C0870">
            <w:pPr>
              <w:rPr>
                <w:rFonts w:ascii="Arial" w:hAnsi="Arial" w:cs="Arial"/>
                <w:bCs/>
                <w:color w:val="000000"/>
              </w:rPr>
            </w:pPr>
          </w:p>
          <w:p w:rsidR="0002265A" w:rsidRPr="00BA4640" w:rsidRDefault="0057384C" w:rsidP="00BA4640">
            <w:pPr>
              <w:rPr>
                <w:rFonts w:ascii="Arial" w:hAnsi="Arial" w:cs="Arial"/>
                <w:bCs/>
                <w:color w:val="000000"/>
              </w:rPr>
            </w:pPr>
            <w:r>
              <w:rPr>
                <w:rFonts w:ascii="Arial" w:hAnsi="Arial" w:cs="Arial"/>
                <w:bCs/>
                <w:color w:val="000000"/>
              </w:rPr>
              <w:t xml:space="preserve">After reviewing the finalised results of the COMBI-D and </w:t>
            </w:r>
            <w:r>
              <w:rPr>
                <w:rFonts w:ascii="Arial" w:hAnsi="Arial" w:cs="Arial"/>
                <w:bCs/>
                <w:color w:val="000000"/>
              </w:rPr>
              <w:lastRenderedPageBreak/>
              <w:t>COMBI-V trials, t</w:t>
            </w:r>
            <w:r w:rsidR="009C0870" w:rsidRPr="009C0870">
              <w:rPr>
                <w:rFonts w:ascii="Arial" w:hAnsi="Arial" w:cs="Arial"/>
                <w:bCs/>
                <w:color w:val="000000"/>
              </w:rPr>
              <w:t>he PBAC considered that the clinical benefit of trametinib in terms of prolongation of progression-free survival and overall survival had been over-estimated when approved in November 2014. As a result, the PBAC recommended that the effective price of trametinib be reduced to maintain acceptable cost-effectiveness.</w:t>
            </w:r>
          </w:p>
        </w:tc>
      </w:tr>
    </w:tbl>
    <w:p w:rsidR="00E066EF" w:rsidRPr="00767E3C" w:rsidRDefault="00E066EF" w:rsidP="00763C3B">
      <w:pPr>
        <w:tabs>
          <w:tab w:val="left" w:pos="5210"/>
        </w:tabs>
        <w:rPr>
          <w:rFonts w:ascii="Arial" w:hAnsi="Arial" w:cs="Arial"/>
          <w:lang w:val="en-US"/>
        </w:rPr>
      </w:pPr>
    </w:p>
    <w:sectPr w:rsidR="00E066EF" w:rsidRPr="00767E3C" w:rsidSect="00CB2D1B">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E6" w:rsidRDefault="00DB6FE6">
      <w:r>
        <w:separator/>
      </w:r>
    </w:p>
  </w:endnote>
  <w:endnote w:type="continuationSeparator" w:id="0">
    <w:p w:rsidR="00DB6FE6" w:rsidRDefault="00DB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FE6" w:rsidRDefault="00DB6FE6"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6FE6" w:rsidRDefault="00DB6FE6"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FE6" w:rsidRPr="00CE0CBC" w:rsidRDefault="00DB6FE6"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2600C7">
      <w:rPr>
        <w:rStyle w:val="PageNumber"/>
        <w:rFonts w:ascii="Arial" w:hAnsi="Arial" w:cs="Arial"/>
        <w:noProof/>
      </w:rPr>
      <w:t>1</w:t>
    </w:r>
    <w:r w:rsidRPr="00CE0CBC">
      <w:rPr>
        <w:rStyle w:val="PageNumber"/>
        <w:rFonts w:ascii="Arial" w:hAnsi="Arial" w:cs="Arial"/>
      </w:rPr>
      <w:fldChar w:fldCharType="end"/>
    </w:r>
  </w:p>
  <w:p w:rsidR="00DB6FE6" w:rsidRDefault="00DB6FE6"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E6" w:rsidRDefault="00DB6FE6">
      <w:r>
        <w:separator/>
      </w:r>
    </w:p>
  </w:footnote>
  <w:footnote w:type="continuationSeparator" w:id="0">
    <w:p w:rsidR="00DB6FE6" w:rsidRDefault="00DB6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FE6" w:rsidRDefault="00DB6FE6" w:rsidP="007D408D">
    <w:pPr>
      <w:pStyle w:val="Header"/>
      <w:jc w:val="center"/>
      <w:rPr>
        <w:rFonts w:ascii="Arial" w:hAnsi="Arial" w:cs="Arial"/>
        <w:b/>
        <w:snapToGrid w:val="0"/>
        <w:lang w:eastAsia="en-US"/>
      </w:rPr>
    </w:pPr>
    <w:r>
      <w:rPr>
        <w:rFonts w:ascii="Arial" w:hAnsi="Arial" w:cs="Arial"/>
        <w:b/>
        <w:snapToGrid w:val="0"/>
        <w:lang w:eastAsia="en-US"/>
      </w:rPr>
      <w:t>JULY 2016 PBAC MEETING – POSITIVE RECOMMENDATIONS</w:t>
    </w:r>
  </w:p>
  <w:p w:rsidR="00DB6FE6" w:rsidRDefault="00DB6FE6" w:rsidP="007D408D">
    <w:pPr>
      <w:pStyle w:val="Header"/>
      <w:jc w:val="center"/>
      <w:rPr>
        <w:rFonts w:ascii="Arial" w:hAnsi="Arial" w:cs="Arial"/>
        <w:b/>
        <w:snapToGrid w:val="0"/>
        <w:lang w:eastAsia="en-US"/>
      </w:rPr>
    </w:pPr>
  </w:p>
  <w:p w:rsidR="00DB6FE6" w:rsidRDefault="00DB6FE6"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CF8"/>
    <w:multiLevelType w:val="multilevel"/>
    <w:tmpl w:val="9FE0FC26"/>
    <w:lvl w:ilvl="0">
      <w:start w:val="3"/>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2">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A91BE4"/>
    <w:multiLevelType w:val="hybridMultilevel"/>
    <w:tmpl w:val="F086E6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F2FEF"/>
    <w:multiLevelType w:val="hybridMultilevel"/>
    <w:tmpl w:val="37B20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E2165F"/>
    <w:multiLevelType w:val="hybridMultilevel"/>
    <w:tmpl w:val="E294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007BDC"/>
    <w:multiLevelType w:val="hybridMultilevel"/>
    <w:tmpl w:val="E77C4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143145"/>
    <w:multiLevelType w:val="hybridMultilevel"/>
    <w:tmpl w:val="CADA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1E4659"/>
    <w:multiLevelType w:val="multilevel"/>
    <w:tmpl w:val="AE3CA112"/>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8">
    <w:nsid w:val="698844A0"/>
    <w:multiLevelType w:val="multilevel"/>
    <w:tmpl w:val="04DA6A7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35"/>
  </w:num>
  <w:num w:numId="3">
    <w:abstractNumId w:val="34"/>
  </w:num>
  <w:num w:numId="4">
    <w:abstractNumId w:val="24"/>
  </w:num>
  <w:num w:numId="5">
    <w:abstractNumId w:val="18"/>
  </w:num>
  <w:num w:numId="6">
    <w:abstractNumId w:val="7"/>
  </w:num>
  <w:num w:numId="7">
    <w:abstractNumId w:val="3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0"/>
  </w:num>
  <w:num w:numId="12">
    <w:abstractNumId w:val="39"/>
  </w:num>
  <w:num w:numId="13">
    <w:abstractNumId w:val="8"/>
  </w:num>
  <w:num w:numId="14">
    <w:abstractNumId w:val="26"/>
  </w:num>
  <w:num w:numId="15">
    <w:abstractNumId w:val="11"/>
  </w:num>
  <w:num w:numId="16">
    <w:abstractNumId w:val="28"/>
  </w:num>
  <w:num w:numId="17">
    <w:abstractNumId w:val="3"/>
  </w:num>
  <w:num w:numId="18">
    <w:abstractNumId w:val="4"/>
  </w:num>
  <w:num w:numId="19">
    <w:abstractNumId w:val="12"/>
  </w:num>
  <w:num w:numId="20">
    <w:abstractNumId w:val="33"/>
  </w:num>
  <w:num w:numId="21">
    <w:abstractNumId w:val="25"/>
  </w:num>
  <w:num w:numId="22">
    <w:abstractNumId w:val="32"/>
  </w:num>
  <w:num w:numId="23">
    <w:abstractNumId w:val="2"/>
  </w:num>
  <w:num w:numId="24">
    <w:abstractNumId w:val="6"/>
  </w:num>
  <w:num w:numId="25">
    <w:abstractNumId w:val="27"/>
  </w:num>
  <w:num w:numId="26">
    <w:abstractNumId w:val="37"/>
  </w:num>
  <w:num w:numId="27">
    <w:abstractNumId w:val="15"/>
  </w:num>
  <w:num w:numId="28">
    <w:abstractNumId w:val="5"/>
  </w:num>
  <w:num w:numId="29">
    <w:abstractNumId w:val="10"/>
  </w:num>
  <w:num w:numId="30">
    <w:abstractNumId w:val="13"/>
  </w:num>
  <w:num w:numId="31">
    <w:abstractNumId w:val="21"/>
  </w:num>
  <w:num w:numId="32">
    <w:abstractNumId w:val="20"/>
  </w:num>
  <w:num w:numId="33">
    <w:abstractNumId w:val="30"/>
  </w:num>
  <w:num w:numId="34">
    <w:abstractNumId w:val="38"/>
  </w:num>
  <w:num w:numId="35">
    <w:abstractNumId w:val="23"/>
  </w:num>
  <w:num w:numId="36">
    <w:abstractNumId w:val="22"/>
  </w:num>
  <w:num w:numId="37">
    <w:abstractNumId w:val="29"/>
  </w:num>
  <w:num w:numId="38">
    <w:abstractNumId w:val="14"/>
  </w:num>
  <w:num w:numId="39">
    <w:abstractNumId w:val="17"/>
  </w:num>
  <w:num w:numId="40">
    <w:abstractNumId w:val="3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274"/>
    <w:rsid w:val="0000162D"/>
    <w:rsid w:val="000020F6"/>
    <w:rsid w:val="00002D62"/>
    <w:rsid w:val="00002E16"/>
    <w:rsid w:val="0000308D"/>
    <w:rsid w:val="000034C3"/>
    <w:rsid w:val="00003584"/>
    <w:rsid w:val="000035E1"/>
    <w:rsid w:val="00004628"/>
    <w:rsid w:val="0000462B"/>
    <w:rsid w:val="00004D33"/>
    <w:rsid w:val="00004D75"/>
    <w:rsid w:val="00004F9D"/>
    <w:rsid w:val="00005F17"/>
    <w:rsid w:val="00005FA7"/>
    <w:rsid w:val="000063DB"/>
    <w:rsid w:val="0000733C"/>
    <w:rsid w:val="000074BD"/>
    <w:rsid w:val="00007D69"/>
    <w:rsid w:val="00010886"/>
    <w:rsid w:val="00010920"/>
    <w:rsid w:val="00011242"/>
    <w:rsid w:val="0001152D"/>
    <w:rsid w:val="000118E3"/>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BE"/>
    <w:rsid w:val="00017CDE"/>
    <w:rsid w:val="00020A7A"/>
    <w:rsid w:val="00022361"/>
    <w:rsid w:val="000223D3"/>
    <w:rsid w:val="00022435"/>
    <w:rsid w:val="0002265A"/>
    <w:rsid w:val="00022686"/>
    <w:rsid w:val="000228B1"/>
    <w:rsid w:val="00022DCB"/>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0A76"/>
    <w:rsid w:val="00031946"/>
    <w:rsid w:val="000322EC"/>
    <w:rsid w:val="00032AB9"/>
    <w:rsid w:val="00033D0B"/>
    <w:rsid w:val="00034086"/>
    <w:rsid w:val="00034121"/>
    <w:rsid w:val="000350A9"/>
    <w:rsid w:val="00035472"/>
    <w:rsid w:val="0003621F"/>
    <w:rsid w:val="000365B0"/>
    <w:rsid w:val="00036CF7"/>
    <w:rsid w:val="00037B2C"/>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71C"/>
    <w:rsid w:val="00072F02"/>
    <w:rsid w:val="00074126"/>
    <w:rsid w:val="00074571"/>
    <w:rsid w:val="0007567B"/>
    <w:rsid w:val="00075B7E"/>
    <w:rsid w:val="00076287"/>
    <w:rsid w:val="00076297"/>
    <w:rsid w:val="00077F45"/>
    <w:rsid w:val="00080510"/>
    <w:rsid w:val="00081153"/>
    <w:rsid w:val="000812EE"/>
    <w:rsid w:val="00081DCD"/>
    <w:rsid w:val="00082053"/>
    <w:rsid w:val="00082507"/>
    <w:rsid w:val="00082CB0"/>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3F95"/>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3FF5"/>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6DD"/>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989"/>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625B"/>
    <w:rsid w:val="0015728B"/>
    <w:rsid w:val="00157858"/>
    <w:rsid w:val="00157D22"/>
    <w:rsid w:val="00157F62"/>
    <w:rsid w:val="001600EB"/>
    <w:rsid w:val="00160423"/>
    <w:rsid w:val="00160786"/>
    <w:rsid w:val="00161CD7"/>
    <w:rsid w:val="0016312E"/>
    <w:rsid w:val="0016341E"/>
    <w:rsid w:val="001654A9"/>
    <w:rsid w:val="00165A05"/>
    <w:rsid w:val="00165E5D"/>
    <w:rsid w:val="00166297"/>
    <w:rsid w:val="001663D5"/>
    <w:rsid w:val="00166549"/>
    <w:rsid w:val="0016683E"/>
    <w:rsid w:val="00167277"/>
    <w:rsid w:val="0016762E"/>
    <w:rsid w:val="00170573"/>
    <w:rsid w:val="001707C4"/>
    <w:rsid w:val="001712DE"/>
    <w:rsid w:val="00171570"/>
    <w:rsid w:val="00171984"/>
    <w:rsid w:val="00171DC1"/>
    <w:rsid w:val="00171E1D"/>
    <w:rsid w:val="00171EF7"/>
    <w:rsid w:val="00174067"/>
    <w:rsid w:val="0017449B"/>
    <w:rsid w:val="00174944"/>
    <w:rsid w:val="00175081"/>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812"/>
    <w:rsid w:val="00193C35"/>
    <w:rsid w:val="0019441C"/>
    <w:rsid w:val="001950D9"/>
    <w:rsid w:val="00195379"/>
    <w:rsid w:val="00196144"/>
    <w:rsid w:val="001971B1"/>
    <w:rsid w:val="001971EA"/>
    <w:rsid w:val="00197975"/>
    <w:rsid w:val="001A07AC"/>
    <w:rsid w:val="001A0DC8"/>
    <w:rsid w:val="001A14F5"/>
    <w:rsid w:val="001A1777"/>
    <w:rsid w:val="001A1A8A"/>
    <w:rsid w:val="001A2649"/>
    <w:rsid w:val="001A2B7C"/>
    <w:rsid w:val="001A307D"/>
    <w:rsid w:val="001A322B"/>
    <w:rsid w:val="001A3986"/>
    <w:rsid w:val="001A3E19"/>
    <w:rsid w:val="001A4242"/>
    <w:rsid w:val="001A48FD"/>
    <w:rsid w:val="001A6DEF"/>
    <w:rsid w:val="001A7A6A"/>
    <w:rsid w:val="001B049D"/>
    <w:rsid w:val="001B04E4"/>
    <w:rsid w:val="001B0553"/>
    <w:rsid w:val="001B1469"/>
    <w:rsid w:val="001B1577"/>
    <w:rsid w:val="001B16C3"/>
    <w:rsid w:val="001B1838"/>
    <w:rsid w:val="001B1C67"/>
    <w:rsid w:val="001B1CBC"/>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2B4"/>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0BD"/>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1F6"/>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78F"/>
    <w:rsid w:val="002108B5"/>
    <w:rsid w:val="00210F65"/>
    <w:rsid w:val="00212939"/>
    <w:rsid w:val="00212B8B"/>
    <w:rsid w:val="0021300C"/>
    <w:rsid w:val="0021371C"/>
    <w:rsid w:val="002139E7"/>
    <w:rsid w:val="0021409F"/>
    <w:rsid w:val="002144A1"/>
    <w:rsid w:val="002147A6"/>
    <w:rsid w:val="00214875"/>
    <w:rsid w:val="00214D4B"/>
    <w:rsid w:val="00214D4F"/>
    <w:rsid w:val="00214D92"/>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208"/>
    <w:rsid w:val="00250912"/>
    <w:rsid w:val="00250DBA"/>
    <w:rsid w:val="00251087"/>
    <w:rsid w:val="00251294"/>
    <w:rsid w:val="00251AD5"/>
    <w:rsid w:val="002523E5"/>
    <w:rsid w:val="00253058"/>
    <w:rsid w:val="00253061"/>
    <w:rsid w:val="00253764"/>
    <w:rsid w:val="00254ED9"/>
    <w:rsid w:val="002550D8"/>
    <w:rsid w:val="00256078"/>
    <w:rsid w:val="00256401"/>
    <w:rsid w:val="002564FB"/>
    <w:rsid w:val="002600C7"/>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5478"/>
    <w:rsid w:val="0028663C"/>
    <w:rsid w:val="002905B5"/>
    <w:rsid w:val="00293203"/>
    <w:rsid w:val="0029329A"/>
    <w:rsid w:val="00293A15"/>
    <w:rsid w:val="00295693"/>
    <w:rsid w:val="002969C0"/>
    <w:rsid w:val="002972D4"/>
    <w:rsid w:val="00297AEF"/>
    <w:rsid w:val="00297F02"/>
    <w:rsid w:val="002A0126"/>
    <w:rsid w:val="002A0565"/>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C88"/>
    <w:rsid w:val="002C0062"/>
    <w:rsid w:val="002C0170"/>
    <w:rsid w:val="002C0E18"/>
    <w:rsid w:val="002C237A"/>
    <w:rsid w:val="002C2427"/>
    <w:rsid w:val="002C2773"/>
    <w:rsid w:val="002C2A4F"/>
    <w:rsid w:val="002C3502"/>
    <w:rsid w:val="002C397B"/>
    <w:rsid w:val="002C3B93"/>
    <w:rsid w:val="002C3BA0"/>
    <w:rsid w:val="002C436C"/>
    <w:rsid w:val="002C47C4"/>
    <w:rsid w:val="002C5D20"/>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2C9"/>
    <w:rsid w:val="002E736D"/>
    <w:rsid w:val="002F0875"/>
    <w:rsid w:val="002F0884"/>
    <w:rsid w:val="002F1A5B"/>
    <w:rsid w:val="002F1B87"/>
    <w:rsid w:val="002F1CF8"/>
    <w:rsid w:val="002F1FB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482"/>
    <w:rsid w:val="00310992"/>
    <w:rsid w:val="00311387"/>
    <w:rsid w:val="00311EEA"/>
    <w:rsid w:val="0031351E"/>
    <w:rsid w:val="00313537"/>
    <w:rsid w:val="003135CD"/>
    <w:rsid w:val="00313625"/>
    <w:rsid w:val="00313C59"/>
    <w:rsid w:val="00314373"/>
    <w:rsid w:val="00314425"/>
    <w:rsid w:val="003146EE"/>
    <w:rsid w:val="003148C8"/>
    <w:rsid w:val="0031532D"/>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5E17"/>
    <w:rsid w:val="00326522"/>
    <w:rsid w:val="00326943"/>
    <w:rsid w:val="0032697C"/>
    <w:rsid w:val="003270BF"/>
    <w:rsid w:val="00327A0C"/>
    <w:rsid w:val="003301A3"/>
    <w:rsid w:val="0033063D"/>
    <w:rsid w:val="00330DA6"/>
    <w:rsid w:val="00332129"/>
    <w:rsid w:val="0033322F"/>
    <w:rsid w:val="00334912"/>
    <w:rsid w:val="00336FF2"/>
    <w:rsid w:val="003376B5"/>
    <w:rsid w:val="003376DF"/>
    <w:rsid w:val="003402DF"/>
    <w:rsid w:val="00340AC2"/>
    <w:rsid w:val="00340D16"/>
    <w:rsid w:val="00340E08"/>
    <w:rsid w:val="00340EB5"/>
    <w:rsid w:val="00340EFB"/>
    <w:rsid w:val="00341361"/>
    <w:rsid w:val="003435A3"/>
    <w:rsid w:val="00343D26"/>
    <w:rsid w:val="00343D77"/>
    <w:rsid w:val="00345308"/>
    <w:rsid w:val="003455FE"/>
    <w:rsid w:val="00345652"/>
    <w:rsid w:val="003459F0"/>
    <w:rsid w:val="00345B4F"/>
    <w:rsid w:val="00346216"/>
    <w:rsid w:val="0034672E"/>
    <w:rsid w:val="0034720F"/>
    <w:rsid w:val="0034743F"/>
    <w:rsid w:val="0034782B"/>
    <w:rsid w:val="00347C46"/>
    <w:rsid w:val="00350DDB"/>
    <w:rsid w:val="00351A7F"/>
    <w:rsid w:val="003521B4"/>
    <w:rsid w:val="003525C0"/>
    <w:rsid w:val="00352B61"/>
    <w:rsid w:val="00352CFB"/>
    <w:rsid w:val="00352F20"/>
    <w:rsid w:val="003530B9"/>
    <w:rsid w:val="00353798"/>
    <w:rsid w:val="003541D1"/>
    <w:rsid w:val="003548D7"/>
    <w:rsid w:val="003548F0"/>
    <w:rsid w:val="003549D1"/>
    <w:rsid w:val="00354A0E"/>
    <w:rsid w:val="00354D94"/>
    <w:rsid w:val="003550C7"/>
    <w:rsid w:val="003566E9"/>
    <w:rsid w:val="00357214"/>
    <w:rsid w:val="0035791D"/>
    <w:rsid w:val="00357DB9"/>
    <w:rsid w:val="00357FA8"/>
    <w:rsid w:val="00360CBD"/>
    <w:rsid w:val="00361072"/>
    <w:rsid w:val="00362461"/>
    <w:rsid w:val="003628AA"/>
    <w:rsid w:val="00362D37"/>
    <w:rsid w:val="00363DA3"/>
    <w:rsid w:val="00363DEE"/>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7224"/>
    <w:rsid w:val="003777B8"/>
    <w:rsid w:val="00377BAD"/>
    <w:rsid w:val="00381ACB"/>
    <w:rsid w:val="00381DCB"/>
    <w:rsid w:val="00381F87"/>
    <w:rsid w:val="00382951"/>
    <w:rsid w:val="00383FF3"/>
    <w:rsid w:val="00384485"/>
    <w:rsid w:val="00384833"/>
    <w:rsid w:val="00384B1C"/>
    <w:rsid w:val="00384EA5"/>
    <w:rsid w:val="0038505C"/>
    <w:rsid w:val="003858C2"/>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6EA"/>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15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595"/>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3E"/>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971"/>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0E9"/>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55E"/>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15"/>
    <w:rsid w:val="00472227"/>
    <w:rsid w:val="00472E9C"/>
    <w:rsid w:val="004732E6"/>
    <w:rsid w:val="00474927"/>
    <w:rsid w:val="00474FBE"/>
    <w:rsid w:val="0047540F"/>
    <w:rsid w:val="00475612"/>
    <w:rsid w:val="004772FF"/>
    <w:rsid w:val="00477DE8"/>
    <w:rsid w:val="0048048A"/>
    <w:rsid w:val="00481705"/>
    <w:rsid w:val="00481966"/>
    <w:rsid w:val="0048209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1A7"/>
    <w:rsid w:val="00490275"/>
    <w:rsid w:val="00490628"/>
    <w:rsid w:val="0049071D"/>
    <w:rsid w:val="0049103F"/>
    <w:rsid w:val="00491532"/>
    <w:rsid w:val="0049160F"/>
    <w:rsid w:val="0049239D"/>
    <w:rsid w:val="004925C9"/>
    <w:rsid w:val="00493577"/>
    <w:rsid w:val="00493593"/>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4F9"/>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0C20"/>
    <w:rsid w:val="004D185E"/>
    <w:rsid w:val="004D4B61"/>
    <w:rsid w:val="004D507C"/>
    <w:rsid w:val="004D606D"/>
    <w:rsid w:val="004D68C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101E5"/>
    <w:rsid w:val="005110FB"/>
    <w:rsid w:val="00511D75"/>
    <w:rsid w:val="00512232"/>
    <w:rsid w:val="00513B7E"/>
    <w:rsid w:val="00514597"/>
    <w:rsid w:val="005150AB"/>
    <w:rsid w:val="005156FC"/>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0F0B"/>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49DC"/>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1C6"/>
    <w:rsid w:val="00556A43"/>
    <w:rsid w:val="0056087F"/>
    <w:rsid w:val="0056121A"/>
    <w:rsid w:val="005614F5"/>
    <w:rsid w:val="00562195"/>
    <w:rsid w:val="00562575"/>
    <w:rsid w:val="0056261D"/>
    <w:rsid w:val="00562918"/>
    <w:rsid w:val="00563269"/>
    <w:rsid w:val="00564643"/>
    <w:rsid w:val="00564772"/>
    <w:rsid w:val="005663E6"/>
    <w:rsid w:val="00566518"/>
    <w:rsid w:val="005669DA"/>
    <w:rsid w:val="00567613"/>
    <w:rsid w:val="005703E4"/>
    <w:rsid w:val="00571640"/>
    <w:rsid w:val="00571902"/>
    <w:rsid w:val="0057194C"/>
    <w:rsid w:val="005720AF"/>
    <w:rsid w:val="00572283"/>
    <w:rsid w:val="0057278A"/>
    <w:rsid w:val="00572F6B"/>
    <w:rsid w:val="00573604"/>
    <w:rsid w:val="0057384C"/>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5F4F"/>
    <w:rsid w:val="005969F6"/>
    <w:rsid w:val="00596FEB"/>
    <w:rsid w:val="00597A00"/>
    <w:rsid w:val="00597AB3"/>
    <w:rsid w:val="00597DBB"/>
    <w:rsid w:val="005A118A"/>
    <w:rsid w:val="005A1897"/>
    <w:rsid w:val="005A3945"/>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22A"/>
    <w:rsid w:val="005C3AE2"/>
    <w:rsid w:val="005C49CB"/>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A59"/>
    <w:rsid w:val="005F7D2F"/>
    <w:rsid w:val="006003A9"/>
    <w:rsid w:val="00600E8E"/>
    <w:rsid w:val="0060131A"/>
    <w:rsid w:val="006018CA"/>
    <w:rsid w:val="006019E6"/>
    <w:rsid w:val="00601AA5"/>
    <w:rsid w:val="006021EE"/>
    <w:rsid w:val="0060270D"/>
    <w:rsid w:val="006034A7"/>
    <w:rsid w:val="006037CC"/>
    <w:rsid w:val="00603A6B"/>
    <w:rsid w:val="006040F2"/>
    <w:rsid w:val="0060449A"/>
    <w:rsid w:val="00604783"/>
    <w:rsid w:val="00604805"/>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4E43"/>
    <w:rsid w:val="0062558F"/>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0FDC"/>
    <w:rsid w:val="00642351"/>
    <w:rsid w:val="006424F7"/>
    <w:rsid w:val="00642C32"/>
    <w:rsid w:val="006433D0"/>
    <w:rsid w:val="00643467"/>
    <w:rsid w:val="00643A31"/>
    <w:rsid w:val="00643AAE"/>
    <w:rsid w:val="00644A9F"/>
    <w:rsid w:val="00644C8B"/>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D7D"/>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B7FB8"/>
    <w:rsid w:val="006C00B5"/>
    <w:rsid w:val="006C0269"/>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871"/>
    <w:rsid w:val="006D6CA2"/>
    <w:rsid w:val="006D71D3"/>
    <w:rsid w:val="006E19B2"/>
    <w:rsid w:val="006E1FB4"/>
    <w:rsid w:val="006E24D7"/>
    <w:rsid w:val="006E3415"/>
    <w:rsid w:val="006E3962"/>
    <w:rsid w:val="006E464C"/>
    <w:rsid w:val="006E47B3"/>
    <w:rsid w:val="006E4970"/>
    <w:rsid w:val="006E4A6B"/>
    <w:rsid w:val="006E4CCB"/>
    <w:rsid w:val="006E4CCC"/>
    <w:rsid w:val="006E4EC5"/>
    <w:rsid w:val="006E516B"/>
    <w:rsid w:val="006E64FC"/>
    <w:rsid w:val="006E6536"/>
    <w:rsid w:val="006E69AE"/>
    <w:rsid w:val="006E762C"/>
    <w:rsid w:val="006E78A4"/>
    <w:rsid w:val="006E7A04"/>
    <w:rsid w:val="006F065D"/>
    <w:rsid w:val="006F0C10"/>
    <w:rsid w:val="006F1E55"/>
    <w:rsid w:val="006F29B4"/>
    <w:rsid w:val="006F5A8D"/>
    <w:rsid w:val="006F6DDA"/>
    <w:rsid w:val="006F7041"/>
    <w:rsid w:val="0070068B"/>
    <w:rsid w:val="00700990"/>
    <w:rsid w:val="00700CF4"/>
    <w:rsid w:val="00701203"/>
    <w:rsid w:val="007016BE"/>
    <w:rsid w:val="007025A3"/>
    <w:rsid w:val="007030B9"/>
    <w:rsid w:val="00703181"/>
    <w:rsid w:val="007042E7"/>
    <w:rsid w:val="007044EC"/>
    <w:rsid w:val="00704571"/>
    <w:rsid w:val="007048F0"/>
    <w:rsid w:val="007048F1"/>
    <w:rsid w:val="00705362"/>
    <w:rsid w:val="0070604E"/>
    <w:rsid w:val="0070718C"/>
    <w:rsid w:val="00710751"/>
    <w:rsid w:val="00711526"/>
    <w:rsid w:val="0071165C"/>
    <w:rsid w:val="00711CAD"/>
    <w:rsid w:val="0071201B"/>
    <w:rsid w:val="007147A8"/>
    <w:rsid w:val="007153F0"/>
    <w:rsid w:val="007154CF"/>
    <w:rsid w:val="007159A1"/>
    <w:rsid w:val="00716812"/>
    <w:rsid w:val="00716DC4"/>
    <w:rsid w:val="00716FB2"/>
    <w:rsid w:val="007171DB"/>
    <w:rsid w:val="00717651"/>
    <w:rsid w:val="0071796A"/>
    <w:rsid w:val="00717A8D"/>
    <w:rsid w:val="00717BF6"/>
    <w:rsid w:val="00717F9F"/>
    <w:rsid w:val="00720493"/>
    <w:rsid w:val="007209C6"/>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37F8D"/>
    <w:rsid w:val="007409AA"/>
    <w:rsid w:val="007411F4"/>
    <w:rsid w:val="007413BF"/>
    <w:rsid w:val="00741968"/>
    <w:rsid w:val="00741BDD"/>
    <w:rsid w:val="00743452"/>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8B4"/>
    <w:rsid w:val="007639A5"/>
    <w:rsid w:val="00763C3B"/>
    <w:rsid w:val="00763EE9"/>
    <w:rsid w:val="00764375"/>
    <w:rsid w:val="007653BF"/>
    <w:rsid w:val="00765630"/>
    <w:rsid w:val="00765919"/>
    <w:rsid w:val="007661BB"/>
    <w:rsid w:val="0076653E"/>
    <w:rsid w:val="00766647"/>
    <w:rsid w:val="0076786D"/>
    <w:rsid w:val="00767E3C"/>
    <w:rsid w:val="00770E63"/>
    <w:rsid w:val="00774469"/>
    <w:rsid w:val="00774752"/>
    <w:rsid w:val="00775291"/>
    <w:rsid w:val="0077594E"/>
    <w:rsid w:val="00775D6F"/>
    <w:rsid w:val="00775FB9"/>
    <w:rsid w:val="00776268"/>
    <w:rsid w:val="00777495"/>
    <w:rsid w:val="0078016F"/>
    <w:rsid w:val="007805EC"/>
    <w:rsid w:val="007808A4"/>
    <w:rsid w:val="00780928"/>
    <w:rsid w:val="00780E86"/>
    <w:rsid w:val="00780FA6"/>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CB"/>
    <w:rsid w:val="007B01E7"/>
    <w:rsid w:val="007B0810"/>
    <w:rsid w:val="007B104F"/>
    <w:rsid w:val="007B1418"/>
    <w:rsid w:val="007B150E"/>
    <w:rsid w:val="007B1C29"/>
    <w:rsid w:val="007B2177"/>
    <w:rsid w:val="007B56F2"/>
    <w:rsid w:val="007B5C93"/>
    <w:rsid w:val="007B79C5"/>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0B02"/>
    <w:rsid w:val="007E1008"/>
    <w:rsid w:val="007E170B"/>
    <w:rsid w:val="007E18BA"/>
    <w:rsid w:val="007E18FA"/>
    <w:rsid w:val="007E1DF2"/>
    <w:rsid w:val="007E2888"/>
    <w:rsid w:val="007E32D4"/>
    <w:rsid w:val="007E3514"/>
    <w:rsid w:val="007E3829"/>
    <w:rsid w:val="007E402B"/>
    <w:rsid w:val="007E495E"/>
    <w:rsid w:val="007E5FF3"/>
    <w:rsid w:val="007E63E3"/>
    <w:rsid w:val="007E65FE"/>
    <w:rsid w:val="007E6782"/>
    <w:rsid w:val="007E6B64"/>
    <w:rsid w:val="007E7679"/>
    <w:rsid w:val="007E79F5"/>
    <w:rsid w:val="007E7AF0"/>
    <w:rsid w:val="007E7E2D"/>
    <w:rsid w:val="007F02BF"/>
    <w:rsid w:val="007F1BC2"/>
    <w:rsid w:val="007F1CCC"/>
    <w:rsid w:val="007F25B4"/>
    <w:rsid w:val="007F2C38"/>
    <w:rsid w:val="007F2EFF"/>
    <w:rsid w:val="007F3683"/>
    <w:rsid w:val="007F39D7"/>
    <w:rsid w:val="007F3A04"/>
    <w:rsid w:val="007F4F85"/>
    <w:rsid w:val="007F51FF"/>
    <w:rsid w:val="007F5557"/>
    <w:rsid w:val="007F5CD4"/>
    <w:rsid w:val="007F61E2"/>
    <w:rsid w:val="007F6E07"/>
    <w:rsid w:val="007F730F"/>
    <w:rsid w:val="007F7563"/>
    <w:rsid w:val="007F7A54"/>
    <w:rsid w:val="007F7AB8"/>
    <w:rsid w:val="00800125"/>
    <w:rsid w:val="0080026A"/>
    <w:rsid w:val="00800FCD"/>
    <w:rsid w:val="00801057"/>
    <w:rsid w:val="00801387"/>
    <w:rsid w:val="00801BFF"/>
    <w:rsid w:val="00802090"/>
    <w:rsid w:val="0080250E"/>
    <w:rsid w:val="0080281E"/>
    <w:rsid w:val="0080288E"/>
    <w:rsid w:val="00803DDF"/>
    <w:rsid w:val="00805261"/>
    <w:rsid w:val="0080563D"/>
    <w:rsid w:val="00805753"/>
    <w:rsid w:val="00805C9D"/>
    <w:rsid w:val="00805F75"/>
    <w:rsid w:val="00806071"/>
    <w:rsid w:val="008078AC"/>
    <w:rsid w:val="00807C1B"/>
    <w:rsid w:val="00810489"/>
    <w:rsid w:val="00810B18"/>
    <w:rsid w:val="00811026"/>
    <w:rsid w:val="00811B7A"/>
    <w:rsid w:val="00811E77"/>
    <w:rsid w:val="00812638"/>
    <w:rsid w:val="00812647"/>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43C"/>
    <w:rsid w:val="008265E8"/>
    <w:rsid w:val="00826634"/>
    <w:rsid w:val="00826C0C"/>
    <w:rsid w:val="00827E75"/>
    <w:rsid w:val="00830810"/>
    <w:rsid w:val="008309CF"/>
    <w:rsid w:val="00830AF8"/>
    <w:rsid w:val="00830DC0"/>
    <w:rsid w:val="00831427"/>
    <w:rsid w:val="00831A0E"/>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D2"/>
    <w:rsid w:val="0084562E"/>
    <w:rsid w:val="00845B95"/>
    <w:rsid w:val="00845CAA"/>
    <w:rsid w:val="0084736D"/>
    <w:rsid w:val="008479BC"/>
    <w:rsid w:val="00847C79"/>
    <w:rsid w:val="008509B7"/>
    <w:rsid w:val="00850A19"/>
    <w:rsid w:val="0085106C"/>
    <w:rsid w:val="008514EC"/>
    <w:rsid w:val="00851F31"/>
    <w:rsid w:val="0085233E"/>
    <w:rsid w:val="008524F7"/>
    <w:rsid w:val="00852A9A"/>
    <w:rsid w:val="008534F6"/>
    <w:rsid w:val="008534FA"/>
    <w:rsid w:val="00853616"/>
    <w:rsid w:val="00853704"/>
    <w:rsid w:val="00853C23"/>
    <w:rsid w:val="0085413E"/>
    <w:rsid w:val="008542DA"/>
    <w:rsid w:val="00854674"/>
    <w:rsid w:val="00854784"/>
    <w:rsid w:val="00854C8E"/>
    <w:rsid w:val="0085729A"/>
    <w:rsid w:val="008575ED"/>
    <w:rsid w:val="00857F3D"/>
    <w:rsid w:val="008600E4"/>
    <w:rsid w:val="00860F08"/>
    <w:rsid w:val="008612F5"/>
    <w:rsid w:val="00861F9D"/>
    <w:rsid w:val="008623C7"/>
    <w:rsid w:val="0086307F"/>
    <w:rsid w:val="00863113"/>
    <w:rsid w:val="008639AD"/>
    <w:rsid w:val="00863C1F"/>
    <w:rsid w:val="00863E8B"/>
    <w:rsid w:val="0086436B"/>
    <w:rsid w:val="0086620F"/>
    <w:rsid w:val="00870856"/>
    <w:rsid w:val="008708CA"/>
    <w:rsid w:val="0087157B"/>
    <w:rsid w:val="00873845"/>
    <w:rsid w:val="00875FC0"/>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87F33"/>
    <w:rsid w:val="008900AA"/>
    <w:rsid w:val="00890427"/>
    <w:rsid w:val="0089060E"/>
    <w:rsid w:val="0089096B"/>
    <w:rsid w:val="00890F4B"/>
    <w:rsid w:val="00891367"/>
    <w:rsid w:val="008919D4"/>
    <w:rsid w:val="00892157"/>
    <w:rsid w:val="0089225A"/>
    <w:rsid w:val="00892AC0"/>
    <w:rsid w:val="008930DB"/>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27C"/>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D36"/>
    <w:rsid w:val="008D1F27"/>
    <w:rsid w:val="008D2F95"/>
    <w:rsid w:val="008D384C"/>
    <w:rsid w:val="008D3EF5"/>
    <w:rsid w:val="008D483E"/>
    <w:rsid w:val="008D4BD7"/>
    <w:rsid w:val="008D56F1"/>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6FF"/>
    <w:rsid w:val="00903EFE"/>
    <w:rsid w:val="009040EB"/>
    <w:rsid w:val="0090437C"/>
    <w:rsid w:val="0090472D"/>
    <w:rsid w:val="00904DBE"/>
    <w:rsid w:val="0090518E"/>
    <w:rsid w:val="0090563D"/>
    <w:rsid w:val="00906BF4"/>
    <w:rsid w:val="00906EF4"/>
    <w:rsid w:val="00910D9D"/>
    <w:rsid w:val="00910F33"/>
    <w:rsid w:val="00911691"/>
    <w:rsid w:val="009118B0"/>
    <w:rsid w:val="00911F29"/>
    <w:rsid w:val="009124E6"/>
    <w:rsid w:val="00913944"/>
    <w:rsid w:val="009147E0"/>
    <w:rsid w:val="0091606A"/>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BA5"/>
    <w:rsid w:val="00940E29"/>
    <w:rsid w:val="0094325C"/>
    <w:rsid w:val="00945766"/>
    <w:rsid w:val="009457AC"/>
    <w:rsid w:val="00945B1E"/>
    <w:rsid w:val="0094609D"/>
    <w:rsid w:val="00946484"/>
    <w:rsid w:val="00946970"/>
    <w:rsid w:val="00946B28"/>
    <w:rsid w:val="00947447"/>
    <w:rsid w:val="00947A17"/>
    <w:rsid w:val="009510F9"/>
    <w:rsid w:val="009516DD"/>
    <w:rsid w:val="00951D77"/>
    <w:rsid w:val="00951EDC"/>
    <w:rsid w:val="00951F1A"/>
    <w:rsid w:val="00953586"/>
    <w:rsid w:val="0095377C"/>
    <w:rsid w:val="00953A0D"/>
    <w:rsid w:val="00954532"/>
    <w:rsid w:val="00954C5C"/>
    <w:rsid w:val="00954D4A"/>
    <w:rsid w:val="00954E60"/>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27D4"/>
    <w:rsid w:val="00964583"/>
    <w:rsid w:val="00964775"/>
    <w:rsid w:val="00964ACE"/>
    <w:rsid w:val="009659F8"/>
    <w:rsid w:val="009664CB"/>
    <w:rsid w:val="00966CC0"/>
    <w:rsid w:val="009671A1"/>
    <w:rsid w:val="0097179C"/>
    <w:rsid w:val="0097191C"/>
    <w:rsid w:val="0097198A"/>
    <w:rsid w:val="00972B82"/>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ED6"/>
    <w:rsid w:val="009920A0"/>
    <w:rsid w:val="00992E8A"/>
    <w:rsid w:val="00992E8D"/>
    <w:rsid w:val="009937FD"/>
    <w:rsid w:val="00994D80"/>
    <w:rsid w:val="00994F4D"/>
    <w:rsid w:val="0099532E"/>
    <w:rsid w:val="0099582B"/>
    <w:rsid w:val="00995DAF"/>
    <w:rsid w:val="00995FC3"/>
    <w:rsid w:val="00996AA6"/>
    <w:rsid w:val="00997230"/>
    <w:rsid w:val="009A0274"/>
    <w:rsid w:val="009A035E"/>
    <w:rsid w:val="009A0E19"/>
    <w:rsid w:val="009A1758"/>
    <w:rsid w:val="009A18AB"/>
    <w:rsid w:val="009A2D7C"/>
    <w:rsid w:val="009A2E19"/>
    <w:rsid w:val="009A30FE"/>
    <w:rsid w:val="009A4644"/>
    <w:rsid w:val="009A468E"/>
    <w:rsid w:val="009A480D"/>
    <w:rsid w:val="009A4908"/>
    <w:rsid w:val="009A6258"/>
    <w:rsid w:val="009A6B3A"/>
    <w:rsid w:val="009A76F7"/>
    <w:rsid w:val="009B00E1"/>
    <w:rsid w:val="009B01CF"/>
    <w:rsid w:val="009B02DB"/>
    <w:rsid w:val="009B0A50"/>
    <w:rsid w:val="009B18B9"/>
    <w:rsid w:val="009B1DA0"/>
    <w:rsid w:val="009B1F5D"/>
    <w:rsid w:val="009B2407"/>
    <w:rsid w:val="009B3BEA"/>
    <w:rsid w:val="009B41BA"/>
    <w:rsid w:val="009B44F0"/>
    <w:rsid w:val="009B545D"/>
    <w:rsid w:val="009B5957"/>
    <w:rsid w:val="009B5C0B"/>
    <w:rsid w:val="009B6209"/>
    <w:rsid w:val="009B7273"/>
    <w:rsid w:val="009B7356"/>
    <w:rsid w:val="009B7FAC"/>
    <w:rsid w:val="009C0870"/>
    <w:rsid w:val="009C0C99"/>
    <w:rsid w:val="009C1122"/>
    <w:rsid w:val="009C1840"/>
    <w:rsid w:val="009C1B99"/>
    <w:rsid w:val="009C1DC2"/>
    <w:rsid w:val="009C323A"/>
    <w:rsid w:val="009C3AE8"/>
    <w:rsid w:val="009C4087"/>
    <w:rsid w:val="009C4959"/>
    <w:rsid w:val="009C4CFF"/>
    <w:rsid w:val="009C5961"/>
    <w:rsid w:val="009C6B84"/>
    <w:rsid w:val="009C6C45"/>
    <w:rsid w:val="009C76A3"/>
    <w:rsid w:val="009C79E5"/>
    <w:rsid w:val="009C7ACB"/>
    <w:rsid w:val="009C7C85"/>
    <w:rsid w:val="009D03F6"/>
    <w:rsid w:val="009D04E7"/>
    <w:rsid w:val="009D1AF8"/>
    <w:rsid w:val="009D2051"/>
    <w:rsid w:val="009D35D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3E1C"/>
    <w:rsid w:val="009F4B7F"/>
    <w:rsid w:val="009F5C78"/>
    <w:rsid w:val="009F697A"/>
    <w:rsid w:val="009F6DAC"/>
    <w:rsid w:val="009F7309"/>
    <w:rsid w:val="009F763F"/>
    <w:rsid w:val="009F7748"/>
    <w:rsid w:val="009F7802"/>
    <w:rsid w:val="009F791B"/>
    <w:rsid w:val="009F79D5"/>
    <w:rsid w:val="009F7D96"/>
    <w:rsid w:val="00A007E7"/>
    <w:rsid w:val="00A02865"/>
    <w:rsid w:val="00A035DE"/>
    <w:rsid w:val="00A035EA"/>
    <w:rsid w:val="00A04F59"/>
    <w:rsid w:val="00A05597"/>
    <w:rsid w:val="00A05B20"/>
    <w:rsid w:val="00A070DE"/>
    <w:rsid w:val="00A0718D"/>
    <w:rsid w:val="00A07468"/>
    <w:rsid w:val="00A0797A"/>
    <w:rsid w:val="00A07FED"/>
    <w:rsid w:val="00A105EC"/>
    <w:rsid w:val="00A10792"/>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273E2"/>
    <w:rsid w:val="00A276A9"/>
    <w:rsid w:val="00A30627"/>
    <w:rsid w:val="00A30B6C"/>
    <w:rsid w:val="00A31B92"/>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0173"/>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247"/>
    <w:rsid w:val="00A63679"/>
    <w:rsid w:val="00A63A8F"/>
    <w:rsid w:val="00A64389"/>
    <w:rsid w:val="00A64797"/>
    <w:rsid w:val="00A64817"/>
    <w:rsid w:val="00A71960"/>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A007C"/>
    <w:rsid w:val="00AA0B30"/>
    <w:rsid w:val="00AA25C9"/>
    <w:rsid w:val="00AA3726"/>
    <w:rsid w:val="00AA40AA"/>
    <w:rsid w:val="00AA4F09"/>
    <w:rsid w:val="00AA5C2A"/>
    <w:rsid w:val="00AA7A72"/>
    <w:rsid w:val="00AA7DCE"/>
    <w:rsid w:val="00AA7E19"/>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0B45"/>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5A14"/>
    <w:rsid w:val="00AD68F8"/>
    <w:rsid w:val="00AE0B68"/>
    <w:rsid w:val="00AE0F54"/>
    <w:rsid w:val="00AE10CD"/>
    <w:rsid w:val="00AE1499"/>
    <w:rsid w:val="00AE2D0A"/>
    <w:rsid w:val="00AE3725"/>
    <w:rsid w:val="00AE4E58"/>
    <w:rsid w:val="00AE5139"/>
    <w:rsid w:val="00AE5307"/>
    <w:rsid w:val="00AE54FA"/>
    <w:rsid w:val="00AE5C8B"/>
    <w:rsid w:val="00AE5DD0"/>
    <w:rsid w:val="00AE653E"/>
    <w:rsid w:val="00AE65CA"/>
    <w:rsid w:val="00AE6800"/>
    <w:rsid w:val="00AE6CDA"/>
    <w:rsid w:val="00AE72FC"/>
    <w:rsid w:val="00AE751E"/>
    <w:rsid w:val="00AF16A0"/>
    <w:rsid w:val="00AF239F"/>
    <w:rsid w:val="00AF23AA"/>
    <w:rsid w:val="00AF23C2"/>
    <w:rsid w:val="00AF3040"/>
    <w:rsid w:val="00AF39BC"/>
    <w:rsid w:val="00AF4046"/>
    <w:rsid w:val="00AF4B87"/>
    <w:rsid w:val="00AF51E5"/>
    <w:rsid w:val="00AF52E7"/>
    <w:rsid w:val="00AF5D55"/>
    <w:rsid w:val="00AF605B"/>
    <w:rsid w:val="00AF741B"/>
    <w:rsid w:val="00AF7453"/>
    <w:rsid w:val="00AF7C3D"/>
    <w:rsid w:val="00AF7E72"/>
    <w:rsid w:val="00B007A2"/>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3E5"/>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44BC"/>
    <w:rsid w:val="00B45535"/>
    <w:rsid w:val="00B4553C"/>
    <w:rsid w:val="00B4572C"/>
    <w:rsid w:val="00B459C8"/>
    <w:rsid w:val="00B45BAB"/>
    <w:rsid w:val="00B46975"/>
    <w:rsid w:val="00B472EC"/>
    <w:rsid w:val="00B52046"/>
    <w:rsid w:val="00B5259A"/>
    <w:rsid w:val="00B528DA"/>
    <w:rsid w:val="00B52CB1"/>
    <w:rsid w:val="00B53C9A"/>
    <w:rsid w:val="00B53D31"/>
    <w:rsid w:val="00B549CA"/>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491"/>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A80"/>
    <w:rsid w:val="00B77D39"/>
    <w:rsid w:val="00B77E9E"/>
    <w:rsid w:val="00B80406"/>
    <w:rsid w:val="00B80A5E"/>
    <w:rsid w:val="00B80F1F"/>
    <w:rsid w:val="00B8146F"/>
    <w:rsid w:val="00B8167D"/>
    <w:rsid w:val="00B82C49"/>
    <w:rsid w:val="00B82D90"/>
    <w:rsid w:val="00B82FB4"/>
    <w:rsid w:val="00B83B69"/>
    <w:rsid w:val="00B83DFC"/>
    <w:rsid w:val="00B84F5E"/>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4640"/>
    <w:rsid w:val="00BA5792"/>
    <w:rsid w:val="00BA7701"/>
    <w:rsid w:val="00BA7BAB"/>
    <w:rsid w:val="00BA7C02"/>
    <w:rsid w:val="00BA7C73"/>
    <w:rsid w:val="00BB00C3"/>
    <w:rsid w:val="00BB01F3"/>
    <w:rsid w:val="00BB0741"/>
    <w:rsid w:val="00BB1020"/>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8B3"/>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21E3"/>
    <w:rsid w:val="00BE305B"/>
    <w:rsid w:val="00BE61FE"/>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6E82"/>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368E"/>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318"/>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57"/>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E9D"/>
    <w:rsid w:val="00C77A62"/>
    <w:rsid w:val="00C816DF"/>
    <w:rsid w:val="00C820EE"/>
    <w:rsid w:val="00C84713"/>
    <w:rsid w:val="00C84758"/>
    <w:rsid w:val="00C853AB"/>
    <w:rsid w:val="00C85E30"/>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2D08"/>
    <w:rsid w:val="00CE3120"/>
    <w:rsid w:val="00CE3C60"/>
    <w:rsid w:val="00CE42DB"/>
    <w:rsid w:val="00CE4C6F"/>
    <w:rsid w:val="00CE52CC"/>
    <w:rsid w:val="00CE53F4"/>
    <w:rsid w:val="00CE5510"/>
    <w:rsid w:val="00CE57C2"/>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1E1"/>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031"/>
    <w:rsid w:val="00D2079E"/>
    <w:rsid w:val="00D21356"/>
    <w:rsid w:val="00D2142F"/>
    <w:rsid w:val="00D216EE"/>
    <w:rsid w:val="00D220B5"/>
    <w:rsid w:val="00D233CD"/>
    <w:rsid w:val="00D23AD3"/>
    <w:rsid w:val="00D23FC0"/>
    <w:rsid w:val="00D23FCE"/>
    <w:rsid w:val="00D24032"/>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A90"/>
    <w:rsid w:val="00D34D1F"/>
    <w:rsid w:val="00D35597"/>
    <w:rsid w:val="00D35689"/>
    <w:rsid w:val="00D36180"/>
    <w:rsid w:val="00D365FA"/>
    <w:rsid w:val="00D368A1"/>
    <w:rsid w:val="00D37093"/>
    <w:rsid w:val="00D40425"/>
    <w:rsid w:val="00D40BC3"/>
    <w:rsid w:val="00D40D6B"/>
    <w:rsid w:val="00D4129E"/>
    <w:rsid w:val="00D418A3"/>
    <w:rsid w:val="00D42946"/>
    <w:rsid w:val="00D43984"/>
    <w:rsid w:val="00D44230"/>
    <w:rsid w:val="00D4459D"/>
    <w:rsid w:val="00D45FC9"/>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0D7"/>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2FB9"/>
    <w:rsid w:val="00D63379"/>
    <w:rsid w:val="00D635B1"/>
    <w:rsid w:val="00D639C5"/>
    <w:rsid w:val="00D63B0B"/>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C07"/>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6FC"/>
    <w:rsid w:val="00DA5CD6"/>
    <w:rsid w:val="00DA6868"/>
    <w:rsid w:val="00DB0312"/>
    <w:rsid w:val="00DB115A"/>
    <w:rsid w:val="00DB1B88"/>
    <w:rsid w:val="00DB3213"/>
    <w:rsid w:val="00DB387C"/>
    <w:rsid w:val="00DB43F8"/>
    <w:rsid w:val="00DB46DA"/>
    <w:rsid w:val="00DB5A7F"/>
    <w:rsid w:val="00DB640B"/>
    <w:rsid w:val="00DB656B"/>
    <w:rsid w:val="00DB6A23"/>
    <w:rsid w:val="00DB6FE6"/>
    <w:rsid w:val="00DB75BE"/>
    <w:rsid w:val="00DB7D6B"/>
    <w:rsid w:val="00DC01DD"/>
    <w:rsid w:val="00DC0423"/>
    <w:rsid w:val="00DC29D6"/>
    <w:rsid w:val="00DC430F"/>
    <w:rsid w:val="00DC43B0"/>
    <w:rsid w:val="00DC478C"/>
    <w:rsid w:val="00DC47BF"/>
    <w:rsid w:val="00DC4CEC"/>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1742"/>
    <w:rsid w:val="00DF1A4E"/>
    <w:rsid w:val="00DF33E8"/>
    <w:rsid w:val="00DF354D"/>
    <w:rsid w:val="00DF3B05"/>
    <w:rsid w:val="00DF44BC"/>
    <w:rsid w:val="00DF46D2"/>
    <w:rsid w:val="00DF5209"/>
    <w:rsid w:val="00DF5300"/>
    <w:rsid w:val="00DF5BF1"/>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4F44"/>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ACF"/>
    <w:rsid w:val="00E56F73"/>
    <w:rsid w:val="00E603AF"/>
    <w:rsid w:val="00E604FA"/>
    <w:rsid w:val="00E60FAB"/>
    <w:rsid w:val="00E615BD"/>
    <w:rsid w:val="00E61F48"/>
    <w:rsid w:val="00E624DD"/>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655"/>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274"/>
    <w:rsid w:val="00E94584"/>
    <w:rsid w:val="00E95058"/>
    <w:rsid w:val="00E95C26"/>
    <w:rsid w:val="00E95CEA"/>
    <w:rsid w:val="00E967F1"/>
    <w:rsid w:val="00E97D20"/>
    <w:rsid w:val="00E97FE2"/>
    <w:rsid w:val="00E97FE6"/>
    <w:rsid w:val="00EA08E8"/>
    <w:rsid w:val="00EA1903"/>
    <w:rsid w:val="00EA1A5A"/>
    <w:rsid w:val="00EA2FC0"/>
    <w:rsid w:val="00EA3F5C"/>
    <w:rsid w:val="00EA42D5"/>
    <w:rsid w:val="00EA4397"/>
    <w:rsid w:val="00EA499D"/>
    <w:rsid w:val="00EA4FFF"/>
    <w:rsid w:val="00EA5148"/>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878"/>
    <w:rsid w:val="00EB6E71"/>
    <w:rsid w:val="00EB73BE"/>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807"/>
    <w:rsid w:val="00ED4DFC"/>
    <w:rsid w:val="00ED4E42"/>
    <w:rsid w:val="00ED5E54"/>
    <w:rsid w:val="00ED7786"/>
    <w:rsid w:val="00ED7EA9"/>
    <w:rsid w:val="00EE00E5"/>
    <w:rsid w:val="00EE0B31"/>
    <w:rsid w:val="00EE1E9C"/>
    <w:rsid w:val="00EE200B"/>
    <w:rsid w:val="00EE2083"/>
    <w:rsid w:val="00EE20A8"/>
    <w:rsid w:val="00EE21BD"/>
    <w:rsid w:val="00EE23BC"/>
    <w:rsid w:val="00EE25D9"/>
    <w:rsid w:val="00EE2ADD"/>
    <w:rsid w:val="00EE433B"/>
    <w:rsid w:val="00EE46D0"/>
    <w:rsid w:val="00EE476D"/>
    <w:rsid w:val="00EE49A6"/>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927"/>
    <w:rsid w:val="00EF3D14"/>
    <w:rsid w:val="00EF3EEE"/>
    <w:rsid w:val="00EF3F88"/>
    <w:rsid w:val="00EF75A6"/>
    <w:rsid w:val="00F0045E"/>
    <w:rsid w:val="00F00724"/>
    <w:rsid w:val="00F00774"/>
    <w:rsid w:val="00F0081B"/>
    <w:rsid w:val="00F01968"/>
    <w:rsid w:val="00F01F95"/>
    <w:rsid w:val="00F0256E"/>
    <w:rsid w:val="00F0356A"/>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2ACB"/>
    <w:rsid w:val="00F231FB"/>
    <w:rsid w:val="00F243C4"/>
    <w:rsid w:val="00F243FF"/>
    <w:rsid w:val="00F25199"/>
    <w:rsid w:val="00F254D8"/>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698C"/>
    <w:rsid w:val="00F3715D"/>
    <w:rsid w:val="00F37A09"/>
    <w:rsid w:val="00F404BF"/>
    <w:rsid w:val="00F40EB5"/>
    <w:rsid w:val="00F40F31"/>
    <w:rsid w:val="00F41380"/>
    <w:rsid w:val="00F41421"/>
    <w:rsid w:val="00F41886"/>
    <w:rsid w:val="00F419C3"/>
    <w:rsid w:val="00F41A80"/>
    <w:rsid w:val="00F41C4B"/>
    <w:rsid w:val="00F42E64"/>
    <w:rsid w:val="00F43206"/>
    <w:rsid w:val="00F435B6"/>
    <w:rsid w:val="00F4392C"/>
    <w:rsid w:val="00F448F9"/>
    <w:rsid w:val="00F44EC7"/>
    <w:rsid w:val="00F44EC8"/>
    <w:rsid w:val="00F452E7"/>
    <w:rsid w:val="00F4670C"/>
    <w:rsid w:val="00F467C0"/>
    <w:rsid w:val="00F47C6B"/>
    <w:rsid w:val="00F5038D"/>
    <w:rsid w:val="00F503D2"/>
    <w:rsid w:val="00F505AC"/>
    <w:rsid w:val="00F50603"/>
    <w:rsid w:val="00F50C03"/>
    <w:rsid w:val="00F50F47"/>
    <w:rsid w:val="00F51899"/>
    <w:rsid w:val="00F51E43"/>
    <w:rsid w:val="00F51E44"/>
    <w:rsid w:val="00F5253A"/>
    <w:rsid w:val="00F5325B"/>
    <w:rsid w:val="00F53610"/>
    <w:rsid w:val="00F53AF0"/>
    <w:rsid w:val="00F55337"/>
    <w:rsid w:val="00F55B1A"/>
    <w:rsid w:val="00F55F0A"/>
    <w:rsid w:val="00F56456"/>
    <w:rsid w:val="00F5652C"/>
    <w:rsid w:val="00F575D1"/>
    <w:rsid w:val="00F57C49"/>
    <w:rsid w:val="00F57C79"/>
    <w:rsid w:val="00F57D6B"/>
    <w:rsid w:val="00F60A98"/>
    <w:rsid w:val="00F618C5"/>
    <w:rsid w:val="00F619E0"/>
    <w:rsid w:val="00F622E5"/>
    <w:rsid w:val="00F626FF"/>
    <w:rsid w:val="00F627D0"/>
    <w:rsid w:val="00F6380C"/>
    <w:rsid w:val="00F63BB1"/>
    <w:rsid w:val="00F63E23"/>
    <w:rsid w:val="00F65D31"/>
    <w:rsid w:val="00F65E8F"/>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563D"/>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42"/>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C74"/>
    <w:rsid w:val="00FC2E23"/>
    <w:rsid w:val="00FC2E6F"/>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320"/>
    <w:rsid w:val="00FE345D"/>
    <w:rsid w:val="00FE4788"/>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0DF"/>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customStyle="1" w:styleId="Char1">
    <w:name w:val="Char"/>
    <w:basedOn w:val="Normal"/>
    <w:rsid w:val="00940BA5"/>
    <w:pPr>
      <w:spacing w:after="160" w:line="240" w:lineRule="exact"/>
    </w:pPr>
    <w:rPr>
      <w:rFonts w:ascii="Verdana" w:eastAsia="MS Mincho"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paragraph" w:customStyle="1" w:styleId="Char1">
    <w:name w:val="Char"/>
    <w:basedOn w:val="Normal"/>
    <w:rsid w:val="00940BA5"/>
    <w:pPr>
      <w:spacing w:after="160" w:line="240" w:lineRule="exact"/>
    </w:pPr>
    <w:rPr>
      <w:rFonts w:ascii="Verdana" w:eastAsia="MS Mincho"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0951596">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9340532">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500854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8882244">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68428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48839335">
      <w:bodyDiv w:val="1"/>
      <w:marLeft w:val="0"/>
      <w:marRight w:val="0"/>
      <w:marTop w:val="0"/>
      <w:marBottom w:val="0"/>
      <w:divBdr>
        <w:top w:val="none" w:sz="0" w:space="0" w:color="auto"/>
        <w:left w:val="none" w:sz="0" w:space="0" w:color="auto"/>
        <w:bottom w:val="none" w:sz="0" w:space="0" w:color="auto"/>
        <w:right w:val="none" w:sz="0" w:space="0" w:color="auto"/>
      </w:divBdr>
    </w:div>
    <w:div w:id="157654962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9020287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487869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16222275">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33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E70C-A0BA-44DC-982E-61E148B5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5137</Words>
  <Characters>29283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2016-08-17T23:50:00Z</dcterms:created>
  <dcterms:modified xsi:type="dcterms:W3CDTF">2016-08-17T23:50:00Z</dcterms:modified>
</cp:coreProperties>
</file>