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3"/>
        <w:gridCol w:w="2126"/>
        <w:gridCol w:w="2126"/>
        <w:gridCol w:w="3733"/>
        <w:gridCol w:w="5339"/>
      </w:tblGrid>
      <w:tr w:rsidR="0010394D" w:rsidRPr="00CA293C" w:rsidTr="007B64C3">
        <w:trPr>
          <w:tblHeader/>
        </w:trPr>
        <w:tc>
          <w:tcPr>
            <w:tcW w:w="2363" w:type="dxa"/>
            <w:vAlign w:val="center"/>
          </w:tcPr>
          <w:p w:rsidR="0010394D" w:rsidRPr="001047FA" w:rsidRDefault="001047FA" w:rsidP="00F301A5">
            <w:pPr>
              <w:pStyle w:val="Header"/>
              <w:spacing w:after="240"/>
              <w:contextualSpacing/>
              <w:jc w:val="center"/>
              <w:rPr>
                <w:rFonts w:ascii="Arial" w:hAnsi="Arial" w:cs="Arial"/>
                <w:b/>
                <w:snapToGrid w:val="0"/>
                <w:sz w:val="20"/>
                <w:lang w:eastAsia="en-US"/>
              </w:rPr>
            </w:pPr>
            <w:bookmarkStart w:id="0" w:name="_GoBack"/>
            <w:bookmarkEnd w:id="0"/>
            <w:r w:rsidRPr="001047FA">
              <w:rPr>
                <w:rFonts w:ascii="Arial" w:hAnsi="Arial" w:cs="Arial"/>
                <w:b/>
                <w:snapToGrid w:val="0"/>
                <w:sz w:val="20"/>
                <w:lang w:eastAsia="en-US"/>
              </w:rPr>
              <w:t>DRUG NAME, FORM(S), STRENGTH(S), SPONSOR, TYPE OF SUBMISSION</w:t>
            </w:r>
          </w:p>
        </w:tc>
        <w:tc>
          <w:tcPr>
            <w:tcW w:w="2126" w:type="dxa"/>
            <w:tcBorders>
              <w:bottom w:val="single" w:sz="4" w:space="0" w:color="auto"/>
            </w:tcBorders>
            <w:vAlign w:val="center"/>
          </w:tcPr>
          <w:p w:rsidR="001047FA" w:rsidRPr="001047FA" w:rsidRDefault="001047FA" w:rsidP="00F301A5">
            <w:pPr>
              <w:pStyle w:val="Header"/>
              <w:spacing w:after="240"/>
              <w:contextualSpacing/>
              <w:jc w:val="center"/>
              <w:rPr>
                <w:rFonts w:ascii="Arial" w:hAnsi="Arial" w:cs="Arial"/>
                <w:b/>
                <w:snapToGrid w:val="0"/>
                <w:sz w:val="20"/>
                <w:lang w:eastAsia="en-US"/>
              </w:rPr>
            </w:pPr>
            <w:r w:rsidRPr="001047FA">
              <w:rPr>
                <w:rFonts w:ascii="Arial" w:hAnsi="Arial" w:cs="Arial"/>
                <w:b/>
                <w:snapToGrid w:val="0"/>
                <w:sz w:val="20"/>
                <w:lang w:eastAsia="en-US"/>
              </w:rPr>
              <w:t>TGA INDICATION</w:t>
            </w:r>
          </w:p>
          <w:p w:rsidR="0010394D" w:rsidRPr="0010394D" w:rsidRDefault="0010394D" w:rsidP="00F301A5">
            <w:pPr>
              <w:pStyle w:val="Header"/>
              <w:spacing w:after="240"/>
              <w:contextualSpacing/>
              <w:jc w:val="center"/>
              <w:rPr>
                <w:rFonts w:ascii="Arial" w:hAnsi="Arial" w:cs="Arial"/>
                <w:b/>
                <w:snapToGrid w:val="0"/>
                <w:sz w:val="20"/>
                <w:lang w:eastAsia="en-US"/>
              </w:rPr>
            </w:pPr>
          </w:p>
        </w:tc>
        <w:tc>
          <w:tcPr>
            <w:tcW w:w="2126" w:type="dxa"/>
            <w:tcBorders>
              <w:bottom w:val="single" w:sz="4" w:space="0" w:color="auto"/>
            </w:tcBorders>
            <w:vAlign w:val="center"/>
          </w:tcPr>
          <w:p w:rsidR="0010394D" w:rsidRPr="0010394D" w:rsidRDefault="001047FA" w:rsidP="00F301A5">
            <w:pPr>
              <w:pStyle w:val="Header"/>
              <w:spacing w:after="240"/>
              <w:contextualSpacing/>
              <w:jc w:val="center"/>
              <w:rPr>
                <w:rFonts w:ascii="Arial" w:hAnsi="Arial" w:cs="Arial"/>
                <w:b/>
                <w:snapToGrid w:val="0"/>
                <w:sz w:val="20"/>
                <w:lang w:eastAsia="en-US"/>
              </w:rPr>
            </w:pPr>
            <w:r w:rsidRPr="001047FA">
              <w:rPr>
                <w:rFonts w:ascii="Arial" w:hAnsi="Arial" w:cs="Arial"/>
                <w:b/>
                <w:snapToGrid w:val="0"/>
                <w:sz w:val="20"/>
                <w:lang w:eastAsia="en-US"/>
              </w:rPr>
              <w:t>CURRENT PBS LISTING</w:t>
            </w:r>
          </w:p>
        </w:tc>
        <w:tc>
          <w:tcPr>
            <w:tcW w:w="3733" w:type="dxa"/>
            <w:shd w:val="clear" w:color="auto" w:fill="auto"/>
            <w:vAlign w:val="center"/>
          </w:tcPr>
          <w:p w:rsidR="0010394D" w:rsidRPr="0010394D" w:rsidRDefault="001047FA" w:rsidP="00F301A5">
            <w:pPr>
              <w:pStyle w:val="Header"/>
              <w:spacing w:after="240"/>
              <w:contextualSpacing/>
              <w:jc w:val="center"/>
              <w:rPr>
                <w:rFonts w:ascii="Arial" w:hAnsi="Arial" w:cs="Arial"/>
                <w:b/>
                <w:snapToGrid w:val="0"/>
                <w:sz w:val="20"/>
                <w:lang w:eastAsia="en-US"/>
              </w:rPr>
            </w:pPr>
            <w:r w:rsidRPr="001047FA">
              <w:rPr>
                <w:rFonts w:ascii="Arial" w:hAnsi="Arial" w:cs="Arial"/>
                <w:b/>
                <w:snapToGrid w:val="0"/>
                <w:sz w:val="20"/>
                <w:lang w:eastAsia="en-US"/>
              </w:rPr>
              <w:t>LISTING REQUESTED BY SPONSOR / PURPOSE OF SUBMISSION</w:t>
            </w:r>
          </w:p>
        </w:tc>
        <w:tc>
          <w:tcPr>
            <w:tcW w:w="5339" w:type="dxa"/>
            <w:vAlign w:val="center"/>
          </w:tcPr>
          <w:p w:rsidR="0010394D" w:rsidRPr="001047FA" w:rsidRDefault="0010394D" w:rsidP="00F301A5">
            <w:pPr>
              <w:pStyle w:val="Header"/>
              <w:spacing w:after="240"/>
              <w:contextualSpacing/>
              <w:jc w:val="center"/>
              <w:rPr>
                <w:rFonts w:ascii="Arial" w:hAnsi="Arial" w:cs="Arial"/>
                <w:b/>
                <w:snapToGrid w:val="0"/>
                <w:sz w:val="20"/>
                <w:lang w:eastAsia="en-US"/>
              </w:rPr>
            </w:pPr>
            <w:r w:rsidRPr="0010394D">
              <w:rPr>
                <w:rFonts w:ascii="Arial" w:hAnsi="Arial" w:cs="Arial"/>
                <w:b/>
                <w:snapToGrid w:val="0"/>
                <w:sz w:val="20"/>
                <w:lang w:eastAsia="en-US"/>
              </w:rPr>
              <w:t xml:space="preserve">PBAC </w:t>
            </w:r>
            <w:r w:rsidR="001047FA">
              <w:rPr>
                <w:rFonts w:ascii="Arial" w:hAnsi="Arial" w:cs="Arial"/>
                <w:b/>
                <w:snapToGrid w:val="0"/>
                <w:sz w:val="20"/>
                <w:lang w:eastAsia="en-US"/>
              </w:rPr>
              <w:t>OUTCOME</w:t>
            </w:r>
          </w:p>
        </w:tc>
      </w:tr>
      <w:tr w:rsidR="007B64C3" w:rsidRPr="009B735A" w:rsidTr="007B64C3">
        <w:trPr>
          <w:trHeight w:val="1197"/>
        </w:trPr>
        <w:tc>
          <w:tcPr>
            <w:tcW w:w="2363" w:type="dxa"/>
            <w:vMerge w:val="restart"/>
          </w:tcPr>
          <w:p w:rsidR="007B64C3" w:rsidRPr="00456326" w:rsidRDefault="007B64C3" w:rsidP="00456326">
            <w:pPr>
              <w:keepNext/>
              <w:spacing w:line="276" w:lineRule="auto"/>
              <w:rPr>
                <w:rFonts w:ascii="Arial" w:hAnsi="Arial" w:cs="Arial"/>
                <w:color w:val="000000"/>
                <w:sz w:val="20"/>
              </w:rPr>
            </w:pPr>
            <w:r w:rsidRPr="00456326">
              <w:rPr>
                <w:rFonts w:ascii="Arial" w:hAnsi="Arial" w:cs="Arial"/>
                <w:color w:val="000000"/>
                <w:sz w:val="20"/>
              </w:rPr>
              <w:t>ADALIMUMAB</w:t>
            </w:r>
            <w:r w:rsidRPr="00456326">
              <w:rPr>
                <w:rFonts w:ascii="Arial" w:hAnsi="Arial" w:cs="Arial"/>
                <w:color w:val="000000"/>
                <w:sz w:val="20"/>
              </w:rPr>
              <w:br/>
            </w:r>
            <w:r w:rsidRPr="00456326">
              <w:rPr>
                <w:rFonts w:ascii="Arial" w:hAnsi="Arial" w:cs="Arial"/>
                <w:color w:val="000000"/>
                <w:sz w:val="20"/>
              </w:rPr>
              <w:br/>
              <w:t>40 mg/0.8 mL injection, 2 x 0.8 mL cartridges</w:t>
            </w:r>
            <w:r w:rsidRPr="00456326">
              <w:rPr>
                <w:rFonts w:ascii="Arial" w:hAnsi="Arial" w:cs="Arial"/>
                <w:color w:val="000000"/>
                <w:sz w:val="20"/>
              </w:rPr>
              <w:br/>
              <w:t>40 mg/0.8 mL injection, 2 x 0.8 mL syringes</w:t>
            </w:r>
            <w:r w:rsidRPr="00456326">
              <w:rPr>
                <w:rFonts w:ascii="Arial" w:hAnsi="Arial" w:cs="Arial"/>
                <w:color w:val="000000"/>
                <w:sz w:val="20"/>
              </w:rPr>
              <w:br/>
              <w:t>40 mg/0.8 mL injection, 6 x 0.8 mL cartridges</w:t>
            </w:r>
            <w:r w:rsidRPr="00456326">
              <w:rPr>
                <w:rFonts w:ascii="Arial" w:hAnsi="Arial" w:cs="Arial"/>
                <w:color w:val="000000"/>
                <w:sz w:val="20"/>
              </w:rPr>
              <w:br/>
              <w:t>40 mg/0.8 mL injection, 6 x 0.8 mL syringes</w:t>
            </w:r>
            <w:r w:rsidRPr="00456326">
              <w:rPr>
                <w:rFonts w:ascii="Arial" w:hAnsi="Arial" w:cs="Arial"/>
                <w:color w:val="000000"/>
                <w:sz w:val="20"/>
              </w:rPr>
              <w:br/>
            </w:r>
            <w:r w:rsidRPr="00456326">
              <w:rPr>
                <w:rFonts w:ascii="Arial" w:hAnsi="Arial" w:cs="Arial"/>
                <w:color w:val="000000"/>
                <w:sz w:val="20"/>
              </w:rPr>
              <w:br/>
            </w:r>
            <w:proofErr w:type="spellStart"/>
            <w:r w:rsidRPr="00456326">
              <w:rPr>
                <w:rFonts w:ascii="Arial" w:hAnsi="Arial" w:cs="Arial"/>
                <w:color w:val="000000"/>
                <w:sz w:val="20"/>
              </w:rPr>
              <w:t>Humira</w:t>
            </w:r>
            <w:proofErr w:type="spellEnd"/>
            <w:r w:rsidRPr="00456326">
              <w:rPr>
                <w:rFonts w:ascii="Arial" w:hAnsi="Arial" w:cs="Arial"/>
                <w:color w:val="000000"/>
                <w:sz w:val="20"/>
              </w:rPr>
              <w:t>®</w:t>
            </w:r>
            <w:r w:rsidRPr="00456326">
              <w:rPr>
                <w:rFonts w:ascii="Arial" w:hAnsi="Arial" w:cs="Arial"/>
                <w:color w:val="000000"/>
                <w:sz w:val="20"/>
              </w:rPr>
              <w:br/>
            </w:r>
            <w:r w:rsidRPr="00456326">
              <w:rPr>
                <w:rFonts w:ascii="Arial" w:hAnsi="Arial" w:cs="Arial"/>
                <w:color w:val="000000"/>
                <w:sz w:val="20"/>
              </w:rPr>
              <w:br/>
              <w:t>AbbVie Pty Ltd</w:t>
            </w:r>
          </w:p>
          <w:p w:rsidR="007B64C3" w:rsidRPr="00456326" w:rsidRDefault="007B64C3" w:rsidP="00456326">
            <w:pPr>
              <w:keepNext/>
              <w:spacing w:line="276" w:lineRule="auto"/>
              <w:rPr>
                <w:rFonts w:ascii="Arial" w:hAnsi="Arial" w:cs="Arial"/>
                <w:color w:val="000000"/>
                <w:sz w:val="20"/>
              </w:rPr>
            </w:pPr>
          </w:p>
          <w:p w:rsidR="007B64C3" w:rsidRPr="00CA0C65" w:rsidRDefault="007B64C3" w:rsidP="00456326">
            <w:pPr>
              <w:keepNext/>
              <w:spacing w:line="276" w:lineRule="auto"/>
              <w:rPr>
                <w:rFonts w:ascii="Arial" w:hAnsi="Arial" w:cs="Arial"/>
                <w:sz w:val="20"/>
                <w:highlight w:val="yellow"/>
              </w:rPr>
            </w:pPr>
            <w:r w:rsidRPr="00456326">
              <w:rPr>
                <w:rFonts w:ascii="Arial" w:hAnsi="Arial" w:cs="Arial"/>
                <w:color w:val="000000"/>
                <w:sz w:val="20"/>
              </w:rPr>
              <w:t>Change to listing</w:t>
            </w:r>
            <w:r w:rsidRPr="00456326">
              <w:rPr>
                <w:rFonts w:ascii="Arial" w:hAnsi="Arial" w:cs="Arial"/>
                <w:color w:val="000000"/>
                <w:sz w:val="20"/>
              </w:rPr>
              <w:br/>
            </w:r>
            <w:r w:rsidRPr="00456326">
              <w:rPr>
                <w:rFonts w:ascii="Arial" w:hAnsi="Arial" w:cs="Arial"/>
                <w:color w:val="000000"/>
                <w:sz w:val="20"/>
              </w:rPr>
              <w:br/>
              <w:t>(Minor Submission)</w:t>
            </w:r>
          </w:p>
        </w:tc>
        <w:tc>
          <w:tcPr>
            <w:tcW w:w="2126" w:type="dxa"/>
            <w:vMerge w:val="restart"/>
            <w:shd w:val="clear" w:color="auto" w:fill="auto"/>
          </w:tcPr>
          <w:p w:rsidR="007B64C3" w:rsidRPr="00CA0C65" w:rsidRDefault="007B64C3" w:rsidP="00F34AB8">
            <w:pPr>
              <w:rPr>
                <w:rFonts w:ascii="Arial" w:hAnsi="Arial" w:cs="Arial"/>
                <w:sz w:val="20"/>
              </w:rPr>
            </w:pPr>
            <w:r w:rsidRPr="00357071">
              <w:rPr>
                <w:rFonts w:ascii="Arial" w:hAnsi="Arial" w:cs="Arial"/>
                <w:sz w:val="20"/>
              </w:rPr>
              <w:t xml:space="preserve">Adalimumab is indicated for reducing signs and symptoms in moderate to severe rheumatoid arthritis, </w:t>
            </w:r>
            <w:proofErr w:type="spellStart"/>
            <w:r w:rsidRPr="00357071">
              <w:rPr>
                <w:rFonts w:ascii="Arial" w:hAnsi="Arial" w:cs="Arial"/>
                <w:sz w:val="20"/>
              </w:rPr>
              <w:t>polyarticular</w:t>
            </w:r>
            <w:proofErr w:type="spellEnd"/>
            <w:r w:rsidRPr="00357071">
              <w:rPr>
                <w:rFonts w:ascii="Arial" w:hAnsi="Arial" w:cs="Arial"/>
                <w:sz w:val="20"/>
              </w:rPr>
              <w:t xml:space="preserve"> juvenile idiopathic arthritis, </w:t>
            </w:r>
            <w:proofErr w:type="spellStart"/>
            <w:r>
              <w:rPr>
                <w:rFonts w:ascii="Arial" w:hAnsi="Arial" w:cs="Arial"/>
                <w:sz w:val="20"/>
              </w:rPr>
              <w:t>enthesitis</w:t>
            </w:r>
            <w:proofErr w:type="spellEnd"/>
            <w:r>
              <w:rPr>
                <w:rFonts w:ascii="Arial" w:hAnsi="Arial" w:cs="Arial"/>
                <w:sz w:val="20"/>
              </w:rPr>
              <w:t xml:space="preserve">-related arthritis, </w:t>
            </w:r>
            <w:r w:rsidRPr="00357071">
              <w:rPr>
                <w:rFonts w:ascii="Arial" w:hAnsi="Arial" w:cs="Arial"/>
                <w:sz w:val="20"/>
              </w:rPr>
              <w:t>psoriatic arthritis, Crohn’s Disease, ulcerative colitis, chronic plaque psoriasis</w:t>
            </w:r>
            <w:r>
              <w:rPr>
                <w:rFonts w:ascii="Arial" w:hAnsi="Arial" w:cs="Arial"/>
                <w:sz w:val="20"/>
              </w:rPr>
              <w:t>,</w:t>
            </w:r>
            <w:r w:rsidRPr="00357071">
              <w:rPr>
                <w:rFonts w:ascii="Arial" w:hAnsi="Arial" w:cs="Arial"/>
                <w:sz w:val="20"/>
              </w:rPr>
              <w:t xml:space="preserve"> active ankylosing spondylitis</w:t>
            </w:r>
            <w:r>
              <w:rPr>
                <w:rFonts w:ascii="Arial" w:hAnsi="Arial" w:cs="Arial"/>
                <w:sz w:val="20"/>
              </w:rPr>
              <w:t xml:space="preserve"> and hidradenitis suppurativa</w:t>
            </w:r>
            <w:r w:rsidRPr="00357071">
              <w:rPr>
                <w:rFonts w:ascii="Arial" w:hAnsi="Arial" w:cs="Arial"/>
                <w:sz w:val="20"/>
              </w:rPr>
              <w:t>.</w:t>
            </w:r>
          </w:p>
        </w:tc>
        <w:tc>
          <w:tcPr>
            <w:tcW w:w="2126" w:type="dxa"/>
            <w:vMerge w:val="restart"/>
            <w:shd w:val="clear" w:color="auto" w:fill="auto"/>
          </w:tcPr>
          <w:p w:rsidR="007B64C3" w:rsidRDefault="007B64C3" w:rsidP="00F34AB8">
            <w:pPr>
              <w:rPr>
                <w:rFonts w:ascii="Arial" w:hAnsi="Arial" w:cs="Arial"/>
                <w:sz w:val="20"/>
              </w:rPr>
            </w:pPr>
            <w:r>
              <w:rPr>
                <w:rFonts w:ascii="Arial" w:hAnsi="Arial" w:cs="Arial"/>
                <w:sz w:val="20"/>
              </w:rPr>
              <w:t xml:space="preserve">Adalimumab is currently listed for severe Crohn disease, severe active juvenile idiopathic arthritis, complex refractory fistulising Crohn disease, ankylosing spondylitis, severe chronic plaque psoriasis, severe active rheumatoid arthritis and severe psoriatic arthritis. </w:t>
            </w:r>
          </w:p>
          <w:p w:rsidR="007B64C3" w:rsidRDefault="007B64C3" w:rsidP="00F34AB8">
            <w:pPr>
              <w:rPr>
                <w:rFonts w:ascii="Arial" w:hAnsi="Arial" w:cs="Arial"/>
                <w:sz w:val="20"/>
              </w:rPr>
            </w:pPr>
          </w:p>
          <w:p w:rsidR="007B64C3" w:rsidRPr="004571A9" w:rsidRDefault="007B64C3" w:rsidP="00F34AB8">
            <w:pPr>
              <w:rPr>
                <w:rFonts w:ascii="Arial" w:hAnsi="Arial" w:cs="Arial"/>
                <w:color w:val="000000"/>
                <w:sz w:val="20"/>
              </w:rPr>
            </w:pPr>
            <w:r w:rsidRPr="00E71BFE">
              <w:rPr>
                <w:rFonts w:ascii="Arial" w:hAnsi="Arial" w:cs="Arial"/>
                <w:sz w:val="20"/>
              </w:rPr>
              <w:t xml:space="preserve">For more details see the </w:t>
            </w:r>
            <w:hyperlink r:id="rId8" w:history="1">
              <w:r w:rsidRPr="00E71BFE">
                <w:rPr>
                  <w:rStyle w:val="Hyperlink"/>
                  <w:rFonts w:ascii="Arial" w:hAnsi="Arial" w:cs="Arial"/>
                  <w:sz w:val="20"/>
                </w:rPr>
                <w:t>PBS Schedule</w:t>
              </w:r>
            </w:hyperlink>
            <w:r w:rsidRPr="00E71BFE">
              <w:rPr>
                <w:rFonts w:ascii="Arial" w:hAnsi="Arial" w:cs="Arial"/>
                <w:sz w:val="20"/>
              </w:rPr>
              <w:t xml:space="preserve">. </w:t>
            </w:r>
          </w:p>
        </w:tc>
        <w:tc>
          <w:tcPr>
            <w:tcW w:w="3733" w:type="dxa"/>
          </w:tcPr>
          <w:p w:rsidR="007B64C3" w:rsidRPr="00443075" w:rsidRDefault="007B64C3" w:rsidP="001E6F01">
            <w:pPr>
              <w:keepNext/>
              <w:spacing w:line="276" w:lineRule="auto"/>
              <w:rPr>
                <w:rFonts w:ascii="Arial" w:hAnsi="Arial" w:cs="Arial"/>
                <w:color w:val="000000"/>
                <w:sz w:val="20"/>
              </w:rPr>
            </w:pPr>
            <w:r w:rsidRPr="00443075">
              <w:rPr>
                <w:rFonts w:ascii="Arial" w:hAnsi="Arial" w:cs="Arial"/>
                <w:color w:val="000000"/>
                <w:sz w:val="20"/>
              </w:rPr>
              <w:t>Re-submission for Authority Required listing for the treatment of moderate to severe hidradenitis suppurativa (HS).</w:t>
            </w:r>
          </w:p>
        </w:tc>
        <w:tc>
          <w:tcPr>
            <w:tcW w:w="5339" w:type="dxa"/>
          </w:tcPr>
          <w:p w:rsidR="007B64C3" w:rsidRPr="00443075" w:rsidRDefault="007B64C3" w:rsidP="00C1519A">
            <w:pPr>
              <w:keepNext/>
              <w:spacing w:line="276" w:lineRule="auto"/>
              <w:rPr>
                <w:rFonts w:ascii="Arial" w:hAnsi="Arial" w:cs="Arial"/>
                <w:sz w:val="20"/>
              </w:rPr>
            </w:pPr>
            <w:r w:rsidRPr="00443075">
              <w:rPr>
                <w:rFonts w:ascii="Arial" w:hAnsi="Arial" w:cs="Arial"/>
                <w:sz w:val="20"/>
              </w:rPr>
              <w:t xml:space="preserve">The PBAC did not recommend adalimumab for PBS listing for moderate to severe HS on the basis of </w:t>
            </w:r>
            <w:r w:rsidR="005F6AD6">
              <w:rPr>
                <w:rFonts w:ascii="Arial" w:hAnsi="Arial" w:cs="Arial"/>
                <w:sz w:val="20"/>
              </w:rPr>
              <w:t>a</w:t>
            </w:r>
            <w:r w:rsidR="00C1519A">
              <w:rPr>
                <w:rFonts w:ascii="Arial" w:hAnsi="Arial" w:cs="Arial"/>
                <w:sz w:val="20"/>
              </w:rPr>
              <w:t xml:space="preserve">n unfavourable </w:t>
            </w:r>
            <w:r w:rsidRPr="00443075">
              <w:rPr>
                <w:rFonts w:ascii="Arial" w:hAnsi="Arial" w:cs="Arial"/>
                <w:sz w:val="20"/>
              </w:rPr>
              <w:t xml:space="preserve">and uncertain </w:t>
            </w:r>
            <w:r w:rsidR="005F6AD6">
              <w:rPr>
                <w:rFonts w:ascii="Arial" w:hAnsi="Arial" w:cs="Arial"/>
                <w:sz w:val="20"/>
              </w:rPr>
              <w:t xml:space="preserve">estimate of the incremental </w:t>
            </w:r>
            <w:r w:rsidRPr="00443075">
              <w:rPr>
                <w:rFonts w:ascii="Arial" w:hAnsi="Arial" w:cs="Arial"/>
                <w:sz w:val="20"/>
              </w:rPr>
              <w:t>cost effectiveness</w:t>
            </w:r>
            <w:r w:rsidR="005F6AD6">
              <w:rPr>
                <w:rFonts w:ascii="Arial" w:hAnsi="Arial" w:cs="Arial"/>
                <w:sz w:val="20"/>
              </w:rPr>
              <w:t xml:space="preserve"> ratio</w:t>
            </w:r>
            <w:r w:rsidRPr="00443075">
              <w:rPr>
                <w:rFonts w:ascii="Arial" w:hAnsi="Arial" w:cs="Arial"/>
                <w:sz w:val="20"/>
              </w:rPr>
              <w:t>.</w:t>
            </w:r>
          </w:p>
        </w:tc>
      </w:tr>
      <w:tr w:rsidR="00456326" w:rsidRPr="009B735A" w:rsidTr="007B64C3">
        <w:trPr>
          <w:trHeight w:val="433"/>
        </w:trPr>
        <w:tc>
          <w:tcPr>
            <w:tcW w:w="2363" w:type="dxa"/>
            <w:vMerge/>
          </w:tcPr>
          <w:p w:rsidR="00456326" w:rsidRPr="00CA0C65" w:rsidRDefault="00456326" w:rsidP="00BD520B">
            <w:pPr>
              <w:rPr>
                <w:rFonts w:ascii="Arial" w:hAnsi="Arial" w:cs="Arial"/>
                <w:sz w:val="20"/>
              </w:rPr>
            </w:pPr>
          </w:p>
        </w:tc>
        <w:tc>
          <w:tcPr>
            <w:tcW w:w="2126" w:type="dxa"/>
            <w:vMerge/>
            <w:shd w:val="clear" w:color="auto" w:fill="auto"/>
          </w:tcPr>
          <w:p w:rsidR="00456326" w:rsidRPr="00CA0C65" w:rsidRDefault="00456326" w:rsidP="00BD520B">
            <w:pPr>
              <w:rPr>
                <w:rFonts w:ascii="Arial" w:hAnsi="Arial" w:cs="Arial"/>
                <w:sz w:val="20"/>
              </w:rPr>
            </w:pPr>
          </w:p>
        </w:tc>
        <w:tc>
          <w:tcPr>
            <w:tcW w:w="2126" w:type="dxa"/>
            <w:vMerge/>
            <w:shd w:val="clear" w:color="auto" w:fill="auto"/>
          </w:tcPr>
          <w:p w:rsidR="00456326" w:rsidRPr="00CA0C65" w:rsidRDefault="00456326" w:rsidP="00BD520B">
            <w:pPr>
              <w:rPr>
                <w:rFonts w:ascii="Arial" w:hAnsi="Arial" w:cs="Arial"/>
                <w:sz w:val="20"/>
              </w:rPr>
            </w:pPr>
          </w:p>
        </w:tc>
        <w:tc>
          <w:tcPr>
            <w:tcW w:w="3733" w:type="dxa"/>
          </w:tcPr>
          <w:p w:rsidR="00456326" w:rsidRPr="00443075" w:rsidRDefault="00456326" w:rsidP="000D0539">
            <w:pPr>
              <w:pStyle w:val="ListBullet"/>
            </w:pPr>
            <w:r w:rsidRPr="00443075">
              <w:t>Comparator: best supportive care (BSC)</w:t>
            </w:r>
          </w:p>
        </w:tc>
        <w:tc>
          <w:tcPr>
            <w:tcW w:w="5339" w:type="dxa"/>
          </w:tcPr>
          <w:p w:rsidR="00456326" w:rsidRPr="00443075" w:rsidRDefault="00456326" w:rsidP="001E6F01">
            <w:pPr>
              <w:spacing w:line="276" w:lineRule="auto"/>
              <w:rPr>
                <w:rFonts w:ascii="Arial" w:hAnsi="Arial" w:cs="Arial"/>
                <w:sz w:val="20"/>
                <w:highlight w:val="yellow"/>
              </w:rPr>
            </w:pPr>
            <w:r w:rsidRPr="00443075">
              <w:rPr>
                <w:rFonts w:ascii="Arial" w:hAnsi="Arial" w:cs="Arial"/>
                <w:sz w:val="20"/>
              </w:rPr>
              <w:t>Accepted.</w:t>
            </w:r>
          </w:p>
        </w:tc>
      </w:tr>
      <w:tr w:rsidR="00456326" w:rsidRPr="009B735A" w:rsidTr="007B64C3">
        <w:trPr>
          <w:trHeight w:val="433"/>
        </w:trPr>
        <w:tc>
          <w:tcPr>
            <w:tcW w:w="2363" w:type="dxa"/>
            <w:vMerge/>
          </w:tcPr>
          <w:p w:rsidR="00456326" w:rsidRPr="00CA0C65" w:rsidRDefault="00456326" w:rsidP="00BD520B">
            <w:pPr>
              <w:rPr>
                <w:rFonts w:ascii="Arial" w:hAnsi="Arial" w:cs="Arial"/>
                <w:sz w:val="20"/>
              </w:rPr>
            </w:pPr>
          </w:p>
        </w:tc>
        <w:tc>
          <w:tcPr>
            <w:tcW w:w="2126" w:type="dxa"/>
            <w:vMerge/>
            <w:shd w:val="clear" w:color="auto" w:fill="auto"/>
          </w:tcPr>
          <w:p w:rsidR="00456326" w:rsidRPr="00CA0C65" w:rsidRDefault="00456326" w:rsidP="00BD520B">
            <w:pPr>
              <w:rPr>
                <w:rFonts w:ascii="Arial" w:hAnsi="Arial" w:cs="Arial"/>
                <w:sz w:val="20"/>
              </w:rPr>
            </w:pPr>
          </w:p>
        </w:tc>
        <w:tc>
          <w:tcPr>
            <w:tcW w:w="2126" w:type="dxa"/>
            <w:vMerge/>
            <w:shd w:val="clear" w:color="auto" w:fill="auto"/>
          </w:tcPr>
          <w:p w:rsidR="00456326" w:rsidRPr="00CA0C65" w:rsidRDefault="00456326" w:rsidP="00BD520B">
            <w:pPr>
              <w:rPr>
                <w:rFonts w:ascii="Arial" w:hAnsi="Arial" w:cs="Arial"/>
                <w:sz w:val="20"/>
              </w:rPr>
            </w:pPr>
          </w:p>
        </w:tc>
        <w:tc>
          <w:tcPr>
            <w:tcW w:w="3733" w:type="dxa"/>
          </w:tcPr>
          <w:p w:rsidR="00456326" w:rsidRPr="00443075" w:rsidRDefault="00456326" w:rsidP="000D0539">
            <w:pPr>
              <w:pStyle w:val="ListBullet"/>
            </w:pPr>
            <w:r w:rsidRPr="00443075">
              <w:t>Clinical claim: superior efficacy and inferior safety of adalimumab compared with BSC</w:t>
            </w:r>
          </w:p>
          <w:p w:rsidR="00456326" w:rsidRPr="00443075" w:rsidRDefault="00456326" w:rsidP="000D0539">
            <w:pPr>
              <w:pStyle w:val="ListBullet"/>
            </w:pPr>
          </w:p>
        </w:tc>
        <w:tc>
          <w:tcPr>
            <w:tcW w:w="5339" w:type="dxa"/>
          </w:tcPr>
          <w:p w:rsidR="00456326" w:rsidRPr="00443075" w:rsidRDefault="00456326" w:rsidP="001E6F01">
            <w:pPr>
              <w:spacing w:line="276" w:lineRule="auto"/>
              <w:rPr>
                <w:rFonts w:ascii="Arial" w:hAnsi="Arial" w:cs="Arial"/>
                <w:sz w:val="20"/>
                <w:highlight w:val="yellow"/>
              </w:rPr>
            </w:pPr>
            <w:r w:rsidRPr="00443075">
              <w:rPr>
                <w:rFonts w:ascii="Arial" w:hAnsi="Arial" w:cs="Arial"/>
                <w:sz w:val="20"/>
              </w:rPr>
              <w:t xml:space="preserve">The PBAC considered that the claim of superior comparative effectiveness was adequately supported by the data for the first 12 weeks of treatment. The PBAC noted that the requested listing restricted continuing treatment to those patients who are responding to adalimumab. The </w:t>
            </w:r>
            <w:r>
              <w:rPr>
                <w:rFonts w:ascii="Arial" w:hAnsi="Arial" w:cs="Arial"/>
                <w:sz w:val="20"/>
              </w:rPr>
              <w:t>sponsor provided</w:t>
            </w:r>
            <w:r w:rsidR="00DF4007">
              <w:rPr>
                <w:rFonts w:ascii="Arial" w:hAnsi="Arial" w:cs="Arial"/>
                <w:sz w:val="20"/>
              </w:rPr>
              <w:t xml:space="preserve"> updated</w:t>
            </w:r>
            <w:r>
              <w:rPr>
                <w:rFonts w:ascii="Arial" w:hAnsi="Arial" w:cs="Arial"/>
                <w:sz w:val="20"/>
              </w:rPr>
              <w:t xml:space="preserve"> results of an </w:t>
            </w:r>
            <w:r w:rsidRPr="00443075">
              <w:rPr>
                <w:rFonts w:ascii="Arial" w:hAnsi="Arial" w:cs="Arial"/>
                <w:sz w:val="20"/>
              </w:rPr>
              <w:t>open label extension study</w:t>
            </w:r>
            <w:r>
              <w:rPr>
                <w:rFonts w:ascii="Arial" w:hAnsi="Arial" w:cs="Arial"/>
                <w:sz w:val="20"/>
              </w:rPr>
              <w:t xml:space="preserve"> in the pre-PBAC response. The PBAC noted that this was new evidence</w:t>
            </w:r>
            <w:r w:rsidR="005F6AD6">
              <w:rPr>
                <w:rFonts w:ascii="Arial" w:hAnsi="Arial" w:cs="Arial"/>
                <w:sz w:val="20"/>
              </w:rPr>
              <w:t xml:space="preserve"> for the minor submission which was provided a week before the meeting</w:t>
            </w:r>
            <w:r>
              <w:rPr>
                <w:rFonts w:ascii="Arial" w:hAnsi="Arial" w:cs="Arial"/>
                <w:sz w:val="20"/>
              </w:rPr>
              <w:t xml:space="preserve"> and </w:t>
            </w:r>
            <w:r w:rsidR="005F6AD6">
              <w:rPr>
                <w:rFonts w:ascii="Arial" w:hAnsi="Arial" w:cs="Arial"/>
                <w:sz w:val="20"/>
              </w:rPr>
              <w:t xml:space="preserve">therefore it </w:t>
            </w:r>
            <w:r>
              <w:rPr>
                <w:rFonts w:ascii="Arial" w:hAnsi="Arial" w:cs="Arial"/>
                <w:sz w:val="20"/>
              </w:rPr>
              <w:t xml:space="preserve">had not been formally evaluated. </w:t>
            </w:r>
            <w:r w:rsidRPr="00443075">
              <w:rPr>
                <w:rFonts w:ascii="Arial" w:hAnsi="Arial" w:cs="Arial"/>
                <w:sz w:val="20"/>
              </w:rPr>
              <w:t>While the PBAC considered that the claim of superior comparative effectiveness may be reasonable beyond 12 weeks, the PBAC did not accept the modelled benefit extending over 20 years when most patients discontinued treatment within 3.5 years.</w:t>
            </w:r>
          </w:p>
          <w:p w:rsidR="00456326" w:rsidRPr="00443075" w:rsidRDefault="00456326" w:rsidP="001E6F01">
            <w:pPr>
              <w:spacing w:line="276" w:lineRule="auto"/>
              <w:rPr>
                <w:rFonts w:ascii="Arial" w:hAnsi="Arial" w:cs="Arial"/>
                <w:sz w:val="20"/>
                <w:highlight w:val="yellow"/>
              </w:rPr>
            </w:pPr>
          </w:p>
          <w:p w:rsidR="00456326" w:rsidRPr="00443075" w:rsidRDefault="001D7065" w:rsidP="001D7065">
            <w:pPr>
              <w:spacing w:line="276" w:lineRule="auto"/>
              <w:rPr>
                <w:rFonts w:ascii="Arial" w:hAnsi="Arial" w:cs="Arial"/>
                <w:sz w:val="20"/>
                <w:highlight w:val="yellow"/>
              </w:rPr>
            </w:pPr>
            <w:r>
              <w:rPr>
                <w:rFonts w:ascii="Arial" w:hAnsi="Arial" w:cs="Arial"/>
                <w:sz w:val="20"/>
              </w:rPr>
              <w:t>The PBAC a</w:t>
            </w:r>
            <w:r w:rsidR="00456326" w:rsidRPr="00443075">
              <w:rPr>
                <w:rFonts w:ascii="Arial" w:hAnsi="Arial" w:cs="Arial"/>
                <w:sz w:val="20"/>
              </w:rPr>
              <w:t xml:space="preserve">ccepted </w:t>
            </w:r>
            <w:r>
              <w:rPr>
                <w:rFonts w:ascii="Arial" w:hAnsi="Arial" w:cs="Arial"/>
                <w:sz w:val="20"/>
              </w:rPr>
              <w:t xml:space="preserve">the </w:t>
            </w:r>
            <w:r w:rsidR="00456326" w:rsidRPr="00443075">
              <w:rPr>
                <w:rFonts w:ascii="Arial" w:hAnsi="Arial" w:cs="Arial"/>
                <w:sz w:val="20"/>
              </w:rPr>
              <w:t>claim of inferior safety.</w:t>
            </w:r>
          </w:p>
        </w:tc>
      </w:tr>
      <w:tr w:rsidR="00456326" w:rsidRPr="009B735A" w:rsidTr="007B64C3">
        <w:trPr>
          <w:trHeight w:val="433"/>
        </w:trPr>
        <w:tc>
          <w:tcPr>
            <w:tcW w:w="2363" w:type="dxa"/>
            <w:vMerge/>
          </w:tcPr>
          <w:p w:rsidR="00456326" w:rsidRPr="00CA0C65" w:rsidRDefault="00456326" w:rsidP="00BD520B">
            <w:pPr>
              <w:rPr>
                <w:rFonts w:ascii="Arial" w:hAnsi="Arial" w:cs="Arial"/>
                <w:sz w:val="20"/>
              </w:rPr>
            </w:pPr>
          </w:p>
        </w:tc>
        <w:tc>
          <w:tcPr>
            <w:tcW w:w="2126" w:type="dxa"/>
            <w:vMerge/>
            <w:shd w:val="clear" w:color="auto" w:fill="auto"/>
          </w:tcPr>
          <w:p w:rsidR="00456326" w:rsidRPr="00CA0C65" w:rsidRDefault="00456326" w:rsidP="00BD520B">
            <w:pPr>
              <w:rPr>
                <w:rFonts w:ascii="Arial" w:hAnsi="Arial" w:cs="Arial"/>
                <w:sz w:val="20"/>
              </w:rPr>
            </w:pPr>
          </w:p>
        </w:tc>
        <w:tc>
          <w:tcPr>
            <w:tcW w:w="2126" w:type="dxa"/>
            <w:vMerge/>
            <w:shd w:val="clear" w:color="auto" w:fill="auto"/>
          </w:tcPr>
          <w:p w:rsidR="00456326" w:rsidRPr="00CA0C65" w:rsidRDefault="00456326" w:rsidP="00BD520B">
            <w:pPr>
              <w:rPr>
                <w:rFonts w:ascii="Arial" w:hAnsi="Arial" w:cs="Arial"/>
                <w:sz w:val="20"/>
              </w:rPr>
            </w:pPr>
          </w:p>
        </w:tc>
        <w:tc>
          <w:tcPr>
            <w:tcW w:w="3733" w:type="dxa"/>
          </w:tcPr>
          <w:p w:rsidR="00456326" w:rsidRPr="00443075" w:rsidRDefault="00456326" w:rsidP="000D0539">
            <w:pPr>
              <w:pStyle w:val="ListBullet"/>
            </w:pPr>
            <w:r w:rsidRPr="00443075">
              <w:t>Economic claim: cost-utility analysis of adalimumab versus BSC</w:t>
            </w:r>
          </w:p>
        </w:tc>
        <w:tc>
          <w:tcPr>
            <w:tcW w:w="5339" w:type="dxa"/>
          </w:tcPr>
          <w:p w:rsidR="00456326" w:rsidRPr="00443075" w:rsidRDefault="00456326" w:rsidP="00047427">
            <w:pPr>
              <w:spacing w:line="276" w:lineRule="auto"/>
              <w:rPr>
                <w:rFonts w:ascii="Arial" w:hAnsi="Arial" w:cs="Arial"/>
                <w:sz w:val="20"/>
              </w:rPr>
            </w:pPr>
            <w:r w:rsidRPr="00443075">
              <w:rPr>
                <w:rFonts w:ascii="Arial" w:hAnsi="Arial" w:cs="Arial"/>
                <w:sz w:val="20"/>
              </w:rPr>
              <w:t>Not accepted. The PBAC did not accept the extrapolation of incremental benefit beyond discontinuation of treatment</w:t>
            </w:r>
            <w:r w:rsidR="00C1519A">
              <w:rPr>
                <w:rFonts w:ascii="Arial" w:hAnsi="Arial" w:cs="Arial"/>
                <w:sz w:val="20"/>
              </w:rPr>
              <w:t xml:space="preserve"> which meant that the overall cost effectiveness was considered to be </w:t>
            </w:r>
            <w:r w:rsidR="00047427">
              <w:rPr>
                <w:rFonts w:ascii="Arial" w:hAnsi="Arial" w:cs="Arial"/>
                <w:sz w:val="20"/>
              </w:rPr>
              <w:t>uncertain</w:t>
            </w:r>
            <w:r w:rsidR="00C1519A">
              <w:rPr>
                <w:rFonts w:ascii="Arial" w:hAnsi="Arial" w:cs="Arial"/>
                <w:sz w:val="20"/>
              </w:rPr>
              <w:t xml:space="preserve">. </w:t>
            </w:r>
          </w:p>
        </w:tc>
      </w:tr>
      <w:tr w:rsidR="00456326" w:rsidRPr="009B735A" w:rsidTr="007B64C3">
        <w:trPr>
          <w:trHeight w:val="3471"/>
        </w:trPr>
        <w:tc>
          <w:tcPr>
            <w:tcW w:w="2363" w:type="dxa"/>
            <w:vMerge/>
          </w:tcPr>
          <w:p w:rsidR="00456326" w:rsidRPr="00CA0C65" w:rsidRDefault="00456326" w:rsidP="00BD520B">
            <w:pPr>
              <w:rPr>
                <w:rFonts w:ascii="Arial" w:hAnsi="Arial" w:cs="Arial"/>
                <w:sz w:val="20"/>
              </w:rPr>
            </w:pPr>
          </w:p>
        </w:tc>
        <w:tc>
          <w:tcPr>
            <w:tcW w:w="2126" w:type="dxa"/>
            <w:vMerge/>
            <w:shd w:val="clear" w:color="auto" w:fill="auto"/>
          </w:tcPr>
          <w:p w:rsidR="00456326" w:rsidRPr="00CA0C65" w:rsidRDefault="00456326" w:rsidP="00BD520B">
            <w:pPr>
              <w:rPr>
                <w:rFonts w:ascii="Arial" w:hAnsi="Arial" w:cs="Arial"/>
                <w:sz w:val="20"/>
              </w:rPr>
            </w:pPr>
          </w:p>
        </w:tc>
        <w:tc>
          <w:tcPr>
            <w:tcW w:w="2126" w:type="dxa"/>
            <w:vMerge/>
            <w:shd w:val="clear" w:color="auto" w:fill="auto"/>
          </w:tcPr>
          <w:p w:rsidR="00456326" w:rsidRPr="00CA0C65" w:rsidRDefault="00456326" w:rsidP="00BD520B">
            <w:pPr>
              <w:rPr>
                <w:rFonts w:ascii="Arial" w:hAnsi="Arial" w:cs="Arial"/>
                <w:sz w:val="20"/>
              </w:rPr>
            </w:pPr>
          </w:p>
        </w:tc>
        <w:tc>
          <w:tcPr>
            <w:tcW w:w="3733" w:type="dxa"/>
          </w:tcPr>
          <w:p w:rsidR="00456326" w:rsidRPr="000805C6" w:rsidRDefault="00456326" w:rsidP="000D0539">
            <w:pPr>
              <w:pStyle w:val="ListBullet"/>
            </w:pPr>
            <w:r w:rsidRPr="000805C6">
              <w:t>Sponsor’s comments:</w:t>
            </w:r>
          </w:p>
          <w:p w:rsidR="00456326" w:rsidRPr="00CA0C65" w:rsidRDefault="00456326" w:rsidP="000D0539">
            <w:pPr>
              <w:pStyle w:val="ListBullet"/>
            </w:pPr>
          </w:p>
        </w:tc>
        <w:tc>
          <w:tcPr>
            <w:tcW w:w="5339" w:type="dxa"/>
          </w:tcPr>
          <w:p w:rsidR="00456326" w:rsidRPr="00CA0C65" w:rsidRDefault="000D0539" w:rsidP="000D0539">
            <w:pPr>
              <w:pStyle w:val="ListBullet"/>
              <w:rPr>
                <w:highlight w:val="yellow"/>
              </w:rPr>
            </w:pPr>
            <w:r w:rsidRPr="000D0539">
              <w:t xml:space="preserve">AbbVie is committed to working with physicians, patients and the PBAC to make </w:t>
            </w:r>
            <w:proofErr w:type="spellStart"/>
            <w:r w:rsidRPr="000D0539">
              <w:t>Humira</w:t>
            </w:r>
            <w:proofErr w:type="spellEnd"/>
            <w:r w:rsidRPr="000D0539">
              <w:t xml:space="preserve"> available for patients who suffer with hidradenitis suppurativa in this area of recognised high unmet need.</w:t>
            </w:r>
          </w:p>
        </w:tc>
      </w:tr>
    </w:tbl>
    <w:p w:rsidR="0078027D" w:rsidRDefault="0078027D" w:rsidP="002A7FDE">
      <w:pPr>
        <w:pStyle w:val="Title"/>
        <w:jc w:val="left"/>
      </w:pPr>
    </w:p>
    <w:p w:rsidR="00456326" w:rsidRPr="0010394D" w:rsidRDefault="00456326" w:rsidP="002A7FDE">
      <w:pPr>
        <w:pStyle w:val="Title"/>
        <w:jc w:val="left"/>
      </w:pPr>
    </w:p>
    <w:sectPr w:rsidR="00456326" w:rsidRPr="0010394D" w:rsidSect="000805C6">
      <w:headerReference w:type="even" r:id="rId9"/>
      <w:headerReference w:type="default" r:id="rId10"/>
      <w:footerReference w:type="even" r:id="rId11"/>
      <w:footerReference w:type="default" r:id="rId12"/>
      <w:headerReference w:type="first" r:id="rId13"/>
      <w:footerReference w:type="first" r:id="rId14"/>
      <w:pgSz w:w="16840" w:h="11907" w:orient="landscape" w:code="9"/>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819" w:rsidRDefault="007E1819">
      <w:r>
        <w:separator/>
      </w:r>
    </w:p>
  </w:endnote>
  <w:endnote w:type="continuationSeparator" w:id="0">
    <w:p w:rsidR="007E1819" w:rsidRDefault="007E1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209" w:rsidRDefault="007122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5C6" w:rsidRDefault="000805C6" w:rsidP="000805C6">
    <w:pPr>
      <w:pStyle w:val="Footer"/>
      <w:jc w:val="right"/>
    </w:pPr>
  </w:p>
  <w:p w:rsidR="000805C6" w:rsidRPr="000805C6" w:rsidRDefault="000805C6" w:rsidP="000805C6">
    <w:pPr>
      <w:pStyle w:val="Footer"/>
      <w:jc w:val="right"/>
      <w:rPr>
        <w:rFonts w:ascii="Arial" w:hAnsi="Arial" w:cs="Arial"/>
        <w:sz w:val="22"/>
      </w:rPr>
    </w:pPr>
    <w:r w:rsidRPr="000805C6">
      <w:rPr>
        <w:rFonts w:ascii="Arial" w:hAnsi="Arial" w:cs="Arial"/>
        <w:sz w:val="22"/>
      </w:rPr>
      <w:fldChar w:fldCharType="begin"/>
    </w:r>
    <w:r w:rsidRPr="000805C6">
      <w:rPr>
        <w:rFonts w:ascii="Arial" w:hAnsi="Arial" w:cs="Arial"/>
        <w:sz w:val="22"/>
      </w:rPr>
      <w:instrText xml:space="preserve"> PAGE   \* MERGEFORMAT </w:instrText>
    </w:r>
    <w:r w:rsidRPr="000805C6">
      <w:rPr>
        <w:rFonts w:ascii="Arial" w:hAnsi="Arial" w:cs="Arial"/>
        <w:sz w:val="22"/>
      </w:rPr>
      <w:fldChar w:fldCharType="separate"/>
    </w:r>
    <w:r w:rsidR="00712209">
      <w:rPr>
        <w:rFonts w:ascii="Arial" w:hAnsi="Arial" w:cs="Arial"/>
        <w:noProof/>
        <w:sz w:val="22"/>
      </w:rPr>
      <w:t>2</w:t>
    </w:r>
    <w:r w:rsidRPr="000805C6">
      <w:rPr>
        <w:rFonts w:ascii="Arial" w:hAnsi="Arial" w:cs="Arial"/>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5C6" w:rsidRDefault="000805C6">
    <w:pPr>
      <w:pStyle w:val="Footer"/>
      <w:jc w:val="right"/>
    </w:pPr>
  </w:p>
  <w:p w:rsidR="000805C6" w:rsidRPr="000805C6" w:rsidRDefault="000805C6">
    <w:pPr>
      <w:pStyle w:val="Footer"/>
      <w:jc w:val="right"/>
      <w:rPr>
        <w:rFonts w:ascii="Arial" w:hAnsi="Arial" w:cs="Arial"/>
        <w:sz w:val="22"/>
      </w:rPr>
    </w:pPr>
    <w:r w:rsidRPr="000805C6">
      <w:rPr>
        <w:rFonts w:ascii="Arial" w:hAnsi="Arial" w:cs="Arial"/>
        <w:sz w:val="22"/>
      </w:rPr>
      <w:fldChar w:fldCharType="begin"/>
    </w:r>
    <w:r w:rsidRPr="000805C6">
      <w:rPr>
        <w:rFonts w:ascii="Arial" w:hAnsi="Arial" w:cs="Arial"/>
        <w:sz w:val="22"/>
      </w:rPr>
      <w:instrText xml:space="preserve"> PAGE   \* MERGEFORMAT </w:instrText>
    </w:r>
    <w:r w:rsidRPr="000805C6">
      <w:rPr>
        <w:rFonts w:ascii="Arial" w:hAnsi="Arial" w:cs="Arial"/>
        <w:sz w:val="22"/>
      </w:rPr>
      <w:fldChar w:fldCharType="separate"/>
    </w:r>
    <w:r w:rsidR="00712209">
      <w:rPr>
        <w:rFonts w:ascii="Arial" w:hAnsi="Arial" w:cs="Arial"/>
        <w:noProof/>
        <w:sz w:val="22"/>
      </w:rPr>
      <w:t>1</w:t>
    </w:r>
    <w:r w:rsidRPr="000805C6">
      <w:rPr>
        <w:rFonts w:ascii="Arial" w:hAnsi="Arial" w:cs="Arial"/>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819" w:rsidRDefault="007E1819">
      <w:r>
        <w:separator/>
      </w:r>
    </w:p>
  </w:footnote>
  <w:footnote w:type="continuationSeparator" w:id="0">
    <w:p w:rsidR="007E1819" w:rsidRDefault="007E18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209" w:rsidRDefault="007122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5C6" w:rsidRDefault="00E77CA2" w:rsidP="000805C6">
    <w:pPr>
      <w:pStyle w:val="Header"/>
      <w:jc w:val="center"/>
      <w:rPr>
        <w:rFonts w:ascii="Arial" w:hAnsi="Arial" w:cs="Arial"/>
        <w:b/>
        <w:sz w:val="20"/>
      </w:rPr>
    </w:pPr>
    <w:r>
      <w:rPr>
        <w:rFonts w:ascii="Arial" w:hAnsi="Arial" w:cs="Arial"/>
        <w:b/>
        <w:sz w:val="20"/>
      </w:rPr>
      <w:t>JULY</w:t>
    </w:r>
    <w:r w:rsidR="00E142F4">
      <w:rPr>
        <w:rFonts w:ascii="Arial" w:hAnsi="Arial" w:cs="Arial"/>
        <w:b/>
        <w:sz w:val="20"/>
      </w:rPr>
      <w:t xml:space="preserve"> 2016</w:t>
    </w:r>
    <w:r w:rsidR="000805C6">
      <w:rPr>
        <w:rFonts w:ascii="Arial" w:hAnsi="Arial" w:cs="Arial"/>
        <w:b/>
        <w:sz w:val="20"/>
      </w:rPr>
      <w:t xml:space="preserve"> PBAC OUTCOMES – SUBSEQUENT</w:t>
    </w:r>
    <w:r w:rsidR="000805C6" w:rsidRPr="004C071C">
      <w:rPr>
        <w:rFonts w:ascii="Arial" w:hAnsi="Arial" w:cs="Arial"/>
        <w:b/>
        <w:sz w:val="20"/>
      </w:rPr>
      <w:t xml:space="preserve"> DECISIONS NOT TO RECOMMEND</w:t>
    </w:r>
  </w:p>
  <w:p w:rsidR="000805C6" w:rsidRPr="004C071C" w:rsidRDefault="000805C6" w:rsidP="000805C6">
    <w:pPr>
      <w:pStyle w:val="Header"/>
      <w:jc w:val="center"/>
      <w:rPr>
        <w:rFonts w:ascii="Arial" w:hAnsi="Arial" w:cs="Arial"/>
        <w:b/>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975" w:rsidRDefault="00667A4C" w:rsidP="00613975">
    <w:pPr>
      <w:pStyle w:val="Header"/>
      <w:jc w:val="center"/>
      <w:rPr>
        <w:rFonts w:ascii="Arial" w:hAnsi="Arial" w:cs="Arial"/>
        <w:b/>
        <w:sz w:val="20"/>
      </w:rPr>
    </w:pPr>
    <w:r>
      <w:rPr>
        <w:rFonts w:ascii="Arial" w:hAnsi="Arial" w:cs="Arial"/>
        <w:b/>
        <w:sz w:val="20"/>
      </w:rPr>
      <w:t>JULY</w:t>
    </w:r>
    <w:r w:rsidR="003415EE">
      <w:rPr>
        <w:rFonts w:ascii="Arial" w:hAnsi="Arial" w:cs="Arial"/>
        <w:b/>
        <w:sz w:val="20"/>
      </w:rPr>
      <w:t xml:space="preserve"> 2016</w:t>
    </w:r>
    <w:r w:rsidR="00A24F2E" w:rsidRPr="00A24F2E">
      <w:rPr>
        <w:rFonts w:ascii="Arial" w:hAnsi="Arial" w:cs="Arial"/>
        <w:b/>
        <w:sz w:val="20"/>
      </w:rPr>
      <w:t xml:space="preserve"> </w:t>
    </w:r>
    <w:r w:rsidR="000805C6">
      <w:rPr>
        <w:rFonts w:ascii="Arial" w:hAnsi="Arial" w:cs="Arial"/>
        <w:b/>
        <w:sz w:val="20"/>
      </w:rPr>
      <w:t>PBAC OUTCOMES – SUBSEQUENT</w:t>
    </w:r>
    <w:r w:rsidR="00613975" w:rsidRPr="004C071C">
      <w:rPr>
        <w:rFonts w:ascii="Arial" w:hAnsi="Arial" w:cs="Arial"/>
        <w:b/>
        <w:sz w:val="20"/>
      </w:rPr>
      <w:t xml:space="preserve"> DECISION</w:t>
    </w:r>
    <w:r w:rsidR="00B10521" w:rsidRPr="004C071C">
      <w:rPr>
        <w:rFonts w:ascii="Arial" w:hAnsi="Arial" w:cs="Arial"/>
        <w:b/>
        <w:sz w:val="20"/>
      </w:rPr>
      <w:t>S</w:t>
    </w:r>
    <w:r w:rsidR="00613975" w:rsidRPr="004C071C">
      <w:rPr>
        <w:rFonts w:ascii="Arial" w:hAnsi="Arial" w:cs="Arial"/>
        <w:b/>
        <w:sz w:val="20"/>
      </w:rPr>
      <w:t xml:space="preserve"> NOT TO RECOMMEND</w:t>
    </w:r>
  </w:p>
  <w:p w:rsidR="000805C6" w:rsidRPr="004C071C" w:rsidRDefault="000805C6" w:rsidP="00613975">
    <w:pPr>
      <w:pStyle w:val="Header"/>
      <w:jc w:val="center"/>
      <w:rPr>
        <w:rFonts w:ascii="Arial" w:hAnsi="Arial" w:cs="Arial"/>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34204E4"/>
    <w:lvl w:ilvl="0">
      <w:start w:val="1"/>
      <w:numFmt w:val="bullet"/>
      <w:lvlText w:val=""/>
      <w:lvlJc w:val="left"/>
      <w:pPr>
        <w:tabs>
          <w:tab w:val="num" w:pos="360"/>
        </w:tabs>
        <w:ind w:left="360" w:hanging="360"/>
      </w:pPr>
      <w:rPr>
        <w:rFonts w:ascii="Symbol" w:hAnsi="Symbol" w:hint="default"/>
      </w:rPr>
    </w:lvl>
  </w:abstractNum>
  <w:abstractNum w:abstractNumId="1">
    <w:nsid w:val="0EA32E10"/>
    <w:multiLevelType w:val="hybridMultilevel"/>
    <w:tmpl w:val="A380E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BF12DE7"/>
    <w:multiLevelType w:val="hybridMultilevel"/>
    <w:tmpl w:val="C78E1162"/>
    <w:lvl w:ilvl="0" w:tplc="FFFFFFFF">
      <w:start w:val="1"/>
      <w:numFmt w:val="bullet"/>
      <w:lvlText w:val=""/>
      <w:lvlJc w:val="left"/>
      <w:pPr>
        <w:tabs>
          <w:tab w:val="num" w:pos="1211"/>
        </w:tabs>
        <w:ind w:left="1211" w:hanging="851"/>
      </w:pPr>
      <w:rPr>
        <w:rFonts w:ascii="Symbol" w:hAnsi="Symbol" w:cs="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BFE1CB1"/>
    <w:multiLevelType w:val="hybridMultilevel"/>
    <w:tmpl w:val="CDC21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5BB3FC9"/>
    <w:multiLevelType w:val="hybridMultilevel"/>
    <w:tmpl w:val="753CD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0E45B9D"/>
    <w:multiLevelType w:val="hybridMultilevel"/>
    <w:tmpl w:val="B6CAE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3532F5D"/>
    <w:multiLevelType w:val="hybridMultilevel"/>
    <w:tmpl w:val="9048B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C9C6F2B"/>
    <w:multiLevelType w:val="hybridMultilevel"/>
    <w:tmpl w:val="4D122A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3DA22082"/>
    <w:multiLevelType w:val="hybridMultilevel"/>
    <w:tmpl w:val="B7D2A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12B62F7"/>
    <w:multiLevelType w:val="hybridMultilevel"/>
    <w:tmpl w:val="DBA02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98414F6"/>
    <w:multiLevelType w:val="hybridMultilevel"/>
    <w:tmpl w:val="5E1A6990"/>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nsid w:val="61A41D69"/>
    <w:multiLevelType w:val="singleLevel"/>
    <w:tmpl w:val="04090011"/>
    <w:lvl w:ilvl="0">
      <w:start w:val="1"/>
      <w:numFmt w:val="decimal"/>
      <w:lvlText w:val="%1)"/>
      <w:lvlJc w:val="left"/>
      <w:pPr>
        <w:tabs>
          <w:tab w:val="num" w:pos="360"/>
        </w:tabs>
        <w:ind w:left="360" w:hanging="360"/>
      </w:pPr>
      <w:rPr>
        <w:rFonts w:hint="default"/>
      </w:rPr>
    </w:lvl>
  </w:abstractNum>
  <w:abstractNum w:abstractNumId="12">
    <w:nsid w:val="784D033C"/>
    <w:multiLevelType w:val="multilevel"/>
    <w:tmpl w:val="F942F08E"/>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1"/>
  </w:num>
  <w:num w:numId="3">
    <w:abstractNumId w:val="10"/>
  </w:num>
  <w:num w:numId="4">
    <w:abstractNumId w:val="7"/>
  </w:num>
  <w:num w:numId="5">
    <w:abstractNumId w:val="2"/>
  </w:num>
  <w:num w:numId="6">
    <w:abstractNumId w:val="12"/>
  </w:num>
  <w:num w:numId="7">
    <w:abstractNumId w:val="5"/>
  </w:num>
  <w:num w:numId="8">
    <w:abstractNumId w:val="3"/>
  </w:num>
  <w:num w:numId="9">
    <w:abstractNumId w:val="1"/>
  </w:num>
  <w:num w:numId="10">
    <w:abstractNumId w:val="6"/>
  </w:num>
  <w:num w:numId="11">
    <w:abstractNumId w:val="4"/>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27D"/>
    <w:rsid w:val="0000028A"/>
    <w:rsid w:val="0001162E"/>
    <w:rsid w:val="00014389"/>
    <w:rsid w:val="00016ABD"/>
    <w:rsid w:val="000243A9"/>
    <w:rsid w:val="00024634"/>
    <w:rsid w:val="00024F1C"/>
    <w:rsid w:val="00030555"/>
    <w:rsid w:val="00031E49"/>
    <w:rsid w:val="00046D30"/>
    <w:rsid w:val="00047427"/>
    <w:rsid w:val="00052C94"/>
    <w:rsid w:val="000632B7"/>
    <w:rsid w:val="00063F01"/>
    <w:rsid w:val="000703F3"/>
    <w:rsid w:val="000805C6"/>
    <w:rsid w:val="0009305C"/>
    <w:rsid w:val="000B4313"/>
    <w:rsid w:val="000B6738"/>
    <w:rsid w:val="000D0539"/>
    <w:rsid w:val="000D1304"/>
    <w:rsid w:val="000D3717"/>
    <w:rsid w:val="000E406F"/>
    <w:rsid w:val="000E52C4"/>
    <w:rsid w:val="0010394D"/>
    <w:rsid w:val="001047FA"/>
    <w:rsid w:val="00120488"/>
    <w:rsid w:val="00144E78"/>
    <w:rsid w:val="001472AE"/>
    <w:rsid w:val="00170906"/>
    <w:rsid w:val="001810B2"/>
    <w:rsid w:val="001C0908"/>
    <w:rsid w:val="001D38D0"/>
    <w:rsid w:val="001D688E"/>
    <w:rsid w:val="001D7065"/>
    <w:rsid w:val="001F5344"/>
    <w:rsid w:val="002007BA"/>
    <w:rsid w:val="00204DB4"/>
    <w:rsid w:val="002075FB"/>
    <w:rsid w:val="00220228"/>
    <w:rsid w:val="00220C3F"/>
    <w:rsid w:val="00223C4D"/>
    <w:rsid w:val="00237031"/>
    <w:rsid w:val="002404C3"/>
    <w:rsid w:val="00241E9E"/>
    <w:rsid w:val="002440EA"/>
    <w:rsid w:val="002460D4"/>
    <w:rsid w:val="00255313"/>
    <w:rsid w:val="00256ACE"/>
    <w:rsid w:val="002743B5"/>
    <w:rsid w:val="002861D6"/>
    <w:rsid w:val="00287BC5"/>
    <w:rsid w:val="002A0EAF"/>
    <w:rsid w:val="002A1CF2"/>
    <w:rsid w:val="002A42C5"/>
    <w:rsid w:val="002A46E6"/>
    <w:rsid w:val="002A5152"/>
    <w:rsid w:val="002A7FDE"/>
    <w:rsid w:val="002B2BEC"/>
    <w:rsid w:val="002B4B7A"/>
    <w:rsid w:val="002D0EA8"/>
    <w:rsid w:val="002D4410"/>
    <w:rsid w:val="002E5B33"/>
    <w:rsid w:val="002F0F71"/>
    <w:rsid w:val="002F2D05"/>
    <w:rsid w:val="002F5086"/>
    <w:rsid w:val="002F62A6"/>
    <w:rsid w:val="00302B1F"/>
    <w:rsid w:val="00303527"/>
    <w:rsid w:val="00305656"/>
    <w:rsid w:val="00312E87"/>
    <w:rsid w:val="00320F76"/>
    <w:rsid w:val="00322CA5"/>
    <w:rsid w:val="003335F7"/>
    <w:rsid w:val="00337EC3"/>
    <w:rsid w:val="003415EE"/>
    <w:rsid w:val="003419C9"/>
    <w:rsid w:val="00346A18"/>
    <w:rsid w:val="00347546"/>
    <w:rsid w:val="00364CA6"/>
    <w:rsid w:val="00367CA3"/>
    <w:rsid w:val="0039594A"/>
    <w:rsid w:val="0039641E"/>
    <w:rsid w:val="003B6CFA"/>
    <w:rsid w:val="003B704B"/>
    <w:rsid w:val="003C3492"/>
    <w:rsid w:val="003E2DEC"/>
    <w:rsid w:val="003E3C69"/>
    <w:rsid w:val="003E5395"/>
    <w:rsid w:val="003E5ACC"/>
    <w:rsid w:val="003F12A1"/>
    <w:rsid w:val="003F65A9"/>
    <w:rsid w:val="003F7763"/>
    <w:rsid w:val="004074CD"/>
    <w:rsid w:val="00416C9D"/>
    <w:rsid w:val="0043706A"/>
    <w:rsid w:val="00446F57"/>
    <w:rsid w:val="0044777F"/>
    <w:rsid w:val="00456326"/>
    <w:rsid w:val="00457FC8"/>
    <w:rsid w:val="00467522"/>
    <w:rsid w:val="00475539"/>
    <w:rsid w:val="00477C5E"/>
    <w:rsid w:val="004874F1"/>
    <w:rsid w:val="0049673E"/>
    <w:rsid w:val="004968F4"/>
    <w:rsid w:val="004A7506"/>
    <w:rsid w:val="004A76AD"/>
    <w:rsid w:val="004C071C"/>
    <w:rsid w:val="004C0A09"/>
    <w:rsid w:val="004C0F09"/>
    <w:rsid w:val="004C3700"/>
    <w:rsid w:val="004C4C2B"/>
    <w:rsid w:val="004D08BF"/>
    <w:rsid w:val="004D2DFC"/>
    <w:rsid w:val="004E4BB3"/>
    <w:rsid w:val="004E58AE"/>
    <w:rsid w:val="004E61E5"/>
    <w:rsid w:val="004E7F92"/>
    <w:rsid w:val="004F22AF"/>
    <w:rsid w:val="004F53A2"/>
    <w:rsid w:val="005060C3"/>
    <w:rsid w:val="005156A1"/>
    <w:rsid w:val="00524927"/>
    <w:rsid w:val="005334F6"/>
    <w:rsid w:val="00533EC6"/>
    <w:rsid w:val="00551121"/>
    <w:rsid w:val="00556A91"/>
    <w:rsid w:val="0056006F"/>
    <w:rsid w:val="00565922"/>
    <w:rsid w:val="00575B97"/>
    <w:rsid w:val="00583A1F"/>
    <w:rsid w:val="00590408"/>
    <w:rsid w:val="00591511"/>
    <w:rsid w:val="005A05DC"/>
    <w:rsid w:val="005A4700"/>
    <w:rsid w:val="005B1359"/>
    <w:rsid w:val="005C51C0"/>
    <w:rsid w:val="005C529C"/>
    <w:rsid w:val="005C583B"/>
    <w:rsid w:val="005D0350"/>
    <w:rsid w:val="005E6126"/>
    <w:rsid w:val="005F6AD6"/>
    <w:rsid w:val="00606B1D"/>
    <w:rsid w:val="00613975"/>
    <w:rsid w:val="0062060A"/>
    <w:rsid w:val="006227C5"/>
    <w:rsid w:val="00636B27"/>
    <w:rsid w:val="006378CF"/>
    <w:rsid w:val="00655D5C"/>
    <w:rsid w:val="00667A4C"/>
    <w:rsid w:val="00670168"/>
    <w:rsid w:val="006706AA"/>
    <w:rsid w:val="00674FEC"/>
    <w:rsid w:val="00680915"/>
    <w:rsid w:val="00695D28"/>
    <w:rsid w:val="006A4BE8"/>
    <w:rsid w:val="006A724A"/>
    <w:rsid w:val="006A772E"/>
    <w:rsid w:val="006B41E1"/>
    <w:rsid w:val="006C196C"/>
    <w:rsid w:val="006C1CD8"/>
    <w:rsid w:val="006C6E12"/>
    <w:rsid w:val="006E0C7B"/>
    <w:rsid w:val="006F3F91"/>
    <w:rsid w:val="006F40D1"/>
    <w:rsid w:val="00704ABF"/>
    <w:rsid w:val="00704E74"/>
    <w:rsid w:val="00712209"/>
    <w:rsid w:val="00720097"/>
    <w:rsid w:val="00735D52"/>
    <w:rsid w:val="00743998"/>
    <w:rsid w:val="00743DF4"/>
    <w:rsid w:val="00751128"/>
    <w:rsid w:val="0075364D"/>
    <w:rsid w:val="007572F6"/>
    <w:rsid w:val="007605AB"/>
    <w:rsid w:val="0076473F"/>
    <w:rsid w:val="00770B47"/>
    <w:rsid w:val="0078027D"/>
    <w:rsid w:val="007840FF"/>
    <w:rsid w:val="00784382"/>
    <w:rsid w:val="0079164A"/>
    <w:rsid w:val="007A16E6"/>
    <w:rsid w:val="007A29FA"/>
    <w:rsid w:val="007A361E"/>
    <w:rsid w:val="007B0843"/>
    <w:rsid w:val="007B64C3"/>
    <w:rsid w:val="007B66BB"/>
    <w:rsid w:val="007C0EDE"/>
    <w:rsid w:val="007C250E"/>
    <w:rsid w:val="007C274A"/>
    <w:rsid w:val="007D085A"/>
    <w:rsid w:val="007E1819"/>
    <w:rsid w:val="0080031A"/>
    <w:rsid w:val="0080046E"/>
    <w:rsid w:val="008040C8"/>
    <w:rsid w:val="008068F2"/>
    <w:rsid w:val="00815D6B"/>
    <w:rsid w:val="0081702A"/>
    <w:rsid w:val="00821E75"/>
    <w:rsid w:val="00826000"/>
    <w:rsid w:val="00837A9E"/>
    <w:rsid w:val="00842F8C"/>
    <w:rsid w:val="00850073"/>
    <w:rsid w:val="0086299E"/>
    <w:rsid w:val="0086603E"/>
    <w:rsid w:val="008A5929"/>
    <w:rsid w:val="008B0E22"/>
    <w:rsid w:val="008B7160"/>
    <w:rsid w:val="008C185A"/>
    <w:rsid w:val="008C6E23"/>
    <w:rsid w:val="008D676E"/>
    <w:rsid w:val="008D72BA"/>
    <w:rsid w:val="008E0965"/>
    <w:rsid w:val="008E3CC3"/>
    <w:rsid w:val="009044AF"/>
    <w:rsid w:val="00907AA6"/>
    <w:rsid w:val="009224BE"/>
    <w:rsid w:val="00924932"/>
    <w:rsid w:val="00925326"/>
    <w:rsid w:val="00934AD5"/>
    <w:rsid w:val="00947987"/>
    <w:rsid w:val="00957F9F"/>
    <w:rsid w:val="00972B1B"/>
    <w:rsid w:val="0098248A"/>
    <w:rsid w:val="00991AFC"/>
    <w:rsid w:val="009B2F04"/>
    <w:rsid w:val="009B49D2"/>
    <w:rsid w:val="009B5D59"/>
    <w:rsid w:val="009B6E95"/>
    <w:rsid w:val="009B735A"/>
    <w:rsid w:val="009B7CBE"/>
    <w:rsid w:val="009C52D8"/>
    <w:rsid w:val="009C73A4"/>
    <w:rsid w:val="009C7FD0"/>
    <w:rsid w:val="009D0A99"/>
    <w:rsid w:val="009D1D30"/>
    <w:rsid w:val="009D77B4"/>
    <w:rsid w:val="009E0523"/>
    <w:rsid w:val="009E299C"/>
    <w:rsid w:val="009E61F3"/>
    <w:rsid w:val="009E6539"/>
    <w:rsid w:val="009F0ED6"/>
    <w:rsid w:val="009F42BE"/>
    <w:rsid w:val="009F5E7E"/>
    <w:rsid w:val="00A02424"/>
    <w:rsid w:val="00A07C14"/>
    <w:rsid w:val="00A24F2E"/>
    <w:rsid w:val="00A26805"/>
    <w:rsid w:val="00A42D88"/>
    <w:rsid w:val="00A544A3"/>
    <w:rsid w:val="00A55002"/>
    <w:rsid w:val="00A56ED7"/>
    <w:rsid w:val="00A62091"/>
    <w:rsid w:val="00A62D7E"/>
    <w:rsid w:val="00A706C5"/>
    <w:rsid w:val="00A74BD3"/>
    <w:rsid w:val="00A86069"/>
    <w:rsid w:val="00A90F44"/>
    <w:rsid w:val="00A913CA"/>
    <w:rsid w:val="00AB52CD"/>
    <w:rsid w:val="00AD0FCA"/>
    <w:rsid w:val="00AD3357"/>
    <w:rsid w:val="00AE346B"/>
    <w:rsid w:val="00AE3F52"/>
    <w:rsid w:val="00AF4A3C"/>
    <w:rsid w:val="00B01F7E"/>
    <w:rsid w:val="00B10521"/>
    <w:rsid w:val="00B26FF7"/>
    <w:rsid w:val="00B42918"/>
    <w:rsid w:val="00B43E46"/>
    <w:rsid w:val="00B44CA8"/>
    <w:rsid w:val="00B77A97"/>
    <w:rsid w:val="00B80FE3"/>
    <w:rsid w:val="00B915BE"/>
    <w:rsid w:val="00BA619E"/>
    <w:rsid w:val="00BC0474"/>
    <w:rsid w:val="00BC1FB7"/>
    <w:rsid w:val="00BC55C3"/>
    <w:rsid w:val="00BD520B"/>
    <w:rsid w:val="00BD6EBF"/>
    <w:rsid w:val="00BE58B8"/>
    <w:rsid w:val="00BE7D88"/>
    <w:rsid w:val="00BF7AF4"/>
    <w:rsid w:val="00C110F0"/>
    <w:rsid w:val="00C1519A"/>
    <w:rsid w:val="00C17C65"/>
    <w:rsid w:val="00C23FA7"/>
    <w:rsid w:val="00C2561B"/>
    <w:rsid w:val="00C26A1C"/>
    <w:rsid w:val="00C333D1"/>
    <w:rsid w:val="00C355A7"/>
    <w:rsid w:val="00C4326C"/>
    <w:rsid w:val="00C44762"/>
    <w:rsid w:val="00C454EF"/>
    <w:rsid w:val="00C45D98"/>
    <w:rsid w:val="00C464A5"/>
    <w:rsid w:val="00C9315F"/>
    <w:rsid w:val="00C93FA9"/>
    <w:rsid w:val="00C9450F"/>
    <w:rsid w:val="00C94D2C"/>
    <w:rsid w:val="00CA0C65"/>
    <w:rsid w:val="00CA2B5C"/>
    <w:rsid w:val="00CB0656"/>
    <w:rsid w:val="00CB799A"/>
    <w:rsid w:val="00CC001D"/>
    <w:rsid w:val="00CC1FC5"/>
    <w:rsid w:val="00CD1F11"/>
    <w:rsid w:val="00CD3345"/>
    <w:rsid w:val="00CD6E96"/>
    <w:rsid w:val="00CE3D26"/>
    <w:rsid w:val="00D06895"/>
    <w:rsid w:val="00D230A2"/>
    <w:rsid w:val="00D3127D"/>
    <w:rsid w:val="00D4718F"/>
    <w:rsid w:val="00D5330C"/>
    <w:rsid w:val="00D641C2"/>
    <w:rsid w:val="00D65DDC"/>
    <w:rsid w:val="00D85166"/>
    <w:rsid w:val="00D905C6"/>
    <w:rsid w:val="00D938F5"/>
    <w:rsid w:val="00DB0BAD"/>
    <w:rsid w:val="00DB3394"/>
    <w:rsid w:val="00DB589E"/>
    <w:rsid w:val="00DB63C7"/>
    <w:rsid w:val="00DD5B1D"/>
    <w:rsid w:val="00DD66E2"/>
    <w:rsid w:val="00DE6421"/>
    <w:rsid w:val="00DE6C5F"/>
    <w:rsid w:val="00DF4007"/>
    <w:rsid w:val="00DF703C"/>
    <w:rsid w:val="00E142F4"/>
    <w:rsid w:val="00E16367"/>
    <w:rsid w:val="00E224FF"/>
    <w:rsid w:val="00E239BA"/>
    <w:rsid w:val="00E331E0"/>
    <w:rsid w:val="00E47E9A"/>
    <w:rsid w:val="00E508BC"/>
    <w:rsid w:val="00E60ACD"/>
    <w:rsid w:val="00E663DC"/>
    <w:rsid w:val="00E7686D"/>
    <w:rsid w:val="00E77CA2"/>
    <w:rsid w:val="00E77EAA"/>
    <w:rsid w:val="00E86609"/>
    <w:rsid w:val="00E8771F"/>
    <w:rsid w:val="00EA02A3"/>
    <w:rsid w:val="00EA6994"/>
    <w:rsid w:val="00EE1E65"/>
    <w:rsid w:val="00EE5442"/>
    <w:rsid w:val="00EF026E"/>
    <w:rsid w:val="00F16DF9"/>
    <w:rsid w:val="00F20487"/>
    <w:rsid w:val="00F215D2"/>
    <w:rsid w:val="00F23F38"/>
    <w:rsid w:val="00F25545"/>
    <w:rsid w:val="00F301A5"/>
    <w:rsid w:val="00F40665"/>
    <w:rsid w:val="00F43732"/>
    <w:rsid w:val="00F52E0A"/>
    <w:rsid w:val="00F63AFD"/>
    <w:rsid w:val="00F72B54"/>
    <w:rsid w:val="00F75206"/>
    <w:rsid w:val="00F82673"/>
    <w:rsid w:val="00F83FA8"/>
    <w:rsid w:val="00F924D9"/>
    <w:rsid w:val="00FC2645"/>
    <w:rsid w:val="00FC4900"/>
    <w:rsid w:val="00FD6C20"/>
    <w:rsid w:val="00FD7D78"/>
    <w:rsid w:val="00FE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Bullet">
    <w:name w:val="List Bullet"/>
    <w:basedOn w:val="Normal"/>
    <w:autoRedefine/>
    <w:rsid w:val="000D0539"/>
    <w:rPr>
      <w:rFonts w:ascii="Arial" w:hAnsi="Arial" w:cs="Arial"/>
      <w:snapToGrid w:val="0"/>
      <w:sz w:val="20"/>
      <w:lang w:eastAsia="en-US"/>
    </w:rPr>
  </w:style>
  <w:style w:type="paragraph" w:styleId="BodyText">
    <w:name w:val="Body Text"/>
    <w:basedOn w:val="Normal"/>
    <w:rPr>
      <w:rFonts w:ascii="Arial" w:hAnsi="Arial"/>
      <w:sz w:val="20"/>
    </w:rPr>
  </w:style>
  <w:style w:type="paragraph" w:customStyle="1" w:styleId="PBSnormal">
    <w:name w:val="PBS normal"/>
    <w:basedOn w:val="Normal"/>
    <w:rsid w:val="00CE3D26"/>
    <w:pPr>
      <w:autoSpaceDE w:val="0"/>
      <w:autoSpaceDN w:val="0"/>
    </w:pPr>
    <w:rPr>
      <w:rFonts w:ascii="Arial" w:hAnsi="Arial" w:cs="Arial"/>
      <w:sz w:val="22"/>
      <w:szCs w:val="22"/>
      <w:lang w:val="en-US"/>
    </w:rPr>
  </w:style>
  <w:style w:type="paragraph" w:styleId="Title">
    <w:name w:val="Title"/>
    <w:basedOn w:val="Normal"/>
    <w:qFormat/>
    <w:rsid w:val="00204DB4"/>
    <w:pPr>
      <w:jc w:val="center"/>
    </w:pPr>
    <w:rPr>
      <w:rFonts w:ascii="Arial" w:hAnsi="Arial"/>
      <w:b/>
      <w:sz w:val="20"/>
    </w:rPr>
  </w:style>
  <w:style w:type="character" w:customStyle="1" w:styleId="HeaderChar">
    <w:name w:val="Header Char"/>
    <w:aliases w:val="Page Header Char,Header title Char,he=header Char,cntr/bld Char"/>
    <w:link w:val="Header"/>
    <w:rsid w:val="009F0ED6"/>
    <w:rPr>
      <w:sz w:val="24"/>
      <w:lang w:val="en-AU" w:eastAsia="en-AU" w:bidi="ar-SA"/>
    </w:rPr>
  </w:style>
  <w:style w:type="character" w:customStyle="1" w:styleId="FooterChar">
    <w:name w:val="Footer Char"/>
    <w:link w:val="Footer"/>
    <w:uiPriority w:val="99"/>
    <w:rsid w:val="009F0ED6"/>
    <w:rPr>
      <w:sz w:val="24"/>
      <w:lang w:val="en-AU" w:eastAsia="en-AU" w:bidi="ar-SA"/>
    </w:rPr>
  </w:style>
  <w:style w:type="character" w:styleId="Hyperlink">
    <w:name w:val="Hyperlink"/>
    <w:rsid w:val="007A361E"/>
    <w:rPr>
      <w:color w:val="0000FF"/>
      <w:u w:val="single"/>
    </w:rPr>
  </w:style>
  <w:style w:type="paragraph" w:styleId="NormalWeb">
    <w:name w:val="Normal (Web)"/>
    <w:basedOn w:val="Normal"/>
    <w:uiPriority w:val="99"/>
    <w:unhideWhenUsed/>
    <w:rsid w:val="004D2DFC"/>
    <w:pPr>
      <w:spacing w:before="100" w:beforeAutospacing="1" w:after="100" w:afterAutospacing="1"/>
    </w:pPr>
    <w:rPr>
      <w:szCs w:val="24"/>
    </w:rPr>
  </w:style>
  <w:style w:type="paragraph" w:styleId="ListParagraph">
    <w:name w:val="List Paragraph"/>
    <w:basedOn w:val="Normal"/>
    <w:link w:val="ListParagraphChar"/>
    <w:uiPriority w:val="34"/>
    <w:qFormat/>
    <w:rsid w:val="001810B2"/>
    <w:pPr>
      <w:ind w:left="720"/>
      <w:contextualSpacing/>
    </w:pPr>
    <w:rPr>
      <w:szCs w:val="24"/>
    </w:rPr>
  </w:style>
  <w:style w:type="character" w:customStyle="1" w:styleId="ListParagraphChar">
    <w:name w:val="List Paragraph Char"/>
    <w:link w:val="ListParagraph"/>
    <w:uiPriority w:val="34"/>
    <w:rsid w:val="00EE5442"/>
    <w:rPr>
      <w:sz w:val="24"/>
      <w:szCs w:val="24"/>
    </w:rPr>
  </w:style>
  <w:style w:type="character" w:styleId="PageNumber">
    <w:name w:val="page number"/>
    <w:rsid w:val="00D641C2"/>
  </w:style>
  <w:style w:type="table" w:styleId="TableGrid">
    <w:name w:val="Table Grid"/>
    <w:basedOn w:val="TableNormal"/>
    <w:uiPriority w:val="59"/>
    <w:rsid w:val="006E0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43998"/>
    <w:rPr>
      <w:rFonts w:ascii="Tahoma" w:hAnsi="Tahoma" w:cs="Tahoma"/>
      <w:sz w:val="16"/>
      <w:szCs w:val="16"/>
    </w:rPr>
  </w:style>
  <w:style w:type="character" w:customStyle="1" w:styleId="BalloonTextChar">
    <w:name w:val="Balloon Text Char"/>
    <w:link w:val="BalloonText"/>
    <w:rsid w:val="00743998"/>
    <w:rPr>
      <w:rFonts w:ascii="Tahoma" w:hAnsi="Tahoma" w:cs="Tahoma"/>
      <w:sz w:val="16"/>
      <w:szCs w:val="16"/>
    </w:rPr>
  </w:style>
  <w:style w:type="character" w:styleId="CommentReference">
    <w:name w:val="annotation reference"/>
    <w:rsid w:val="009E0523"/>
    <w:rPr>
      <w:sz w:val="16"/>
      <w:szCs w:val="16"/>
    </w:rPr>
  </w:style>
  <w:style w:type="paragraph" w:styleId="CommentText">
    <w:name w:val="annotation text"/>
    <w:basedOn w:val="Normal"/>
    <w:link w:val="CommentTextChar"/>
    <w:rsid w:val="009E0523"/>
    <w:rPr>
      <w:sz w:val="20"/>
    </w:rPr>
  </w:style>
  <w:style w:type="character" w:customStyle="1" w:styleId="CommentTextChar">
    <w:name w:val="Comment Text Char"/>
    <w:basedOn w:val="DefaultParagraphFont"/>
    <w:link w:val="CommentText"/>
    <w:rsid w:val="009E0523"/>
  </w:style>
  <w:style w:type="paragraph" w:styleId="CommentSubject">
    <w:name w:val="annotation subject"/>
    <w:basedOn w:val="CommentText"/>
    <w:next w:val="CommentText"/>
    <w:link w:val="CommentSubjectChar"/>
    <w:rsid w:val="009E0523"/>
    <w:rPr>
      <w:b/>
      <w:bCs/>
    </w:rPr>
  </w:style>
  <w:style w:type="character" w:customStyle="1" w:styleId="CommentSubjectChar">
    <w:name w:val="Comment Subject Char"/>
    <w:link w:val="CommentSubject"/>
    <w:rsid w:val="009E0523"/>
    <w:rPr>
      <w:b/>
      <w:bCs/>
    </w:rPr>
  </w:style>
  <w:style w:type="paragraph" w:customStyle="1" w:styleId="Default">
    <w:name w:val="Default"/>
    <w:rsid w:val="009D0A99"/>
    <w:pPr>
      <w:autoSpaceDE w:val="0"/>
      <w:autoSpaceDN w:val="0"/>
      <w:adjustRightInd w:val="0"/>
    </w:pPr>
    <w:rPr>
      <w:rFonts w:ascii="Arial" w:hAnsi="Arial" w:cs="Arial"/>
      <w:color w:val="000000"/>
      <w:sz w:val="24"/>
      <w:szCs w:val="24"/>
    </w:rPr>
  </w:style>
  <w:style w:type="paragraph" w:customStyle="1" w:styleId="Char">
    <w:name w:val="Char"/>
    <w:basedOn w:val="Normal"/>
    <w:rsid w:val="00456326"/>
    <w:pPr>
      <w:spacing w:after="160" w:line="240" w:lineRule="exact"/>
    </w:pPr>
    <w:rPr>
      <w:rFonts w:ascii="Verdana" w:eastAsia="MS Mincho" w:hAnsi="Verdana" w:cs="Verdana"/>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Bullet">
    <w:name w:val="List Bullet"/>
    <w:basedOn w:val="Normal"/>
    <w:autoRedefine/>
    <w:rsid w:val="000D0539"/>
    <w:rPr>
      <w:rFonts w:ascii="Arial" w:hAnsi="Arial" w:cs="Arial"/>
      <w:snapToGrid w:val="0"/>
      <w:sz w:val="20"/>
      <w:lang w:eastAsia="en-US"/>
    </w:rPr>
  </w:style>
  <w:style w:type="paragraph" w:styleId="BodyText">
    <w:name w:val="Body Text"/>
    <w:basedOn w:val="Normal"/>
    <w:rPr>
      <w:rFonts w:ascii="Arial" w:hAnsi="Arial"/>
      <w:sz w:val="20"/>
    </w:rPr>
  </w:style>
  <w:style w:type="paragraph" w:customStyle="1" w:styleId="PBSnormal">
    <w:name w:val="PBS normal"/>
    <w:basedOn w:val="Normal"/>
    <w:rsid w:val="00CE3D26"/>
    <w:pPr>
      <w:autoSpaceDE w:val="0"/>
      <w:autoSpaceDN w:val="0"/>
    </w:pPr>
    <w:rPr>
      <w:rFonts w:ascii="Arial" w:hAnsi="Arial" w:cs="Arial"/>
      <w:sz w:val="22"/>
      <w:szCs w:val="22"/>
      <w:lang w:val="en-US"/>
    </w:rPr>
  </w:style>
  <w:style w:type="paragraph" w:styleId="Title">
    <w:name w:val="Title"/>
    <w:basedOn w:val="Normal"/>
    <w:qFormat/>
    <w:rsid w:val="00204DB4"/>
    <w:pPr>
      <w:jc w:val="center"/>
    </w:pPr>
    <w:rPr>
      <w:rFonts w:ascii="Arial" w:hAnsi="Arial"/>
      <w:b/>
      <w:sz w:val="20"/>
    </w:rPr>
  </w:style>
  <w:style w:type="character" w:customStyle="1" w:styleId="HeaderChar">
    <w:name w:val="Header Char"/>
    <w:aliases w:val="Page Header Char,Header title Char,he=header Char,cntr/bld Char"/>
    <w:link w:val="Header"/>
    <w:rsid w:val="009F0ED6"/>
    <w:rPr>
      <w:sz w:val="24"/>
      <w:lang w:val="en-AU" w:eastAsia="en-AU" w:bidi="ar-SA"/>
    </w:rPr>
  </w:style>
  <w:style w:type="character" w:customStyle="1" w:styleId="FooterChar">
    <w:name w:val="Footer Char"/>
    <w:link w:val="Footer"/>
    <w:uiPriority w:val="99"/>
    <w:rsid w:val="009F0ED6"/>
    <w:rPr>
      <w:sz w:val="24"/>
      <w:lang w:val="en-AU" w:eastAsia="en-AU" w:bidi="ar-SA"/>
    </w:rPr>
  </w:style>
  <w:style w:type="character" w:styleId="Hyperlink">
    <w:name w:val="Hyperlink"/>
    <w:rsid w:val="007A361E"/>
    <w:rPr>
      <w:color w:val="0000FF"/>
      <w:u w:val="single"/>
    </w:rPr>
  </w:style>
  <w:style w:type="paragraph" w:styleId="NormalWeb">
    <w:name w:val="Normal (Web)"/>
    <w:basedOn w:val="Normal"/>
    <w:uiPriority w:val="99"/>
    <w:unhideWhenUsed/>
    <w:rsid w:val="004D2DFC"/>
    <w:pPr>
      <w:spacing w:before="100" w:beforeAutospacing="1" w:after="100" w:afterAutospacing="1"/>
    </w:pPr>
    <w:rPr>
      <w:szCs w:val="24"/>
    </w:rPr>
  </w:style>
  <w:style w:type="paragraph" w:styleId="ListParagraph">
    <w:name w:val="List Paragraph"/>
    <w:basedOn w:val="Normal"/>
    <w:link w:val="ListParagraphChar"/>
    <w:uiPriority w:val="34"/>
    <w:qFormat/>
    <w:rsid w:val="001810B2"/>
    <w:pPr>
      <w:ind w:left="720"/>
      <w:contextualSpacing/>
    </w:pPr>
    <w:rPr>
      <w:szCs w:val="24"/>
    </w:rPr>
  </w:style>
  <w:style w:type="character" w:customStyle="1" w:styleId="ListParagraphChar">
    <w:name w:val="List Paragraph Char"/>
    <w:link w:val="ListParagraph"/>
    <w:uiPriority w:val="34"/>
    <w:rsid w:val="00EE5442"/>
    <w:rPr>
      <w:sz w:val="24"/>
      <w:szCs w:val="24"/>
    </w:rPr>
  </w:style>
  <w:style w:type="character" w:styleId="PageNumber">
    <w:name w:val="page number"/>
    <w:rsid w:val="00D641C2"/>
  </w:style>
  <w:style w:type="table" w:styleId="TableGrid">
    <w:name w:val="Table Grid"/>
    <w:basedOn w:val="TableNormal"/>
    <w:uiPriority w:val="59"/>
    <w:rsid w:val="006E0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43998"/>
    <w:rPr>
      <w:rFonts w:ascii="Tahoma" w:hAnsi="Tahoma" w:cs="Tahoma"/>
      <w:sz w:val="16"/>
      <w:szCs w:val="16"/>
    </w:rPr>
  </w:style>
  <w:style w:type="character" w:customStyle="1" w:styleId="BalloonTextChar">
    <w:name w:val="Balloon Text Char"/>
    <w:link w:val="BalloonText"/>
    <w:rsid w:val="00743998"/>
    <w:rPr>
      <w:rFonts w:ascii="Tahoma" w:hAnsi="Tahoma" w:cs="Tahoma"/>
      <w:sz w:val="16"/>
      <w:szCs w:val="16"/>
    </w:rPr>
  </w:style>
  <w:style w:type="character" w:styleId="CommentReference">
    <w:name w:val="annotation reference"/>
    <w:rsid w:val="009E0523"/>
    <w:rPr>
      <w:sz w:val="16"/>
      <w:szCs w:val="16"/>
    </w:rPr>
  </w:style>
  <w:style w:type="paragraph" w:styleId="CommentText">
    <w:name w:val="annotation text"/>
    <w:basedOn w:val="Normal"/>
    <w:link w:val="CommentTextChar"/>
    <w:rsid w:val="009E0523"/>
    <w:rPr>
      <w:sz w:val="20"/>
    </w:rPr>
  </w:style>
  <w:style w:type="character" w:customStyle="1" w:styleId="CommentTextChar">
    <w:name w:val="Comment Text Char"/>
    <w:basedOn w:val="DefaultParagraphFont"/>
    <w:link w:val="CommentText"/>
    <w:rsid w:val="009E0523"/>
  </w:style>
  <w:style w:type="paragraph" w:styleId="CommentSubject">
    <w:name w:val="annotation subject"/>
    <w:basedOn w:val="CommentText"/>
    <w:next w:val="CommentText"/>
    <w:link w:val="CommentSubjectChar"/>
    <w:rsid w:val="009E0523"/>
    <w:rPr>
      <w:b/>
      <w:bCs/>
    </w:rPr>
  </w:style>
  <w:style w:type="character" w:customStyle="1" w:styleId="CommentSubjectChar">
    <w:name w:val="Comment Subject Char"/>
    <w:link w:val="CommentSubject"/>
    <w:rsid w:val="009E0523"/>
    <w:rPr>
      <w:b/>
      <w:bCs/>
    </w:rPr>
  </w:style>
  <w:style w:type="paragraph" w:customStyle="1" w:styleId="Default">
    <w:name w:val="Default"/>
    <w:rsid w:val="009D0A99"/>
    <w:pPr>
      <w:autoSpaceDE w:val="0"/>
      <w:autoSpaceDN w:val="0"/>
      <w:adjustRightInd w:val="0"/>
    </w:pPr>
    <w:rPr>
      <w:rFonts w:ascii="Arial" w:hAnsi="Arial" w:cs="Arial"/>
      <w:color w:val="000000"/>
      <w:sz w:val="24"/>
      <w:szCs w:val="24"/>
    </w:rPr>
  </w:style>
  <w:style w:type="paragraph" w:customStyle="1" w:styleId="Char">
    <w:name w:val="Char"/>
    <w:basedOn w:val="Normal"/>
    <w:rsid w:val="00456326"/>
    <w:pPr>
      <w:spacing w:after="160" w:line="240" w:lineRule="exact"/>
    </w:pPr>
    <w:rPr>
      <w:rFonts w:ascii="Verdana" w:eastAsia="MS Mincho" w:hAnsi="Verdana" w:cs="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8889">
      <w:bodyDiv w:val="1"/>
      <w:marLeft w:val="0"/>
      <w:marRight w:val="0"/>
      <w:marTop w:val="0"/>
      <w:marBottom w:val="0"/>
      <w:divBdr>
        <w:top w:val="none" w:sz="0" w:space="0" w:color="auto"/>
        <w:left w:val="none" w:sz="0" w:space="0" w:color="auto"/>
        <w:bottom w:val="none" w:sz="0" w:space="0" w:color="auto"/>
        <w:right w:val="none" w:sz="0" w:space="0" w:color="auto"/>
      </w:divBdr>
      <w:divsChild>
        <w:div w:id="728114355">
          <w:marLeft w:val="0"/>
          <w:marRight w:val="0"/>
          <w:marTop w:val="0"/>
          <w:marBottom w:val="0"/>
          <w:divBdr>
            <w:top w:val="none" w:sz="0" w:space="0" w:color="auto"/>
            <w:left w:val="none" w:sz="0" w:space="0" w:color="auto"/>
            <w:bottom w:val="none" w:sz="0" w:space="0" w:color="auto"/>
            <w:right w:val="none" w:sz="0" w:space="0" w:color="auto"/>
          </w:divBdr>
        </w:div>
      </w:divsChild>
    </w:div>
    <w:div w:id="108667299">
      <w:bodyDiv w:val="1"/>
      <w:marLeft w:val="0"/>
      <w:marRight w:val="0"/>
      <w:marTop w:val="0"/>
      <w:marBottom w:val="0"/>
      <w:divBdr>
        <w:top w:val="none" w:sz="0" w:space="0" w:color="auto"/>
        <w:left w:val="none" w:sz="0" w:space="0" w:color="auto"/>
        <w:bottom w:val="none" w:sz="0" w:space="0" w:color="auto"/>
        <w:right w:val="none" w:sz="0" w:space="0" w:color="auto"/>
      </w:divBdr>
    </w:div>
    <w:div w:id="325475497">
      <w:bodyDiv w:val="1"/>
      <w:marLeft w:val="0"/>
      <w:marRight w:val="0"/>
      <w:marTop w:val="0"/>
      <w:marBottom w:val="0"/>
      <w:divBdr>
        <w:top w:val="none" w:sz="0" w:space="0" w:color="auto"/>
        <w:left w:val="none" w:sz="0" w:space="0" w:color="auto"/>
        <w:bottom w:val="none" w:sz="0" w:space="0" w:color="auto"/>
        <w:right w:val="none" w:sz="0" w:space="0" w:color="auto"/>
      </w:divBdr>
    </w:div>
    <w:div w:id="348407466">
      <w:bodyDiv w:val="1"/>
      <w:marLeft w:val="0"/>
      <w:marRight w:val="0"/>
      <w:marTop w:val="0"/>
      <w:marBottom w:val="0"/>
      <w:divBdr>
        <w:top w:val="none" w:sz="0" w:space="0" w:color="auto"/>
        <w:left w:val="none" w:sz="0" w:space="0" w:color="auto"/>
        <w:bottom w:val="none" w:sz="0" w:space="0" w:color="auto"/>
        <w:right w:val="none" w:sz="0" w:space="0" w:color="auto"/>
      </w:divBdr>
    </w:div>
    <w:div w:id="432212811">
      <w:bodyDiv w:val="1"/>
      <w:marLeft w:val="0"/>
      <w:marRight w:val="0"/>
      <w:marTop w:val="0"/>
      <w:marBottom w:val="0"/>
      <w:divBdr>
        <w:top w:val="none" w:sz="0" w:space="0" w:color="auto"/>
        <w:left w:val="none" w:sz="0" w:space="0" w:color="auto"/>
        <w:bottom w:val="none" w:sz="0" w:space="0" w:color="auto"/>
        <w:right w:val="none" w:sz="0" w:space="0" w:color="auto"/>
      </w:divBdr>
    </w:div>
    <w:div w:id="475494489">
      <w:bodyDiv w:val="1"/>
      <w:marLeft w:val="0"/>
      <w:marRight w:val="0"/>
      <w:marTop w:val="0"/>
      <w:marBottom w:val="0"/>
      <w:divBdr>
        <w:top w:val="none" w:sz="0" w:space="0" w:color="auto"/>
        <w:left w:val="none" w:sz="0" w:space="0" w:color="auto"/>
        <w:bottom w:val="none" w:sz="0" w:space="0" w:color="auto"/>
        <w:right w:val="none" w:sz="0" w:space="0" w:color="auto"/>
      </w:divBdr>
    </w:div>
    <w:div w:id="548079702">
      <w:bodyDiv w:val="1"/>
      <w:marLeft w:val="0"/>
      <w:marRight w:val="0"/>
      <w:marTop w:val="0"/>
      <w:marBottom w:val="0"/>
      <w:divBdr>
        <w:top w:val="none" w:sz="0" w:space="0" w:color="auto"/>
        <w:left w:val="none" w:sz="0" w:space="0" w:color="auto"/>
        <w:bottom w:val="none" w:sz="0" w:space="0" w:color="auto"/>
        <w:right w:val="none" w:sz="0" w:space="0" w:color="auto"/>
      </w:divBdr>
    </w:div>
    <w:div w:id="555508712">
      <w:bodyDiv w:val="1"/>
      <w:marLeft w:val="0"/>
      <w:marRight w:val="0"/>
      <w:marTop w:val="0"/>
      <w:marBottom w:val="0"/>
      <w:divBdr>
        <w:top w:val="none" w:sz="0" w:space="0" w:color="auto"/>
        <w:left w:val="none" w:sz="0" w:space="0" w:color="auto"/>
        <w:bottom w:val="none" w:sz="0" w:space="0" w:color="auto"/>
        <w:right w:val="none" w:sz="0" w:space="0" w:color="auto"/>
      </w:divBdr>
    </w:div>
    <w:div w:id="589899303">
      <w:bodyDiv w:val="1"/>
      <w:marLeft w:val="0"/>
      <w:marRight w:val="0"/>
      <w:marTop w:val="0"/>
      <w:marBottom w:val="0"/>
      <w:divBdr>
        <w:top w:val="none" w:sz="0" w:space="0" w:color="auto"/>
        <w:left w:val="none" w:sz="0" w:space="0" w:color="auto"/>
        <w:bottom w:val="none" w:sz="0" w:space="0" w:color="auto"/>
        <w:right w:val="none" w:sz="0" w:space="0" w:color="auto"/>
      </w:divBdr>
    </w:div>
    <w:div w:id="661280636">
      <w:bodyDiv w:val="1"/>
      <w:marLeft w:val="0"/>
      <w:marRight w:val="0"/>
      <w:marTop w:val="0"/>
      <w:marBottom w:val="0"/>
      <w:divBdr>
        <w:top w:val="none" w:sz="0" w:space="0" w:color="auto"/>
        <w:left w:val="none" w:sz="0" w:space="0" w:color="auto"/>
        <w:bottom w:val="none" w:sz="0" w:space="0" w:color="auto"/>
        <w:right w:val="none" w:sz="0" w:space="0" w:color="auto"/>
      </w:divBdr>
    </w:div>
    <w:div w:id="737243584">
      <w:bodyDiv w:val="1"/>
      <w:marLeft w:val="0"/>
      <w:marRight w:val="0"/>
      <w:marTop w:val="0"/>
      <w:marBottom w:val="0"/>
      <w:divBdr>
        <w:top w:val="none" w:sz="0" w:space="0" w:color="auto"/>
        <w:left w:val="none" w:sz="0" w:space="0" w:color="auto"/>
        <w:bottom w:val="none" w:sz="0" w:space="0" w:color="auto"/>
        <w:right w:val="none" w:sz="0" w:space="0" w:color="auto"/>
      </w:divBdr>
    </w:div>
    <w:div w:id="760031263">
      <w:bodyDiv w:val="1"/>
      <w:marLeft w:val="0"/>
      <w:marRight w:val="0"/>
      <w:marTop w:val="0"/>
      <w:marBottom w:val="0"/>
      <w:divBdr>
        <w:top w:val="none" w:sz="0" w:space="0" w:color="auto"/>
        <w:left w:val="none" w:sz="0" w:space="0" w:color="auto"/>
        <w:bottom w:val="none" w:sz="0" w:space="0" w:color="auto"/>
        <w:right w:val="none" w:sz="0" w:space="0" w:color="auto"/>
      </w:divBdr>
    </w:div>
    <w:div w:id="834413668">
      <w:bodyDiv w:val="1"/>
      <w:marLeft w:val="0"/>
      <w:marRight w:val="0"/>
      <w:marTop w:val="0"/>
      <w:marBottom w:val="0"/>
      <w:divBdr>
        <w:top w:val="none" w:sz="0" w:space="0" w:color="auto"/>
        <w:left w:val="none" w:sz="0" w:space="0" w:color="auto"/>
        <w:bottom w:val="none" w:sz="0" w:space="0" w:color="auto"/>
        <w:right w:val="none" w:sz="0" w:space="0" w:color="auto"/>
      </w:divBdr>
    </w:div>
    <w:div w:id="846987985">
      <w:bodyDiv w:val="1"/>
      <w:marLeft w:val="0"/>
      <w:marRight w:val="0"/>
      <w:marTop w:val="0"/>
      <w:marBottom w:val="0"/>
      <w:divBdr>
        <w:top w:val="none" w:sz="0" w:space="0" w:color="auto"/>
        <w:left w:val="none" w:sz="0" w:space="0" w:color="auto"/>
        <w:bottom w:val="none" w:sz="0" w:space="0" w:color="auto"/>
        <w:right w:val="none" w:sz="0" w:space="0" w:color="auto"/>
      </w:divBdr>
    </w:div>
    <w:div w:id="961495338">
      <w:bodyDiv w:val="1"/>
      <w:marLeft w:val="0"/>
      <w:marRight w:val="0"/>
      <w:marTop w:val="0"/>
      <w:marBottom w:val="0"/>
      <w:divBdr>
        <w:top w:val="none" w:sz="0" w:space="0" w:color="auto"/>
        <w:left w:val="none" w:sz="0" w:space="0" w:color="auto"/>
        <w:bottom w:val="none" w:sz="0" w:space="0" w:color="auto"/>
        <w:right w:val="none" w:sz="0" w:space="0" w:color="auto"/>
      </w:divBdr>
      <w:divsChild>
        <w:div w:id="330333071">
          <w:marLeft w:val="0"/>
          <w:marRight w:val="0"/>
          <w:marTop w:val="0"/>
          <w:marBottom w:val="0"/>
          <w:divBdr>
            <w:top w:val="none" w:sz="0" w:space="0" w:color="auto"/>
            <w:left w:val="none" w:sz="0" w:space="0" w:color="auto"/>
            <w:bottom w:val="none" w:sz="0" w:space="0" w:color="auto"/>
            <w:right w:val="none" w:sz="0" w:space="0" w:color="auto"/>
          </w:divBdr>
          <w:divsChild>
            <w:div w:id="637498246">
              <w:marLeft w:val="0"/>
              <w:marRight w:val="0"/>
              <w:marTop w:val="0"/>
              <w:marBottom w:val="0"/>
              <w:divBdr>
                <w:top w:val="none" w:sz="0" w:space="0" w:color="auto"/>
                <w:left w:val="none" w:sz="0" w:space="0" w:color="auto"/>
                <w:bottom w:val="none" w:sz="0" w:space="0" w:color="auto"/>
                <w:right w:val="none" w:sz="0" w:space="0" w:color="auto"/>
              </w:divBdr>
              <w:divsChild>
                <w:div w:id="141579187">
                  <w:marLeft w:val="0"/>
                  <w:marRight w:val="0"/>
                  <w:marTop w:val="0"/>
                  <w:marBottom w:val="0"/>
                  <w:divBdr>
                    <w:top w:val="none" w:sz="0" w:space="0" w:color="auto"/>
                    <w:left w:val="none" w:sz="0" w:space="0" w:color="auto"/>
                    <w:bottom w:val="none" w:sz="0" w:space="0" w:color="auto"/>
                    <w:right w:val="none" w:sz="0" w:space="0" w:color="auto"/>
                  </w:divBdr>
                  <w:divsChild>
                    <w:div w:id="337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983502">
      <w:bodyDiv w:val="1"/>
      <w:marLeft w:val="0"/>
      <w:marRight w:val="0"/>
      <w:marTop w:val="0"/>
      <w:marBottom w:val="0"/>
      <w:divBdr>
        <w:top w:val="none" w:sz="0" w:space="0" w:color="auto"/>
        <w:left w:val="none" w:sz="0" w:space="0" w:color="auto"/>
        <w:bottom w:val="none" w:sz="0" w:space="0" w:color="auto"/>
        <w:right w:val="none" w:sz="0" w:space="0" w:color="auto"/>
      </w:divBdr>
    </w:div>
    <w:div w:id="1190952650">
      <w:bodyDiv w:val="1"/>
      <w:marLeft w:val="0"/>
      <w:marRight w:val="0"/>
      <w:marTop w:val="0"/>
      <w:marBottom w:val="0"/>
      <w:divBdr>
        <w:top w:val="none" w:sz="0" w:space="0" w:color="auto"/>
        <w:left w:val="none" w:sz="0" w:space="0" w:color="auto"/>
        <w:bottom w:val="none" w:sz="0" w:space="0" w:color="auto"/>
        <w:right w:val="none" w:sz="0" w:space="0" w:color="auto"/>
      </w:divBdr>
    </w:div>
    <w:div w:id="1267271626">
      <w:bodyDiv w:val="1"/>
      <w:marLeft w:val="0"/>
      <w:marRight w:val="0"/>
      <w:marTop w:val="0"/>
      <w:marBottom w:val="0"/>
      <w:divBdr>
        <w:top w:val="none" w:sz="0" w:space="0" w:color="auto"/>
        <w:left w:val="none" w:sz="0" w:space="0" w:color="auto"/>
        <w:bottom w:val="none" w:sz="0" w:space="0" w:color="auto"/>
        <w:right w:val="none" w:sz="0" w:space="0" w:color="auto"/>
      </w:divBdr>
    </w:div>
    <w:div w:id="1284770776">
      <w:bodyDiv w:val="1"/>
      <w:marLeft w:val="0"/>
      <w:marRight w:val="0"/>
      <w:marTop w:val="0"/>
      <w:marBottom w:val="0"/>
      <w:divBdr>
        <w:top w:val="none" w:sz="0" w:space="0" w:color="auto"/>
        <w:left w:val="none" w:sz="0" w:space="0" w:color="auto"/>
        <w:bottom w:val="none" w:sz="0" w:space="0" w:color="auto"/>
        <w:right w:val="none" w:sz="0" w:space="0" w:color="auto"/>
      </w:divBdr>
    </w:div>
    <w:div w:id="1506898300">
      <w:bodyDiv w:val="1"/>
      <w:marLeft w:val="0"/>
      <w:marRight w:val="0"/>
      <w:marTop w:val="0"/>
      <w:marBottom w:val="0"/>
      <w:divBdr>
        <w:top w:val="none" w:sz="0" w:space="0" w:color="auto"/>
        <w:left w:val="none" w:sz="0" w:space="0" w:color="auto"/>
        <w:bottom w:val="none" w:sz="0" w:space="0" w:color="auto"/>
        <w:right w:val="none" w:sz="0" w:space="0" w:color="auto"/>
      </w:divBdr>
    </w:div>
    <w:div w:id="1544752983">
      <w:bodyDiv w:val="1"/>
      <w:marLeft w:val="0"/>
      <w:marRight w:val="0"/>
      <w:marTop w:val="0"/>
      <w:marBottom w:val="0"/>
      <w:divBdr>
        <w:top w:val="none" w:sz="0" w:space="0" w:color="auto"/>
        <w:left w:val="none" w:sz="0" w:space="0" w:color="auto"/>
        <w:bottom w:val="none" w:sz="0" w:space="0" w:color="auto"/>
        <w:right w:val="none" w:sz="0" w:space="0" w:color="auto"/>
      </w:divBdr>
    </w:div>
    <w:div w:id="1617520807">
      <w:bodyDiv w:val="1"/>
      <w:marLeft w:val="0"/>
      <w:marRight w:val="0"/>
      <w:marTop w:val="0"/>
      <w:marBottom w:val="0"/>
      <w:divBdr>
        <w:top w:val="none" w:sz="0" w:space="0" w:color="auto"/>
        <w:left w:val="none" w:sz="0" w:space="0" w:color="auto"/>
        <w:bottom w:val="none" w:sz="0" w:space="0" w:color="auto"/>
        <w:right w:val="none" w:sz="0" w:space="0" w:color="auto"/>
      </w:divBdr>
    </w:div>
    <w:div w:id="1673096798">
      <w:bodyDiv w:val="1"/>
      <w:marLeft w:val="0"/>
      <w:marRight w:val="0"/>
      <w:marTop w:val="0"/>
      <w:marBottom w:val="0"/>
      <w:divBdr>
        <w:top w:val="none" w:sz="0" w:space="0" w:color="auto"/>
        <w:left w:val="none" w:sz="0" w:space="0" w:color="auto"/>
        <w:bottom w:val="none" w:sz="0" w:space="0" w:color="auto"/>
        <w:right w:val="none" w:sz="0" w:space="0" w:color="auto"/>
      </w:divBdr>
    </w:div>
    <w:div w:id="1682900680">
      <w:bodyDiv w:val="1"/>
      <w:marLeft w:val="0"/>
      <w:marRight w:val="0"/>
      <w:marTop w:val="0"/>
      <w:marBottom w:val="0"/>
      <w:divBdr>
        <w:top w:val="none" w:sz="0" w:space="0" w:color="auto"/>
        <w:left w:val="none" w:sz="0" w:space="0" w:color="auto"/>
        <w:bottom w:val="none" w:sz="0" w:space="0" w:color="auto"/>
        <w:right w:val="none" w:sz="0" w:space="0" w:color="auto"/>
      </w:divBdr>
      <w:divsChild>
        <w:div w:id="1397242686">
          <w:marLeft w:val="0"/>
          <w:marRight w:val="0"/>
          <w:marTop w:val="0"/>
          <w:marBottom w:val="0"/>
          <w:divBdr>
            <w:top w:val="none" w:sz="0" w:space="0" w:color="auto"/>
            <w:left w:val="none" w:sz="0" w:space="0" w:color="auto"/>
            <w:bottom w:val="none" w:sz="0" w:space="0" w:color="auto"/>
            <w:right w:val="none" w:sz="0" w:space="0" w:color="auto"/>
          </w:divBdr>
          <w:divsChild>
            <w:div w:id="1273249715">
              <w:marLeft w:val="0"/>
              <w:marRight w:val="0"/>
              <w:marTop w:val="0"/>
              <w:marBottom w:val="0"/>
              <w:divBdr>
                <w:top w:val="none" w:sz="0" w:space="0" w:color="auto"/>
                <w:left w:val="none" w:sz="0" w:space="0" w:color="auto"/>
                <w:bottom w:val="none" w:sz="0" w:space="0" w:color="auto"/>
                <w:right w:val="none" w:sz="0" w:space="0" w:color="auto"/>
              </w:divBdr>
              <w:divsChild>
                <w:div w:id="245069027">
                  <w:marLeft w:val="0"/>
                  <w:marRight w:val="0"/>
                  <w:marTop w:val="0"/>
                  <w:marBottom w:val="0"/>
                  <w:divBdr>
                    <w:top w:val="none" w:sz="0" w:space="0" w:color="auto"/>
                    <w:left w:val="none" w:sz="0" w:space="0" w:color="auto"/>
                    <w:bottom w:val="none" w:sz="0" w:space="0" w:color="auto"/>
                    <w:right w:val="none" w:sz="0" w:space="0" w:color="auto"/>
                  </w:divBdr>
                  <w:divsChild>
                    <w:div w:id="71358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016744">
      <w:bodyDiv w:val="1"/>
      <w:marLeft w:val="0"/>
      <w:marRight w:val="0"/>
      <w:marTop w:val="0"/>
      <w:marBottom w:val="0"/>
      <w:divBdr>
        <w:top w:val="none" w:sz="0" w:space="0" w:color="auto"/>
        <w:left w:val="none" w:sz="0" w:space="0" w:color="auto"/>
        <w:bottom w:val="none" w:sz="0" w:space="0" w:color="auto"/>
        <w:right w:val="none" w:sz="0" w:space="0" w:color="auto"/>
      </w:divBdr>
    </w:div>
    <w:div w:id="1768185379">
      <w:bodyDiv w:val="1"/>
      <w:marLeft w:val="0"/>
      <w:marRight w:val="0"/>
      <w:marTop w:val="0"/>
      <w:marBottom w:val="0"/>
      <w:divBdr>
        <w:top w:val="none" w:sz="0" w:space="0" w:color="auto"/>
        <w:left w:val="none" w:sz="0" w:space="0" w:color="auto"/>
        <w:bottom w:val="none" w:sz="0" w:space="0" w:color="auto"/>
        <w:right w:val="none" w:sz="0" w:space="0" w:color="auto"/>
      </w:divBdr>
    </w:div>
    <w:div w:id="1919486251">
      <w:bodyDiv w:val="1"/>
      <w:marLeft w:val="0"/>
      <w:marRight w:val="0"/>
      <w:marTop w:val="0"/>
      <w:marBottom w:val="0"/>
      <w:divBdr>
        <w:top w:val="none" w:sz="0" w:space="0" w:color="auto"/>
        <w:left w:val="none" w:sz="0" w:space="0" w:color="auto"/>
        <w:bottom w:val="none" w:sz="0" w:space="0" w:color="auto"/>
        <w:right w:val="none" w:sz="0" w:space="0" w:color="auto"/>
      </w:divBdr>
    </w:div>
    <w:div w:id="1958945650">
      <w:bodyDiv w:val="1"/>
      <w:marLeft w:val="0"/>
      <w:marRight w:val="0"/>
      <w:marTop w:val="0"/>
      <w:marBottom w:val="0"/>
      <w:divBdr>
        <w:top w:val="none" w:sz="0" w:space="0" w:color="auto"/>
        <w:left w:val="none" w:sz="0" w:space="0" w:color="auto"/>
        <w:bottom w:val="none" w:sz="0" w:space="0" w:color="auto"/>
        <w:right w:val="none" w:sz="0" w:space="0" w:color="auto"/>
      </w:divBdr>
    </w:div>
    <w:div w:id="2008828191">
      <w:bodyDiv w:val="1"/>
      <w:marLeft w:val="0"/>
      <w:marRight w:val="0"/>
      <w:marTop w:val="0"/>
      <w:marBottom w:val="0"/>
      <w:divBdr>
        <w:top w:val="none" w:sz="0" w:space="0" w:color="auto"/>
        <w:left w:val="none" w:sz="0" w:space="0" w:color="auto"/>
        <w:bottom w:val="none" w:sz="0" w:space="0" w:color="auto"/>
        <w:right w:val="none" w:sz="0" w:space="0" w:color="auto"/>
      </w:divBdr>
    </w:div>
    <w:div w:id="2095976811">
      <w:bodyDiv w:val="1"/>
      <w:marLeft w:val="0"/>
      <w:marRight w:val="0"/>
      <w:marTop w:val="0"/>
      <w:marBottom w:val="0"/>
      <w:divBdr>
        <w:top w:val="none" w:sz="0" w:space="0" w:color="auto"/>
        <w:left w:val="none" w:sz="0" w:space="0" w:color="auto"/>
        <w:bottom w:val="none" w:sz="0" w:space="0" w:color="auto"/>
        <w:right w:val="none" w:sz="0" w:space="0" w:color="auto"/>
      </w:divBdr>
    </w:div>
    <w:div w:id="210202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bs.gov.au/pbs/home"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2016-08-08T05:09:00Z</dcterms:created>
  <dcterms:modified xsi:type="dcterms:W3CDTF">2016-08-17T23:58:00Z</dcterms:modified>
</cp:coreProperties>
</file>