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126"/>
        <w:gridCol w:w="3024"/>
        <w:gridCol w:w="7655"/>
      </w:tblGrid>
      <w:tr w:rsidR="004816C8" w:rsidRPr="00CA293C" w:rsidTr="008215ED">
        <w:trPr>
          <w:tblHeader/>
        </w:trPr>
        <w:tc>
          <w:tcPr>
            <w:tcW w:w="2363" w:type="dxa"/>
            <w:vAlign w:val="center"/>
          </w:tcPr>
          <w:p w:rsidR="004816C8" w:rsidRPr="001047FA" w:rsidRDefault="004816C8" w:rsidP="00E01B62">
            <w:pPr>
              <w:pStyle w:val="Header"/>
              <w:keepNext/>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DRUG NAME, FORM(S), STRENGTH(S), SPONSOR, TYPE OF SUBMISSION</w:t>
            </w:r>
          </w:p>
        </w:tc>
        <w:tc>
          <w:tcPr>
            <w:tcW w:w="2126" w:type="dxa"/>
            <w:tcBorders>
              <w:bottom w:val="single" w:sz="4" w:space="0" w:color="auto"/>
            </w:tcBorders>
            <w:vAlign w:val="center"/>
          </w:tcPr>
          <w:p w:rsidR="004816C8" w:rsidRPr="001047FA" w:rsidRDefault="004816C8" w:rsidP="00E01B62">
            <w:pPr>
              <w:pStyle w:val="Header"/>
              <w:keepNext/>
              <w:spacing w:after="240"/>
              <w:contextualSpacing/>
              <w:jc w:val="center"/>
              <w:rPr>
                <w:rFonts w:ascii="Arial" w:hAnsi="Arial" w:cs="Arial"/>
                <w:b/>
                <w:snapToGrid w:val="0"/>
                <w:sz w:val="20"/>
                <w:lang w:eastAsia="en-US"/>
              </w:rPr>
            </w:pPr>
            <w:r>
              <w:rPr>
                <w:rFonts w:ascii="Arial" w:hAnsi="Arial" w:cs="Arial"/>
                <w:b/>
                <w:snapToGrid w:val="0"/>
                <w:sz w:val="20"/>
                <w:lang w:eastAsia="en-US"/>
              </w:rPr>
              <w:t xml:space="preserve">DRUG TYPE </w:t>
            </w:r>
            <w:r w:rsidR="00F1022B">
              <w:rPr>
                <w:rFonts w:ascii="Arial" w:hAnsi="Arial" w:cs="Arial"/>
                <w:b/>
                <w:snapToGrid w:val="0"/>
                <w:sz w:val="20"/>
                <w:lang w:eastAsia="en-US"/>
              </w:rPr>
              <w:t>OR</w:t>
            </w:r>
            <w:bookmarkStart w:id="0" w:name="_GoBack"/>
            <w:bookmarkEnd w:id="0"/>
            <w:r>
              <w:rPr>
                <w:rFonts w:ascii="Arial" w:hAnsi="Arial" w:cs="Arial"/>
                <w:b/>
                <w:snapToGrid w:val="0"/>
                <w:sz w:val="20"/>
                <w:lang w:eastAsia="en-US"/>
              </w:rPr>
              <w:t xml:space="preserve"> USE</w:t>
            </w:r>
          </w:p>
          <w:p w:rsidR="004816C8" w:rsidRPr="0010394D" w:rsidRDefault="004816C8" w:rsidP="00E01B62">
            <w:pPr>
              <w:pStyle w:val="Header"/>
              <w:keepNext/>
              <w:spacing w:after="240"/>
              <w:contextualSpacing/>
              <w:jc w:val="center"/>
              <w:rPr>
                <w:rFonts w:ascii="Arial" w:hAnsi="Arial" w:cs="Arial"/>
                <w:b/>
                <w:snapToGrid w:val="0"/>
                <w:sz w:val="20"/>
                <w:lang w:eastAsia="en-US"/>
              </w:rPr>
            </w:pPr>
          </w:p>
        </w:tc>
        <w:tc>
          <w:tcPr>
            <w:tcW w:w="3024" w:type="dxa"/>
            <w:shd w:val="clear" w:color="auto" w:fill="auto"/>
            <w:vAlign w:val="center"/>
          </w:tcPr>
          <w:p w:rsidR="004816C8" w:rsidRPr="0010394D" w:rsidRDefault="004816C8" w:rsidP="00E01B62">
            <w:pPr>
              <w:pStyle w:val="Header"/>
              <w:keepNext/>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7655" w:type="dxa"/>
            <w:vAlign w:val="center"/>
          </w:tcPr>
          <w:p w:rsidR="004816C8" w:rsidRPr="001047FA" w:rsidRDefault="004816C8" w:rsidP="00E01B62">
            <w:pPr>
              <w:pStyle w:val="Header"/>
              <w:keepNext/>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Pr>
                <w:rFonts w:ascii="Arial" w:hAnsi="Arial" w:cs="Arial"/>
                <w:b/>
                <w:snapToGrid w:val="0"/>
                <w:sz w:val="20"/>
                <w:lang w:eastAsia="en-US"/>
              </w:rPr>
              <w:t>OUTCOME</w:t>
            </w:r>
          </w:p>
        </w:tc>
      </w:tr>
      <w:tr w:rsidR="00FE4200" w:rsidRPr="009B735A" w:rsidTr="008215ED">
        <w:trPr>
          <w:trHeight w:val="6632"/>
        </w:trPr>
        <w:tc>
          <w:tcPr>
            <w:tcW w:w="2363" w:type="dxa"/>
          </w:tcPr>
          <w:p w:rsidR="00FE4200" w:rsidRPr="004816C8" w:rsidRDefault="00FE4200" w:rsidP="00E01B62">
            <w:pPr>
              <w:keepNext/>
              <w:spacing w:line="276" w:lineRule="auto"/>
              <w:rPr>
                <w:rFonts w:ascii="Arial" w:hAnsi="Arial" w:cs="Arial"/>
                <w:color w:val="000000"/>
                <w:sz w:val="20"/>
              </w:rPr>
            </w:pPr>
            <w:r w:rsidRPr="004816C8">
              <w:rPr>
                <w:rFonts w:ascii="Arial" w:hAnsi="Arial" w:cs="Arial"/>
                <w:color w:val="000000"/>
                <w:sz w:val="20"/>
              </w:rPr>
              <w:t>IBRUTINIB</w:t>
            </w:r>
          </w:p>
          <w:p w:rsidR="00FE4200" w:rsidRDefault="00FE4200" w:rsidP="00E01B62">
            <w:pPr>
              <w:keepNext/>
              <w:spacing w:line="276" w:lineRule="auto"/>
              <w:rPr>
                <w:rFonts w:ascii="Arial" w:hAnsi="Arial" w:cs="Arial"/>
                <w:color w:val="000000"/>
                <w:sz w:val="20"/>
              </w:rPr>
            </w:pPr>
            <w:r w:rsidRPr="004816C8">
              <w:rPr>
                <w:rFonts w:ascii="Arial" w:hAnsi="Arial" w:cs="Arial"/>
                <w:color w:val="000000"/>
                <w:sz w:val="20"/>
              </w:rPr>
              <w:t>140 mg capsules, 90</w:t>
            </w:r>
          </w:p>
          <w:p w:rsidR="00FE4200" w:rsidRPr="004816C8" w:rsidRDefault="00FE4200" w:rsidP="00E01B62">
            <w:pPr>
              <w:keepNext/>
              <w:spacing w:line="276" w:lineRule="auto"/>
              <w:rPr>
                <w:rFonts w:ascii="Arial" w:hAnsi="Arial" w:cs="Arial"/>
                <w:color w:val="000000"/>
                <w:sz w:val="20"/>
              </w:rPr>
            </w:pPr>
          </w:p>
          <w:p w:rsidR="00FE4200" w:rsidRDefault="00FE4200" w:rsidP="00E01B62">
            <w:pPr>
              <w:keepNext/>
              <w:spacing w:line="276" w:lineRule="auto"/>
              <w:rPr>
                <w:rFonts w:ascii="Arial" w:hAnsi="Arial" w:cs="Arial"/>
                <w:color w:val="000000"/>
                <w:sz w:val="20"/>
              </w:rPr>
            </w:pPr>
            <w:r w:rsidRPr="004816C8">
              <w:rPr>
                <w:rFonts w:ascii="Arial" w:hAnsi="Arial" w:cs="Arial"/>
                <w:color w:val="000000"/>
                <w:sz w:val="20"/>
              </w:rPr>
              <w:t>Imbruvica</w:t>
            </w:r>
            <w:r w:rsidRPr="006142CE">
              <w:rPr>
                <w:rFonts w:ascii="Arial" w:hAnsi="Arial" w:cs="Arial"/>
                <w:color w:val="000000"/>
                <w:sz w:val="20"/>
                <w:vertAlign w:val="superscript"/>
              </w:rPr>
              <w:t>®</w:t>
            </w:r>
          </w:p>
          <w:p w:rsidR="00FE4200" w:rsidRPr="004816C8" w:rsidRDefault="00FE4200" w:rsidP="00E01B62">
            <w:pPr>
              <w:keepNext/>
              <w:spacing w:line="276" w:lineRule="auto"/>
              <w:rPr>
                <w:rFonts w:ascii="Arial" w:hAnsi="Arial" w:cs="Arial"/>
                <w:color w:val="000000"/>
                <w:sz w:val="20"/>
              </w:rPr>
            </w:pPr>
          </w:p>
          <w:p w:rsidR="00FE4200" w:rsidRDefault="00FE4200" w:rsidP="00E01B62">
            <w:pPr>
              <w:keepNext/>
              <w:spacing w:line="276" w:lineRule="auto"/>
              <w:rPr>
                <w:rFonts w:ascii="Arial" w:hAnsi="Arial" w:cs="Arial"/>
                <w:color w:val="000000"/>
                <w:sz w:val="20"/>
              </w:rPr>
            </w:pPr>
            <w:r w:rsidRPr="004816C8">
              <w:rPr>
                <w:rFonts w:ascii="Arial" w:hAnsi="Arial" w:cs="Arial"/>
                <w:color w:val="000000"/>
                <w:sz w:val="20"/>
              </w:rPr>
              <w:t>Janssen-Cilag Australia Pty</w:t>
            </w:r>
            <w:r>
              <w:rPr>
                <w:rFonts w:ascii="Arial" w:hAnsi="Arial" w:cs="Arial"/>
                <w:color w:val="000000"/>
                <w:sz w:val="20"/>
              </w:rPr>
              <w:t xml:space="preserve"> </w:t>
            </w:r>
            <w:r w:rsidRPr="004816C8">
              <w:rPr>
                <w:rFonts w:ascii="Arial" w:hAnsi="Arial" w:cs="Arial"/>
                <w:color w:val="000000"/>
                <w:sz w:val="20"/>
              </w:rPr>
              <w:t>Ltd</w:t>
            </w:r>
          </w:p>
          <w:p w:rsidR="00FE4200" w:rsidRPr="004816C8" w:rsidRDefault="00FE4200" w:rsidP="00E01B62">
            <w:pPr>
              <w:keepNext/>
              <w:spacing w:line="276" w:lineRule="auto"/>
              <w:rPr>
                <w:rFonts w:ascii="Arial" w:hAnsi="Arial" w:cs="Arial"/>
                <w:color w:val="000000"/>
                <w:sz w:val="20"/>
              </w:rPr>
            </w:pPr>
          </w:p>
          <w:p w:rsidR="00FE4200" w:rsidRDefault="00FE4200" w:rsidP="00E01B62">
            <w:pPr>
              <w:keepNext/>
              <w:spacing w:line="276" w:lineRule="auto"/>
              <w:rPr>
                <w:rFonts w:ascii="Arial" w:hAnsi="Arial" w:cs="Arial"/>
                <w:color w:val="000000"/>
                <w:sz w:val="20"/>
              </w:rPr>
            </w:pPr>
            <w:r w:rsidRPr="004816C8">
              <w:rPr>
                <w:rFonts w:ascii="Arial" w:hAnsi="Arial" w:cs="Arial"/>
                <w:color w:val="000000"/>
                <w:sz w:val="20"/>
              </w:rPr>
              <w:t>New listing</w:t>
            </w:r>
          </w:p>
          <w:p w:rsidR="00FE4200" w:rsidRPr="004816C8" w:rsidRDefault="00FE4200" w:rsidP="00E01B62">
            <w:pPr>
              <w:keepNext/>
              <w:spacing w:line="276" w:lineRule="auto"/>
              <w:rPr>
                <w:rFonts w:ascii="Arial" w:hAnsi="Arial" w:cs="Arial"/>
                <w:color w:val="000000"/>
                <w:sz w:val="20"/>
              </w:rPr>
            </w:pPr>
          </w:p>
          <w:p w:rsidR="00FE4200" w:rsidRPr="00CA0C65" w:rsidRDefault="00FE4200" w:rsidP="00E01B62">
            <w:pPr>
              <w:keepNext/>
              <w:spacing w:line="276" w:lineRule="auto"/>
              <w:rPr>
                <w:rFonts w:ascii="Arial" w:hAnsi="Arial" w:cs="Arial"/>
                <w:sz w:val="20"/>
                <w:highlight w:val="yellow"/>
              </w:rPr>
            </w:pPr>
            <w:r w:rsidRPr="004816C8">
              <w:rPr>
                <w:rFonts w:ascii="Arial" w:hAnsi="Arial" w:cs="Arial"/>
                <w:color w:val="000000"/>
                <w:sz w:val="20"/>
              </w:rPr>
              <w:t>(Minor Submission)</w:t>
            </w:r>
          </w:p>
        </w:tc>
        <w:tc>
          <w:tcPr>
            <w:tcW w:w="2126" w:type="dxa"/>
            <w:shd w:val="clear" w:color="auto" w:fill="auto"/>
          </w:tcPr>
          <w:p w:rsidR="00FE4200" w:rsidRPr="004816C8" w:rsidRDefault="00FE4200" w:rsidP="00E01B62">
            <w:pPr>
              <w:keepNext/>
              <w:rPr>
                <w:rFonts w:ascii="Arial" w:hAnsi="Arial" w:cs="Arial"/>
                <w:sz w:val="20"/>
              </w:rPr>
            </w:pPr>
            <w:r w:rsidRPr="004816C8">
              <w:rPr>
                <w:rFonts w:ascii="Arial" w:hAnsi="Arial" w:cs="Arial"/>
                <w:sz w:val="20"/>
              </w:rPr>
              <w:t>Chronic</w:t>
            </w:r>
          </w:p>
          <w:p w:rsidR="00FE4200" w:rsidRPr="004816C8" w:rsidRDefault="00FE4200" w:rsidP="00E01B62">
            <w:pPr>
              <w:keepNext/>
              <w:rPr>
                <w:rFonts w:ascii="Arial" w:hAnsi="Arial" w:cs="Arial"/>
                <w:sz w:val="20"/>
              </w:rPr>
            </w:pPr>
            <w:r w:rsidRPr="004816C8">
              <w:rPr>
                <w:rFonts w:ascii="Arial" w:hAnsi="Arial" w:cs="Arial"/>
                <w:sz w:val="20"/>
              </w:rPr>
              <w:t>lymphocytic</w:t>
            </w:r>
          </w:p>
          <w:p w:rsidR="00FE4200" w:rsidRPr="004816C8" w:rsidRDefault="00FE4200" w:rsidP="00E01B62">
            <w:pPr>
              <w:keepNext/>
              <w:rPr>
                <w:rFonts w:ascii="Arial" w:hAnsi="Arial" w:cs="Arial"/>
                <w:sz w:val="20"/>
              </w:rPr>
            </w:pPr>
            <w:r w:rsidRPr="004816C8">
              <w:rPr>
                <w:rFonts w:ascii="Arial" w:hAnsi="Arial" w:cs="Arial"/>
                <w:sz w:val="20"/>
              </w:rPr>
              <w:t>leukaemia and</w:t>
            </w:r>
          </w:p>
          <w:p w:rsidR="00FE4200" w:rsidRPr="004816C8" w:rsidRDefault="00FE4200" w:rsidP="00E01B62">
            <w:pPr>
              <w:keepNext/>
              <w:rPr>
                <w:rFonts w:ascii="Arial" w:hAnsi="Arial" w:cs="Arial"/>
                <w:sz w:val="20"/>
              </w:rPr>
            </w:pPr>
            <w:r w:rsidRPr="004816C8">
              <w:rPr>
                <w:rFonts w:ascii="Arial" w:hAnsi="Arial" w:cs="Arial"/>
                <w:sz w:val="20"/>
              </w:rPr>
              <w:t>small lymphocytic</w:t>
            </w:r>
          </w:p>
          <w:p w:rsidR="00FE4200" w:rsidRPr="00CA0C65" w:rsidRDefault="00FE4200" w:rsidP="00E01B62">
            <w:pPr>
              <w:keepNext/>
              <w:rPr>
                <w:rFonts w:ascii="Arial" w:hAnsi="Arial" w:cs="Arial"/>
                <w:sz w:val="20"/>
              </w:rPr>
            </w:pPr>
            <w:r w:rsidRPr="004816C8">
              <w:rPr>
                <w:rFonts w:ascii="Arial" w:hAnsi="Arial" w:cs="Arial"/>
                <w:sz w:val="20"/>
              </w:rPr>
              <w:t>lymphoma</w:t>
            </w:r>
          </w:p>
        </w:tc>
        <w:tc>
          <w:tcPr>
            <w:tcW w:w="3024" w:type="dxa"/>
          </w:tcPr>
          <w:p w:rsidR="00FE4200" w:rsidRPr="004816C8" w:rsidRDefault="00FE4200" w:rsidP="008215ED">
            <w:pPr>
              <w:pStyle w:val="ListBullet"/>
              <w:jc w:val="left"/>
            </w:pPr>
            <w:r w:rsidRPr="004816C8">
              <w:t>Re-submission to request</w:t>
            </w:r>
          </w:p>
          <w:p w:rsidR="00FE4200" w:rsidRPr="004816C8" w:rsidRDefault="00FE4200" w:rsidP="008215ED">
            <w:pPr>
              <w:pStyle w:val="ListBullet"/>
              <w:jc w:val="left"/>
            </w:pPr>
            <w:r w:rsidRPr="004816C8">
              <w:t>Authority Required</w:t>
            </w:r>
          </w:p>
          <w:p w:rsidR="00FE4200" w:rsidRPr="004816C8" w:rsidRDefault="00FE4200" w:rsidP="008215ED">
            <w:pPr>
              <w:pStyle w:val="ListBullet"/>
              <w:jc w:val="left"/>
            </w:pPr>
            <w:r w:rsidRPr="004816C8">
              <w:t>(STREAMLINED) listing for</w:t>
            </w:r>
          </w:p>
          <w:p w:rsidR="00FE4200" w:rsidRPr="004816C8" w:rsidRDefault="00FE4200" w:rsidP="008215ED">
            <w:pPr>
              <w:pStyle w:val="ListBullet"/>
              <w:jc w:val="left"/>
            </w:pPr>
            <w:r w:rsidRPr="004816C8">
              <w:t>the treatment of relapsed or</w:t>
            </w:r>
          </w:p>
          <w:p w:rsidR="00FE4200" w:rsidRPr="004816C8" w:rsidRDefault="00FE4200" w:rsidP="008215ED">
            <w:pPr>
              <w:pStyle w:val="ListBullet"/>
              <w:jc w:val="left"/>
            </w:pPr>
            <w:r w:rsidRPr="004816C8">
              <w:t>refractory chronic lymphocytic</w:t>
            </w:r>
          </w:p>
          <w:p w:rsidR="00FE4200" w:rsidRPr="004816C8" w:rsidRDefault="00FE4200" w:rsidP="008215ED">
            <w:pPr>
              <w:pStyle w:val="ListBullet"/>
              <w:jc w:val="left"/>
            </w:pPr>
            <w:r w:rsidRPr="004816C8">
              <w:t>leukaemia and relapsed or</w:t>
            </w:r>
          </w:p>
          <w:p w:rsidR="00FE4200" w:rsidRPr="004816C8" w:rsidRDefault="00FE4200" w:rsidP="008215ED">
            <w:pPr>
              <w:pStyle w:val="ListBullet"/>
              <w:jc w:val="left"/>
            </w:pPr>
            <w:r w:rsidRPr="004816C8">
              <w:t>refractory small lymphocytic</w:t>
            </w:r>
          </w:p>
          <w:p w:rsidR="00FE4200" w:rsidRPr="004816C8" w:rsidRDefault="00FE4200" w:rsidP="008215ED">
            <w:pPr>
              <w:pStyle w:val="ListBullet"/>
              <w:jc w:val="left"/>
            </w:pPr>
            <w:proofErr w:type="gramStart"/>
            <w:r w:rsidRPr="004816C8">
              <w:t>lymphoma</w:t>
            </w:r>
            <w:proofErr w:type="gramEnd"/>
            <w:r w:rsidRPr="004816C8">
              <w:t>.</w:t>
            </w:r>
          </w:p>
        </w:tc>
        <w:tc>
          <w:tcPr>
            <w:tcW w:w="7655" w:type="dxa"/>
          </w:tcPr>
          <w:p w:rsidR="00FE4200" w:rsidRPr="00E01B62" w:rsidRDefault="00FE4200" w:rsidP="00A2789F">
            <w:pPr>
              <w:keepNext/>
              <w:rPr>
                <w:rFonts w:ascii="Arial" w:hAnsi="Arial" w:cs="Arial"/>
                <w:sz w:val="20"/>
              </w:rPr>
            </w:pPr>
            <w:r w:rsidRPr="00E01B62">
              <w:rPr>
                <w:rFonts w:ascii="Arial" w:hAnsi="Arial" w:cs="Arial"/>
                <w:sz w:val="20"/>
              </w:rPr>
              <w:t xml:space="preserve">The PBAC did not recommend the listing of </w:t>
            </w:r>
            <w:proofErr w:type="spellStart"/>
            <w:r w:rsidRPr="00E01B62">
              <w:rPr>
                <w:rFonts w:ascii="Arial" w:hAnsi="Arial" w:cs="Arial"/>
                <w:sz w:val="20"/>
              </w:rPr>
              <w:t>ibrutinib</w:t>
            </w:r>
            <w:proofErr w:type="spellEnd"/>
            <w:r w:rsidRPr="00E01B62">
              <w:rPr>
                <w:rFonts w:ascii="Arial" w:hAnsi="Arial" w:cs="Arial"/>
                <w:sz w:val="20"/>
              </w:rPr>
              <w:t xml:space="preserve"> for the treatment of relapsed or refractory chronic lymphocytic leukaemia (CLL) or small lymphocytic lymphoma (SLL) because, at the price proposed by the submission, the incremental cost per quality adjusted life year (QALY) gained was unacceptably high.  Additionally, the PBAC noted the financial impact of listing </w:t>
            </w:r>
            <w:proofErr w:type="spellStart"/>
            <w:r w:rsidRPr="00E01B62">
              <w:rPr>
                <w:rFonts w:ascii="Arial" w:hAnsi="Arial" w:cs="Arial"/>
                <w:sz w:val="20"/>
              </w:rPr>
              <w:t>ibrutinib</w:t>
            </w:r>
            <w:proofErr w:type="spellEnd"/>
            <w:r w:rsidRPr="00E01B62">
              <w:rPr>
                <w:rFonts w:ascii="Arial" w:hAnsi="Arial" w:cs="Arial"/>
                <w:sz w:val="20"/>
              </w:rPr>
              <w:t xml:space="preserve"> at the proposed price was high with a total net cost </w:t>
            </w:r>
            <w:r>
              <w:rPr>
                <w:rFonts w:ascii="Arial" w:hAnsi="Arial" w:cs="Arial"/>
                <w:sz w:val="20"/>
              </w:rPr>
              <w:t>of more than</w:t>
            </w:r>
            <w:r w:rsidRPr="00E01B62">
              <w:rPr>
                <w:rFonts w:ascii="Arial" w:hAnsi="Arial" w:cs="Arial"/>
                <w:sz w:val="20"/>
              </w:rPr>
              <w:t xml:space="preserve"> $</w:t>
            </w:r>
            <w:r>
              <w:rPr>
                <w:rFonts w:ascii="Arial" w:hAnsi="Arial" w:cs="Arial"/>
                <w:sz w:val="20"/>
              </w:rPr>
              <w:t>100</w:t>
            </w:r>
            <w:r w:rsidRPr="00E01B62">
              <w:rPr>
                <w:rFonts w:ascii="Arial" w:hAnsi="Arial" w:cs="Arial"/>
                <w:sz w:val="20"/>
              </w:rPr>
              <w:t xml:space="preserve"> million over the first </w:t>
            </w:r>
            <w:r>
              <w:rPr>
                <w:rFonts w:ascii="Arial" w:hAnsi="Arial" w:cs="Arial"/>
                <w:sz w:val="20"/>
              </w:rPr>
              <w:t>five</w:t>
            </w:r>
            <w:r w:rsidRPr="00E01B62">
              <w:rPr>
                <w:rFonts w:ascii="Arial" w:hAnsi="Arial" w:cs="Arial"/>
                <w:sz w:val="20"/>
              </w:rPr>
              <w:t xml:space="preserve"> years of listing, and as such there would be a significant opportunity cost to the Co</w:t>
            </w:r>
            <w:r>
              <w:rPr>
                <w:rFonts w:ascii="Arial" w:hAnsi="Arial" w:cs="Arial"/>
                <w:sz w:val="20"/>
              </w:rPr>
              <w:t>mmonwealth.</w:t>
            </w:r>
          </w:p>
          <w:p w:rsidR="00FE4200" w:rsidRPr="00E01B62" w:rsidRDefault="00FE4200" w:rsidP="00A2789F">
            <w:pPr>
              <w:keepNext/>
              <w:rPr>
                <w:rFonts w:ascii="Arial" w:hAnsi="Arial" w:cs="Arial"/>
                <w:sz w:val="20"/>
              </w:rPr>
            </w:pPr>
          </w:p>
          <w:p w:rsidR="00FE4200" w:rsidRPr="00E01B62" w:rsidRDefault="00FE4200" w:rsidP="00A2789F">
            <w:pPr>
              <w:keepNext/>
              <w:rPr>
                <w:rFonts w:ascii="Arial" w:hAnsi="Arial" w:cs="Arial"/>
                <w:sz w:val="20"/>
              </w:rPr>
            </w:pPr>
            <w:r w:rsidRPr="00E01B62">
              <w:rPr>
                <w:rFonts w:ascii="Arial" w:hAnsi="Arial" w:cs="Arial"/>
                <w:sz w:val="20"/>
              </w:rPr>
              <w:t xml:space="preserve">In making this recommendation, the PBAC agreed that the broader restriction proposed by the sponsor and supported by clinical experts was appropriate, and reiterated its view that </w:t>
            </w:r>
            <w:proofErr w:type="spellStart"/>
            <w:r w:rsidRPr="00E01B62">
              <w:rPr>
                <w:rFonts w:ascii="Arial" w:hAnsi="Arial" w:cs="Arial"/>
                <w:sz w:val="20"/>
              </w:rPr>
              <w:t>ibrutinib</w:t>
            </w:r>
            <w:proofErr w:type="spellEnd"/>
            <w:r w:rsidRPr="00E01B62">
              <w:rPr>
                <w:rFonts w:ascii="Arial" w:hAnsi="Arial" w:cs="Arial"/>
                <w:sz w:val="20"/>
              </w:rPr>
              <w:t xml:space="preserve"> is an effective treatment for CLL and SLL based on the</w:t>
            </w:r>
            <w:r>
              <w:rPr>
                <w:rFonts w:ascii="Arial" w:hAnsi="Arial" w:cs="Arial"/>
                <w:sz w:val="20"/>
              </w:rPr>
              <w:t xml:space="preserve"> results of the RESONATE trial.</w:t>
            </w:r>
          </w:p>
          <w:p w:rsidR="00FE4200" w:rsidRPr="00E01B62" w:rsidRDefault="00FE4200" w:rsidP="00A2789F">
            <w:pPr>
              <w:keepNext/>
              <w:rPr>
                <w:rFonts w:ascii="Arial" w:hAnsi="Arial" w:cs="Arial"/>
                <w:sz w:val="20"/>
              </w:rPr>
            </w:pPr>
          </w:p>
          <w:p w:rsidR="00FE4200" w:rsidRDefault="00FE4200" w:rsidP="00A2789F">
            <w:pPr>
              <w:keepNext/>
              <w:rPr>
                <w:rFonts w:ascii="Arial" w:hAnsi="Arial" w:cs="Arial"/>
                <w:sz w:val="20"/>
              </w:rPr>
            </w:pPr>
            <w:r w:rsidRPr="00E01B62">
              <w:rPr>
                <w:rFonts w:ascii="Arial" w:hAnsi="Arial" w:cs="Arial"/>
                <w:sz w:val="20"/>
              </w:rPr>
              <w:t xml:space="preserve">However, the PBAC considered the incremental benefit of </w:t>
            </w:r>
            <w:proofErr w:type="spellStart"/>
            <w:r w:rsidRPr="00E01B62">
              <w:rPr>
                <w:rFonts w:ascii="Arial" w:hAnsi="Arial" w:cs="Arial"/>
                <w:sz w:val="20"/>
              </w:rPr>
              <w:t>ibrutinib</w:t>
            </w:r>
            <w:proofErr w:type="spellEnd"/>
            <w:r w:rsidRPr="00E01B62">
              <w:rPr>
                <w:rFonts w:ascii="Arial" w:hAnsi="Arial" w:cs="Arial"/>
                <w:sz w:val="20"/>
              </w:rPr>
              <w:t xml:space="preserve"> over its comparator (</w:t>
            </w:r>
            <w:proofErr w:type="spellStart"/>
            <w:r w:rsidRPr="00E01B62">
              <w:rPr>
                <w:rFonts w:ascii="Arial" w:hAnsi="Arial" w:cs="Arial"/>
                <w:sz w:val="20"/>
              </w:rPr>
              <w:t>chlorambucil</w:t>
            </w:r>
            <w:proofErr w:type="spellEnd"/>
            <w:r w:rsidRPr="00E01B62">
              <w:rPr>
                <w:rFonts w:ascii="Arial" w:hAnsi="Arial" w:cs="Arial"/>
                <w:sz w:val="20"/>
              </w:rPr>
              <w:t xml:space="preserve"> plus rituximab) as estimated in the economic model remained uncertain. This uncertainty resulted in part, from the adjustment required in the model to account for the comparator in the RESONATE trial being </w:t>
            </w:r>
            <w:proofErr w:type="spellStart"/>
            <w:r w:rsidRPr="00E01B62">
              <w:rPr>
                <w:rFonts w:ascii="Arial" w:hAnsi="Arial" w:cs="Arial"/>
                <w:sz w:val="20"/>
              </w:rPr>
              <w:t>ofatumumab</w:t>
            </w:r>
            <w:proofErr w:type="spellEnd"/>
            <w:r w:rsidRPr="00E01B62">
              <w:rPr>
                <w:rFonts w:ascii="Arial" w:hAnsi="Arial" w:cs="Arial"/>
                <w:sz w:val="20"/>
              </w:rPr>
              <w:t xml:space="preserve">, which is likely to be inferior to </w:t>
            </w:r>
            <w:proofErr w:type="spellStart"/>
            <w:r w:rsidRPr="00E01B62">
              <w:rPr>
                <w:rFonts w:ascii="Arial" w:hAnsi="Arial" w:cs="Arial"/>
                <w:sz w:val="20"/>
              </w:rPr>
              <w:t>chlorambucil</w:t>
            </w:r>
            <w:proofErr w:type="spellEnd"/>
            <w:r w:rsidRPr="00E01B62">
              <w:rPr>
                <w:rFonts w:ascii="Arial" w:hAnsi="Arial" w:cs="Arial"/>
                <w:sz w:val="20"/>
              </w:rPr>
              <w:t xml:space="preserve"> plus rituximab in terms of overall survival. Additionally, even when the model is truncated at 10 years, a large proportion (87% prior to discounting and 84% post-discounting) of the estimated survival gain is from the extrapolated part of the survival curves. As a result, the extent of benefit is highly influenced by the approach taken to extrapolate the survival </w:t>
            </w:r>
            <w:proofErr w:type="gramStart"/>
            <w:r w:rsidRPr="00E01B62">
              <w:rPr>
                <w:rFonts w:ascii="Arial" w:hAnsi="Arial" w:cs="Arial"/>
                <w:sz w:val="20"/>
              </w:rPr>
              <w:t>curves,</w:t>
            </w:r>
            <w:proofErr w:type="gramEnd"/>
            <w:r w:rsidRPr="00E01B62">
              <w:rPr>
                <w:rFonts w:ascii="Arial" w:hAnsi="Arial" w:cs="Arial"/>
                <w:sz w:val="20"/>
              </w:rPr>
              <w:t xml:space="preserve"> and in particular the period over which the curves are converged.</w:t>
            </w:r>
            <w:r>
              <w:rPr>
                <w:rFonts w:ascii="Arial" w:hAnsi="Arial" w:cs="Arial"/>
                <w:sz w:val="20"/>
              </w:rPr>
              <w:t xml:space="preserve"> </w:t>
            </w:r>
          </w:p>
          <w:p w:rsidR="00FE4200" w:rsidRPr="00E01B62" w:rsidRDefault="00FE4200" w:rsidP="00A2789F">
            <w:pPr>
              <w:keepNext/>
              <w:rPr>
                <w:rFonts w:ascii="Arial" w:hAnsi="Arial" w:cs="Arial"/>
                <w:sz w:val="20"/>
              </w:rPr>
            </w:pPr>
          </w:p>
          <w:p w:rsidR="00FE4200" w:rsidRPr="00E01B62" w:rsidRDefault="00FE4200" w:rsidP="00A2789F">
            <w:pPr>
              <w:keepNext/>
              <w:rPr>
                <w:rFonts w:ascii="Arial" w:hAnsi="Arial" w:cs="Arial"/>
                <w:sz w:val="20"/>
              </w:rPr>
            </w:pPr>
            <w:r w:rsidRPr="00E01B62">
              <w:rPr>
                <w:rFonts w:ascii="Arial" w:hAnsi="Arial" w:cs="Arial"/>
                <w:sz w:val="20"/>
              </w:rPr>
              <w:t>The PBAC considered a reduction in price would be required to achieve cost-effectiveness in the population preferred by the sponsor, clinicians and PBAC.</w:t>
            </w:r>
            <w:r>
              <w:rPr>
                <w:rFonts w:ascii="Arial" w:hAnsi="Arial" w:cs="Arial"/>
                <w:sz w:val="20"/>
              </w:rPr>
              <w:t xml:space="preserve"> </w:t>
            </w:r>
          </w:p>
        </w:tc>
      </w:tr>
      <w:tr w:rsidR="00FE4200" w:rsidRPr="009B735A" w:rsidTr="008215ED">
        <w:trPr>
          <w:trHeight w:val="5180"/>
        </w:trPr>
        <w:tc>
          <w:tcPr>
            <w:tcW w:w="2363" w:type="dxa"/>
          </w:tcPr>
          <w:p w:rsidR="00FE4200" w:rsidRPr="004816C8" w:rsidRDefault="00FE4200" w:rsidP="00E01B62">
            <w:pPr>
              <w:keepNext/>
              <w:spacing w:line="276" w:lineRule="auto"/>
              <w:rPr>
                <w:rFonts w:ascii="Arial" w:hAnsi="Arial" w:cs="Arial"/>
                <w:color w:val="000000"/>
                <w:sz w:val="20"/>
              </w:rPr>
            </w:pPr>
          </w:p>
        </w:tc>
        <w:tc>
          <w:tcPr>
            <w:tcW w:w="2126" w:type="dxa"/>
            <w:shd w:val="clear" w:color="auto" w:fill="auto"/>
          </w:tcPr>
          <w:p w:rsidR="00FE4200" w:rsidRPr="004816C8" w:rsidRDefault="00FE4200" w:rsidP="00E01B62">
            <w:pPr>
              <w:keepNext/>
              <w:rPr>
                <w:rFonts w:ascii="Arial" w:hAnsi="Arial" w:cs="Arial"/>
                <w:sz w:val="20"/>
              </w:rPr>
            </w:pPr>
          </w:p>
        </w:tc>
        <w:tc>
          <w:tcPr>
            <w:tcW w:w="3024" w:type="dxa"/>
          </w:tcPr>
          <w:p w:rsidR="00FE4200" w:rsidRPr="004816C8" w:rsidRDefault="00FE4200" w:rsidP="00FE4200">
            <w:pPr>
              <w:pStyle w:val="ListBullet"/>
            </w:pPr>
            <w:r>
              <w:t>Sponsor’s Comment:</w:t>
            </w:r>
          </w:p>
        </w:tc>
        <w:tc>
          <w:tcPr>
            <w:tcW w:w="7655" w:type="dxa"/>
          </w:tcPr>
          <w:p w:rsidR="00FE4200" w:rsidRPr="00FE4200" w:rsidRDefault="00FE4200" w:rsidP="00FE4200">
            <w:pPr>
              <w:keepNext/>
              <w:rPr>
                <w:rFonts w:ascii="Arial" w:hAnsi="Arial" w:cs="Arial"/>
                <w:sz w:val="20"/>
              </w:rPr>
            </w:pPr>
            <w:r w:rsidRPr="00FE4200">
              <w:rPr>
                <w:rFonts w:ascii="Arial" w:hAnsi="Arial" w:cs="Arial"/>
                <w:sz w:val="20"/>
              </w:rPr>
              <w:t xml:space="preserve">The sponsor is pleased the PBAC recognise that </w:t>
            </w:r>
            <w:proofErr w:type="spellStart"/>
            <w:r w:rsidRPr="00FE4200">
              <w:rPr>
                <w:rFonts w:ascii="Arial" w:hAnsi="Arial" w:cs="Arial"/>
                <w:sz w:val="20"/>
              </w:rPr>
              <w:t>ibrutinib</w:t>
            </w:r>
            <w:proofErr w:type="spellEnd"/>
            <w:r w:rsidRPr="00FE4200">
              <w:rPr>
                <w:rFonts w:ascii="Arial" w:hAnsi="Arial" w:cs="Arial"/>
                <w:sz w:val="20"/>
              </w:rPr>
              <w:t xml:space="preserve"> is an effective treatment for CLL and SLL and </w:t>
            </w:r>
            <w:proofErr w:type="gramStart"/>
            <w:r w:rsidRPr="00FE4200">
              <w:rPr>
                <w:rFonts w:ascii="Arial" w:hAnsi="Arial" w:cs="Arial"/>
                <w:sz w:val="20"/>
              </w:rPr>
              <w:t>that</w:t>
            </w:r>
            <w:proofErr w:type="gramEnd"/>
            <w:r w:rsidRPr="00FE4200">
              <w:rPr>
                <w:rFonts w:ascii="Arial" w:hAnsi="Arial" w:cs="Arial"/>
                <w:sz w:val="20"/>
              </w:rPr>
              <w:t xml:space="preserve"> they agreed with the sponsor and clinicians that the broader restriction is appropriate.</w:t>
            </w:r>
          </w:p>
          <w:p w:rsidR="00FE4200" w:rsidRPr="00FE4200" w:rsidRDefault="00FE4200" w:rsidP="00FE4200">
            <w:pPr>
              <w:keepNext/>
              <w:rPr>
                <w:rFonts w:ascii="Arial" w:hAnsi="Arial" w:cs="Arial"/>
                <w:sz w:val="20"/>
              </w:rPr>
            </w:pPr>
          </w:p>
          <w:p w:rsidR="00FE4200" w:rsidRPr="00FE4200" w:rsidRDefault="00FE4200" w:rsidP="00FE4200">
            <w:pPr>
              <w:keepNext/>
              <w:rPr>
                <w:rFonts w:ascii="Arial" w:hAnsi="Arial" w:cs="Arial"/>
                <w:sz w:val="20"/>
              </w:rPr>
            </w:pPr>
            <w:r w:rsidRPr="00FE4200">
              <w:rPr>
                <w:rFonts w:ascii="Arial" w:hAnsi="Arial" w:cs="Arial"/>
                <w:sz w:val="20"/>
              </w:rPr>
              <w:t xml:space="preserve">The sponsor does not agree that </w:t>
            </w:r>
            <w:proofErr w:type="spellStart"/>
            <w:r w:rsidRPr="00FE4200">
              <w:rPr>
                <w:rFonts w:ascii="Arial" w:hAnsi="Arial" w:cs="Arial"/>
                <w:sz w:val="20"/>
              </w:rPr>
              <w:t>ibrutinib</w:t>
            </w:r>
            <w:proofErr w:type="spellEnd"/>
            <w:r w:rsidRPr="00FE4200">
              <w:rPr>
                <w:rFonts w:ascii="Arial" w:hAnsi="Arial" w:cs="Arial"/>
                <w:sz w:val="20"/>
              </w:rPr>
              <w:t xml:space="preserve"> is not cost-effective at the proposed price. Throughout the course of multiple submissions, the sponsor has agreed to increasingly conservative changes to the economic model in order to address PBAC’s concern around uncertainty. However, the sponsor could not agree to all changes requested by PBAC as they represent a very conservative base case that underestimates the benefit and therefore value of </w:t>
            </w:r>
            <w:proofErr w:type="spellStart"/>
            <w:r w:rsidRPr="00FE4200">
              <w:rPr>
                <w:rFonts w:ascii="Arial" w:hAnsi="Arial" w:cs="Arial"/>
                <w:sz w:val="20"/>
              </w:rPr>
              <w:t>ibrutinib</w:t>
            </w:r>
            <w:proofErr w:type="spellEnd"/>
            <w:r w:rsidRPr="00FE4200">
              <w:rPr>
                <w:rFonts w:ascii="Arial" w:hAnsi="Arial" w:cs="Arial"/>
                <w:sz w:val="20"/>
              </w:rPr>
              <w:t xml:space="preserve">. For example, in arriving at their decision that </w:t>
            </w:r>
            <w:proofErr w:type="spellStart"/>
            <w:r w:rsidRPr="00FE4200">
              <w:rPr>
                <w:rFonts w:ascii="Arial" w:hAnsi="Arial" w:cs="Arial"/>
                <w:sz w:val="20"/>
              </w:rPr>
              <w:t>ibrutinib</w:t>
            </w:r>
            <w:proofErr w:type="spellEnd"/>
            <w:r w:rsidRPr="00FE4200">
              <w:rPr>
                <w:rFonts w:ascii="Arial" w:hAnsi="Arial" w:cs="Arial"/>
                <w:sz w:val="20"/>
              </w:rPr>
              <w:t xml:space="preserve"> was not cost-effective, PBAC excluded any adjustment for the impact of cross-over, despite the fact that it was accepted during the course of the evaluation that bias existed due to cross-over (61% of patients in the comparator arm switched to active therapy). The sponsor therefore maintains that </w:t>
            </w:r>
            <w:proofErr w:type="spellStart"/>
            <w:r w:rsidRPr="00FE4200">
              <w:rPr>
                <w:rFonts w:ascii="Arial" w:hAnsi="Arial" w:cs="Arial"/>
                <w:sz w:val="20"/>
              </w:rPr>
              <w:t>ibrutinib</w:t>
            </w:r>
            <w:proofErr w:type="spellEnd"/>
            <w:r w:rsidRPr="00FE4200">
              <w:rPr>
                <w:rFonts w:ascii="Arial" w:hAnsi="Arial" w:cs="Arial"/>
                <w:sz w:val="20"/>
              </w:rPr>
              <w:t xml:space="preserve"> is a cost-effective treatment at the proposed price in the broader population preferred by the sponsor, clinicians and PBAC.</w:t>
            </w:r>
          </w:p>
          <w:p w:rsidR="00FE4200" w:rsidRPr="00FE4200" w:rsidRDefault="00FE4200" w:rsidP="00FE4200">
            <w:pPr>
              <w:keepNext/>
              <w:rPr>
                <w:rFonts w:ascii="Arial" w:hAnsi="Arial" w:cs="Arial"/>
                <w:sz w:val="20"/>
              </w:rPr>
            </w:pPr>
          </w:p>
          <w:p w:rsidR="00FE4200" w:rsidRPr="00E01B62" w:rsidRDefault="00FE4200" w:rsidP="00FE4200">
            <w:pPr>
              <w:keepNext/>
              <w:rPr>
                <w:rFonts w:ascii="Arial" w:hAnsi="Arial" w:cs="Arial"/>
                <w:sz w:val="20"/>
              </w:rPr>
            </w:pPr>
            <w:r w:rsidRPr="00FE4200">
              <w:rPr>
                <w:rFonts w:ascii="Arial" w:hAnsi="Arial" w:cs="Arial"/>
                <w:sz w:val="20"/>
              </w:rPr>
              <w:t xml:space="preserve">The opportunity cost to the Commonwealth in approving </w:t>
            </w:r>
            <w:proofErr w:type="spellStart"/>
            <w:r w:rsidRPr="00FE4200">
              <w:rPr>
                <w:rFonts w:ascii="Arial" w:hAnsi="Arial" w:cs="Arial"/>
                <w:sz w:val="20"/>
              </w:rPr>
              <w:t>ibrutinib</w:t>
            </w:r>
            <w:proofErr w:type="spellEnd"/>
            <w:r w:rsidRPr="00FE4200">
              <w:rPr>
                <w:rFonts w:ascii="Arial" w:hAnsi="Arial" w:cs="Arial"/>
                <w:sz w:val="20"/>
              </w:rPr>
              <w:t xml:space="preserve"> at the proposed price is a separate consideration. The sponsor welcomes the opportunity to work with the Department of Health and the PBAC in order to ensure Australian patients achieve access to </w:t>
            </w:r>
            <w:proofErr w:type="spellStart"/>
            <w:r w:rsidRPr="00FE4200">
              <w:rPr>
                <w:rFonts w:ascii="Arial" w:hAnsi="Arial" w:cs="Arial"/>
                <w:sz w:val="20"/>
              </w:rPr>
              <w:t>ibrutinib</w:t>
            </w:r>
            <w:proofErr w:type="spellEnd"/>
            <w:r w:rsidRPr="00FE4200">
              <w:rPr>
                <w:rFonts w:ascii="Arial" w:hAnsi="Arial" w:cs="Arial"/>
                <w:sz w:val="20"/>
              </w:rPr>
              <w:t>.</w:t>
            </w:r>
          </w:p>
        </w:tc>
      </w:tr>
    </w:tbl>
    <w:p w:rsidR="0078027D" w:rsidRDefault="0078027D" w:rsidP="002A7FDE">
      <w:pPr>
        <w:pStyle w:val="Title"/>
        <w:jc w:val="left"/>
      </w:pPr>
    </w:p>
    <w:p w:rsidR="00456326" w:rsidRPr="0010394D" w:rsidRDefault="00456326" w:rsidP="002A7FDE">
      <w:pPr>
        <w:pStyle w:val="Title"/>
        <w:jc w:val="left"/>
      </w:pPr>
    </w:p>
    <w:sectPr w:rsidR="00456326" w:rsidRPr="0010394D" w:rsidSect="000805C6">
      <w:headerReference w:type="default" r:id="rId8"/>
      <w:footerReference w:type="default" r:id="rId9"/>
      <w:headerReference w:type="first" r:id="rId10"/>
      <w:footerReference w:type="first" r:id="rId11"/>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19" w:rsidRDefault="007E1819">
      <w:r>
        <w:separator/>
      </w:r>
    </w:p>
  </w:endnote>
  <w:endnote w:type="continuationSeparator" w:id="0">
    <w:p w:rsidR="007E1819" w:rsidRDefault="007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F1022B">
      <w:rPr>
        <w:rFonts w:ascii="Arial" w:hAnsi="Arial" w:cs="Arial"/>
        <w:noProof/>
        <w:sz w:val="22"/>
      </w:rPr>
      <w:t>2</w:t>
    </w:r>
    <w:r w:rsidRPr="000805C6">
      <w:rPr>
        <w:rFonts w:ascii="Arial" w:hAnsi="Arial" w:cs="Arial"/>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F1022B">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19" w:rsidRDefault="007E1819">
      <w:r>
        <w:separator/>
      </w:r>
    </w:p>
  </w:footnote>
  <w:footnote w:type="continuationSeparator" w:id="0">
    <w:p w:rsidR="007E1819" w:rsidRDefault="007E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E01B62" w:rsidP="000805C6">
    <w:pPr>
      <w:pStyle w:val="Header"/>
      <w:jc w:val="center"/>
      <w:rPr>
        <w:rFonts w:ascii="Arial" w:hAnsi="Arial" w:cs="Arial"/>
        <w:b/>
        <w:sz w:val="20"/>
      </w:rPr>
    </w:pPr>
    <w:r>
      <w:rPr>
        <w:rFonts w:ascii="Arial" w:hAnsi="Arial" w:cs="Arial"/>
        <w:b/>
        <w:sz w:val="20"/>
      </w:rPr>
      <w:t>AUGUST</w:t>
    </w:r>
    <w:r w:rsidR="00E142F4">
      <w:rPr>
        <w:rFonts w:ascii="Arial" w:hAnsi="Arial" w:cs="Arial"/>
        <w:b/>
        <w:sz w:val="20"/>
      </w:rPr>
      <w:t xml:space="preserve"> 2016</w:t>
    </w:r>
    <w:r w:rsidR="000805C6">
      <w:rPr>
        <w:rFonts w:ascii="Arial" w:hAnsi="Arial" w:cs="Arial"/>
        <w:b/>
        <w:sz w:val="20"/>
      </w:rPr>
      <w:t xml:space="preserve"> PBAC OUTCOMES – SUBSEQUENT</w:t>
    </w:r>
    <w:r w:rsidR="000805C6"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663AB5" w:rsidP="00613975">
    <w:pPr>
      <w:pStyle w:val="Header"/>
      <w:jc w:val="center"/>
      <w:rPr>
        <w:rFonts w:ascii="Arial" w:hAnsi="Arial" w:cs="Arial"/>
        <w:b/>
        <w:sz w:val="20"/>
      </w:rPr>
    </w:pPr>
    <w:r>
      <w:rPr>
        <w:rFonts w:ascii="Arial" w:hAnsi="Arial" w:cs="Arial"/>
        <w:b/>
        <w:sz w:val="20"/>
      </w:rPr>
      <w:t>AUGUST</w:t>
    </w:r>
    <w:r w:rsidR="003415EE">
      <w:rPr>
        <w:rFonts w:ascii="Arial" w:hAnsi="Arial" w:cs="Arial"/>
        <w:b/>
        <w:sz w:val="20"/>
      </w:rPr>
      <w:t xml:space="preserve"> 2016</w:t>
    </w:r>
    <w:r w:rsidR="00A24F2E" w:rsidRPr="00A24F2E">
      <w:rPr>
        <w:rFonts w:ascii="Arial" w:hAnsi="Arial" w:cs="Arial"/>
        <w:b/>
        <w:sz w:val="20"/>
      </w:rPr>
      <w:t xml:space="preserve">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A22082"/>
    <w:multiLevelType w:val="hybridMultilevel"/>
    <w:tmpl w:val="B7D2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B62F7"/>
    <w:multiLevelType w:val="hybridMultilevel"/>
    <w:tmpl w:val="DBA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0"/>
  </w:num>
  <w:num w:numId="4">
    <w:abstractNumId w:val="7"/>
  </w:num>
  <w:num w:numId="5">
    <w:abstractNumId w:val="2"/>
  </w:num>
  <w:num w:numId="6">
    <w:abstractNumId w:val="12"/>
  </w:num>
  <w:num w:numId="7">
    <w:abstractNumId w:val="5"/>
  </w:num>
  <w:num w:numId="8">
    <w:abstractNumId w:val="3"/>
  </w:num>
  <w:num w:numId="9">
    <w:abstractNumId w:val="1"/>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3A9"/>
    <w:rsid w:val="00024634"/>
    <w:rsid w:val="00024F1C"/>
    <w:rsid w:val="00030555"/>
    <w:rsid w:val="00031E49"/>
    <w:rsid w:val="00046D30"/>
    <w:rsid w:val="00047427"/>
    <w:rsid w:val="00052C94"/>
    <w:rsid w:val="000632B7"/>
    <w:rsid w:val="00063F01"/>
    <w:rsid w:val="000703F3"/>
    <w:rsid w:val="000805C6"/>
    <w:rsid w:val="0009305C"/>
    <w:rsid w:val="000B4313"/>
    <w:rsid w:val="000B6738"/>
    <w:rsid w:val="000D0539"/>
    <w:rsid w:val="000D1304"/>
    <w:rsid w:val="000D3717"/>
    <w:rsid w:val="000E406F"/>
    <w:rsid w:val="000E52C4"/>
    <w:rsid w:val="0010394D"/>
    <w:rsid w:val="001047FA"/>
    <w:rsid w:val="00120488"/>
    <w:rsid w:val="00144E78"/>
    <w:rsid w:val="001472AE"/>
    <w:rsid w:val="00170906"/>
    <w:rsid w:val="001810B2"/>
    <w:rsid w:val="001C0908"/>
    <w:rsid w:val="001D38D0"/>
    <w:rsid w:val="001D688E"/>
    <w:rsid w:val="001D7065"/>
    <w:rsid w:val="001F5344"/>
    <w:rsid w:val="002007BA"/>
    <w:rsid w:val="00204DB4"/>
    <w:rsid w:val="002075FB"/>
    <w:rsid w:val="00220228"/>
    <w:rsid w:val="00220C3F"/>
    <w:rsid w:val="00223C4D"/>
    <w:rsid w:val="00237031"/>
    <w:rsid w:val="002404C3"/>
    <w:rsid w:val="00241E9E"/>
    <w:rsid w:val="002440EA"/>
    <w:rsid w:val="002460D4"/>
    <w:rsid w:val="00255313"/>
    <w:rsid w:val="00256ACE"/>
    <w:rsid w:val="002743B5"/>
    <w:rsid w:val="002861D6"/>
    <w:rsid w:val="00287BC5"/>
    <w:rsid w:val="002A0EAF"/>
    <w:rsid w:val="002A1CF2"/>
    <w:rsid w:val="002A42C5"/>
    <w:rsid w:val="002A46E6"/>
    <w:rsid w:val="002A5152"/>
    <w:rsid w:val="002A7FDE"/>
    <w:rsid w:val="002B2BEC"/>
    <w:rsid w:val="002B4B7A"/>
    <w:rsid w:val="002D0EA8"/>
    <w:rsid w:val="002D4410"/>
    <w:rsid w:val="002E5B33"/>
    <w:rsid w:val="002F0F71"/>
    <w:rsid w:val="002F2D05"/>
    <w:rsid w:val="002F5086"/>
    <w:rsid w:val="002F62A6"/>
    <w:rsid w:val="00302B1F"/>
    <w:rsid w:val="00303527"/>
    <w:rsid w:val="00305656"/>
    <w:rsid w:val="00312E87"/>
    <w:rsid w:val="00320F76"/>
    <w:rsid w:val="00322CA5"/>
    <w:rsid w:val="00322FE7"/>
    <w:rsid w:val="003335F7"/>
    <w:rsid w:val="00337EC3"/>
    <w:rsid w:val="003415EE"/>
    <w:rsid w:val="003419C9"/>
    <w:rsid w:val="00346A18"/>
    <w:rsid w:val="00347546"/>
    <w:rsid w:val="00364CA6"/>
    <w:rsid w:val="00367CA3"/>
    <w:rsid w:val="0039594A"/>
    <w:rsid w:val="0039641E"/>
    <w:rsid w:val="003B6CFA"/>
    <w:rsid w:val="003B704B"/>
    <w:rsid w:val="003C3492"/>
    <w:rsid w:val="003E2DEC"/>
    <w:rsid w:val="003E3C69"/>
    <w:rsid w:val="003E5395"/>
    <w:rsid w:val="003E5ACC"/>
    <w:rsid w:val="003F12A1"/>
    <w:rsid w:val="003F65A9"/>
    <w:rsid w:val="003F7763"/>
    <w:rsid w:val="004074CD"/>
    <w:rsid w:val="00416C9D"/>
    <w:rsid w:val="0043706A"/>
    <w:rsid w:val="00446F57"/>
    <w:rsid w:val="0044777F"/>
    <w:rsid w:val="00456326"/>
    <w:rsid w:val="00457FC8"/>
    <w:rsid w:val="00467522"/>
    <w:rsid w:val="00475539"/>
    <w:rsid w:val="00477C5E"/>
    <w:rsid w:val="004816C8"/>
    <w:rsid w:val="004874F1"/>
    <w:rsid w:val="0049673E"/>
    <w:rsid w:val="004968F4"/>
    <w:rsid w:val="004A7506"/>
    <w:rsid w:val="004A76AD"/>
    <w:rsid w:val="004C071C"/>
    <w:rsid w:val="004C0A09"/>
    <w:rsid w:val="004C0F09"/>
    <w:rsid w:val="004C3700"/>
    <w:rsid w:val="004C4C2B"/>
    <w:rsid w:val="004D08BF"/>
    <w:rsid w:val="004D2DFC"/>
    <w:rsid w:val="004E4BB3"/>
    <w:rsid w:val="004E58AE"/>
    <w:rsid w:val="004E61E5"/>
    <w:rsid w:val="004E7F92"/>
    <w:rsid w:val="004F22AF"/>
    <w:rsid w:val="004F53A2"/>
    <w:rsid w:val="005060C3"/>
    <w:rsid w:val="005156A1"/>
    <w:rsid w:val="00524927"/>
    <w:rsid w:val="005334F6"/>
    <w:rsid w:val="00533EC6"/>
    <w:rsid w:val="005435A8"/>
    <w:rsid w:val="00551121"/>
    <w:rsid w:val="00556A91"/>
    <w:rsid w:val="0056006F"/>
    <w:rsid w:val="00565922"/>
    <w:rsid w:val="00575B97"/>
    <w:rsid w:val="00583A1F"/>
    <w:rsid w:val="00590408"/>
    <w:rsid w:val="00591511"/>
    <w:rsid w:val="005A05DC"/>
    <w:rsid w:val="005A4700"/>
    <w:rsid w:val="005B1359"/>
    <w:rsid w:val="005C51C0"/>
    <w:rsid w:val="005C529C"/>
    <w:rsid w:val="005C583B"/>
    <w:rsid w:val="005C5CF6"/>
    <w:rsid w:val="005D0350"/>
    <w:rsid w:val="005E6126"/>
    <w:rsid w:val="005F6AD6"/>
    <w:rsid w:val="00606B1D"/>
    <w:rsid w:val="00613975"/>
    <w:rsid w:val="006142CE"/>
    <w:rsid w:val="0062060A"/>
    <w:rsid w:val="006227C5"/>
    <w:rsid w:val="00636B27"/>
    <w:rsid w:val="006378CF"/>
    <w:rsid w:val="00655D5C"/>
    <w:rsid w:val="00663AB5"/>
    <w:rsid w:val="00667A4C"/>
    <w:rsid w:val="00670168"/>
    <w:rsid w:val="006706AA"/>
    <w:rsid w:val="00674FEC"/>
    <w:rsid w:val="00680915"/>
    <w:rsid w:val="00692FD0"/>
    <w:rsid w:val="00695D28"/>
    <w:rsid w:val="006A4BE8"/>
    <w:rsid w:val="006A724A"/>
    <w:rsid w:val="006A772E"/>
    <w:rsid w:val="006B41E1"/>
    <w:rsid w:val="006B71F5"/>
    <w:rsid w:val="006C196C"/>
    <w:rsid w:val="006C1CD8"/>
    <w:rsid w:val="006C6E12"/>
    <w:rsid w:val="006E0C7B"/>
    <w:rsid w:val="006F3F91"/>
    <w:rsid w:val="006F40D1"/>
    <w:rsid w:val="00704ABF"/>
    <w:rsid w:val="00704E74"/>
    <w:rsid w:val="00712209"/>
    <w:rsid w:val="00720097"/>
    <w:rsid w:val="00735D52"/>
    <w:rsid w:val="00743998"/>
    <w:rsid w:val="00743DF4"/>
    <w:rsid w:val="00751128"/>
    <w:rsid w:val="0075364D"/>
    <w:rsid w:val="007572F6"/>
    <w:rsid w:val="007605AB"/>
    <w:rsid w:val="0076473F"/>
    <w:rsid w:val="00770B47"/>
    <w:rsid w:val="0078027D"/>
    <w:rsid w:val="007840FF"/>
    <w:rsid w:val="00784382"/>
    <w:rsid w:val="0079164A"/>
    <w:rsid w:val="007A16E6"/>
    <w:rsid w:val="007A29FA"/>
    <w:rsid w:val="007A361E"/>
    <w:rsid w:val="007B0843"/>
    <w:rsid w:val="007B64C3"/>
    <w:rsid w:val="007B66BB"/>
    <w:rsid w:val="007C0EDE"/>
    <w:rsid w:val="007C250E"/>
    <w:rsid w:val="007C274A"/>
    <w:rsid w:val="007D085A"/>
    <w:rsid w:val="007E1819"/>
    <w:rsid w:val="0080031A"/>
    <w:rsid w:val="0080046E"/>
    <w:rsid w:val="008040C8"/>
    <w:rsid w:val="008068F2"/>
    <w:rsid w:val="00815D6B"/>
    <w:rsid w:val="0081702A"/>
    <w:rsid w:val="008215ED"/>
    <w:rsid w:val="00821E75"/>
    <w:rsid w:val="00826000"/>
    <w:rsid w:val="00837A9E"/>
    <w:rsid w:val="00842F8C"/>
    <w:rsid w:val="00850073"/>
    <w:rsid w:val="0086299E"/>
    <w:rsid w:val="0086603E"/>
    <w:rsid w:val="008A5929"/>
    <w:rsid w:val="008B0E22"/>
    <w:rsid w:val="008B7160"/>
    <w:rsid w:val="008C185A"/>
    <w:rsid w:val="008C6E23"/>
    <w:rsid w:val="008D676E"/>
    <w:rsid w:val="008D72BA"/>
    <w:rsid w:val="008E0965"/>
    <w:rsid w:val="008E3CC3"/>
    <w:rsid w:val="009044AF"/>
    <w:rsid w:val="00907AA6"/>
    <w:rsid w:val="009224BE"/>
    <w:rsid w:val="00924932"/>
    <w:rsid w:val="00925326"/>
    <w:rsid w:val="00934AD5"/>
    <w:rsid w:val="00947987"/>
    <w:rsid w:val="00957F9F"/>
    <w:rsid w:val="00972B1B"/>
    <w:rsid w:val="0098248A"/>
    <w:rsid w:val="00991AFC"/>
    <w:rsid w:val="009B2F04"/>
    <w:rsid w:val="009B49D2"/>
    <w:rsid w:val="009B5D59"/>
    <w:rsid w:val="009B6E95"/>
    <w:rsid w:val="009B735A"/>
    <w:rsid w:val="009B7CBE"/>
    <w:rsid w:val="009C52D8"/>
    <w:rsid w:val="009C73A4"/>
    <w:rsid w:val="009C7FD0"/>
    <w:rsid w:val="009D0A99"/>
    <w:rsid w:val="009D1D30"/>
    <w:rsid w:val="009D77B4"/>
    <w:rsid w:val="009E0523"/>
    <w:rsid w:val="009E299C"/>
    <w:rsid w:val="009E61F3"/>
    <w:rsid w:val="009E6539"/>
    <w:rsid w:val="009F0ED6"/>
    <w:rsid w:val="009F42BE"/>
    <w:rsid w:val="009F5E7E"/>
    <w:rsid w:val="00A02424"/>
    <w:rsid w:val="00A07C14"/>
    <w:rsid w:val="00A24F2E"/>
    <w:rsid w:val="00A26805"/>
    <w:rsid w:val="00A42D88"/>
    <w:rsid w:val="00A544A3"/>
    <w:rsid w:val="00A55002"/>
    <w:rsid w:val="00A56ED7"/>
    <w:rsid w:val="00A62091"/>
    <w:rsid w:val="00A62D7E"/>
    <w:rsid w:val="00A706C5"/>
    <w:rsid w:val="00A74BD3"/>
    <w:rsid w:val="00A86069"/>
    <w:rsid w:val="00A90F44"/>
    <w:rsid w:val="00A913CA"/>
    <w:rsid w:val="00AB52CD"/>
    <w:rsid w:val="00AD0FCA"/>
    <w:rsid w:val="00AD3357"/>
    <w:rsid w:val="00AE346B"/>
    <w:rsid w:val="00AE3F52"/>
    <w:rsid w:val="00AF4A3C"/>
    <w:rsid w:val="00B01F7E"/>
    <w:rsid w:val="00B02DF2"/>
    <w:rsid w:val="00B10521"/>
    <w:rsid w:val="00B26FF7"/>
    <w:rsid w:val="00B42918"/>
    <w:rsid w:val="00B43E46"/>
    <w:rsid w:val="00B44CA8"/>
    <w:rsid w:val="00B77A97"/>
    <w:rsid w:val="00B80FE3"/>
    <w:rsid w:val="00B915BE"/>
    <w:rsid w:val="00B93DCF"/>
    <w:rsid w:val="00BA619E"/>
    <w:rsid w:val="00BC0474"/>
    <w:rsid w:val="00BC1FB7"/>
    <w:rsid w:val="00BC55C3"/>
    <w:rsid w:val="00BD520B"/>
    <w:rsid w:val="00BD6EBF"/>
    <w:rsid w:val="00BE58B8"/>
    <w:rsid w:val="00BE7D88"/>
    <w:rsid w:val="00BF7AF4"/>
    <w:rsid w:val="00C110F0"/>
    <w:rsid w:val="00C1519A"/>
    <w:rsid w:val="00C17C65"/>
    <w:rsid w:val="00C23FA7"/>
    <w:rsid w:val="00C2561B"/>
    <w:rsid w:val="00C26A1C"/>
    <w:rsid w:val="00C333D1"/>
    <w:rsid w:val="00C355A7"/>
    <w:rsid w:val="00C4326C"/>
    <w:rsid w:val="00C44762"/>
    <w:rsid w:val="00C454EF"/>
    <w:rsid w:val="00C45D98"/>
    <w:rsid w:val="00C464A5"/>
    <w:rsid w:val="00C9315F"/>
    <w:rsid w:val="00C93FA9"/>
    <w:rsid w:val="00C9450F"/>
    <w:rsid w:val="00C94D2C"/>
    <w:rsid w:val="00CA0C65"/>
    <w:rsid w:val="00CA2B5C"/>
    <w:rsid w:val="00CB0656"/>
    <w:rsid w:val="00CB799A"/>
    <w:rsid w:val="00CC001D"/>
    <w:rsid w:val="00CC1FC5"/>
    <w:rsid w:val="00CD1F11"/>
    <w:rsid w:val="00CD3345"/>
    <w:rsid w:val="00CD6E96"/>
    <w:rsid w:val="00CE3D26"/>
    <w:rsid w:val="00D06895"/>
    <w:rsid w:val="00D230A2"/>
    <w:rsid w:val="00D3127D"/>
    <w:rsid w:val="00D4718F"/>
    <w:rsid w:val="00D5330C"/>
    <w:rsid w:val="00D641C2"/>
    <w:rsid w:val="00D65DDC"/>
    <w:rsid w:val="00D85166"/>
    <w:rsid w:val="00D905C6"/>
    <w:rsid w:val="00D938F5"/>
    <w:rsid w:val="00DB0BAD"/>
    <w:rsid w:val="00DB3394"/>
    <w:rsid w:val="00DB589E"/>
    <w:rsid w:val="00DB63C7"/>
    <w:rsid w:val="00DD5B1D"/>
    <w:rsid w:val="00DD66E2"/>
    <w:rsid w:val="00DE6421"/>
    <w:rsid w:val="00DE6C5F"/>
    <w:rsid w:val="00DF4007"/>
    <w:rsid w:val="00DF703C"/>
    <w:rsid w:val="00E01B62"/>
    <w:rsid w:val="00E142F4"/>
    <w:rsid w:val="00E16367"/>
    <w:rsid w:val="00E224FF"/>
    <w:rsid w:val="00E239BA"/>
    <w:rsid w:val="00E331E0"/>
    <w:rsid w:val="00E47E9A"/>
    <w:rsid w:val="00E508BC"/>
    <w:rsid w:val="00E60ACD"/>
    <w:rsid w:val="00E663DC"/>
    <w:rsid w:val="00E7686D"/>
    <w:rsid w:val="00E77CA2"/>
    <w:rsid w:val="00E77EAA"/>
    <w:rsid w:val="00E86609"/>
    <w:rsid w:val="00E8771F"/>
    <w:rsid w:val="00EA02A3"/>
    <w:rsid w:val="00EA6994"/>
    <w:rsid w:val="00EE1E65"/>
    <w:rsid w:val="00EE5442"/>
    <w:rsid w:val="00EF026E"/>
    <w:rsid w:val="00F1022B"/>
    <w:rsid w:val="00F16DF9"/>
    <w:rsid w:val="00F20487"/>
    <w:rsid w:val="00F215D2"/>
    <w:rsid w:val="00F23F38"/>
    <w:rsid w:val="00F25545"/>
    <w:rsid w:val="00F301A5"/>
    <w:rsid w:val="00F40665"/>
    <w:rsid w:val="00F43732"/>
    <w:rsid w:val="00F50F5A"/>
    <w:rsid w:val="00F52E0A"/>
    <w:rsid w:val="00F63AFD"/>
    <w:rsid w:val="00F72B54"/>
    <w:rsid w:val="00F75206"/>
    <w:rsid w:val="00F82673"/>
    <w:rsid w:val="00F83FA8"/>
    <w:rsid w:val="00F924D9"/>
    <w:rsid w:val="00FC2645"/>
    <w:rsid w:val="00FC4900"/>
    <w:rsid w:val="00FD6C20"/>
    <w:rsid w:val="00FD7D78"/>
    <w:rsid w:val="00FE4200"/>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FE4200"/>
    <w:pPr>
      <w:keepNext/>
      <w:jc w:val="right"/>
    </w:pPr>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FE4200"/>
    <w:pPr>
      <w:keepNext/>
      <w:jc w:val="right"/>
    </w:pPr>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rsid w:val="009E0523"/>
    <w:rPr>
      <w:sz w:val="16"/>
      <w:szCs w:val="16"/>
    </w:rPr>
  </w:style>
  <w:style w:type="paragraph" w:styleId="CommentText">
    <w:name w:val="annotation text"/>
    <w:basedOn w:val="Normal"/>
    <w:link w:val="CommentTextChar"/>
    <w:rsid w:val="009E0523"/>
    <w:rPr>
      <w:sz w:val="20"/>
    </w:rPr>
  </w:style>
  <w:style w:type="character" w:customStyle="1" w:styleId="CommentTextChar">
    <w:name w:val="Comment Text Char"/>
    <w:basedOn w:val="DefaultParagraphFont"/>
    <w:link w:val="CommentText"/>
    <w:rsid w:val="009E0523"/>
  </w:style>
  <w:style w:type="paragraph" w:styleId="CommentSubject">
    <w:name w:val="annotation subject"/>
    <w:basedOn w:val="CommentText"/>
    <w:next w:val="CommentText"/>
    <w:link w:val="CommentSubjectChar"/>
    <w:rsid w:val="009E0523"/>
    <w:rPr>
      <w:b/>
      <w:bCs/>
    </w:rPr>
  </w:style>
  <w:style w:type="character" w:customStyle="1" w:styleId="CommentSubjectChar">
    <w:name w:val="Comment Subject Char"/>
    <w:link w:val="CommentSubject"/>
    <w:rsid w:val="009E0523"/>
    <w:rPr>
      <w:b/>
      <w:bCs/>
    </w:rPr>
  </w:style>
  <w:style w:type="paragraph" w:customStyle="1" w:styleId="Default">
    <w:name w:val="Default"/>
    <w:rsid w:val="009D0A99"/>
    <w:pPr>
      <w:autoSpaceDE w:val="0"/>
      <w:autoSpaceDN w:val="0"/>
      <w:adjustRightInd w:val="0"/>
    </w:pPr>
    <w:rPr>
      <w:rFonts w:ascii="Arial" w:hAnsi="Arial" w:cs="Arial"/>
      <w:color w:val="000000"/>
      <w:sz w:val="24"/>
      <w:szCs w:val="24"/>
    </w:rPr>
  </w:style>
  <w:style w:type="paragraph" w:customStyle="1" w:styleId="Char">
    <w:name w:val="Char"/>
    <w:basedOn w:val="Normal"/>
    <w:rsid w:val="00456326"/>
    <w:pPr>
      <w:spacing w:after="160" w:line="240" w:lineRule="exact"/>
    </w:pPr>
    <w:rPr>
      <w:rFonts w:ascii="Verdana" w:eastAsia="MS Mincho"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08667299">
      <w:bodyDiv w:val="1"/>
      <w:marLeft w:val="0"/>
      <w:marRight w:val="0"/>
      <w:marTop w:val="0"/>
      <w:marBottom w:val="0"/>
      <w:divBdr>
        <w:top w:val="none" w:sz="0" w:space="0" w:color="auto"/>
        <w:left w:val="none" w:sz="0" w:space="0" w:color="auto"/>
        <w:bottom w:val="none" w:sz="0" w:space="0" w:color="auto"/>
        <w:right w:val="none" w:sz="0" w:space="0" w:color="auto"/>
      </w:divBdr>
    </w:div>
    <w:div w:id="325475497">
      <w:bodyDiv w:val="1"/>
      <w:marLeft w:val="0"/>
      <w:marRight w:val="0"/>
      <w:marTop w:val="0"/>
      <w:marBottom w:val="0"/>
      <w:divBdr>
        <w:top w:val="none" w:sz="0" w:space="0" w:color="auto"/>
        <w:left w:val="none" w:sz="0" w:space="0" w:color="auto"/>
        <w:bottom w:val="none" w:sz="0" w:space="0" w:color="auto"/>
        <w:right w:val="none" w:sz="0" w:space="0" w:color="auto"/>
      </w:divBdr>
    </w:div>
    <w:div w:id="348407466">
      <w:bodyDiv w:val="1"/>
      <w:marLeft w:val="0"/>
      <w:marRight w:val="0"/>
      <w:marTop w:val="0"/>
      <w:marBottom w:val="0"/>
      <w:divBdr>
        <w:top w:val="none" w:sz="0" w:space="0" w:color="auto"/>
        <w:left w:val="none" w:sz="0" w:space="0" w:color="auto"/>
        <w:bottom w:val="none" w:sz="0" w:space="0" w:color="auto"/>
        <w:right w:val="none" w:sz="0" w:space="0" w:color="auto"/>
      </w:divBdr>
    </w:div>
    <w:div w:id="432212811">
      <w:bodyDiv w:val="1"/>
      <w:marLeft w:val="0"/>
      <w:marRight w:val="0"/>
      <w:marTop w:val="0"/>
      <w:marBottom w:val="0"/>
      <w:divBdr>
        <w:top w:val="none" w:sz="0" w:space="0" w:color="auto"/>
        <w:left w:val="none" w:sz="0" w:space="0" w:color="auto"/>
        <w:bottom w:val="none" w:sz="0" w:space="0" w:color="auto"/>
        <w:right w:val="none" w:sz="0" w:space="0" w:color="auto"/>
      </w:divBdr>
    </w:div>
    <w:div w:id="475494489">
      <w:bodyDiv w:val="1"/>
      <w:marLeft w:val="0"/>
      <w:marRight w:val="0"/>
      <w:marTop w:val="0"/>
      <w:marBottom w:val="0"/>
      <w:divBdr>
        <w:top w:val="none" w:sz="0" w:space="0" w:color="auto"/>
        <w:left w:val="none" w:sz="0" w:space="0" w:color="auto"/>
        <w:bottom w:val="none" w:sz="0" w:space="0" w:color="auto"/>
        <w:right w:val="none" w:sz="0" w:space="0" w:color="auto"/>
      </w:divBdr>
    </w:div>
    <w:div w:id="548079702">
      <w:bodyDiv w:val="1"/>
      <w:marLeft w:val="0"/>
      <w:marRight w:val="0"/>
      <w:marTop w:val="0"/>
      <w:marBottom w:val="0"/>
      <w:divBdr>
        <w:top w:val="none" w:sz="0" w:space="0" w:color="auto"/>
        <w:left w:val="none" w:sz="0" w:space="0" w:color="auto"/>
        <w:bottom w:val="none" w:sz="0" w:space="0" w:color="auto"/>
        <w:right w:val="none" w:sz="0" w:space="0" w:color="auto"/>
      </w:divBdr>
    </w:div>
    <w:div w:id="555508712">
      <w:bodyDiv w:val="1"/>
      <w:marLeft w:val="0"/>
      <w:marRight w:val="0"/>
      <w:marTop w:val="0"/>
      <w:marBottom w:val="0"/>
      <w:divBdr>
        <w:top w:val="none" w:sz="0" w:space="0" w:color="auto"/>
        <w:left w:val="none" w:sz="0" w:space="0" w:color="auto"/>
        <w:bottom w:val="none" w:sz="0" w:space="0" w:color="auto"/>
        <w:right w:val="none" w:sz="0" w:space="0" w:color="auto"/>
      </w:divBdr>
    </w:div>
    <w:div w:id="589899303">
      <w:bodyDiv w:val="1"/>
      <w:marLeft w:val="0"/>
      <w:marRight w:val="0"/>
      <w:marTop w:val="0"/>
      <w:marBottom w:val="0"/>
      <w:divBdr>
        <w:top w:val="none" w:sz="0" w:space="0" w:color="auto"/>
        <w:left w:val="none" w:sz="0" w:space="0" w:color="auto"/>
        <w:bottom w:val="none" w:sz="0" w:space="0" w:color="auto"/>
        <w:right w:val="none" w:sz="0" w:space="0" w:color="auto"/>
      </w:divBdr>
    </w:div>
    <w:div w:id="661280636">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60031263">
      <w:bodyDiv w:val="1"/>
      <w:marLeft w:val="0"/>
      <w:marRight w:val="0"/>
      <w:marTop w:val="0"/>
      <w:marBottom w:val="0"/>
      <w:divBdr>
        <w:top w:val="none" w:sz="0" w:space="0" w:color="auto"/>
        <w:left w:val="none" w:sz="0" w:space="0" w:color="auto"/>
        <w:bottom w:val="none" w:sz="0" w:space="0" w:color="auto"/>
        <w:right w:val="none" w:sz="0" w:space="0" w:color="auto"/>
      </w:divBdr>
    </w:div>
    <w:div w:id="819660116">
      <w:bodyDiv w:val="1"/>
      <w:marLeft w:val="0"/>
      <w:marRight w:val="0"/>
      <w:marTop w:val="0"/>
      <w:marBottom w:val="0"/>
      <w:divBdr>
        <w:top w:val="none" w:sz="0" w:space="0" w:color="auto"/>
        <w:left w:val="none" w:sz="0" w:space="0" w:color="auto"/>
        <w:bottom w:val="none" w:sz="0" w:space="0" w:color="auto"/>
        <w:right w:val="none" w:sz="0" w:space="0" w:color="auto"/>
      </w:divBdr>
    </w:div>
    <w:div w:id="8344136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90952650">
      <w:bodyDiv w:val="1"/>
      <w:marLeft w:val="0"/>
      <w:marRight w:val="0"/>
      <w:marTop w:val="0"/>
      <w:marBottom w:val="0"/>
      <w:divBdr>
        <w:top w:val="none" w:sz="0" w:space="0" w:color="auto"/>
        <w:left w:val="none" w:sz="0" w:space="0" w:color="auto"/>
        <w:bottom w:val="none" w:sz="0" w:space="0" w:color="auto"/>
        <w:right w:val="none" w:sz="0" w:space="0" w:color="auto"/>
      </w:divBdr>
    </w:div>
    <w:div w:id="1267271626">
      <w:bodyDiv w:val="1"/>
      <w:marLeft w:val="0"/>
      <w:marRight w:val="0"/>
      <w:marTop w:val="0"/>
      <w:marBottom w:val="0"/>
      <w:divBdr>
        <w:top w:val="none" w:sz="0" w:space="0" w:color="auto"/>
        <w:left w:val="none" w:sz="0" w:space="0" w:color="auto"/>
        <w:bottom w:val="none" w:sz="0" w:space="0" w:color="auto"/>
        <w:right w:val="none" w:sz="0" w:space="0" w:color="auto"/>
      </w:divBdr>
    </w:div>
    <w:div w:id="1284770776">
      <w:bodyDiv w:val="1"/>
      <w:marLeft w:val="0"/>
      <w:marRight w:val="0"/>
      <w:marTop w:val="0"/>
      <w:marBottom w:val="0"/>
      <w:divBdr>
        <w:top w:val="none" w:sz="0" w:space="0" w:color="auto"/>
        <w:left w:val="none" w:sz="0" w:space="0" w:color="auto"/>
        <w:bottom w:val="none" w:sz="0" w:space="0" w:color="auto"/>
        <w:right w:val="none" w:sz="0" w:space="0" w:color="auto"/>
      </w:divBdr>
    </w:div>
    <w:div w:id="1506898300">
      <w:bodyDiv w:val="1"/>
      <w:marLeft w:val="0"/>
      <w:marRight w:val="0"/>
      <w:marTop w:val="0"/>
      <w:marBottom w:val="0"/>
      <w:divBdr>
        <w:top w:val="none" w:sz="0" w:space="0" w:color="auto"/>
        <w:left w:val="none" w:sz="0" w:space="0" w:color="auto"/>
        <w:bottom w:val="none" w:sz="0" w:space="0" w:color="auto"/>
        <w:right w:val="none" w:sz="0" w:space="0" w:color="auto"/>
      </w:divBdr>
    </w:div>
    <w:div w:id="1544752983">
      <w:bodyDiv w:val="1"/>
      <w:marLeft w:val="0"/>
      <w:marRight w:val="0"/>
      <w:marTop w:val="0"/>
      <w:marBottom w:val="0"/>
      <w:divBdr>
        <w:top w:val="none" w:sz="0" w:space="0" w:color="auto"/>
        <w:left w:val="none" w:sz="0" w:space="0" w:color="auto"/>
        <w:bottom w:val="none" w:sz="0" w:space="0" w:color="auto"/>
        <w:right w:val="none" w:sz="0" w:space="0" w:color="auto"/>
      </w:divBdr>
    </w:div>
    <w:div w:id="1617520807">
      <w:bodyDiv w:val="1"/>
      <w:marLeft w:val="0"/>
      <w:marRight w:val="0"/>
      <w:marTop w:val="0"/>
      <w:marBottom w:val="0"/>
      <w:divBdr>
        <w:top w:val="none" w:sz="0" w:space="0" w:color="auto"/>
        <w:left w:val="none" w:sz="0" w:space="0" w:color="auto"/>
        <w:bottom w:val="none" w:sz="0" w:space="0" w:color="auto"/>
        <w:right w:val="none" w:sz="0" w:space="0" w:color="auto"/>
      </w:divBdr>
    </w:div>
    <w:div w:id="1673096798">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6744">
      <w:bodyDiv w:val="1"/>
      <w:marLeft w:val="0"/>
      <w:marRight w:val="0"/>
      <w:marTop w:val="0"/>
      <w:marBottom w:val="0"/>
      <w:divBdr>
        <w:top w:val="none" w:sz="0" w:space="0" w:color="auto"/>
        <w:left w:val="none" w:sz="0" w:space="0" w:color="auto"/>
        <w:bottom w:val="none" w:sz="0" w:space="0" w:color="auto"/>
        <w:right w:val="none" w:sz="0" w:space="0" w:color="auto"/>
      </w:divBdr>
    </w:div>
    <w:div w:id="1768185379">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58945650">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9597681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2016-08-08T05:09:00Z</dcterms:created>
  <dcterms:modified xsi:type="dcterms:W3CDTF">2016-09-27T00:47:00Z</dcterms:modified>
</cp:coreProperties>
</file>