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3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126"/>
        <w:gridCol w:w="3261"/>
        <w:gridCol w:w="6947"/>
      </w:tblGrid>
      <w:tr w:rsidR="00987FDA" w:rsidRPr="007D6BCA" w:rsidTr="00BB7B87">
        <w:trPr>
          <w:tblHeader/>
        </w:trPr>
        <w:tc>
          <w:tcPr>
            <w:tcW w:w="2977" w:type="dxa"/>
            <w:tcMar>
              <w:top w:w="28" w:type="dxa"/>
              <w:bottom w:w="28" w:type="dxa"/>
            </w:tcMar>
          </w:tcPr>
          <w:p w:rsidR="00257615" w:rsidRPr="007D6BCA" w:rsidRDefault="002960C3" w:rsidP="004803B6">
            <w:pPr>
              <w:widowControl w:val="0"/>
              <w:jc w:val="center"/>
              <w:rPr>
                <w:rFonts w:ascii="Arial" w:hAnsi="Arial" w:cs="Arial"/>
                <w:b/>
              </w:rPr>
            </w:pPr>
            <w:bookmarkStart w:id="0" w:name="_GoBack"/>
            <w:bookmarkEnd w:id="0"/>
            <w:r w:rsidRPr="007D6BCA">
              <w:rPr>
                <w:rFonts w:ascii="Arial" w:hAnsi="Arial" w:cs="Arial"/>
                <w:b/>
              </w:rPr>
              <w:t>DRUG NAME, FORM(S), STRENGTH(S), SPONSOR, TYPE OF SUBMISSION</w:t>
            </w:r>
          </w:p>
        </w:tc>
        <w:tc>
          <w:tcPr>
            <w:tcW w:w="2126" w:type="dxa"/>
            <w:tcMar>
              <w:top w:w="28" w:type="dxa"/>
              <w:bottom w:w="28" w:type="dxa"/>
            </w:tcMar>
          </w:tcPr>
          <w:p w:rsidR="00987FDA" w:rsidRPr="007D6BCA" w:rsidRDefault="002960C3" w:rsidP="004803B6">
            <w:pPr>
              <w:widowControl w:val="0"/>
              <w:jc w:val="center"/>
              <w:rPr>
                <w:rFonts w:ascii="Arial" w:hAnsi="Arial" w:cs="Arial"/>
                <w:b/>
                <w:snapToGrid w:val="0"/>
                <w:lang w:eastAsia="en-US"/>
              </w:rPr>
            </w:pPr>
            <w:r w:rsidRPr="007D6BCA">
              <w:rPr>
                <w:rFonts w:ascii="Arial" w:hAnsi="Arial" w:cs="Arial"/>
                <w:b/>
                <w:snapToGrid w:val="0"/>
                <w:lang w:eastAsia="en-US"/>
              </w:rPr>
              <w:t>DRUG TYPE AND USE</w:t>
            </w:r>
          </w:p>
        </w:tc>
        <w:tc>
          <w:tcPr>
            <w:tcW w:w="3261" w:type="dxa"/>
            <w:tcMar>
              <w:top w:w="28" w:type="dxa"/>
              <w:bottom w:w="28" w:type="dxa"/>
            </w:tcMar>
          </w:tcPr>
          <w:p w:rsidR="00987FDA" w:rsidRPr="007D6BCA" w:rsidRDefault="002960C3" w:rsidP="005B6EB7">
            <w:pPr>
              <w:widowControl w:val="0"/>
              <w:jc w:val="center"/>
              <w:rPr>
                <w:rFonts w:ascii="Arial" w:hAnsi="Arial" w:cs="Arial"/>
                <w:b/>
                <w:snapToGrid w:val="0"/>
                <w:lang w:eastAsia="en-US"/>
              </w:rPr>
            </w:pPr>
            <w:r w:rsidRPr="007D6BCA">
              <w:rPr>
                <w:rFonts w:ascii="Arial" w:hAnsi="Arial" w:cs="Arial"/>
                <w:b/>
                <w:snapToGrid w:val="0"/>
                <w:lang w:eastAsia="en-US"/>
              </w:rPr>
              <w:t>LISTING REQUESTED BY SPONSOR / PURPOSE OF SUBMISSION</w:t>
            </w:r>
          </w:p>
        </w:tc>
        <w:tc>
          <w:tcPr>
            <w:tcW w:w="6947" w:type="dxa"/>
          </w:tcPr>
          <w:p w:rsidR="00987FDA" w:rsidRPr="007D6BCA" w:rsidRDefault="00987FDA" w:rsidP="005B6EB7">
            <w:pPr>
              <w:pStyle w:val="Header"/>
              <w:jc w:val="center"/>
              <w:rPr>
                <w:rFonts w:ascii="Arial" w:hAnsi="Arial" w:cs="Arial"/>
                <w:b/>
                <w:snapToGrid w:val="0"/>
                <w:lang w:eastAsia="en-US"/>
              </w:rPr>
            </w:pPr>
            <w:r w:rsidRPr="007D6BCA">
              <w:rPr>
                <w:rFonts w:ascii="Arial" w:hAnsi="Arial" w:cs="Arial"/>
                <w:b/>
                <w:snapToGrid w:val="0"/>
                <w:lang w:eastAsia="en-US"/>
              </w:rPr>
              <w:t xml:space="preserve">PBAC </w:t>
            </w:r>
            <w:r w:rsidR="002960C3" w:rsidRPr="007D6BCA">
              <w:rPr>
                <w:rFonts w:ascii="Arial" w:hAnsi="Arial" w:cs="Arial"/>
                <w:b/>
                <w:snapToGrid w:val="0"/>
                <w:lang w:eastAsia="en-US"/>
              </w:rPr>
              <w:t>OUTCOME</w:t>
            </w:r>
          </w:p>
        </w:tc>
      </w:tr>
      <w:tr w:rsidR="00F26CDC" w:rsidRPr="007D6BCA" w:rsidTr="00BB7B87">
        <w:trPr>
          <w:cantSplit/>
          <w:trHeight w:val="2201"/>
        </w:trPr>
        <w:tc>
          <w:tcPr>
            <w:tcW w:w="2977" w:type="dxa"/>
            <w:vMerge w:val="restart"/>
            <w:tcMar>
              <w:top w:w="28" w:type="dxa"/>
              <w:bottom w:w="28" w:type="dxa"/>
            </w:tcMar>
          </w:tcPr>
          <w:p w:rsidR="00F26CDC" w:rsidRPr="007D6BCA" w:rsidRDefault="00F26CDC" w:rsidP="00CE0136">
            <w:pPr>
              <w:rPr>
                <w:rFonts w:ascii="Arial" w:hAnsi="Arial" w:cs="Arial"/>
                <w:color w:val="000000"/>
              </w:rPr>
            </w:pPr>
            <w:r w:rsidRPr="007D6BCA">
              <w:rPr>
                <w:rFonts w:ascii="Arial" w:hAnsi="Arial" w:cs="Arial"/>
                <w:color w:val="000000"/>
              </w:rPr>
              <w:t>CARBOHYDRATE FORMULA WITH MINERALS</w:t>
            </w:r>
          </w:p>
          <w:p w:rsidR="00F26CDC" w:rsidRPr="007D6BCA" w:rsidRDefault="00F26CDC" w:rsidP="00CE0136">
            <w:pPr>
              <w:rPr>
                <w:rFonts w:ascii="Arial" w:hAnsi="Arial" w:cs="Arial"/>
                <w:color w:val="000000"/>
              </w:rPr>
            </w:pPr>
            <w:r w:rsidRPr="007D6BCA">
              <w:rPr>
                <w:rFonts w:ascii="Arial" w:hAnsi="Arial" w:cs="Arial"/>
                <w:color w:val="000000"/>
              </w:rPr>
              <w:t xml:space="preserve">Oral liquid </w:t>
            </w:r>
            <w:r w:rsidRPr="007D6BCA">
              <w:rPr>
                <w:rFonts w:ascii="Arial" w:hAnsi="Arial" w:cs="Arial"/>
                <w:color w:val="000000"/>
              </w:rPr>
              <w:br/>
            </w:r>
            <w:r w:rsidRPr="007D6BCA">
              <w:rPr>
                <w:rFonts w:ascii="Arial" w:hAnsi="Arial" w:cs="Arial"/>
                <w:color w:val="000000"/>
              </w:rPr>
              <w:br/>
              <w:t>Sachet containing oral powder 21 g</w:t>
            </w:r>
            <w:r w:rsidRPr="007D6BCA">
              <w:rPr>
                <w:rFonts w:ascii="Arial" w:hAnsi="Arial" w:cs="Arial"/>
                <w:color w:val="000000"/>
              </w:rPr>
              <w:br/>
              <w:t>Sachet containing oral powder 31 g</w:t>
            </w:r>
            <w:r w:rsidRPr="007D6BCA">
              <w:rPr>
                <w:rFonts w:ascii="Arial" w:hAnsi="Arial" w:cs="Arial"/>
                <w:color w:val="000000"/>
              </w:rPr>
              <w:br/>
              <w:t>Sachet containing oral powder 42 g</w:t>
            </w:r>
            <w:r w:rsidRPr="007D6BCA">
              <w:rPr>
                <w:rFonts w:ascii="Arial" w:hAnsi="Arial" w:cs="Arial"/>
                <w:color w:val="000000"/>
              </w:rPr>
              <w:br/>
              <w:t>Sachet containing oral powder 52 g</w:t>
            </w:r>
            <w:r w:rsidRPr="007D6BCA">
              <w:rPr>
                <w:rFonts w:ascii="Arial" w:hAnsi="Arial" w:cs="Arial"/>
                <w:color w:val="000000"/>
              </w:rPr>
              <w:br/>
            </w:r>
            <w:r w:rsidRPr="007D6BCA">
              <w:rPr>
                <w:rFonts w:ascii="Arial" w:hAnsi="Arial" w:cs="Arial"/>
                <w:color w:val="000000"/>
              </w:rPr>
              <w:br/>
              <w:t>SOS10®, SOS15®, SOS20®, SOS25®</w:t>
            </w:r>
            <w:r w:rsidRPr="007D6BCA">
              <w:rPr>
                <w:rFonts w:ascii="Arial" w:hAnsi="Arial" w:cs="Arial"/>
                <w:color w:val="000000"/>
              </w:rPr>
              <w:br/>
            </w:r>
            <w:r w:rsidRPr="007D6BCA">
              <w:rPr>
                <w:rFonts w:ascii="Arial" w:hAnsi="Arial" w:cs="Arial"/>
                <w:color w:val="000000"/>
              </w:rPr>
              <w:br/>
              <w:t>Vitaflo Australia Pty Ltd</w:t>
            </w:r>
          </w:p>
          <w:p w:rsidR="00DA38FD" w:rsidRPr="007D6BCA" w:rsidRDefault="00DA38FD" w:rsidP="00CE0136">
            <w:pPr>
              <w:rPr>
                <w:rFonts w:ascii="Arial" w:hAnsi="Arial" w:cs="Arial"/>
                <w:color w:val="000000"/>
              </w:rPr>
            </w:pPr>
          </w:p>
          <w:p w:rsidR="00DA38FD" w:rsidRPr="007D6BCA" w:rsidRDefault="00DA38FD" w:rsidP="00CE0136">
            <w:pPr>
              <w:rPr>
                <w:rFonts w:ascii="Arial" w:hAnsi="Arial" w:cs="Arial"/>
                <w:color w:val="000000"/>
              </w:rPr>
            </w:pPr>
            <w:r w:rsidRPr="007D6BCA">
              <w:rPr>
                <w:rFonts w:ascii="Arial" w:hAnsi="Arial" w:cs="Arial"/>
                <w:color w:val="000000"/>
              </w:rPr>
              <w:t>New listing</w:t>
            </w:r>
          </w:p>
          <w:p w:rsidR="00DA38FD" w:rsidRPr="007D6BCA" w:rsidRDefault="00DA38FD" w:rsidP="00CE0136">
            <w:pPr>
              <w:rPr>
                <w:rFonts w:ascii="Arial" w:hAnsi="Arial" w:cs="Arial"/>
                <w:color w:val="000000"/>
              </w:rPr>
            </w:pPr>
          </w:p>
          <w:p w:rsidR="00DA38FD" w:rsidRPr="007D6BCA" w:rsidRDefault="00DA38FD" w:rsidP="00CE0136">
            <w:pPr>
              <w:rPr>
                <w:rFonts w:ascii="Arial" w:hAnsi="Arial" w:cs="Arial"/>
                <w:color w:val="000000"/>
              </w:rPr>
            </w:pPr>
            <w:r w:rsidRPr="007D6BCA">
              <w:rPr>
                <w:rFonts w:ascii="Arial" w:hAnsi="Arial" w:cs="Arial"/>
                <w:color w:val="000000"/>
              </w:rPr>
              <w:t>(Minor submission)</w:t>
            </w:r>
          </w:p>
        </w:tc>
        <w:tc>
          <w:tcPr>
            <w:tcW w:w="2126" w:type="dxa"/>
            <w:vMerge w:val="restart"/>
          </w:tcPr>
          <w:p w:rsidR="00F26CDC" w:rsidRPr="007D6BCA" w:rsidRDefault="00F26CDC" w:rsidP="00CE0136">
            <w:pPr>
              <w:rPr>
                <w:rFonts w:ascii="Arial" w:hAnsi="Arial" w:cs="Arial"/>
              </w:rPr>
            </w:pPr>
            <w:r w:rsidRPr="007D6BCA">
              <w:rPr>
                <w:rFonts w:ascii="Arial" w:hAnsi="Arial" w:cs="Arial"/>
                <w:color w:val="000000"/>
              </w:rPr>
              <w:t>Dietary management of proven inborn errors of protein or fat metabolism</w:t>
            </w:r>
          </w:p>
        </w:tc>
        <w:tc>
          <w:tcPr>
            <w:tcW w:w="3261" w:type="dxa"/>
            <w:tcMar>
              <w:top w:w="28" w:type="dxa"/>
              <w:bottom w:w="28" w:type="dxa"/>
            </w:tcMar>
          </w:tcPr>
          <w:p w:rsidR="00F26CDC" w:rsidRPr="007D6BCA" w:rsidRDefault="00F26CDC" w:rsidP="00CE0136">
            <w:pPr>
              <w:rPr>
                <w:rFonts w:ascii="Arial" w:hAnsi="Arial" w:cs="Arial"/>
                <w:color w:val="000000"/>
              </w:rPr>
            </w:pPr>
            <w:r w:rsidRPr="007D6BCA">
              <w:rPr>
                <w:rFonts w:ascii="Arial" w:hAnsi="Arial" w:cs="Arial"/>
                <w:color w:val="000000"/>
              </w:rPr>
              <w:t>To request a Restricted Benefit listing for proven inborn errors of protein or fat metabolism.</w:t>
            </w:r>
          </w:p>
        </w:tc>
        <w:tc>
          <w:tcPr>
            <w:tcW w:w="6947" w:type="dxa"/>
          </w:tcPr>
          <w:p w:rsidR="00F26CDC" w:rsidRPr="007D6BCA" w:rsidRDefault="00F26CDC" w:rsidP="00CA64A0">
            <w:pPr>
              <w:jc w:val="both"/>
              <w:rPr>
                <w:rFonts w:ascii="Arial" w:hAnsi="Arial" w:cs="Arial"/>
                <w:color w:val="000000"/>
              </w:rPr>
            </w:pPr>
            <w:r w:rsidRPr="007D6BCA">
              <w:rPr>
                <w:rFonts w:ascii="Arial" w:hAnsi="Arial" w:cs="Arial"/>
                <w:color w:val="000000"/>
              </w:rPr>
              <w:t>The PBAC did not recommend the listing of carbohydrate formula with minerals for the treatment of proven inborn errors of protein metabolism and proven inborn errors of fat metabolism. The PBAC noted the risks of potential product wastage due to a high maximum quantity, and the lack of clari</w:t>
            </w:r>
            <w:r w:rsidR="00B643C4" w:rsidRPr="007D6BCA">
              <w:rPr>
                <w:rFonts w:ascii="Arial" w:hAnsi="Arial" w:cs="Arial"/>
                <w:color w:val="000000"/>
              </w:rPr>
              <w:t>ty surrounding the indications which could potentially result</w:t>
            </w:r>
            <w:r w:rsidRPr="007D6BCA">
              <w:rPr>
                <w:rFonts w:ascii="Arial" w:hAnsi="Arial" w:cs="Arial"/>
                <w:color w:val="000000"/>
              </w:rPr>
              <w:t xml:space="preserve"> in use outside of the intended patient population.</w:t>
            </w:r>
          </w:p>
          <w:p w:rsidR="00F26CDC" w:rsidRPr="007D6BCA" w:rsidRDefault="00F26CDC" w:rsidP="002F0461">
            <w:pPr>
              <w:rPr>
                <w:rFonts w:ascii="Arial" w:hAnsi="Arial" w:cs="Arial"/>
                <w:color w:val="000000"/>
              </w:rPr>
            </w:pPr>
          </w:p>
        </w:tc>
      </w:tr>
      <w:tr w:rsidR="00F26CDC" w:rsidRPr="007D6BCA" w:rsidTr="00BB7B87">
        <w:trPr>
          <w:cantSplit/>
          <w:trHeight w:val="639"/>
        </w:trPr>
        <w:tc>
          <w:tcPr>
            <w:tcW w:w="2977" w:type="dxa"/>
            <w:vMerge/>
            <w:tcMar>
              <w:top w:w="28" w:type="dxa"/>
              <w:bottom w:w="28" w:type="dxa"/>
            </w:tcMar>
          </w:tcPr>
          <w:p w:rsidR="00F26CDC" w:rsidRPr="007D6BCA" w:rsidRDefault="00F26CDC" w:rsidP="00CE0136">
            <w:pPr>
              <w:rPr>
                <w:rFonts w:ascii="Arial" w:hAnsi="Arial" w:cs="Arial"/>
              </w:rPr>
            </w:pPr>
          </w:p>
        </w:tc>
        <w:tc>
          <w:tcPr>
            <w:tcW w:w="2126" w:type="dxa"/>
            <w:vMerge/>
          </w:tcPr>
          <w:p w:rsidR="00F26CDC" w:rsidRPr="007D6BCA" w:rsidRDefault="00F26CDC" w:rsidP="00CE0136">
            <w:pPr>
              <w:widowControl w:val="0"/>
              <w:rPr>
                <w:rFonts w:ascii="Arial" w:hAnsi="Arial" w:cs="Arial"/>
                <w:snapToGrid w:val="0"/>
                <w:lang w:eastAsia="en-US"/>
              </w:rPr>
            </w:pPr>
          </w:p>
        </w:tc>
        <w:tc>
          <w:tcPr>
            <w:tcW w:w="3261" w:type="dxa"/>
            <w:tcMar>
              <w:top w:w="28" w:type="dxa"/>
              <w:bottom w:w="28" w:type="dxa"/>
            </w:tcMar>
          </w:tcPr>
          <w:p w:rsidR="00F26CDC" w:rsidRPr="007D6BCA" w:rsidRDefault="00F26CDC" w:rsidP="00CE0136">
            <w:pPr>
              <w:rPr>
                <w:rFonts w:ascii="Arial" w:hAnsi="Arial" w:cs="Arial"/>
                <w:bCs/>
                <w:color w:val="000000"/>
              </w:rPr>
            </w:pPr>
            <w:r w:rsidRPr="007D6BCA">
              <w:rPr>
                <w:rFonts w:ascii="Arial" w:hAnsi="Arial" w:cs="Arial"/>
                <w:bCs/>
                <w:color w:val="000000"/>
              </w:rPr>
              <w:t>Sponsor comment:</w:t>
            </w:r>
          </w:p>
        </w:tc>
        <w:tc>
          <w:tcPr>
            <w:tcW w:w="6947" w:type="dxa"/>
          </w:tcPr>
          <w:p w:rsidR="00F26CDC" w:rsidRPr="007D6BCA" w:rsidRDefault="00F519CA" w:rsidP="00CE0136">
            <w:pPr>
              <w:pStyle w:val="ListParagraph"/>
              <w:ind w:left="0"/>
              <w:jc w:val="both"/>
              <w:rPr>
                <w:rFonts w:ascii="Arial" w:hAnsi="Arial" w:cs="Arial"/>
                <w:iCs/>
                <w:sz w:val="20"/>
                <w:szCs w:val="20"/>
              </w:rPr>
            </w:pPr>
            <w:r>
              <w:rPr>
                <w:rFonts w:ascii="Arial" w:hAnsi="Arial" w:cs="Arial"/>
                <w:iCs/>
                <w:sz w:val="20"/>
                <w:szCs w:val="20"/>
              </w:rPr>
              <w:t>The sponsor had no comment.</w:t>
            </w:r>
          </w:p>
        </w:tc>
      </w:tr>
      <w:tr w:rsidR="008B10F5" w:rsidRPr="007D6BCA" w:rsidTr="00BB7B87">
        <w:trPr>
          <w:trHeight w:val="1492"/>
        </w:trPr>
        <w:tc>
          <w:tcPr>
            <w:tcW w:w="2977" w:type="dxa"/>
            <w:vMerge w:val="restart"/>
            <w:tcMar>
              <w:top w:w="28" w:type="dxa"/>
              <w:bottom w:w="28" w:type="dxa"/>
            </w:tcMar>
          </w:tcPr>
          <w:p w:rsidR="008B10F5" w:rsidRDefault="008B10F5" w:rsidP="005B6EB7">
            <w:pPr>
              <w:rPr>
                <w:rFonts w:ascii="Arial" w:hAnsi="Arial" w:cs="Arial"/>
                <w:color w:val="000000"/>
              </w:rPr>
            </w:pPr>
            <w:r w:rsidRPr="007D6BCA">
              <w:rPr>
                <w:rFonts w:ascii="Arial" w:hAnsi="Arial" w:cs="Arial"/>
                <w:color w:val="000000"/>
              </w:rPr>
              <w:t>CARFILZOMIB</w:t>
            </w:r>
            <w:r w:rsidRPr="007D6BCA">
              <w:rPr>
                <w:rFonts w:ascii="Arial" w:hAnsi="Arial" w:cs="Arial"/>
                <w:color w:val="000000"/>
              </w:rPr>
              <w:br/>
            </w:r>
            <w:r w:rsidRPr="007D6BCA">
              <w:rPr>
                <w:rFonts w:ascii="Arial" w:hAnsi="Arial" w:cs="Arial"/>
                <w:color w:val="000000"/>
              </w:rPr>
              <w:br/>
              <w:t>Powder for I.V. infusion 30 mg</w:t>
            </w:r>
            <w:r w:rsidRPr="007D6BCA">
              <w:rPr>
                <w:rFonts w:ascii="Arial" w:hAnsi="Arial" w:cs="Arial"/>
                <w:color w:val="000000"/>
              </w:rPr>
              <w:br/>
              <w:t>Powder for I.V. infusion 60 mg</w:t>
            </w:r>
            <w:r w:rsidRPr="007D6BCA">
              <w:rPr>
                <w:rFonts w:ascii="Arial" w:hAnsi="Arial" w:cs="Arial"/>
                <w:color w:val="000000"/>
              </w:rPr>
              <w:br/>
            </w:r>
            <w:r w:rsidRPr="007D6BCA">
              <w:rPr>
                <w:rFonts w:ascii="Arial" w:hAnsi="Arial" w:cs="Arial"/>
                <w:color w:val="000000"/>
              </w:rPr>
              <w:br/>
              <w:t>Kyprolis®</w:t>
            </w:r>
            <w:r w:rsidRPr="007D6BCA">
              <w:rPr>
                <w:rFonts w:ascii="Arial" w:hAnsi="Arial" w:cs="Arial"/>
                <w:color w:val="000000"/>
              </w:rPr>
              <w:br/>
            </w:r>
            <w:r w:rsidRPr="007D6BCA">
              <w:rPr>
                <w:rFonts w:ascii="Arial" w:hAnsi="Arial" w:cs="Arial"/>
                <w:color w:val="000000"/>
              </w:rPr>
              <w:br/>
              <w:t>Amgen Australia Pty Ltd</w:t>
            </w:r>
          </w:p>
          <w:p w:rsidR="00343535" w:rsidRDefault="00343535" w:rsidP="005B6EB7">
            <w:pPr>
              <w:rPr>
                <w:rFonts w:ascii="Arial" w:hAnsi="Arial" w:cs="Arial"/>
                <w:color w:val="000000"/>
              </w:rPr>
            </w:pPr>
          </w:p>
          <w:p w:rsidR="00343535" w:rsidRPr="007D6BCA" w:rsidRDefault="00343535" w:rsidP="00343535">
            <w:pPr>
              <w:rPr>
                <w:rFonts w:ascii="Arial" w:hAnsi="Arial" w:cs="Arial"/>
                <w:color w:val="000000"/>
              </w:rPr>
            </w:pPr>
            <w:r w:rsidRPr="007D6BCA">
              <w:rPr>
                <w:rFonts w:ascii="Arial" w:hAnsi="Arial" w:cs="Arial"/>
                <w:color w:val="000000"/>
              </w:rPr>
              <w:t>New listing</w:t>
            </w:r>
          </w:p>
          <w:p w:rsidR="00343535" w:rsidRPr="007D6BCA" w:rsidRDefault="00343535" w:rsidP="00343535">
            <w:pPr>
              <w:rPr>
                <w:rFonts w:ascii="Arial" w:hAnsi="Arial" w:cs="Arial"/>
                <w:color w:val="000000"/>
              </w:rPr>
            </w:pPr>
          </w:p>
          <w:p w:rsidR="00343535" w:rsidRPr="007D6BCA" w:rsidRDefault="00343535" w:rsidP="00343535">
            <w:pPr>
              <w:rPr>
                <w:rFonts w:ascii="Arial" w:hAnsi="Arial" w:cs="Arial"/>
                <w:color w:val="000000"/>
              </w:rPr>
            </w:pPr>
            <w:r w:rsidRPr="007D6BCA">
              <w:rPr>
                <w:rFonts w:ascii="Arial" w:hAnsi="Arial" w:cs="Arial"/>
                <w:color w:val="000000"/>
              </w:rPr>
              <w:t>(M</w:t>
            </w:r>
            <w:r>
              <w:rPr>
                <w:rFonts w:ascii="Arial" w:hAnsi="Arial" w:cs="Arial"/>
                <w:color w:val="000000"/>
              </w:rPr>
              <w:t>ajor</w:t>
            </w:r>
            <w:r w:rsidRPr="007D6BCA">
              <w:rPr>
                <w:rFonts w:ascii="Arial" w:hAnsi="Arial" w:cs="Arial"/>
                <w:color w:val="000000"/>
              </w:rPr>
              <w:t xml:space="preserve"> submission)</w:t>
            </w:r>
          </w:p>
        </w:tc>
        <w:tc>
          <w:tcPr>
            <w:tcW w:w="2126" w:type="dxa"/>
            <w:vMerge w:val="restart"/>
          </w:tcPr>
          <w:p w:rsidR="008B10F5" w:rsidRPr="007D6BCA" w:rsidRDefault="008B10F5" w:rsidP="005B6EB7">
            <w:pPr>
              <w:rPr>
                <w:rFonts w:ascii="Arial" w:hAnsi="Arial" w:cs="Arial"/>
              </w:rPr>
            </w:pPr>
            <w:r w:rsidRPr="007D6BCA">
              <w:rPr>
                <w:rFonts w:ascii="Arial" w:hAnsi="Arial" w:cs="Arial"/>
              </w:rPr>
              <w:t>Multiple myeloma</w:t>
            </w:r>
          </w:p>
        </w:tc>
        <w:tc>
          <w:tcPr>
            <w:tcW w:w="3261" w:type="dxa"/>
            <w:tcMar>
              <w:top w:w="28" w:type="dxa"/>
              <w:bottom w:w="28" w:type="dxa"/>
            </w:tcMar>
          </w:tcPr>
          <w:p w:rsidR="008B10F5" w:rsidRPr="007D6BCA" w:rsidRDefault="008B10F5" w:rsidP="005B6EB7">
            <w:pPr>
              <w:rPr>
                <w:rFonts w:ascii="Arial" w:hAnsi="Arial" w:cs="Arial"/>
                <w:color w:val="000000"/>
              </w:rPr>
            </w:pPr>
            <w:r w:rsidRPr="007D6BCA">
              <w:rPr>
                <w:rFonts w:ascii="Arial" w:hAnsi="Arial" w:cs="Arial"/>
                <w:color w:val="000000"/>
              </w:rPr>
              <w:t>To request a Section 100 (Efficient Funding of Chemotherapy) Authority Required listing for the treatment of multiple myeloma in patients failing one prior line of treatment.</w:t>
            </w:r>
          </w:p>
        </w:tc>
        <w:tc>
          <w:tcPr>
            <w:tcW w:w="6947" w:type="dxa"/>
          </w:tcPr>
          <w:p w:rsidR="008B10F5" w:rsidRPr="007D6BCA" w:rsidRDefault="008B10F5" w:rsidP="008B10F5">
            <w:pPr>
              <w:widowControl w:val="0"/>
              <w:contextualSpacing/>
              <w:jc w:val="both"/>
              <w:rPr>
                <w:rFonts w:ascii="Arial" w:hAnsi="Arial" w:cs="Arial"/>
                <w:color w:val="000000"/>
              </w:rPr>
            </w:pPr>
            <w:r w:rsidRPr="007D6BCA">
              <w:rPr>
                <w:rFonts w:ascii="Arial" w:hAnsi="Arial" w:cs="Arial"/>
                <w:color w:val="000000"/>
              </w:rPr>
              <w:t>The PBAC did not recommend the listing of carfilzomib for the treatment of relapsed or refractory multiple myeloma in combination with dexamethasone (Cd) or in combination with lenalidomide and dexamethasone (CLd) on the basis of high and uncertain incremental cost effectiveness ratios (ICERs).</w:t>
            </w:r>
          </w:p>
          <w:p w:rsidR="008B10F5" w:rsidRPr="007D6BCA" w:rsidRDefault="008B10F5" w:rsidP="008B10F5">
            <w:pPr>
              <w:widowControl w:val="0"/>
              <w:contextualSpacing/>
              <w:jc w:val="both"/>
              <w:rPr>
                <w:rFonts w:ascii="Arial" w:hAnsi="Arial" w:cs="Arial"/>
                <w:color w:val="000000"/>
              </w:rPr>
            </w:pPr>
          </w:p>
          <w:p w:rsidR="008B10F5" w:rsidRPr="007D6BCA" w:rsidRDefault="008B10F5" w:rsidP="008B10F5">
            <w:pPr>
              <w:widowControl w:val="0"/>
              <w:contextualSpacing/>
              <w:jc w:val="both"/>
              <w:rPr>
                <w:rFonts w:ascii="Arial" w:hAnsi="Arial" w:cs="Arial"/>
                <w:color w:val="000000"/>
              </w:rPr>
            </w:pPr>
            <w:r w:rsidRPr="007D6BCA">
              <w:rPr>
                <w:rFonts w:ascii="Arial" w:hAnsi="Arial" w:cs="Arial"/>
                <w:color w:val="000000"/>
              </w:rPr>
              <w:t>The PBAC noted that the sponsor requested listings for Cd alone (Scenario 1) and for both Cd and CLd (Scenario 2), but not for CLd alone. The PBAC noted the submission did not address the different patient populations likely to be treated with CLd versus C</w:t>
            </w:r>
            <w:r w:rsidR="00EE1D86">
              <w:rPr>
                <w:rFonts w:ascii="Arial" w:hAnsi="Arial" w:cs="Arial"/>
                <w:color w:val="000000"/>
              </w:rPr>
              <w:t>d if both were available</w:t>
            </w:r>
            <w:r w:rsidRPr="007D6BCA">
              <w:rPr>
                <w:rFonts w:ascii="Arial" w:hAnsi="Arial" w:cs="Arial"/>
                <w:color w:val="000000"/>
              </w:rPr>
              <w:t xml:space="preserve"> and considered the role of CLd versus Cd in clinical practice was unclear.</w:t>
            </w:r>
          </w:p>
          <w:p w:rsidR="008B10F5" w:rsidRPr="007D6BCA" w:rsidRDefault="008B10F5" w:rsidP="008B10F5">
            <w:pPr>
              <w:widowControl w:val="0"/>
              <w:contextualSpacing/>
              <w:jc w:val="both"/>
              <w:rPr>
                <w:rFonts w:ascii="Arial" w:hAnsi="Arial" w:cs="Arial"/>
                <w:color w:val="000000"/>
              </w:rPr>
            </w:pPr>
          </w:p>
          <w:p w:rsidR="008B10F5" w:rsidRPr="007D6BCA" w:rsidRDefault="008B10F5" w:rsidP="008B10F5">
            <w:pPr>
              <w:widowControl w:val="0"/>
              <w:contextualSpacing/>
              <w:jc w:val="both"/>
              <w:rPr>
                <w:rFonts w:ascii="Arial" w:hAnsi="Arial" w:cs="Arial"/>
                <w:color w:val="000000"/>
              </w:rPr>
            </w:pPr>
            <w:r w:rsidRPr="007D6BCA">
              <w:rPr>
                <w:rFonts w:ascii="Arial" w:hAnsi="Arial" w:cs="Arial"/>
                <w:color w:val="000000"/>
              </w:rPr>
              <w:t xml:space="preserve">The PBAC considered that the claim of superior comparative effectiveness of Cd over its comparator, bortezomib plus dexamethasone (Bd), for Scenario 1 was reasonable. The PBAC did not accept this claim for Scenario 2. The PBAC considered that if CLd was available, the population </w:t>
            </w:r>
            <w:r w:rsidRPr="007D6BCA">
              <w:rPr>
                <w:rFonts w:ascii="Arial" w:hAnsi="Arial" w:cs="Arial"/>
                <w:color w:val="000000"/>
              </w:rPr>
              <w:lastRenderedPageBreak/>
              <w:t xml:space="preserve">most likely to receive Cd would be the subgroup of patients who could not tolerate or were refractory to lenalidomide, and noted that there was no conclusive evidence that Cd was of superior efficacy over Bd in this subgroup of patients. </w:t>
            </w:r>
          </w:p>
          <w:p w:rsidR="008B10F5" w:rsidRPr="007D6BCA" w:rsidRDefault="008B10F5" w:rsidP="008B10F5">
            <w:pPr>
              <w:widowControl w:val="0"/>
              <w:contextualSpacing/>
              <w:jc w:val="both"/>
              <w:rPr>
                <w:rFonts w:ascii="Arial" w:hAnsi="Arial" w:cs="Arial"/>
                <w:color w:val="000000"/>
              </w:rPr>
            </w:pPr>
          </w:p>
          <w:p w:rsidR="008B10F5" w:rsidRPr="007D6BCA" w:rsidRDefault="008B10F5" w:rsidP="008B10F5">
            <w:pPr>
              <w:widowControl w:val="0"/>
              <w:contextualSpacing/>
              <w:jc w:val="both"/>
              <w:rPr>
                <w:rFonts w:ascii="Arial" w:hAnsi="Arial" w:cs="Arial"/>
                <w:color w:val="000000"/>
              </w:rPr>
            </w:pPr>
            <w:r w:rsidRPr="007D6BCA">
              <w:rPr>
                <w:rFonts w:ascii="Arial" w:hAnsi="Arial" w:cs="Arial"/>
                <w:color w:val="000000"/>
              </w:rPr>
              <w:t>The PBAC considered that the claim of superior efficacy of CLd over its comparator, lenalidomide plus dexamethasone (Ld)</w:t>
            </w:r>
            <w:r w:rsidR="00DD5DF3" w:rsidRPr="007D6BCA">
              <w:rPr>
                <w:rFonts w:ascii="Arial" w:hAnsi="Arial" w:cs="Arial"/>
                <w:color w:val="000000"/>
              </w:rPr>
              <w:t>,</w:t>
            </w:r>
            <w:r w:rsidRPr="007D6BCA">
              <w:rPr>
                <w:rFonts w:ascii="Arial" w:hAnsi="Arial" w:cs="Arial"/>
                <w:color w:val="000000"/>
              </w:rPr>
              <w:t xml:space="preserve"> was adequately supported by the data for the progression free survival outcome but not for the overall survival outcome, as the difference was not statistically significant when adjusted for multiplicity.</w:t>
            </w:r>
          </w:p>
          <w:p w:rsidR="008B10F5" w:rsidRPr="007D6BCA" w:rsidRDefault="008B10F5" w:rsidP="008B10F5">
            <w:pPr>
              <w:widowControl w:val="0"/>
              <w:contextualSpacing/>
              <w:jc w:val="both"/>
              <w:rPr>
                <w:rFonts w:ascii="Arial" w:hAnsi="Arial" w:cs="Arial"/>
                <w:color w:val="000000"/>
              </w:rPr>
            </w:pPr>
          </w:p>
          <w:p w:rsidR="008B10F5" w:rsidRPr="007D6BCA" w:rsidRDefault="008B10F5" w:rsidP="008B10F5">
            <w:pPr>
              <w:widowControl w:val="0"/>
              <w:contextualSpacing/>
              <w:jc w:val="both"/>
              <w:rPr>
                <w:rFonts w:ascii="Arial" w:hAnsi="Arial" w:cs="Arial"/>
                <w:color w:val="000000"/>
              </w:rPr>
            </w:pPr>
            <w:r w:rsidRPr="007D6BCA">
              <w:rPr>
                <w:rFonts w:ascii="Arial" w:hAnsi="Arial" w:cs="Arial"/>
                <w:color w:val="000000"/>
              </w:rPr>
              <w:t>The PBAC accepted the claim that Cd had a different safety profile compared with Bd, and that CLd was of inferior safety compared to placebo plus Ld. The PBAC noted that patients taking Cd had a significantly lower rate of peripheral neuropathy related adverse events, but that the rate of any grade 3 or higher treatment-related adverse events was not significantly different to Bd.</w:t>
            </w:r>
          </w:p>
          <w:p w:rsidR="008B10F5" w:rsidRPr="007D6BCA" w:rsidRDefault="008B10F5" w:rsidP="008B10F5">
            <w:pPr>
              <w:widowControl w:val="0"/>
              <w:contextualSpacing/>
              <w:jc w:val="both"/>
              <w:rPr>
                <w:rFonts w:ascii="Arial" w:hAnsi="Arial" w:cs="Arial"/>
                <w:color w:val="000000"/>
              </w:rPr>
            </w:pPr>
          </w:p>
          <w:p w:rsidR="008B10F5" w:rsidRPr="007D6BCA" w:rsidRDefault="008B10F5" w:rsidP="008D4AB8">
            <w:pPr>
              <w:widowControl w:val="0"/>
              <w:contextualSpacing/>
              <w:jc w:val="both"/>
              <w:rPr>
                <w:rFonts w:ascii="Arial" w:hAnsi="Arial" w:cs="Arial"/>
                <w:color w:val="000000"/>
              </w:rPr>
            </w:pPr>
            <w:r w:rsidRPr="007D6BCA">
              <w:rPr>
                <w:rFonts w:ascii="Arial" w:hAnsi="Arial" w:cs="Arial"/>
                <w:color w:val="000000"/>
              </w:rPr>
              <w:t>The PBAC considered that the incremental cost per quality-adjusted life year gained was uncertain and high. The PBAC considered the modelled overall survival gains with carfilzomib to be uncertain because the data from the clinical trials are immature and the differences were not statistically significant. Furthermore, the PBAC noted concerns with a number of assumptions in the economic model which favoured carfilzomib and hence considered that the base case ICERs were likely to be substantially underestimated. The PBAC also noted that the overall financial impact of listing carfilzomib was high and likely underestimated.</w:t>
            </w:r>
          </w:p>
        </w:tc>
      </w:tr>
      <w:tr w:rsidR="00441267" w:rsidRPr="007D6BCA" w:rsidTr="00BB7B87">
        <w:trPr>
          <w:cantSplit/>
          <w:trHeight w:val="639"/>
        </w:trPr>
        <w:tc>
          <w:tcPr>
            <w:tcW w:w="2977" w:type="dxa"/>
            <w:vMerge/>
            <w:tcMar>
              <w:top w:w="28" w:type="dxa"/>
              <w:bottom w:w="28" w:type="dxa"/>
            </w:tcMar>
          </w:tcPr>
          <w:p w:rsidR="00441267" w:rsidRPr="007D6BCA" w:rsidRDefault="00441267">
            <w:pPr>
              <w:rPr>
                <w:rFonts w:ascii="Arial" w:hAnsi="Arial" w:cs="Arial"/>
              </w:rPr>
            </w:pPr>
          </w:p>
        </w:tc>
        <w:tc>
          <w:tcPr>
            <w:tcW w:w="2126" w:type="dxa"/>
            <w:vMerge/>
          </w:tcPr>
          <w:p w:rsidR="00441267" w:rsidRPr="007D6BCA" w:rsidRDefault="00441267">
            <w:pPr>
              <w:widowControl w:val="0"/>
              <w:rPr>
                <w:rFonts w:ascii="Arial" w:hAnsi="Arial" w:cs="Arial"/>
                <w:snapToGrid w:val="0"/>
                <w:lang w:eastAsia="en-US"/>
              </w:rPr>
            </w:pPr>
          </w:p>
        </w:tc>
        <w:tc>
          <w:tcPr>
            <w:tcW w:w="3261" w:type="dxa"/>
            <w:tcMar>
              <w:top w:w="28" w:type="dxa"/>
              <w:bottom w:w="28" w:type="dxa"/>
            </w:tcMar>
          </w:tcPr>
          <w:p w:rsidR="00441267" w:rsidRPr="007D6BCA" w:rsidRDefault="00441267">
            <w:pPr>
              <w:rPr>
                <w:rFonts w:ascii="Arial" w:hAnsi="Arial" w:cs="Arial"/>
                <w:bCs/>
                <w:color w:val="000000"/>
              </w:rPr>
            </w:pPr>
            <w:r w:rsidRPr="007D6BCA">
              <w:rPr>
                <w:rFonts w:ascii="Arial" w:hAnsi="Arial" w:cs="Arial"/>
                <w:bCs/>
                <w:color w:val="000000"/>
              </w:rPr>
              <w:t>Sponsor comment:</w:t>
            </w:r>
          </w:p>
        </w:tc>
        <w:tc>
          <w:tcPr>
            <w:tcW w:w="6947" w:type="dxa"/>
          </w:tcPr>
          <w:p w:rsidR="00441267" w:rsidRPr="007D6BCA" w:rsidRDefault="00217D2B">
            <w:pPr>
              <w:pStyle w:val="ListParagraph"/>
              <w:ind w:left="0"/>
              <w:jc w:val="both"/>
              <w:rPr>
                <w:rFonts w:ascii="Arial" w:hAnsi="Arial" w:cs="Arial"/>
                <w:iCs/>
                <w:sz w:val="20"/>
                <w:szCs w:val="20"/>
              </w:rPr>
            </w:pPr>
            <w:r w:rsidRPr="00217D2B">
              <w:rPr>
                <w:rFonts w:ascii="Arial" w:hAnsi="Arial" w:cs="Arial"/>
                <w:iCs/>
                <w:sz w:val="20"/>
                <w:szCs w:val="20"/>
              </w:rPr>
              <w:t>Carfilzomib (Kyprolis®) is an effective and well tolerated treatment for refractory or relapsed multiple myeloma and provides a useful addition to existing therapies. Amgen will continue to work with the PBAC to ensure that Australian patients with myeloma are able to access carfilzomib on the PBS as soon as possible.</w:t>
            </w:r>
          </w:p>
        </w:tc>
      </w:tr>
      <w:tr w:rsidR="007D6BCA" w:rsidRPr="007D6BCA" w:rsidTr="00BB7B87">
        <w:trPr>
          <w:trHeight w:val="546"/>
        </w:trPr>
        <w:tc>
          <w:tcPr>
            <w:tcW w:w="2977" w:type="dxa"/>
            <w:vMerge w:val="restart"/>
            <w:tcMar>
              <w:top w:w="28" w:type="dxa"/>
              <w:bottom w:w="28" w:type="dxa"/>
            </w:tcMar>
          </w:tcPr>
          <w:p w:rsidR="007D6BCA" w:rsidRPr="007D6BCA" w:rsidRDefault="007D6BCA" w:rsidP="0035407C">
            <w:pPr>
              <w:rPr>
                <w:rFonts w:ascii="Arial" w:hAnsi="Arial" w:cs="Arial"/>
                <w:color w:val="000000"/>
              </w:rPr>
            </w:pPr>
            <w:r w:rsidRPr="007D6BCA">
              <w:rPr>
                <w:rFonts w:ascii="Arial" w:hAnsi="Arial" w:cs="Arial"/>
                <w:color w:val="000000"/>
              </w:rPr>
              <w:t>FLUTICASONE with SALMETEROL</w:t>
            </w:r>
            <w:r w:rsidRPr="007D6BCA">
              <w:rPr>
                <w:rFonts w:ascii="Arial" w:hAnsi="Arial" w:cs="Arial"/>
                <w:color w:val="000000"/>
              </w:rPr>
              <w:br/>
            </w:r>
            <w:r w:rsidRPr="007D6BCA">
              <w:rPr>
                <w:rFonts w:ascii="Arial" w:hAnsi="Arial" w:cs="Arial"/>
                <w:color w:val="000000"/>
              </w:rPr>
              <w:br/>
              <w:t xml:space="preserve">Powder for inhalation containing fluticasone </w:t>
            </w:r>
            <w:r w:rsidRPr="007D6BCA">
              <w:rPr>
                <w:rFonts w:ascii="Arial" w:hAnsi="Arial" w:cs="Arial"/>
                <w:color w:val="000000"/>
              </w:rPr>
              <w:lastRenderedPageBreak/>
              <w:t>propionate 500 micrograms with salmeterol (as xinafoate) 50 micrograms per dose</w:t>
            </w:r>
            <w:r w:rsidRPr="007D6BCA">
              <w:rPr>
                <w:rFonts w:ascii="Arial" w:hAnsi="Arial" w:cs="Arial"/>
                <w:color w:val="000000"/>
              </w:rPr>
              <w:br/>
            </w:r>
            <w:r w:rsidRPr="007D6BCA">
              <w:rPr>
                <w:rFonts w:ascii="Arial" w:hAnsi="Arial" w:cs="Arial"/>
                <w:color w:val="000000"/>
              </w:rPr>
              <w:br/>
              <w:t>Airflusal</w:t>
            </w:r>
            <w:r>
              <w:rPr>
                <w:rFonts w:ascii="Arial" w:hAnsi="Arial" w:cs="Arial"/>
                <w:color w:val="000000"/>
              </w:rPr>
              <w:t>®</w:t>
            </w:r>
            <w:r w:rsidRPr="007D6BCA">
              <w:rPr>
                <w:rFonts w:ascii="Arial" w:hAnsi="Arial" w:cs="Arial"/>
                <w:color w:val="000000"/>
              </w:rPr>
              <w:t xml:space="preserve"> Forspiro</w:t>
            </w:r>
            <w:r>
              <w:rPr>
                <w:rFonts w:ascii="Arial" w:hAnsi="Arial" w:cs="Arial"/>
                <w:color w:val="000000"/>
              </w:rPr>
              <w:t>®</w:t>
            </w:r>
            <w:r w:rsidRPr="007D6BCA">
              <w:rPr>
                <w:rFonts w:ascii="Arial" w:hAnsi="Arial" w:cs="Arial"/>
                <w:color w:val="000000"/>
              </w:rPr>
              <w:t xml:space="preserve"> 500/50</w:t>
            </w:r>
            <w:r w:rsidRPr="007D6BCA">
              <w:rPr>
                <w:rFonts w:ascii="Arial" w:hAnsi="Arial" w:cs="Arial"/>
                <w:color w:val="000000"/>
              </w:rPr>
              <w:br/>
            </w:r>
            <w:r w:rsidRPr="007D6BCA">
              <w:rPr>
                <w:rFonts w:ascii="Arial" w:hAnsi="Arial" w:cs="Arial"/>
                <w:color w:val="000000"/>
              </w:rPr>
              <w:br/>
              <w:t>Sandoz Pty Ltd</w:t>
            </w:r>
          </w:p>
          <w:p w:rsidR="007D6BCA" w:rsidRPr="007D6BCA" w:rsidRDefault="007D6BCA" w:rsidP="0035407C">
            <w:pPr>
              <w:rPr>
                <w:rFonts w:ascii="Arial" w:hAnsi="Arial" w:cs="Arial"/>
                <w:color w:val="000000"/>
              </w:rPr>
            </w:pPr>
          </w:p>
          <w:p w:rsidR="007D6BCA" w:rsidRPr="007D6BCA" w:rsidRDefault="007D6BCA" w:rsidP="0035407C">
            <w:pPr>
              <w:rPr>
                <w:rFonts w:ascii="Arial" w:hAnsi="Arial" w:cs="Arial"/>
                <w:color w:val="000000"/>
              </w:rPr>
            </w:pPr>
            <w:r w:rsidRPr="007D6BCA">
              <w:rPr>
                <w:rFonts w:ascii="Arial" w:hAnsi="Arial" w:cs="Arial"/>
                <w:color w:val="000000"/>
              </w:rPr>
              <w:t>New listing</w:t>
            </w:r>
          </w:p>
          <w:p w:rsidR="007D6BCA" w:rsidRPr="007D6BCA" w:rsidRDefault="007D6BCA" w:rsidP="0035407C">
            <w:pPr>
              <w:rPr>
                <w:rFonts w:ascii="Arial" w:hAnsi="Arial" w:cs="Arial"/>
                <w:color w:val="000000"/>
              </w:rPr>
            </w:pPr>
          </w:p>
          <w:p w:rsidR="007D6BCA" w:rsidRPr="007D6BCA" w:rsidRDefault="007D6BCA" w:rsidP="0035407C">
            <w:pPr>
              <w:rPr>
                <w:rFonts w:ascii="Arial" w:hAnsi="Arial" w:cs="Arial"/>
                <w:color w:val="000000"/>
              </w:rPr>
            </w:pPr>
            <w:r w:rsidRPr="007D6BCA">
              <w:rPr>
                <w:rFonts w:ascii="Arial" w:hAnsi="Arial" w:cs="Arial"/>
                <w:color w:val="000000"/>
              </w:rPr>
              <w:t>(Major submission)</w:t>
            </w:r>
          </w:p>
        </w:tc>
        <w:tc>
          <w:tcPr>
            <w:tcW w:w="2126" w:type="dxa"/>
            <w:vMerge w:val="restart"/>
          </w:tcPr>
          <w:p w:rsidR="007D6BCA" w:rsidRPr="007D6BCA" w:rsidRDefault="007D6BCA" w:rsidP="0035407C">
            <w:pPr>
              <w:rPr>
                <w:rFonts w:ascii="Arial" w:hAnsi="Arial" w:cs="Arial"/>
              </w:rPr>
            </w:pPr>
            <w:r w:rsidRPr="007D6BCA">
              <w:rPr>
                <w:rFonts w:ascii="Arial" w:hAnsi="Arial" w:cs="Arial"/>
                <w:color w:val="000000"/>
              </w:rPr>
              <w:lastRenderedPageBreak/>
              <w:t>Asthma and chronic obstructive pulmonary disease (COPD)</w:t>
            </w:r>
          </w:p>
        </w:tc>
        <w:tc>
          <w:tcPr>
            <w:tcW w:w="3261" w:type="dxa"/>
            <w:tcMar>
              <w:top w:w="28" w:type="dxa"/>
              <w:bottom w:w="28" w:type="dxa"/>
            </w:tcMar>
          </w:tcPr>
          <w:p w:rsidR="007D6BCA" w:rsidRPr="007D6BCA" w:rsidRDefault="007D6BCA" w:rsidP="0035407C">
            <w:pPr>
              <w:rPr>
                <w:rFonts w:ascii="Arial" w:hAnsi="Arial" w:cs="Arial"/>
                <w:color w:val="000000"/>
              </w:rPr>
            </w:pPr>
            <w:r w:rsidRPr="007D6BCA">
              <w:rPr>
                <w:rFonts w:ascii="Arial" w:hAnsi="Arial" w:cs="Arial"/>
                <w:color w:val="000000"/>
              </w:rPr>
              <w:t>To request the Restricted Benefit listing for asthma and COPD, with an age restriction of 18 years and older.</w:t>
            </w:r>
          </w:p>
        </w:tc>
        <w:tc>
          <w:tcPr>
            <w:tcW w:w="6947" w:type="dxa"/>
          </w:tcPr>
          <w:p w:rsidR="007D6BCA" w:rsidRPr="007D6BCA" w:rsidRDefault="007D6BCA" w:rsidP="0035407C">
            <w:pPr>
              <w:jc w:val="both"/>
              <w:rPr>
                <w:rFonts w:ascii="Arial" w:hAnsi="Arial" w:cs="Arial"/>
                <w:color w:val="000000"/>
              </w:rPr>
            </w:pPr>
            <w:r w:rsidRPr="007D6BCA">
              <w:rPr>
                <w:rFonts w:ascii="Arial" w:hAnsi="Arial" w:cs="Arial"/>
                <w:color w:val="000000"/>
              </w:rPr>
              <w:t xml:space="preserve">The PBAC decided not to recommend a Restricted Benefit listing of a new brand of fluticasone with salmeterol, AirFluSal® Forspiro® 500, for the treatment of asthma and COPD due to the inability to back titrate the dose with a similar device. The PBAC was concerned that there was only a single high strength available with this delivery device which may cause patients to </w:t>
            </w:r>
            <w:r w:rsidRPr="007D6BCA">
              <w:rPr>
                <w:rFonts w:ascii="Arial" w:hAnsi="Arial" w:cs="Arial"/>
                <w:color w:val="000000"/>
              </w:rPr>
              <w:lastRenderedPageBreak/>
              <w:t>remain on a clinically inappropriately high dose. The PBAC concluded that there was no clinical need to list this new brand of fluticasone with salmeterol on the PBS.</w:t>
            </w:r>
          </w:p>
        </w:tc>
      </w:tr>
      <w:tr w:rsidR="007D6BCA" w:rsidRPr="007D6BCA" w:rsidTr="00BB7B87">
        <w:trPr>
          <w:trHeight w:val="546"/>
        </w:trPr>
        <w:tc>
          <w:tcPr>
            <w:tcW w:w="2977" w:type="dxa"/>
            <w:vMerge/>
            <w:tcMar>
              <w:top w:w="28" w:type="dxa"/>
              <w:bottom w:w="28" w:type="dxa"/>
            </w:tcMar>
          </w:tcPr>
          <w:p w:rsidR="007D6BCA" w:rsidRPr="007D6BCA" w:rsidRDefault="007D6BCA" w:rsidP="005B6EB7">
            <w:pPr>
              <w:rPr>
                <w:rFonts w:ascii="Arial" w:hAnsi="Arial" w:cs="Arial"/>
                <w:color w:val="000000"/>
              </w:rPr>
            </w:pPr>
          </w:p>
        </w:tc>
        <w:tc>
          <w:tcPr>
            <w:tcW w:w="2126" w:type="dxa"/>
            <w:vMerge/>
          </w:tcPr>
          <w:p w:rsidR="007D6BCA" w:rsidRPr="007D6BCA" w:rsidRDefault="007D6BCA">
            <w:pPr>
              <w:rPr>
                <w:rFonts w:ascii="Arial" w:hAnsi="Arial" w:cs="Arial"/>
                <w:color w:val="000000"/>
              </w:rPr>
            </w:pPr>
          </w:p>
        </w:tc>
        <w:tc>
          <w:tcPr>
            <w:tcW w:w="3261" w:type="dxa"/>
            <w:tcMar>
              <w:top w:w="28" w:type="dxa"/>
              <w:bottom w:w="28" w:type="dxa"/>
            </w:tcMar>
          </w:tcPr>
          <w:p w:rsidR="007D6BCA" w:rsidRPr="007D6BCA" w:rsidRDefault="007D6BCA">
            <w:pPr>
              <w:rPr>
                <w:rFonts w:ascii="Arial" w:hAnsi="Arial" w:cs="Arial"/>
                <w:color w:val="000000"/>
              </w:rPr>
            </w:pPr>
            <w:r w:rsidRPr="007D6BCA">
              <w:rPr>
                <w:rFonts w:ascii="Arial" w:hAnsi="Arial" w:cs="Arial"/>
                <w:bCs/>
                <w:color w:val="000000"/>
              </w:rPr>
              <w:t>Sponsor comment:</w:t>
            </w:r>
          </w:p>
        </w:tc>
        <w:tc>
          <w:tcPr>
            <w:tcW w:w="6947" w:type="dxa"/>
          </w:tcPr>
          <w:p w:rsidR="00413C6D" w:rsidRPr="00413C6D" w:rsidRDefault="00413C6D" w:rsidP="00413C6D">
            <w:pPr>
              <w:rPr>
                <w:rFonts w:ascii="Arial" w:hAnsi="Arial" w:cs="Arial"/>
                <w:color w:val="000000"/>
              </w:rPr>
            </w:pPr>
            <w:r w:rsidRPr="00413C6D">
              <w:rPr>
                <w:rFonts w:ascii="Arial" w:hAnsi="Arial" w:cs="Arial"/>
                <w:color w:val="000000"/>
              </w:rPr>
              <w:t xml:space="preserve">The sponsor is disappointed with the PBAC outcome for Airflusal® Forspiro® 500/50. We respectfully disagree with the concerns raised. From a safety and efficacy perspective, these concerns have been thoroughly addressed with the Therapeutic Goods Administration, including advisory statements that lower strength presentations are available for the patient to titrate back to, either as a dry powder formulation or a metered dose inhaler. </w:t>
            </w:r>
          </w:p>
          <w:p w:rsidR="007D6BCA" w:rsidRPr="007D6BCA" w:rsidRDefault="00413C6D" w:rsidP="00413C6D">
            <w:pPr>
              <w:rPr>
                <w:rFonts w:ascii="Arial" w:hAnsi="Arial" w:cs="Arial"/>
                <w:color w:val="000000"/>
              </w:rPr>
            </w:pPr>
            <w:r w:rsidRPr="00413C6D">
              <w:rPr>
                <w:rFonts w:ascii="Arial" w:hAnsi="Arial" w:cs="Arial"/>
                <w:color w:val="000000"/>
              </w:rPr>
              <w:t>The sponsor will continue to work with the PBAC to ensure Airflusal® Forspiro® 500/50 will be available to Australian patients for the treatment of Asthma and COPD.</w:t>
            </w:r>
          </w:p>
        </w:tc>
      </w:tr>
      <w:tr w:rsidR="00560B84" w:rsidRPr="007D6BCA" w:rsidTr="00BB7B87">
        <w:trPr>
          <w:trHeight w:val="546"/>
        </w:trPr>
        <w:tc>
          <w:tcPr>
            <w:tcW w:w="2977" w:type="dxa"/>
            <w:vMerge w:val="restart"/>
            <w:tcMar>
              <w:top w:w="28" w:type="dxa"/>
              <w:bottom w:w="28" w:type="dxa"/>
            </w:tcMar>
          </w:tcPr>
          <w:p w:rsidR="00560B84" w:rsidRPr="007D6BCA" w:rsidRDefault="00560B84" w:rsidP="005B6EB7">
            <w:pPr>
              <w:rPr>
                <w:rFonts w:ascii="Arial" w:hAnsi="Arial" w:cs="Arial"/>
                <w:color w:val="000000"/>
              </w:rPr>
            </w:pPr>
            <w:r w:rsidRPr="007D6BCA">
              <w:rPr>
                <w:rFonts w:ascii="Arial" w:hAnsi="Arial" w:cs="Arial"/>
                <w:color w:val="000000"/>
              </w:rPr>
              <w:t>IBRUTINIB</w:t>
            </w:r>
          </w:p>
          <w:p w:rsidR="00560B84" w:rsidRPr="007D6BCA" w:rsidRDefault="00560B84" w:rsidP="005B6EB7">
            <w:pPr>
              <w:rPr>
                <w:rFonts w:ascii="Arial" w:hAnsi="Arial" w:cs="Arial"/>
                <w:color w:val="000000"/>
              </w:rPr>
            </w:pPr>
          </w:p>
          <w:p w:rsidR="00560B84" w:rsidRPr="007D6BCA" w:rsidRDefault="00560B84" w:rsidP="00690FAA">
            <w:pPr>
              <w:rPr>
                <w:rFonts w:ascii="Arial" w:hAnsi="Arial" w:cs="Arial"/>
                <w:color w:val="000000"/>
              </w:rPr>
            </w:pPr>
            <w:r w:rsidRPr="007D6BCA">
              <w:rPr>
                <w:rFonts w:ascii="Arial" w:hAnsi="Arial" w:cs="Arial"/>
                <w:color w:val="000000"/>
              </w:rPr>
              <w:br w:type="page"/>
            </w:r>
            <w:r w:rsidRPr="007D6BCA">
              <w:rPr>
                <w:rFonts w:ascii="Arial" w:hAnsi="Arial" w:cs="Arial"/>
                <w:color w:val="000000"/>
              </w:rPr>
              <w:br w:type="page"/>
              <w:t>Capsule 140 mg</w:t>
            </w:r>
            <w:r w:rsidRPr="007D6BCA">
              <w:rPr>
                <w:rFonts w:ascii="Arial" w:hAnsi="Arial" w:cs="Arial"/>
                <w:color w:val="000000"/>
              </w:rPr>
              <w:br w:type="page"/>
            </w:r>
            <w:r w:rsidRPr="007D6BCA">
              <w:rPr>
                <w:rFonts w:ascii="Arial" w:hAnsi="Arial" w:cs="Arial"/>
                <w:color w:val="000000"/>
              </w:rPr>
              <w:br w:type="page"/>
            </w:r>
          </w:p>
          <w:p w:rsidR="00560B84" w:rsidRPr="007D6BCA" w:rsidRDefault="00560B84" w:rsidP="00690FAA">
            <w:pPr>
              <w:rPr>
                <w:rFonts w:ascii="Arial" w:hAnsi="Arial" w:cs="Arial"/>
                <w:color w:val="000000"/>
              </w:rPr>
            </w:pPr>
          </w:p>
          <w:p w:rsidR="00560B84" w:rsidRPr="007D6BCA" w:rsidRDefault="00560B84" w:rsidP="00690FAA">
            <w:pPr>
              <w:rPr>
                <w:rFonts w:ascii="Arial" w:hAnsi="Arial" w:cs="Arial"/>
                <w:color w:val="000000"/>
              </w:rPr>
            </w:pPr>
            <w:r w:rsidRPr="007D6BCA">
              <w:rPr>
                <w:rFonts w:ascii="Arial" w:hAnsi="Arial" w:cs="Arial"/>
                <w:color w:val="000000"/>
              </w:rPr>
              <w:t>Imbruvica®</w:t>
            </w:r>
            <w:r w:rsidRPr="007D6BCA">
              <w:rPr>
                <w:rFonts w:ascii="Arial" w:hAnsi="Arial" w:cs="Arial"/>
                <w:color w:val="000000"/>
              </w:rPr>
              <w:br w:type="page"/>
            </w:r>
            <w:r w:rsidRPr="007D6BCA">
              <w:rPr>
                <w:rFonts w:ascii="Arial" w:hAnsi="Arial" w:cs="Arial"/>
                <w:color w:val="000000"/>
              </w:rPr>
              <w:br w:type="page"/>
            </w:r>
          </w:p>
          <w:p w:rsidR="00560B84" w:rsidRPr="007D6BCA" w:rsidRDefault="00560B84">
            <w:pPr>
              <w:rPr>
                <w:rFonts w:ascii="Arial" w:hAnsi="Arial" w:cs="Arial"/>
                <w:color w:val="000000"/>
              </w:rPr>
            </w:pPr>
          </w:p>
          <w:p w:rsidR="00560B84" w:rsidRPr="007D6BCA" w:rsidRDefault="00560B84">
            <w:pPr>
              <w:rPr>
                <w:rFonts w:ascii="Arial" w:hAnsi="Arial" w:cs="Arial"/>
                <w:color w:val="000000"/>
              </w:rPr>
            </w:pPr>
            <w:r w:rsidRPr="007D6BCA">
              <w:rPr>
                <w:rFonts w:ascii="Arial" w:hAnsi="Arial" w:cs="Arial"/>
                <w:color w:val="000000"/>
              </w:rPr>
              <w:t>Janssen-Cilag Pty Ltd</w:t>
            </w:r>
          </w:p>
          <w:p w:rsidR="00DA38FD" w:rsidRPr="007D6BCA" w:rsidRDefault="00DA38FD">
            <w:pPr>
              <w:rPr>
                <w:rFonts w:ascii="Arial" w:hAnsi="Arial" w:cs="Arial"/>
                <w:color w:val="000000"/>
              </w:rPr>
            </w:pPr>
          </w:p>
          <w:p w:rsidR="00DA38FD" w:rsidRPr="007D6BCA" w:rsidRDefault="00DA38FD">
            <w:pPr>
              <w:rPr>
                <w:rFonts w:ascii="Arial" w:hAnsi="Arial" w:cs="Arial"/>
                <w:color w:val="000000"/>
              </w:rPr>
            </w:pPr>
            <w:r w:rsidRPr="007D6BCA">
              <w:rPr>
                <w:rFonts w:ascii="Arial" w:hAnsi="Arial" w:cs="Arial"/>
                <w:color w:val="000000"/>
              </w:rPr>
              <w:t>New listing</w:t>
            </w:r>
          </w:p>
          <w:p w:rsidR="00DA38FD" w:rsidRPr="007D6BCA" w:rsidRDefault="00DA38FD">
            <w:pPr>
              <w:rPr>
                <w:rFonts w:ascii="Arial" w:hAnsi="Arial" w:cs="Arial"/>
                <w:color w:val="000000"/>
              </w:rPr>
            </w:pPr>
          </w:p>
          <w:p w:rsidR="00DA38FD" w:rsidRPr="007D6BCA" w:rsidRDefault="00DA38FD">
            <w:pPr>
              <w:rPr>
                <w:rFonts w:ascii="Arial" w:hAnsi="Arial" w:cs="Arial"/>
                <w:color w:val="000000"/>
              </w:rPr>
            </w:pPr>
            <w:r w:rsidRPr="007D6BCA">
              <w:rPr>
                <w:rFonts w:ascii="Arial" w:hAnsi="Arial" w:cs="Arial"/>
                <w:color w:val="000000"/>
              </w:rPr>
              <w:t>(Major submission)</w:t>
            </w:r>
          </w:p>
        </w:tc>
        <w:tc>
          <w:tcPr>
            <w:tcW w:w="2126" w:type="dxa"/>
            <w:vMerge w:val="restart"/>
          </w:tcPr>
          <w:p w:rsidR="00560B84" w:rsidRPr="007D6BCA" w:rsidRDefault="005E5270">
            <w:pPr>
              <w:rPr>
                <w:rFonts w:ascii="Arial" w:hAnsi="Arial" w:cs="Arial"/>
              </w:rPr>
            </w:pPr>
            <w:r w:rsidRPr="007D6BCA">
              <w:rPr>
                <w:rFonts w:ascii="Arial" w:hAnsi="Arial" w:cs="Arial"/>
                <w:color w:val="000000"/>
              </w:rPr>
              <w:t>Relapsed or refractory mantle cell lymphoma</w:t>
            </w:r>
          </w:p>
        </w:tc>
        <w:tc>
          <w:tcPr>
            <w:tcW w:w="3261" w:type="dxa"/>
            <w:tcMar>
              <w:top w:w="28" w:type="dxa"/>
              <w:bottom w:w="28" w:type="dxa"/>
            </w:tcMar>
          </w:tcPr>
          <w:p w:rsidR="00560B84" w:rsidRPr="007D6BCA" w:rsidRDefault="00FE49CF">
            <w:pPr>
              <w:rPr>
                <w:rFonts w:ascii="Arial" w:hAnsi="Arial" w:cs="Arial"/>
                <w:color w:val="000000"/>
              </w:rPr>
            </w:pPr>
            <w:r w:rsidRPr="007D6BCA">
              <w:rPr>
                <w:rFonts w:ascii="Arial" w:hAnsi="Arial" w:cs="Arial"/>
                <w:color w:val="000000"/>
              </w:rPr>
              <w:t>To request an Authority Required listing for the treatment of relapsed or refractory mantle cell lymphoma.</w:t>
            </w:r>
          </w:p>
        </w:tc>
        <w:tc>
          <w:tcPr>
            <w:tcW w:w="6947" w:type="dxa"/>
          </w:tcPr>
          <w:p w:rsidR="00651CA1" w:rsidRPr="007D6BCA" w:rsidRDefault="00651CA1" w:rsidP="00651CA1">
            <w:pPr>
              <w:rPr>
                <w:rFonts w:ascii="Arial" w:hAnsi="Arial" w:cs="Arial"/>
                <w:color w:val="000000"/>
              </w:rPr>
            </w:pPr>
            <w:r w:rsidRPr="007D6BCA">
              <w:rPr>
                <w:rFonts w:ascii="Arial" w:hAnsi="Arial" w:cs="Arial"/>
                <w:color w:val="000000"/>
              </w:rPr>
              <w:t>The PBAC did not recommend the listing of ibrutinib on the PBS for the treatment of mantle cell lymphoma on the basis of high and uncertain cost-effectiveness at the requested price</w:t>
            </w:r>
            <w:r w:rsidR="002D3547" w:rsidRPr="007D6BCA">
              <w:rPr>
                <w:rFonts w:ascii="Arial" w:hAnsi="Arial" w:cs="Arial"/>
                <w:color w:val="000000"/>
              </w:rPr>
              <w:t>.</w:t>
            </w:r>
            <w:r w:rsidRPr="007D6BCA">
              <w:rPr>
                <w:rFonts w:ascii="Arial" w:hAnsi="Arial" w:cs="Arial"/>
                <w:color w:val="000000"/>
              </w:rPr>
              <w:t xml:space="preserve"> The PBAC considered the magnitude of the clinical benefit was uncertain. This was because the comparator in the randomised trial (temsirolimus) was not relevant to Australian clinical practice, and the assumption that the efficacy of temsirolimus was the same as for </w:t>
            </w:r>
            <w:r w:rsidR="00B643C4" w:rsidRPr="007D6BCA">
              <w:rPr>
                <w:rFonts w:ascii="Arial" w:hAnsi="Arial" w:cs="Arial"/>
                <w:color w:val="000000"/>
              </w:rPr>
              <w:t>rituximab, cyclophosphamide, doxorubicin, vincristine and prednisone (R-CHOP)</w:t>
            </w:r>
            <w:r w:rsidRPr="007D6BCA">
              <w:rPr>
                <w:rFonts w:ascii="Arial" w:hAnsi="Arial" w:cs="Arial"/>
                <w:color w:val="000000"/>
              </w:rPr>
              <w:t>, the nominated comparator for the submission, was based on naïve indirect comparisons. Further, the PBAC were of the view that a number of the assumptions used in the estimation of the cost-effectiveness were optimistic, and noted that the incremental cost-effectiveness ratio (ICER) was therefore likely to be higher than estimated in the submission.</w:t>
            </w:r>
          </w:p>
          <w:p w:rsidR="00651CA1" w:rsidRPr="007D6BCA" w:rsidRDefault="00651CA1" w:rsidP="00651CA1">
            <w:pPr>
              <w:rPr>
                <w:rFonts w:ascii="Arial" w:hAnsi="Arial" w:cs="Arial"/>
                <w:color w:val="000000"/>
              </w:rPr>
            </w:pPr>
          </w:p>
          <w:p w:rsidR="00651CA1" w:rsidRPr="007D6BCA" w:rsidRDefault="00651CA1" w:rsidP="00651CA1">
            <w:pPr>
              <w:rPr>
                <w:rFonts w:ascii="Arial" w:hAnsi="Arial" w:cs="Arial"/>
                <w:color w:val="000000"/>
              </w:rPr>
            </w:pPr>
            <w:r w:rsidRPr="007D6BCA">
              <w:rPr>
                <w:rFonts w:ascii="Arial" w:hAnsi="Arial" w:cs="Arial"/>
                <w:color w:val="000000"/>
              </w:rPr>
              <w:t xml:space="preserve">The PBAC considered that the claim of superior comparative effectiveness </w:t>
            </w:r>
            <w:r w:rsidR="00B643C4" w:rsidRPr="007D6BCA">
              <w:rPr>
                <w:rFonts w:ascii="Arial" w:hAnsi="Arial" w:cs="Arial"/>
                <w:color w:val="000000"/>
              </w:rPr>
              <w:t xml:space="preserve">on the basis of a naïve indirect comparison to </w:t>
            </w:r>
            <w:r w:rsidRPr="007D6BCA">
              <w:rPr>
                <w:rFonts w:ascii="Arial" w:hAnsi="Arial" w:cs="Arial"/>
                <w:color w:val="000000"/>
              </w:rPr>
              <w:t>R-CHOP was reasonable based on the endpoint of progression free survival</w:t>
            </w:r>
            <w:r w:rsidR="00D96C82">
              <w:rPr>
                <w:rFonts w:ascii="Arial" w:hAnsi="Arial" w:cs="Arial"/>
                <w:color w:val="000000"/>
              </w:rPr>
              <w:t>. H</w:t>
            </w:r>
            <w:r w:rsidRPr="007D6BCA">
              <w:rPr>
                <w:rFonts w:ascii="Arial" w:hAnsi="Arial" w:cs="Arial"/>
                <w:color w:val="000000"/>
              </w:rPr>
              <w:t>owever</w:t>
            </w:r>
            <w:r w:rsidR="00B643C4" w:rsidRPr="007D6BCA">
              <w:rPr>
                <w:rFonts w:ascii="Arial" w:hAnsi="Arial" w:cs="Arial"/>
                <w:color w:val="000000"/>
              </w:rPr>
              <w:t>,</w:t>
            </w:r>
            <w:r w:rsidRPr="007D6BCA">
              <w:rPr>
                <w:rFonts w:ascii="Arial" w:hAnsi="Arial" w:cs="Arial"/>
                <w:color w:val="000000"/>
              </w:rPr>
              <w:t xml:space="preserve"> the magnitude of the benefit </w:t>
            </w:r>
            <w:r w:rsidR="00B643C4" w:rsidRPr="007D6BCA">
              <w:rPr>
                <w:rFonts w:ascii="Arial" w:hAnsi="Arial" w:cs="Arial"/>
                <w:color w:val="000000"/>
              </w:rPr>
              <w:t xml:space="preserve">was considered </w:t>
            </w:r>
            <w:r w:rsidRPr="007D6BCA">
              <w:rPr>
                <w:rFonts w:ascii="Arial" w:hAnsi="Arial" w:cs="Arial"/>
                <w:color w:val="000000"/>
              </w:rPr>
              <w:t xml:space="preserve">to be uncertain. The PBAC </w:t>
            </w:r>
            <w:r w:rsidR="00B643C4" w:rsidRPr="007D6BCA">
              <w:rPr>
                <w:rFonts w:ascii="Arial" w:hAnsi="Arial" w:cs="Arial"/>
                <w:color w:val="000000"/>
              </w:rPr>
              <w:t>noted that</w:t>
            </w:r>
            <w:r w:rsidRPr="007D6BCA">
              <w:rPr>
                <w:rFonts w:ascii="Arial" w:hAnsi="Arial" w:cs="Arial"/>
                <w:color w:val="000000"/>
              </w:rPr>
              <w:t xml:space="preserve"> a statistically significant gain </w:t>
            </w:r>
            <w:r w:rsidR="008164EE" w:rsidRPr="007D6BCA">
              <w:rPr>
                <w:rFonts w:ascii="Arial" w:hAnsi="Arial" w:cs="Arial"/>
                <w:color w:val="000000"/>
              </w:rPr>
              <w:t xml:space="preserve">in overall survival </w:t>
            </w:r>
            <w:r w:rsidRPr="007D6BCA">
              <w:rPr>
                <w:rFonts w:ascii="Arial" w:hAnsi="Arial" w:cs="Arial"/>
                <w:color w:val="000000"/>
              </w:rPr>
              <w:t>was not demonstrated in the MCL-3001 trial.</w:t>
            </w:r>
          </w:p>
          <w:p w:rsidR="00651CA1" w:rsidRPr="007D6BCA" w:rsidRDefault="00651CA1" w:rsidP="00651CA1">
            <w:pPr>
              <w:rPr>
                <w:rFonts w:ascii="Arial" w:hAnsi="Arial" w:cs="Arial"/>
                <w:color w:val="000000"/>
              </w:rPr>
            </w:pPr>
          </w:p>
          <w:p w:rsidR="00651CA1" w:rsidRPr="007D6BCA" w:rsidRDefault="00651CA1" w:rsidP="00651CA1">
            <w:pPr>
              <w:rPr>
                <w:rFonts w:ascii="Arial" w:hAnsi="Arial" w:cs="Arial"/>
                <w:color w:val="000000"/>
              </w:rPr>
            </w:pPr>
            <w:r w:rsidRPr="007D6BCA">
              <w:rPr>
                <w:rFonts w:ascii="Arial" w:hAnsi="Arial" w:cs="Arial"/>
                <w:color w:val="000000"/>
              </w:rPr>
              <w:t>The PBAC considered that the claim of superior comparative safety over R</w:t>
            </w:r>
            <w:r w:rsidR="00B643C4" w:rsidRPr="007D6BCA">
              <w:rPr>
                <w:rFonts w:ascii="Arial" w:hAnsi="Arial" w:cs="Arial"/>
                <w:color w:val="000000"/>
              </w:rPr>
              <w:noBreakHyphen/>
            </w:r>
            <w:r w:rsidRPr="007D6BCA">
              <w:rPr>
                <w:rFonts w:ascii="Arial" w:hAnsi="Arial" w:cs="Arial"/>
                <w:color w:val="000000"/>
              </w:rPr>
              <w:t xml:space="preserve">CHOP was not adequately supported by the data. The PBAC noted that ibrutinib appears to be associated with a reduced risk of neutropenia, </w:t>
            </w:r>
            <w:r w:rsidR="00117FBB" w:rsidRPr="007D6BCA">
              <w:rPr>
                <w:rFonts w:ascii="Arial" w:hAnsi="Arial" w:cs="Arial"/>
                <w:color w:val="000000"/>
              </w:rPr>
              <w:t xml:space="preserve">however also </w:t>
            </w:r>
            <w:r w:rsidRPr="007D6BCA">
              <w:rPr>
                <w:rFonts w:ascii="Arial" w:hAnsi="Arial" w:cs="Arial"/>
                <w:color w:val="000000"/>
              </w:rPr>
              <w:t>noted the emerging data suggesting ibrutinib may be associated with an increased risk of atrial fibrillation.</w:t>
            </w:r>
          </w:p>
          <w:p w:rsidR="00651CA1" w:rsidRPr="007D6BCA" w:rsidRDefault="00651CA1" w:rsidP="00651CA1">
            <w:pPr>
              <w:rPr>
                <w:rFonts w:ascii="Arial" w:hAnsi="Arial" w:cs="Arial"/>
                <w:color w:val="000000"/>
              </w:rPr>
            </w:pPr>
          </w:p>
          <w:p w:rsidR="00560B84" w:rsidRPr="007D6BCA" w:rsidRDefault="00651CA1" w:rsidP="00651CA1">
            <w:pPr>
              <w:rPr>
                <w:rFonts w:ascii="Arial" w:hAnsi="Arial" w:cs="Arial"/>
                <w:color w:val="000000"/>
              </w:rPr>
            </w:pPr>
            <w:r w:rsidRPr="007D6BCA">
              <w:rPr>
                <w:rFonts w:ascii="Arial" w:hAnsi="Arial" w:cs="Arial"/>
                <w:color w:val="000000"/>
              </w:rPr>
              <w:t>The PBAC considered the incremental cost-effectiveness ratio of $75,000-$105,000 to be uncertain and unacceptably high at the requested price.</w:t>
            </w:r>
          </w:p>
        </w:tc>
      </w:tr>
      <w:tr w:rsidR="00560B84" w:rsidRPr="007D6BCA" w:rsidTr="00BB7B87">
        <w:trPr>
          <w:cantSplit/>
          <w:trHeight w:val="639"/>
        </w:trPr>
        <w:tc>
          <w:tcPr>
            <w:tcW w:w="2977" w:type="dxa"/>
            <w:vMerge/>
            <w:tcMar>
              <w:top w:w="28" w:type="dxa"/>
              <w:bottom w:w="28" w:type="dxa"/>
            </w:tcMar>
          </w:tcPr>
          <w:p w:rsidR="00560B84" w:rsidRPr="007D6BCA" w:rsidRDefault="00560B84">
            <w:pPr>
              <w:rPr>
                <w:rFonts w:ascii="Arial" w:hAnsi="Arial" w:cs="Arial"/>
              </w:rPr>
            </w:pPr>
          </w:p>
        </w:tc>
        <w:tc>
          <w:tcPr>
            <w:tcW w:w="2126" w:type="dxa"/>
            <w:vMerge/>
          </w:tcPr>
          <w:p w:rsidR="00560B84" w:rsidRPr="007D6BCA" w:rsidRDefault="00560B84">
            <w:pPr>
              <w:widowControl w:val="0"/>
              <w:rPr>
                <w:rFonts w:ascii="Arial" w:hAnsi="Arial" w:cs="Arial"/>
                <w:snapToGrid w:val="0"/>
                <w:lang w:eastAsia="en-US"/>
              </w:rPr>
            </w:pPr>
          </w:p>
        </w:tc>
        <w:tc>
          <w:tcPr>
            <w:tcW w:w="3261" w:type="dxa"/>
            <w:tcMar>
              <w:top w:w="28" w:type="dxa"/>
              <w:bottom w:w="28" w:type="dxa"/>
            </w:tcMar>
          </w:tcPr>
          <w:p w:rsidR="00560B84" w:rsidRPr="00C23EB2" w:rsidRDefault="00FE49CF">
            <w:pPr>
              <w:rPr>
                <w:rFonts w:ascii="Arial" w:hAnsi="Arial" w:cs="Arial"/>
                <w:bCs/>
                <w:color w:val="000000"/>
                <w:highlight w:val="yellow"/>
              </w:rPr>
            </w:pPr>
            <w:r w:rsidRPr="00393FF5">
              <w:rPr>
                <w:rFonts w:ascii="Arial" w:hAnsi="Arial" w:cs="Arial"/>
                <w:bCs/>
                <w:color w:val="000000"/>
              </w:rPr>
              <w:t>Sponsor comment:</w:t>
            </w:r>
          </w:p>
        </w:tc>
        <w:tc>
          <w:tcPr>
            <w:tcW w:w="6947" w:type="dxa"/>
          </w:tcPr>
          <w:p w:rsidR="00560B84" w:rsidRPr="00C23EB2" w:rsidRDefault="00393FF5">
            <w:pPr>
              <w:pStyle w:val="ListParagraph"/>
              <w:ind w:left="0"/>
              <w:jc w:val="both"/>
              <w:rPr>
                <w:rFonts w:ascii="Arial" w:hAnsi="Arial" w:cs="Arial"/>
                <w:iCs/>
                <w:sz w:val="20"/>
                <w:szCs w:val="20"/>
                <w:highlight w:val="yellow"/>
              </w:rPr>
            </w:pPr>
            <w:r w:rsidRPr="00BF3003">
              <w:rPr>
                <w:rFonts w:ascii="Arial" w:hAnsi="Arial" w:cs="Arial"/>
                <w:sz w:val="20"/>
              </w:rPr>
              <w:t xml:space="preserve">Janssen is disappointed that the PBAC did not recommend ibrutinib for the treatment of relapsed or refractory MCL. Janssen agrees with the PBAC that there is a clinical need for effective and well tolerated treatments for relapsed or refractory MCL. The submission presented a phase 3 randomised trial which demonstrates that ibrutinib can address this unmet clinical need. However, consistent with its position for relapsed or refractory </w:t>
            </w:r>
            <w:r w:rsidR="00BA5C83">
              <w:rPr>
                <w:rFonts w:ascii="Arial" w:hAnsi="Arial" w:cs="Arial"/>
                <w:sz w:val="20"/>
              </w:rPr>
              <w:t>c</w:t>
            </w:r>
            <w:r w:rsidR="00BA5C83" w:rsidRPr="00BA5C83">
              <w:rPr>
                <w:rFonts w:ascii="Arial" w:hAnsi="Arial" w:cs="Arial"/>
                <w:sz w:val="20"/>
              </w:rPr>
              <w:t>hronic lymphocytic leukaemia</w:t>
            </w:r>
            <w:r w:rsidRPr="00BF3003">
              <w:rPr>
                <w:rFonts w:ascii="Arial" w:hAnsi="Arial" w:cs="Arial"/>
                <w:sz w:val="20"/>
              </w:rPr>
              <w:t>, Janssen is concerned by the conservative assumptions required by the PBAC which underestimates the significant benefit and value of ibrutinib. Janssen are engaging with the PBAC to work towards a resolution.</w:t>
            </w:r>
          </w:p>
        </w:tc>
      </w:tr>
      <w:tr w:rsidR="00560B84" w:rsidRPr="007D6BCA" w:rsidTr="00BB7B87">
        <w:trPr>
          <w:cantSplit/>
          <w:trHeight w:val="546"/>
        </w:trPr>
        <w:tc>
          <w:tcPr>
            <w:tcW w:w="2977" w:type="dxa"/>
            <w:vMerge w:val="restart"/>
            <w:tcMar>
              <w:top w:w="28" w:type="dxa"/>
              <w:bottom w:w="28" w:type="dxa"/>
            </w:tcMar>
          </w:tcPr>
          <w:p w:rsidR="00560B84" w:rsidRPr="007D6BCA" w:rsidRDefault="008C3523" w:rsidP="005B6EB7">
            <w:pPr>
              <w:rPr>
                <w:rFonts w:ascii="Arial" w:hAnsi="Arial" w:cs="Arial"/>
                <w:color w:val="000000"/>
              </w:rPr>
            </w:pPr>
            <w:r w:rsidRPr="007D6BCA">
              <w:rPr>
                <w:rFonts w:ascii="Arial" w:hAnsi="Arial" w:cs="Arial"/>
                <w:color w:val="000000"/>
              </w:rPr>
              <w:t>ICATIBANT</w:t>
            </w:r>
            <w:r w:rsidRPr="007D6BCA">
              <w:rPr>
                <w:rFonts w:ascii="Arial" w:hAnsi="Arial" w:cs="Arial"/>
                <w:color w:val="000000"/>
              </w:rPr>
              <w:br/>
            </w:r>
            <w:r w:rsidRPr="007D6BCA">
              <w:rPr>
                <w:rFonts w:ascii="Arial" w:hAnsi="Arial" w:cs="Arial"/>
                <w:color w:val="000000"/>
              </w:rPr>
              <w:br/>
              <w:t>Injection 30 mg (as acetate) in 3 mL single use pre-filled syringe</w:t>
            </w:r>
            <w:r w:rsidRPr="007D6BCA">
              <w:rPr>
                <w:rFonts w:ascii="Arial" w:hAnsi="Arial" w:cs="Arial"/>
                <w:color w:val="000000"/>
              </w:rPr>
              <w:br/>
            </w:r>
            <w:r w:rsidRPr="007D6BCA">
              <w:rPr>
                <w:rFonts w:ascii="Arial" w:hAnsi="Arial" w:cs="Arial"/>
                <w:color w:val="000000"/>
              </w:rPr>
              <w:br/>
              <w:t>Firazyr®</w:t>
            </w:r>
            <w:r w:rsidRPr="007D6BCA">
              <w:rPr>
                <w:rFonts w:ascii="Arial" w:hAnsi="Arial" w:cs="Arial"/>
                <w:color w:val="000000"/>
              </w:rPr>
              <w:br/>
            </w:r>
            <w:r w:rsidRPr="007D6BCA">
              <w:rPr>
                <w:rFonts w:ascii="Arial" w:hAnsi="Arial" w:cs="Arial"/>
                <w:color w:val="000000"/>
              </w:rPr>
              <w:br/>
              <w:t>Shire Australia Pty Ltd</w:t>
            </w:r>
          </w:p>
          <w:p w:rsidR="00DA38FD" w:rsidRPr="007D6BCA" w:rsidRDefault="00DA38FD" w:rsidP="005B6EB7">
            <w:pPr>
              <w:rPr>
                <w:rFonts w:ascii="Arial" w:hAnsi="Arial" w:cs="Arial"/>
                <w:color w:val="000000"/>
              </w:rPr>
            </w:pPr>
          </w:p>
          <w:p w:rsidR="00DA38FD" w:rsidRPr="007D6BCA" w:rsidRDefault="00DA38FD" w:rsidP="005B6EB7">
            <w:pPr>
              <w:rPr>
                <w:rFonts w:ascii="Arial" w:hAnsi="Arial" w:cs="Arial"/>
                <w:color w:val="000000"/>
              </w:rPr>
            </w:pPr>
            <w:r w:rsidRPr="007D6BCA">
              <w:rPr>
                <w:rFonts w:ascii="Arial" w:hAnsi="Arial" w:cs="Arial"/>
                <w:color w:val="000000"/>
              </w:rPr>
              <w:t>Change to listing</w:t>
            </w:r>
          </w:p>
          <w:p w:rsidR="00DA38FD" w:rsidRPr="007D6BCA" w:rsidRDefault="00DA38FD" w:rsidP="005B6EB7">
            <w:pPr>
              <w:rPr>
                <w:rFonts w:ascii="Arial" w:hAnsi="Arial" w:cs="Arial"/>
                <w:color w:val="000000"/>
              </w:rPr>
            </w:pPr>
          </w:p>
          <w:p w:rsidR="00DA38FD" w:rsidRPr="007D6BCA" w:rsidRDefault="00DA38FD" w:rsidP="005B6EB7">
            <w:pPr>
              <w:rPr>
                <w:rFonts w:ascii="Arial" w:hAnsi="Arial" w:cs="Arial"/>
                <w:color w:val="000000"/>
              </w:rPr>
            </w:pPr>
            <w:r w:rsidRPr="007D6BCA">
              <w:rPr>
                <w:rFonts w:ascii="Arial" w:hAnsi="Arial" w:cs="Arial"/>
                <w:color w:val="000000"/>
              </w:rPr>
              <w:t>(Major submission)</w:t>
            </w:r>
          </w:p>
        </w:tc>
        <w:tc>
          <w:tcPr>
            <w:tcW w:w="2126" w:type="dxa"/>
            <w:vMerge w:val="restart"/>
          </w:tcPr>
          <w:p w:rsidR="00560B84" w:rsidRPr="007D6BCA" w:rsidRDefault="005E5270" w:rsidP="005B6EB7">
            <w:pPr>
              <w:rPr>
                <w:rFonts w:ascii="Arial" w:hAnsi="Arial" w:cs="Arial"/>
              </w:rPr>
            </w:pPr>
            <w:r w:rsidRPr="007D6BCA">
              <w:rPr>
                <w:rFonts w:ascii="Arial" w:hAnsi="Arial" w:cs="Arial"/>
                <w:color w:val="000000"/>
              </w:rPr>
              <w:t>Hereditary angioedema</w:t>
            </w:r>
          </w:p>
        </w:tc>
        <w:tc>
          <w:tcPr>
            <w:tcW w:w="3261" w:type="dxa"/>
            <w:tcMar>
              <w:top w:w="28" w:type="dxa"/>
              <w:bottom w:w="28" w:type="dxa"/>
            </w:tcMar>
          </w:tcPr>
          <w:p w:rsidR="00560B84" w:rsidRPr="007D6BCA" w:rsidRDefault="00FE49CF" w:rsidP="00690FAA">
            <w:pPr>
              <w:rPr>
                <w:rFonts w:ascii="Arial" w:hAnsi="Arial" w:cs="Arial"/>
                <w:color w:val="000000"/>
              </w:rPr>
            </w:pPr>
            <w:r w:rsidRPr="007D6BCA">
              <w:rPr>
                <w:rFonts w:ascii="Arial" w:hAnsi="Arial" w:cs="Arial"/>
                <w:color w:val="000000"/>
              </w:rPr>
              <w:t>To request assessment of the cost-effectiveness of icatibant in the context of the current Australian Society of Clinical Immunology and Allergy (ASCIA) treatment algorithm and June 2016 DUSC review.</w:t>
            </w:r>
          </w:p>
        </w:tc>
        <w:tc>
          <w:tcPr>
            <w:tcW w:w="6947" w:type="dxa"/>
          </w:tcPr>
          <w:p w:rsidR="00C06748" w:rsidRPr="007D6BCA" w:rsidRDefault="00C06748" w:rsidP="001A579F">
            <w:pPr>
              <w:rPr>
                <w:rFonts w:ascii="Arial" w:hAnsi="Arial" w:cs="Arial"/>
                <w:color w:val="000000"/>
              </w:rPr>
            </w:pPr>
            <w:r w:rsidRPr="007D6BCA">
              <w:rPr>
                <w:rFonts w:ascii="Arial" w:hAnsi="Arial" w:cs="Arial"/>
                <w:color w:val="000000"/>
              </w:rPr>
              <w:t xml:space="preserve">The PBAC rejected </w:t>
            </w:r>
            <w:r w:rsidR="005B6EB7" w:rsidRPr="007D6BCA">
              <w:rPr>
                <w:rFonts w:ascii="Arial" w:hAnsi="Arial" w:cs="Arial"/>
                <w:color w:val="000000"/>
              </w:rPr>
              <w:t xml:space="preserve">the </w:t>
            </w:r>
            <w:r w:rsidRPr="007D6BCA">
              <w:rPr>
                <w:rFonts w:ascii="Arial" w:hAnsi="Arial" w:cs="Arial"/>
                <w:color w:val="000000"/>
              </w:rPr>
              <w:t>submission’s claim that the additional use of icatibant reported by DUSC was cost effective on the basis that the revised model presented did not provide a reliable basis for the assessment of cost effectiveness.</w:t>
            </w:r>
          </w:p>
          <w:p w:rsidR="008164EE" w:rsidRPr="007D6BCA" w:rsidRDefault="008164EE" w:rsidP="001A579F">
            <w:pPr>
              <w:rPr>
                <w:rFonts w:ascii="Arial" w:hAnsi="Arial" w:cs="Arial"/>
                <w:color w:val="000000"/>
              </w:rPr>
            </w:pPr>
          </w:p>
          <w:p w:rsidR="00560B84" w:rsidRPr="007D6BCA" w:rsidRDefault="00C06748" w:rsidP="001A579F">
            <w:pPr>
              <w:rPr>
                <w:rFonts w:ascii="Arial" w:hAnsi="Arial" w:cs="Arial"/>
                <w:color w:val="000000"/>
              </w:rPr>
            </w:pPr>
            <w:r w:rsidRPr="007D6BCA">
              <w:rPr>
                <w:rFonts w:ascii="Arial" w:hAnsi="Arial" w:cs="Arial"/>
                <w:color w:val="000000"/>
              </w:rPr>
              <w:t>Furthermore, the PBAC considered that the submission did not provide adequate justification to support the requested increase to the financial caps.</w:t>
            </w:r>
          </w:p>
        </w:tc>
      </w:tr>
      <w:tr w:rsidR="00560B84" w:rsidRPr="007D6BCA" w:rsidTr="00BB7B87">
        <w:trPr>
          <w:cantSplit/>
          <w:trHeight w:val="639"/>
        </w:trPr>
        <w:tc>
          <w:tcPr>
            <w:tcW w:w="2977" w:type="dxa"/>
            <w:vMerge/>
            <w:tcMar>
              <w:top w:w="28" w:type="dxa"/>
              <w:bottom w:w="28" w:type="dxa"/>
            </w:tcMar>
          </w:tcPr>
          <w:p w:rsidR="00560B84" w:rsidRPr="007D6BCA" w:rsidRDefault="00560B84">
            <w:pPr>
              <w:rPr>
                <w:rFonts w:ascii="Arial" w:hAnsi="Arial" w:cs="Arial"/>
              </w:rPr>
            </w:pPr>
          </w:p>
        </w:tc>
        <w:tc>
          <w:tcPr>
            <w:tcW w:w="2126" w:type="dxa"/>
            <w:vMerge/>
          </w:tcPr>
          <w:p w:rsidR="00560B84" w:rsidRPr="007D6BCA" w:rsidRDefault="00560B84">
            <w:pPr>
              <w:widowControl w:val="0"/>
              <w:rPr>
                <w:rFonts w:ascii="Arial" w:hAnsi="Arial" w:cs="Arial"/>
                <w:snapToGrid w:val="0"/>
                <w:lang w:eastAsia="en-US"/>
              </w:rPr>
            </w:pPr>
          </w:p>
        </w:tc>
        <w:tc>
          <w:tcPr>
            <w:tcW w:w="3261" w:type="dxa"/>
            <w:tcMar>
              <w:top w:w="28" w:type="dxa"/>
              <w:bottom w:w="28" w:type="dxa"/>
            </w:tcMar>
          </w:tcPr>
          <w:p w:rsidR="00560B84" w:rsidRPr="007D6BCA" w:rsidRDefault="00FE49CF">
            <w:pPr>
              <w:rPr>
                <w:rFonts w:ascii="Arial" w:hAnsi="Arial" w:cs="Arial"/>
                <w:bCs/>
                <w:color w:val="000000"/>
              </w:rPr>
            </w:pPr>
            <w:r w:rsidRPr="007D6BCA">
              <w:rPr>
                <w:rFonts w:ascii="Arial" w:hAnsi="Arial" w:cs="Arial"/>
                <w:bCs/>
                <w:color w:val="000000"/>
              </w:rPr>
              <w:t>Sponsor comment:</w:t>
            </w:r>
          </w:p>
        </w:tc>
        <w:tc>
          <w:tcPr>
            <w:tcW w:w="6947" w:type="dxa"/>
          </w:tcPr>
          <w:p w:rsidR="00560B84" w:rsidRPr="007D6BCA" w:rsidRDefault="00AE1038">
            <w:pPr>
              <w:pStyle w:val="ListParagraph"/>
              <w:ind w:left="0"/>
              <w:jc w:val="both"/>
              <w:rPr>
                <w:rFonts w:ascii="Arial" w:hAnsi="Arial" w:cs="Arial"/>
                <w:iCs/>
                <w:sz w:val="20"/>
                <w:szCs w:val="20"/>
              </w:rPr>
            </w:pPr>
            <w:r w:rsidRPr="00AE1038">
              <w:rPr>
                <w:rFonts w:ascii="Arial" w:hAnsi="Arial" w:cs="Arial"/>
                <w:iCs/>
                <w:sz w:val="20"/>
                <w:szCs w:val="20"/>
              </w:rPr>
              <w:t>Shire will continue to work with the PBAC and the Department of Health o</w:t>
            </w:r>
            <w:r>
              <w:rPr>
                <w:rFonts w:ascii="Arial" w:hAnsi="Arial" w:cs="Arial"/>
                <w:iCs/>
                <w:sz w:val="20"/>
                <w:szCs w:val="20"/>
              </w:rPr>
              <w:t>n the review of icatibant utilis</w:t>
            </w:r>
            <w:r w:rsidRPr="00AE1038">
              <w:rPr>
                <w:rFonts w:ascii="Arial" w:hAnsi="Arial" w:cs="Arial"/>
                <w:iCs/>
                <w:sz w:val="20"/>
                <w:szCs w:val="20"/>
              </w:rPr>
              <w:t>ation.</w:t>
            </w:r>
          </w:p>
        </w:tc>
      </w:tr>
      <w:tr w:rsidR="00560B84" w:rsidRPr="007D6BCA" w:rsidTr="00BB7B87">
        <w:trPr>
          <w:trHeight w:val="546"/>
        </w:trPr>
        <w:tc>
          <w:tcPr>
            <w:tcW w:w="2977" w:type="dxa"/>
            <w:vMerge w:val="restart"/>
            <w:tcMar>
              <w:top w:w="28" w:type="dxa"/>
              <w:bottom w:w="28" w:type="dxa"/>
            </w:tcMar>
          </w:tcPr>
          <w:p w:rsidR="00560B84" w:rsidRPr="007D6BCA" w:rsidRDefault="008C3523" w:rsidP="005B6EB7">
            <w:pPr>
              <w:rPr>
                <w:rFonts w:ascii="Arial" w:hAnsi="Arial" w:cs="Arial"/>
                <w:color w:val="000000"/>
              </w:rPr>
            </w:pPr>
            <w:r w:rsidRPr="007D6BCA">
              <w:rPr>
                <w:rFonts w:ascii="Arial" w:hAnsi="Arial" w:cs="Arial"/>
                <w:color w:val="000000"/>
              </w:rPr>
              <w:t xml:space="preserve">IRINOTECAN </w:t>
            </w:r>
            <w:r w:rsidRPr="007D6BCA">
              <w:rPr>
                <w:rFonts w:ascii="Arial" w:hAnsi="Arial" w:cs="Arial"/>
                <w:color w:val="000000"/>
              </w:rPr>
              <w:br/>
            </w:r>
            <w:r w:rsidRPr="007D6BCA">
              <w:rPr>
                <w:rFonts w:ascii="Arial" w:hAnsi="Arial" w:cs="Arial"/>
                <w:color w:val="000000"/>
              </w:rPr>
              <w:br/>
            </w:r>
            <w:r w:rsidR="005B6EB7" w:rsidRPr="007D6BCA">
              <w:rPr>
                <w:rFonts w:ascii="Arial" w:hAnsi="Arial" w:cs="Arial"/>
                <w:color w:val="000000"/>
              </w:rPr>
              <w:t>I.V. injection containing nanoliposomal irinotecan 43 mg in 10 mL</w:t>
            </w:r>
            <w:r w:rsidRPr="007D6BCA">
              <w:rPr>
                <w:rFonts w:ascii="Arial" w:hAnsi="Arial" w:cs="Arial"/>
                <w:color w:val="000000"/>
              </w:rPr>
              <w:br/>
            </w:r>
            <w:r w:rsidRPr="007D6BCA">
              <w:rPr>
                <w:rFonts w:ascii="Arial" w:hAnsi="Arial" w:cs="Arial"/>
                <w:color w:val="000000"/>
              </w:rPr>
              <w:br/>
              <w:t>Onivyde®</w:t>
            </w:r>
            <w:r w:rsidRPr="007D6BCA">
              <w:rPr>
                <w:rFonts w:ascii="Arial" w:hAnsi="Arial" w:cs="Arial"/>
                <w:color w:val="000000"/>
              </w:rPr>
              <w:br/>
            </w:r>
            <w:r w:rsidRPr="007D6BCA">
              <w:rPr>
                <w:rFonts w:ascii="Arial" w:hAnsi="Arial" w:cs="Arial"/>
                <w:color w:val="000000"/>
              </w:rPr>
              <w:br/>
            </w:r>
            <w:r w:rsidR="00D04BDA" w:rsidRPr="00D04BDA">
              <w:rPr>
                <w:rFonts w:ascii="Arial" w:hAnsi="Arial" w:cs="Arial"/>
                <w:color w:val="000000"/>
              </w:rPr>
              <w:t>Baxalta Australia Pty Ltd now part of Shire</w:t>
            </w:r>
          </w:p>
          <w:p w:rsidR="00DA38FD" w:rsidRPr="007D6BCA" w:rsidRDefault="00DA38FD" w:rsidP="005B6EB7">
            <w:pPr>
              <w:rPr>
                <w:rFonts w:ascii="Arial" w:hAnsi="Arial" w:cs="Arial"/>
                <w:color w:val="000000"/>
              </w:rPr>
            </w:pPr>
          </w:p>
          <w:p w:rsidR="00DA38FD" w:rsidRPr="007D6BCA" w:rsidRDefault="00DA38FD" w:rsidP="005B6EB7">
            <w:pPr>
              <w:rPr>
                <w:rFonts w:ascii="Arial" w:hAnsi="Arial" w:cs="Arial"/>
                <w:color w:val="000000"/>
              </w:rPr>
            </w:pPr>
            <w:r w:rsidRPr="007D6BCA">
              <w:rPr>
                <w:rFonts w:ascii="Arial" w:hAnsi="Arial" w:cs="Arial"/>
                <w:color w:val="000000"/>
              </w:rPr>
              <w:lastRenderedPageBreak/>
              <w:t>New listing</w:t>
            </w:r>
          </w:p>
          <w:p w:rsidR="00DA38FD" w:rsidRPr="007D6BCA" w:rsidRDefault="00DA38FD" w:rsidP="005B6EB7">
            <w:pPr>
              <w:rPr>
                <w:rFonts w:ascii="Arial" w:hAnsi="Arial" w:cs="Arial"/>
                <w:color w:val="000000"/>
              </w:rPr>
            </w:pPr>
          </w:p>
          <w:p w:rsidR="00DA38FD" w:rsidRPr="007D6BCA" w:rsidRDefault="00DA38FD" w:rsidP="005B6EB7">
            <w:pPr>
              <w:rPr>
                <w:rFonts w:ascii="Arial" w:hAnsi="Arial" w:cs="Arial"/>
                <w:color w:val="000000"/>
              </w:rPr>
            </w:pPr>
            <w:r w:rsidRPr="007D6BCA">
              <w:rPr>
                <w:rFonts w:ascii="Arial" w:hAnsi="Arial" w:cs="Arial"/>
                <w:color w:val="000000"/>
              </w:rPr>
              <w:t>(Major submission)</w:t>
            </w:r>
          </w:p>
        </w:tc>
        <w:tc>
          <w:tcPr>
            <w:tcW w:w="2126" w:type="dxa"/>
            <w:vMerge w:val="restart"/>
          </w:tcPr>
          <w:p w:rsidR="00560B84" w:rsidRPr="007D6BCA" w:rsidRDefault="005E5270" w:rsidP="005B6EB7">
            <w:pPr>
              <w:rPr>
                <w:rFonts w:ascii="Arial" w:hAnsi="Arial" w:cs="Arial"/>
              </w:rPr>
            </w:pPr>
            <w:r w:rsidRPr="007D6BCA">
              <w:rPr>
                <w:rFonts w:ascii="Arial" w:hAnsi="Arial" w:cs="Arial"/>
                <w:color w:val="000000"/>
              </w:rPr>
              <w:lastRenderedPageBreak/>
              <w:t>Metastatic pancreatic cancer</w:t>
            </w:r>
          </w:p>
        </w:tc>
        <w:tc>
          <w:tcPr>
            <w:tcW w:w="3261" w:type="dxa"/>
            <w:tcMar>
              <w:top w:w="28" w:type="dxa"/>
              <w:bottom w:w="28" w:type="dxa"/>
            </w:tcMar>
          </w:tcPr>
          <w:p w:rsidR="00560B84" w:rsidRPr="007D6BCA" w:rsidRDefault="00FE49CF" w:rsidP="005B6EB7">
            <w:pPr>
              <w:rPr>
                <w:rFonts w:ascii="Arial" w:hAnsi="Arial" w:cs="Arial"/>
                <w:color w:val="000000"/>
              </w:rPr>
            </w:pPr>
            <w:r w:rsidRPr="007D6BCA">
              <w:rPr>
                <w:rFonts w:ascii="Arial" w:hAnsi="Arial" w:cs="Arial"/>
                <w:color w:val="000000"/>
              </w:rPr>
              <w:t>To request a Section 100 (Efficient Funding of Chemotherapy) Authority Required (STREAMLINED) listing for use in combination with 5</w:t>
            </w:r>
            <w:r w:rsidR="005B6EB7" w:rsidRPr="007D6BCA">
              <w:rPr>
                <w:rFonts w:ascii="Arial" w:hAnsi="Arial" w:cs="Arial"/>
                <w:color w:val="000000"/>
              </w:rPr>
              <w:noBreakHyphen/>
            </w:r>
            <w:r w:rsidRPr="007D6BCA">
              <w:rPr>
                <w:rFonts w:ascii="Arial" w:hAnsi="Arial" w:cs="Arial"/>
                <w:color w:val="000000"/>
              </w:rPr>
              <w:t>fluorouracil</w:t>
            </w:r>
            <w:r w:rsidR="00813337" w:rsidRPr="007D6BCA">
              <w:rPr>
                <w:rFonts w:ascii="Arial" w:hAnsi="Arial" w:cs="Arial"/>
                <w:color w:val="000000"/>
              </w:rPr>
              <w:t xml:space="preserve"> </w:t>
            </w:r>
            <w:r w:rsidR="008164EE" w:rsidRPr="007D6BCA">
              <w:rPr>
                <w:rFonts w:ascii="Arial" w:hAnsi="Arial" w:cs="Arial"/>
                <w:color w:val="000000"/>
              </w:rPr>
              <w:t>(5-FU)</w:t>
            </w:r>
            <w:r w:rsidRPr="007D6BCA">
              <w:rPr>
                <w:rFonts w:ascii="Arial" w:hAnsi="Arial" w:cs="Arial"/>
                <w:color w:val="000000"/>
              </w:rPr>
              <w:t xml:space="preserve"> and folinic acid, for the treatment of patients with metastatic pancreatic cancer previously treated with a gemcitabine based regimen.</w:t>
            </w:r>
          </w:p>
        </w:tc>
        <w:tc>
          <w:tcPr>
            <w:tcW w:w="6947" w:type="dxa"/>
          </w:tcPr>
          <w:p w:rsidR="007469B7" w:rsidRPr="007D6BCA" w:rsidRDefault="007469B7" w:rsidP="00D96C82">
            <w:pPr>
              <w:jc w:val="both"/>
              <w:rPr>
                <w:rFonts w:ascii="Arial" w:hAnsi="Arial" w:cs="Arial"/>
                <w:color w:val="000000"/>
              </w:rPr>
            </w:pPr>
            <w:r w:rsidRPr="007D6BCA">
              <w:rPr>
                <w:rFonts w:ascii="Arial" w:hAnsi="Arial" w:cs="Arial"/>
                <w:color w:val="000000"/>
              </w:rPr>
              <w:t>The PBAC did not recommend the listing of irinotecan (nanoliposomal) on the basis of an unacceptably high incremental cost for a modest and uncertain incremental clinical benefit. The PBAC acknowledged the high clinical need for effective and well-tolerated therapies for metastatic pancreatic adenocarcinoma, particularly in the context of the poor prognosis for this condition.</w:t>
            </w:r>
          </w:p>
          <w:p w:rsidR="005B6EB7" w:rsidRPr="007D6BCA" w:rsidRDefault="005B6EB7" w:rsidP="00D96C82">
            <w:pPr>
              <w:jc w:val="both"/>
              <w:rPr>
                <w:rFonts w:ascii="Arial" w:hAnsi="Arial" w:cs="Arial"/>
                <w:color w:val="000000"/>
              </w:rPr>
            </w:pPr>
          </w:p>
          <w:p w:rsidR="005B6EB7" w:rsidRPr="007D6BCA" w:rsidRDefault="007469B7" w:rsidP="00D96C82">
            <w:pPr>
              <w:jc w:val="both"/>
              <w:rPr>
                <w:rFonts w:ascii="Arial" w:hAnsi="Arial" w:cs="Arial"/>
                <w:color w:val="000000"/>
              </w:rPr>
            </w:pPr>
            <w:r w:rsidRPr="007D6BCA">
              <w:rPr>
                <w:rFonts w:ascii="Arial" w:hAnsi="Arial" w:cs="Arial"/>
                <w:color w:val="000000"/>
              </w:rPr>
              <w:t>The PBAC considered that the most relevant comparators are oxaliplatin-containing regimens such as mFOLFOX6</w:t>
            </w:r>
            <w:r w:rsidR="00D96C82">
              <w:rPr>
                <w:rFonts w:ascii="Arial" w:hAnsi="Arial" w:cs="Arial"/>
                <w:color w:val="000000"/>
              </w:rPr>
              <w:t xml:space="preserve"> (</w:t>
            </w:r>
            <w:r w:rsidR="00D96C82" w:rsidRPr="00D96C82">
              <w:rPr>
                <w:rFonts w:ascii="Arial" w:hAnsi="Arial" w:cs="Arial"/>
                <w:color w:val="000000"/>
              </w:rPr>
              <w:t>oxaliplatin plus 5-FU/folinic acid</w:t>
            </w:r>
            <w:r w:rsidR="00D96C82">
              <w:rPr>
                <w:rFonts w:ascii="Arial" w:hAnsi="Arial" w:cs="Arial"/>
                <w:color w:val="000000"/>
              </w:rPr>
              <w:t>)</w:t>
            </w:r>
            <w:r w:rsidRPr="007D6BCA">
              <w:rPr>
                <w:rFonts w:ascii="Arial" w:hAnsi="Arial" w:cs="Arial"/>
                <w:color w:val="000000"/>
              </w:rPr>
              <w:t xml:space="preserve"> and capecitabine. The PBAC considered that in principle (even though it is not wide</w:t>
            </w:r>
            <w:r w:rsidR="00D96C82">
              <w:rPr>
                <w:rFonts w:ascii="Arial" w:hAnsi="Arial" w:cs="Arial"/>
                <w:color w:val="000000"/>
              </w:rPr>
              <w:t>ly used in Australian practice).</w:t>
            </w:r>
            <w:r w:rsidRPr="007D6BCA">
              <w:rPr>
                <w:rFonts w:ascii="Arial" w:hAnsi="Arial" w:cs="Arial"/>
                <w:color w:val="000000"/>
              </w:rPr>
              <w:t xml:space="preserve"> 5</w:t>
            </w:r>
            <w:r w:rsidR="00813337" w:rsidRPr="007D6BCA">
              <w:rPr>
                <w:rFonts w:ascii="Arial" w:hAnsi="Arial" w:cs="Arial"/>
                <w:color w:val="000000"/>
              </w:rPr>
              <w:t>-</w:t>
            </w:r>
            <w:r w:rsidRPr="007D6BCA">
              <w:rPr>
                <w:rFonts w:ascii="Arial" w:hAnsi="Arial" w:cs="Arial"/>
                <w:color w:val="000000"/>
              </w:rPr>
              <w:t xml:space="preserve">FU/folinic acid could be </w:t>
            </w:r>
            <w:r w:rsidRPr="007D6BCA">
              <w:rPr>
                <w:rFonts w:ascii="Arial" w:hAnsi="Arial" w:cs="Arial"/>
                <w:color w:val="000000"/>
              </w:rPr>
              <w:lastRenderedPageBreak/>
              <w:t>considered representative of the efficacy and toxicity of mFOLFOX6.</w:t>
            </w:r>
          </w:p>
          <w:p w:rsidR="007469B7" w:rsidRPr="007D6BCA" w:rsidRDefault="007469B7" w:rsidP="00D96C82">
            <w:pPr>
              <w:jc w:val="both"/>
              <w:rPr>
                <w:rFonts w:ascii="Arial" w:hAnsi="Arial" w:cs="Arial"/>
                <w:color w:val="000000"/>
              </w:rPr>
            </w:pPr>
          </w:p>
          <w:p w:rsidR="005B6EB7" w:rsidRPr="007D6BCA" w:rsidRDefault="007469B7" w:rsidP="00D96C82">
            <w:pPr>
              <w:jc w:val="both"/>
              <w:rPr>
                <w:rFonts w:ascii="Arial" w:hAnsi="Arial" w:cs="Arial"/>
                <w:color w:val="000000"/>
              </w:rPr>
            </w:pPr>
            <w:r w:rsidRPr="007D6BCA">
              <w:rPr>
                <w:rFonts w:ascii="Arial" w:hAnsi="Arial" w:cs="Arial"/>
                <w:color w:val="000000"/>
              </w:rPr>
              <w:t>The submission was primarily based on one head-to-head, open label trial comparing irinotecan (nanoliposomal) with 5</w:t>
            </w:r>
            <w:r w:rsidR="00813337" w:rsidRPr="007D6BCA">
              <w:rPr>
                <w:rFonts w:ascii="Arial" w:hAnsi="Arial" w:cs="Arial"/>
                <w:color w:val="000000"/>
              </w:rPr>
              <w:t>-</w:t>
            </w:r>
            <w:r w:rsidRPr="007D6BCA">
              <w:rPr>
                <w:rFonts w:ascii="Arial" w:hAnsi="Arial" w:cs="Arial"/>
                <w:color w:val="000000"/>
              </w:rPr>
              <w:t>FU/folinic acid: NAPOLI 1 (n=236). The PBAC considered that irinotecan (nanoliposomal) was modestly superior in terms of efficacy compared with 5</w:t>
            </w:r>
            <w:r w:rsidR="005B6EB7" w:rsidRPr="007D6BCA">
              <w:rPr>
                <w:rFonts w:ascii="Arial" w:hAnsi="Arial" w:cs="Arial"/>
                <w:color w:val="000000"/>
              </w:rPr>
              <w:noBreakHyphen/>
            </w:r>
            <w:r w:rsidRPr="007D6BCA">
              <w:rPr>
                <w:rFonts w:ascii="Arial" w:hAnsi="Arial" w:cs="Arial"/>
                <w:color w:val="000000"/>
              </w:rPr>
              <w:t>FU/folinic acid, with an increase in median overall survival of approximately nine weeks.</w:t>
            </w:r>
          </w:p>
          <w:p w:rsidR="007469B7" w:rsidRPr="007D6BCA" w:rsidRDefault="007469B7" w:rsidP="00D96C82">
            <w:pPr>
              <w:jc w:val="both"/>
              <w:rPr>
                <w:rFonts w:ascii="Arial" w:hAnsi="Arial" w:cs="Arial"/>
                <w:color w:val="000000"/>
              </w:rPr>
            </w:pPr>
          </w:p>
          <w:p w:rsidR="007469B7" w:rsidRPr="007D6BCA" w:rsidRDefault="007469B7" w:rsidP="00D96C82">
            <w:pPr>
              <w:jc w:val="both"/>
              <w:rPr>
                <w:rFonts w:ascii="Arial" w:hAnsi="Arial" w:cs="Arial"/>
                <w:color w:val="000000"/>
              </w:rPr>
            </w:pPr>
            <w:r w:rsidRPr="007D6BCA">
              <w:rPr>
                <w:rFonts w:ascii="Arial" w:hAnsi="Arial" w:cs="Arial"/>
                <w:color w:val="000000"/>
              </w:rPr>
              <w:t xml:space="preserve">The submission also presented a naïve indirect comparison of irinotecan (nanoliposomal) and oxaliplatin-containing regimens. The PBAC considered that the results of the naïve indirect comparison were not reliable but overall considered that the claim of superior comparative effectiveness compared with oxaliplatin-containing regimens was adequately supported. The PBAC considered that limitations associated with the reliability of the indirect comparison meant that </w:t>
            </w:r>
            <w:r w:rsidR="00D96C82">
              <w:rPr>
                <w:rFonts w:ascii="Arial" w:hAnsi="Arial" w:cs="Arial"/>
                <w:color w:val="000000"/>
              </w:rPr>
              <w:t>there could not be</w:t>
            </w:r>
            <w:r w:rsidRPr="007D6BCA">
              <w:rPr>
                <w:rFonts w:ascii="Arial" w:hAnsi="Arial" w:cs="Arial"/>
                <w:color w:val="000000"/>
              </w:rPr>
              <w:t xml:space="preserve"> </w:t>
            </w:r>
            <w:r w:rsidR="00D96C82">
              <w:rPr>
                <w:rFonts w:ascii="Arial" w:hAnsi="Arial" w:cs="Arial"/>
                <w:color w:val="000000"/>
              </w:rPr>
              <w:t xml:space="preserve">confidence in the </w:t>
            </w:r>
            <w:r w:rsidRPr="007D6BCA">
              <w:rPr>
                <w:rFonts w:ascii="Arial" w:hAnsi="Arial" w:cs="Arial"/>
                <w:color w:val="000000"/>
              </w:rPr>
              <w:t>relative efficacy between irinotecan (nanoliposomal) and oxaliplatin-containing regimens. The PBAC considered the incremental benefit of irinotecan (nanoliposomal) over 5</w:t>
            </w:r>
            <w:r w:rsidR="00813337" w:rsidRPr="007D6BCA">
              <w:rPr>
                <w:rFonts w:ascii="Arial" w:hAnsi="Arial" w:cs="Arial"/>
                <w:color w:val="000000"/>
              </w:rPr>
              <w:t>-</w:t>
            </w:r>
            <w:r w:rsidRPr="007D6BCA">
              <w:rPr>
                <w:rFonts w:ascii="Arial" w:hAnsi="Arial" w:cs="Arial"/>
                <w:color w:val="000000"/>
              </w:rPr>
              <w:t>FU/folinic acid observed in NAPOLI-1 (nine week gain in median overall survival) to be the upper limit of a plausible incremental benefit of irinotecan (nanoliposomal) over oxaliplatin-containing regimens.</w:t>
            </w:r>
          </w:p>
          <w:p w:rsidR="008164EE" w:rsidRPr="007D6BCA" w:rsidRDefault="008164EE" w:rsidP="00D96C82">
            <w:pPr>
              <w:jc w:val="both"/>
              <w:rPr>
                <w:rFonts w:ascii="Arial" w:hAnsi="Arial" w:cs="Arial"/>
                <w:color w:val="000000"/>
              </w:rPr>
            </w:pPr>
          </w:p>
          <w:p w:rsidR="00560B84" w:rsidRPr="007D6BCA" w:rsidRDefault="007469B7" w:rsidP="00D96C82">
            <w:pPr>
              <w:jc w:val="both"/>
              <w:rPr>
                <w:rFonts w:ascii="Arial" w:hAnsi="Arial" w:cs="Arial"/>
                <w:color w:val="000000"/>
              </w:rPr>
            </w:pPr>
            <w:r w:rsidRPr="007D6BCA">
              <w:rPr>
                <w:rFonts w:ascii="Arial" w:hAnsi="Arial" w:cs="Arial"/>
                <w:color w:val="000000"/>
              </w:rPr>
              <w:t>The PBAC considered that the estimated incremental cost-effectiveness ratio for irinotecan (nanoliposomal) compared with mFOLFOX6 was likely underestimated and unacceptably high at $105,000 to $200,000 per quality adjusted life year gained. Accordingly, the PBAC considered that irinotecan (nanoliposomal) was not sufficiently cost-effective to justify a recommendation for listing on the PBS, at the requested price.</w:t>
            </w:r>
          </w:p>
        </w:tc>
      </w:tr>
      <w:tr w:rsidR="00560B84" w:rsidRPr="007D6BCA" w:rsidTr="00BB7B87">
        <w:trPr>
          <w:cantSplit/>
          <w:trHeight w:val="639"/>
        </w:trPr>
        <w:tc>
          <w:tcPr>
            <w:tcW w:w="2977" w:type="dxa"/>
            <w:vMerge/>
            <w:tcMar>
              <w:top w:w="28" w:type="dxa"/>
              <w:bottom w:w="28" w:type="dxa"/>
            </w:tcMar>
          </w:tcPr>
          <w:p w:rsidR="00560B84" w:rsidRPr="007D6BCA" w:rsidRDefault="00560B84">
            <w:pPr>
              <w:rPr>
                <w:rFonts w:ascii="Arial" w:hAnsi="Arial" w:cs="Arial"/>
              </w:rPr>
            </w:pPr>
          </w:p>
        </w:tc>
        <w:tc>
          <w:tcPr>
            <w:tcW w:w="2126" w:type="dxa"/>
            <w:vMerge/>
          </w:tcPr>
          <w:p w:rsidR="00560B84" w:rsidRPr="007D6BCA" w:rsidRDefault="00560B84">
            <w:pPr>
              <w:widowControl w:val="0"/>
              <w:rPr>
                <w:rFonts w:ascii="Arial" w:hAnsi="Arial" w:cs="Arial"/>
                <w:snapToGrid w:val="0"/>
                <w:lang w:eastAsia="en-US"/>
              </w:rPr>
            </w:pPr>
          </w:p>
        </w:tc>
        <w:tc>
          <w:tcPr>
            <w:tcW w:w="3261" w:type="dxa"/>
            <w:tcMar>
              <w:top w:w="28" w:type="dxa"/>
              <w:bottom w:w="28" w:type="dxa"/>
            </w:tcMar>
          </w:tcPr>
          <w:p w:rsidR="00560B84" w:rsidRPr="007D6BCA" w:rsidRDefault="00FE49CF">
            <w:pPr>
              <w:rPr>
                <w:rFonts w:ascii="Arial" w:hAnsi="Arial" w:cs="Arial"/>
                <w:bCs/>
                <w:color w:val="000000"/>
              </w:rPr>
            </w:pPr>
            <w:r w:rsidRPr="007D6BCA">
              <w:rPr>
                <w:rFonts w:ascii="Arial" w:hAnsi="Arial" w:cs="Arial"/>
                <w:bCs/>
                <w:color w:val="000000"/>
              </w:rPr>
              <w:t>Sponsor comment:</w:t>
            </w:r>
          </w:p>
        </w:tc>
        <w:tc>
          <w:tcPr>
            <w:tcW w:w="6947" w:type="dxa"/>
          </w:tcPr>
          <w:p w:rsidR="00560B84" w:rsidRPr="007D6BCA" w:rsidRDefault="00255B46">
            <w:pPr>
              <w:pStyle w:val="ListParagraph"/>
              <w:ind w:left="0"/>
              <w:jc w:val="both"/>
              <w:rPr>
                <w:rFonts w:ascii="Arial" w:hAnsi="Arial" w:cs="Arial"/>
                <w:iCs/>
                <w:sz w:val="20"/>
                <w:szCs w:val="20"/>
              </w:rPr>
            </w:pPr>
            <w:r w:rsidRPr="00255B46">
              <w:rPr>
                <w:rFonts w:ascii="Arial" w:hAnsi="Arial" w:cs="Arial"/>
                <w:iCs/>
                <w:sz w:val="20"/>
                <w:szCs w:val="20"/>
              </w:rPr>
              <w:t>Shire will work with the PBAC and Department of Health so that Australian patients may access nanoliposomal irinotecan via the PBS.</w:t>
            </w:r>
          </w:p>
        </w:tc>
      </w:tr>
      <w:tr w:rsidR="00560B84" w:rsidRPr="007D6BCA" w:rsidTr="00BB7B87">
        <w:trPr>
          <w:cantSplit/>
          <w:trHeight w:val="546"/>
        </w:trPr>
        <w:tc>
          <w:tcPr>
            <w:tcW w:w="2977" w:type="dxa"/>
            <w:vMerge w:val="restart"/>
            <w:tcMar>
              <w:top w:w="28" w:type="dxa"/>
              <w:bottom w:w="28" w:type="dxa"/>
            </w:tcMar>
          </w:tcPr>
          <w:p w:rsidR="00560B84" w:rsidRPr="007D6BCA" w:rsidRDefault="008C3523" w:rsidP="005B6EB7">
            <w:pPr>
              <w:rPr>
                <w:rFonts w:ascii="Arial" w:hAnsi="Arial" w:cs="Arial"/>
                <w:color w:val="000000"/>
              </w:rPr>
            </w:pPr>
            <w:r w:rsidRPr="007D6BCA">
              <w:rPr>
                <w:rFonts w:ascii="Arial" w:hAnsi="Arial" w:cs="Arial"/>
                <w:color w:val="000000"/>
              </w:rPr>
              <w:lastRenderedPageBreak/>
              <w:t>OBINUTUZUMAB</w:t>
            </w:r>
            <w:r w:rsidRPr="007D6BCA">
              <w:rPr>
                <w:rFonts w:ascii="Arial" w:hAnsi="Arial" w:cs="Arial"/>
                <w:color w:val="000000"/>
              </w:rPr>
              <w:br/>
            </w:r>
            <w:r w:rsidRPr="007D6BCA">
              <w:rPr>
                <w:rFonts w:ascii="Arial" w:hAnsi="Arial" w:cs="Arial"/>
                <w:color w:val="000000"/>
              </w:rPr>
              <w:br/>
              <w:t>Solution for I.V. infusion 1000 mg in 40 mL</w:t>
            </w:r>
            <w:r w:rsidRPr="007D6BCA">
              <w:rPr>
                <w:rFonts w:ascii="Arial" w:hAnsi="Arial" w:cs="Arial"/>
                <w:color w:val="000000"/>
              </w:rPr>
              <w:br/>
            </w:r>
            <w:r w:rsidRPr="007D6BCA">
              <w:rPr>
                <w:rFonts w:ascii="Arial" w:hAnsi="Arial" w:cs="Arial"/>
                <w:color w:val="000000"/>
              </w:rPr>
              <w:br/>
              <w:t>Gazyva®</w:t>
            </w:r>
            <w:r w:rsidRPr="007D6BCA">
              <w:rPr>
                <w:rFonts w:ascii="Arial" w:hAnsi="Arial" w:cs="Arial"/>
                <w:color w:val="000000"/>
              </w:rPr>
              <w:br/>
            </w:r>
            <w:r w:rsidRPr="007D6BCA">
              <w:rPr>
                <w:rFonts w:ascii="Arial" w:hAnsi="Arial" w:cs="Arial"/>
                <w:color w:val="000000"/>
              </w:rPr>
              <w:br/>
              <w:t>Roche Products Pty Ltd</w:t>
            </w:r>
          </w:p>
          <w:p w:rsidR="00DA38FD" w:rsidRPr="007D6BCA" w:rsidRDefault="00DA38FD" w:rsidP="005B6EB7">
            <w:pPr>
              <w:rPr>
                <w:rFonts w:ascii="Arial" w:hAnsi="Arial" w:cs="Arial"/>
                <w:color w:val="000000"/>
              </w:rPr>
            </w:pPr>
          </w:p>
          <w:p w:rsidR="00DA38FD" w:rsidRPr="007D6BCA" w:rsidRDefault="00DA38FD" w:rsidP="005B6EB7">
            <w:pPr>
              <w:rPr>
                <w:rFonts w:ascii="Arial" w:hAnsi="Arial" w:cs="Arial"/>
                <w:color w:val="000000"/>
              </w:rPr>
            </w:pPr>
            <w:r w:rsidRPr="007D6BCA">
              <w:rPr>
                <w:rFonts w:ascii="Arial" w:hAnsi="Arial" w:cs="Arial"/>
                <w:color w:val="000000"/>
              </w:rPr>
              <w:t>New listing</w:t>
            </w:r>
          </w:p>
          <w:p w:rsidR="00DA38FD" w:rsidRPr="007D6BCA" w:rsidRDefault="00DA38FD" w:rsidP="005B6EB7">
            <w:pPr>
              <w:rPr>
                <w:rFonts w:ascii="Arial" w:hAnsi="Arial" w:cs="Arial"/>
                <w:color w:val="000000"/>
              </w:rPr>
            </w:pPr>
          </w:p>
          <w:p w:rsidR="00DA38FD" w:rsidRPr="007D6BCA" w:rsidRDefault="00DA38FD" w:rsidP="005B6EB7">
            <w:pPr>
              <w:rPr>
                <w:rFonts w:ascii="Arial" w:hAnsi="Arial" w:cs="Arial"/>
                <w:color w:val="000000"/>
              </w:rPr>
            </w:pPr>
            <w:r w:rsidRPr="007D6BCA">
              <w:rPr>
                <w:rFonts w:ascii="Arial" w:hAnsi="Arial" w:cs="Arial"/>
                <w:color w:val="000000"/>
              </w:rPr>
              <w:t>(Major submission)</w:t>
            </w:r>
          </w:p>
        </w:tc>
        <w:tc>
          <w:tcPr>
            <w:tcW w:w="2126" w:type="dxa"/>
            <w:vMerge w:val="restart"/>
          </w:tcPr>
          <w:p w:rsidR="00560B84" w:rsidRPr="007D6BCA" w:rsidRDefault="005E5270" w:rsidP="005B6EB7">
            <w:pPr>
              <w:rPr>
                <w:rFonts w:ascii="Arial" w:hAnsi="Arial" w:cs="Arial"/>
              </w:rPr>
            </w:pPr>
            <w:r w:rsidRPr="007D6BCA">
              <w:rPr>
                <w:rFonts w:ascii="Arial" w:hAnsi="Arial" w:cs="Arial"/>
                <w:color w:val="000000"/>
              </w:rPr>
              <w:t>Follicular lymphoma</w:t>
            </w:r>
            <w:r w:rsidR="00D938FB" w:rsidRPr="007D6BCA">
              <w:rPr>
                <w:rFonts w:ascii="Arial" w:hAnsi="Arial" w:cs="Arial"/>
                <w:color w:val="000000"/>
              </w:rPr>
              <w:t xml:space="preserve"> (FL)</w:t>
            </w:r>
          </w:p>
        </w:tc>
        <w:tc>
          <w:tcPr>
            <w:tcW w:w="3261" w:type="dxa"/>
            <w:tcMar>
              <w:top w:w="28" w:type="dxa"/>
              <w:bottom w:w="28" w:type="dxa"/>
            </w:tcMar>
          </w:tcPr>
          <w:p w:rsidR="00560B84" w:rsidRPr="007D6BCA" w:rsidRDefault="005E5270" w:rsidP="00D938FB">
            <w:pPr>
              <w:rPr>
                <w:rFonts w:ascii="Arial" w:hAnsi="Arial" w:cs="Arial"/>
                <w:color w:val="000000"/>
              </w:rPr>
            </w:pPr>
            <w:r w:rsidRPr="007D6BCA">
              <w:rPr>
                <w:rFonts w:ascii="Arial" w:hAnsi="Arial" w:cs="Arial"/>
                <w:color w:val="000000"/>
              </w:rPr>
              <w:t xml:space="preserve">To request a Section 100 (Efficient Funding of Chemotherapy) Authority Required (STREAMLINED) listing as re-induction treatment and maintenance therapy in patients with rituximab-refractory </w:t>
            </w:r>
            <w:r w:rsidR="00D938FB" w:rsidRPr="007D6BCA">
              <w:rPr>
                <w:rFonts w:ascii="Arial" w:hAnsi="Arial" w:cs="Arial"/>
                <w:color w:val="000000"/>
              </w:rPr>
              <w:t>FL</w:t>
            </w:r>
            <w:r w:rsidRPr="007D6BCA">
              <w:rPr>
                <w:rFonts w:ascii="Arial" w:hAnsi="Arial" w:cs="Arial"/>
                <w:color w:val="000000"/>
              </w:rPr>
              <w:t>.</w:t>
            </w:r>
          </w:p>
        </w:tc>
        <w:tc>
          <w:tcPr>
            <w:tcW w:w="6947" w:type="dxa"/>
          </w:tcPr>
          <w:p w:rsidR="00D938FB" w:rsidRPr="007D6BCA" w:rsidRDefault="00D938FB" w:rsidP="00CA64A0">
            <w:pPr>
              <w:jc w:val="both"/>
              <w:rPr>
                <w:rFonts w:ascii="Arial" w:hAnsi="Arial" w:cs="Arial"/>
                <w:color w:val="000000"/>
              </w:rPr>
            </w:pPr>
            <w:r w:rsidRPr="007D6BCA">
              <w:rPr>
                <w:rFonts w:ascii="Arial" w:hAnsi="Arial" w:cs="Arial"/>
                <w:color w:val="000000"/>
              </w:rPr>
              <w:t>The PBAC did not recommend obinutuzumab for PBS listing for the treatment of rituximab-refractory FL,</w:t>
            </w:r>
            <w:r w:rsidR="00CA64A0" w:rsidRPr="007D6BCA">
              <w:rPr>
                <w:rFonts w:ascii="Arial" w:hAnsi="Arial" w:cs="Arial"/>
                <w:color w:val="000000"/>
              </w:rPr>
              <w:t xml:space="preserve"> on the basis of uncertain cost</w:t>
            </w:r>
            <w:r w:rsidR="00CA64A0" w:rsidRPr="007D6BCA">
              <w:rPr>
                <w:rFonts w:ascii="Arial" w:hAnsi="Arial" w:cs="Arial"/>
                <w:color w:val="000000"/>
              </w:rPr>
              <w:noBreakHyphen/>
            </w:r>
            <w:r w:rsidRPr="007D6BCA">
              <w:rPr>
                <w:rFonts w:ascii="Arial" w:hAnsi="Arial" w:cs="Arial"/>
                <w:color w:val="000000"/>
              </w:rPr>
              <w:t>effectiveness and concerns about the economic model used in the submission.</w:t>
            </w:r>
            <w:r w:rsidRPr="007D6BCA">
              <w:rPr>
                <w:rFonts w:ascii="Arial" w:hAnsi="Arial" w:cs="Arial"/>
                <w:color w:val="000000"/>
              </w:rPr>
              <w:tab/>
            </w:r>
          </w:p>
          <w:p w:rsidR="00D938FB" w:rsidRPr="007D6BCA" w:rsidRDefault="00D938FB" w:rsidP="00CA64A0">
            <w:pPr>
              <w:jc w:val="both"/>
              <w:rPr>
                <w:rFonts w:ascii="Arial" w:hAnsi="Arial" w:cs="Arial"/>
                <w:color w:val="000000"/>
              </w:rPr>
            </w:pPr>
          </w:p>
          <w:p w:rsidR="00D938FB" w:rsidRPr="007D6BCA" w:rsidRDefault="00D938FB" w:rsidP="00CA64A0">
            <w:pPr>
              <w:jc w:val="both"/>
              <w:rPr>
                <w:rFonts w:ascii="Arial" w:hAnsi="Arial" w:cs="Arial"/>
                <w:color w:val="000000"/>
              </w:rPr>
            </w:pPr>
            <w:r w:rsidRPr="007D6BCA">
              <w:rPr>
                <w:rFonts w:ascii="Arial" w:hAnsi="Arial" w:cs="Arial"/>
                <w:color w:val="000000"/>
              </w:rPr>
              <w:t xml:space="preserve">The PBAC considered that obinutuzumab plus bendamustine followed by obinutuzumab maintenance was of superior efficacy and inferior safety compared </w:t>
            </w:r>
            <w:r w:rsidR="00CA64A0" w:rsidRPr="007D6BCA">
              <w:rPr>
                <w:rFonts w:ascii="Arial" w:hAnsi="Arial" w:cs="Arial"/>
                <w:color w:val="000000"/>
              </w:rPr>
              <w:t>with</w:t>
            </w:r>
            <w:r w:rsidRPr="007D6BCA">
              <w:rPr>
                <w:rFonts w:ascii="Arial" w:hAnsi="Arial" w:cs="Arial"/>
                <w:color w:val="000000"/>
              </w:rPr>
              <w:t xml:space="preserve"> bendamustine monotherapy. However, the PBAC noted that obinutuzumab had an overall tolerable safety profile, and that the benefits of its use outweighed its toxicities.</w:t>
            </w:r>
          </w:p>
          <w:p w:rsidR="00D938FB" w:rsidRPr="007D6BCA" w:rsidRDefault="00D938FB" w:rsidP="00CA64A0">
            <w:pPr>
              <w:jc w:val="both"/>
              <w:rPr>
                <w:rFonts w:ascii="Arial" w:hAnsi="Arial" w:cs="Arial"/>
                <w:color w:val="000000"/>
              </w:rPr>
            </w:pPr>
          </w:p>
          <w:p w:rsidR="00560B84" w:rsidRPr="007D6BCA" w:rsidRDefault="00D938FB" w:rsidP="00CA64A0">
            <w:pPr>
              <w:jc w:val="both"/>
              <w:rPr>
                <w:rFonts w:ascii="Arial" w:hAnsi="Arial" w:cs="Arial"/>
                <w:color w:val="000000"/>
              </w:rPr>
            </w:pPr>
            <w:r w:rsidRPr="007D6BCA">
              <w:rPr>
                <w:rFonts w:ascii="Arial" w:hAnsi="Arial" w:cs="Arial"/>
                <w:color w:val="000000"/>
              </w:rPr>
              <w:t>The PBAC was concerned that some assumptions used in the economic analysis were not appropriate. The PBAC considered that due to the issues with the economic model, the incremental cost effectiveness ratio presented in the submission’s base case analysis was highly uncertain and was likely to be significantly underestimated.</w:t>
            </w:r>
          </w:p>
        </w:tc>
      </w:tr>
      <w:tr w:rsidR="00560B84" w:rsidRPr="007D6BCA" w:rsidTr="00BB7B87">
        <w:trPr>
          <w:cantSplit/>
          <w:trHeight w:val="639"/>
        </w:trPr>
        <w:tc>
          <w:tcPr>
            <w:tcW w:w="2977" w:type="dxa"/>
            <w:vMerge/>
            <w:tcMar>
              <w:top w:w="28" w:type="dxa"/>
              <w:bottom w:w="28" w:type="dxa"/>
            </w:tcMar>
          </w:tcPr>
          <w:p w:rsidR="00560B84" w:rsidRPr="007D6BCA" w:rsidRDefault="00560B84">
            <w:pPr>
              <w:rPr>
                <w:rFonts w:ascii="Arial" w:hAnsi="Arial" w:cs="Arial"/>
              </w:rPr>
            </w:pPr>
          </w:p>
        </w:tc>
        <w:tc>
          <w:tcPr>
            <w:tcW w:w="2126" w:type="dxa"/>
            <w:vMerge/>
          </w:tcPr>
          <w:p w:rsidR="00560B84" w:rsidRPr="007D6BCA" w:rsidRDefault="00560B84">
            <w:pPr>
              <w:widowControl w:val="0"/>
              <w:rPr>
                <w:rFonts w:ascii="Arial" w:hAnsi="Arial" w:cs="Arial"/>
                <w:snapToGrid w:val="0"/>
                <w:lang w:eastAsia="en-US"/>
              </w:rPr>
            </w:pPr>
          </w:p>
        </w:tc>
        <w:tc>
          <w:tcPr>
            <w:tcW w:w="3261" w:type="dxa"/>
            <w:tcMar>
              <w:top w:w="28" w:type="dxa"/>
              <w:bottom w:w="28" w:type="dxa"/>
            </w:tcMar>
          </w:tcPr>
          <w:p w:rsidR="00560B84" w:rsidRPr="007D6BCA" w:rsidRDefault="00FE49CF">
            <w:pPr>
              <w:rPr>
                <w:rFonts w:ascii="Arial" w:hAnsi="Arial" w:cs="Arial"/>
                <w:bCs/>
                <w:color w:val="000000"/>
              </w:rPr>
            </w:pPr>
            <w:r w:rsidRPr="007D6BCA">
              <w:rPr>
                <w:rFonts w:ascii="Arial" w:hAnsi="Arial" w:cs="Arial"/>
                <w:bCs/>
                <w:color w:val="000000"/>
              </w:rPr>
              <w:t>Sponsor comment:</w:t>
            </w:r>
          </w:p>
        </w:tc>
        <w:tc>
          <w:tcPr>
            <w:tcW w:w="6947" w:type="dxa"/>
          </w:tcPr>
          <w:p w:rsidR="00622BB6" w:rsidRPr="00622BB6" w:rsidRDefault="00622BB6" w:rsidP="00622BB6">
            <w:pPr>
              <w:pStyle w:val="ListParagraph"/>
              <w:ind w:left="33"/>
              <w:jc w:val="both"/>
              <w:rPr>
                <w:rFonts w:ascii="Arial" w:hAnsi="Arial" w:cs="Arial"/>
                <w:iCs/>
                <w:sz w:val="20"/>
                <w:szCs w:val="20"/>
              </w:rPr>
            </w:pPr>
            <w:r w:rsidRPr="00622BB6">
              <w:rPr>
                <w:rFonts w:ascii="Arial" w:hAnsi="Arial" w:cs="Arial"/>
                <w:iCs/>
                <w:sz w:val="20"/>
                <w:szCs w:val="20"/>
              </w:rPr>
              <w:t>Roche is pleased the PBAC recognised the need for effective PBS subsidised treatments for rituximab refractory FL.</w:t>
            </w:r>
          </w:p>
          <w:p w:rsidR="00622BB6" w:rsidRPr="00622BB6" w:rsidRDefault="00622BB6" w:rsidP="00622BB6">
            <w:pPr>
              <w:pStyle w:val="ListParagraph"/>
              <w:jc w:val="both"/>
              <w:rPr>
                <w:rFonts w:ascii="Arial" w:hAnsi="Arial" w:cs="Arial"/>
                <w:iCs/>
                <w:sz w:val="20"/>
                <w:szCs w:val="20"/>
              </w:rPr>
            </w:pPr>
          </w:p>
          <w:p w:rsidR="00560B84" w:rsidRPr="007D6BCA" w:rsidRDefault="00622BB6" w:rsidP="00622BB6">
            <w:pPr>
              <w:pStyle w:val="ListParagraph"/>
              <w:ind w:left="0"/>
              <w:jc w:val="both"/>
              <w:rPr>
                <w:rFonts w:ascii="Arial" w:hAnsi="Arial" w:cs="Arial"/>
                <w:iCs/>
                <w:sz w:val="20"/>
                <w:szCs w:val="20"/>
              </w:rPr>
            </w:pPr>
            <w:r w:rsidRPr="00622BB6">
              <w:rPr>
                <w:rFonts w:ascii="Arial" w:hAnsi="Arial" w:cs="Arial"/>
                <w:iCs/>
                <w:sz w:val="20"/>
                <w:szCs w:val="20"/>
              </w:rPr>
              <w:t>The sponsor welcomes the opportunity to work with the Department of Health and the PBAC in order to ensure Australian patients achieve access to obinutuzumab in this area of high unmet need.</w:t>
            </w:r>
          </w:p>
        </w:tc>
      </w:tr>
      <w:tr w:rsidR="00BB7B87" w:rsidRPr="002E3A4B" w:rsidTr="00BB7B87">
        <w:trPr>
          <w:trHeight w:val="405"/>
        </w:trPr>
        <w:tc>
          <w:tcPr>
            <w:tcW w:w="2977" w:type="dxa"/>
            <w:vMerge w:val="restart"/>
            <w:tcBorders>
              <w:top w:val="single" w:sz="4" w:space="0" w:color="auto"/>
              <w:left w:val="single" w:sz="4" w:space="0" w:color="auto"/>
              <w:right w:val="single" w:sz="4" w:space="0" w:color="auto"/>
            </w:tcBorders>
            <w:tcMar>
              <w:top w:w="28" w:type="dxa"/>
              <w:bottom w:w="28" w:type="dxa"/>
            </w:tcMar>
          </w:tcPr>
          <w:p w:rsidR="00BB7B87" w:rsidRPr="006009A9" w:rsidRDefault="00BB7B87" w:rsidP="00D05B67">
            <w:pPr>
              <w:rPr>
                <w:rFonts w:ascii="Arial" w:hAnsi="Arial" w:cs="Arial"/>
                <w:bCs/>
                <w:color w:val="000000"/>
              </w:rPr>
            </w:pPr>
            <w:r w:rsidRPr="006009A9">
              <w:rPr>
                <w:rFonts w:ascii="Arial" w:hAnsi="Arial" w:cs="Arial"/>
                <w:bCs/>
                <w:color w:val="000000"/>
              </w:rPr>
              <w:t>PEMBROLIZUMAB</w:t>
            </w:r>
            <w:r w:rsidRPr="006009A9">
              <w:rPr>
                <w:rFonts w:ascii="Arial" w:hAnsi="Arial" w:cs="Arial"/>
                <w:bCs/>
                <w:color w:val="000000"/>
              </w:rPr>
              <w:br/>
            </w:r>
            <w:r w:rsidRPr="006009A9">
              <w:rPr>
                <w:rFonts w:ascii="Arial" w:hAnsi="Arial" w:cs="Arial"/>
                <w:bCs/>
                <w:color w:val="000000"/>
              </w:rPr>
              <w:br/>
              <w:t>Powder for injection 50 mg</w:t>
            </w:r>
            <w:r w:rsidRPr="006009A9">
              <w:rPr>
                <w:rFonts w:ascii="Arial" w:hAnsi="Arial" w:cs="Arial"/>
                <w:bCs/>
                <w:color w:val="000000"/>
              </w:rPr>
              <w:br/>
            </w:r>
            <w:r w:rsidRPr="006009A9">
              <w:rPr>
                <w:rFonts w:ascii="Arial" w:hAnsi="Arial" w:cs="Arial"/>
                <w:bCs/>
                <w:color w:val="000000"/>
              </w:rPr>
              <w:br/>
              <w:t>Keytruda®</w:t>
            </w:r>
            <w:r w:rsidRPr="006009A9">
              <w:rPr>
                <w:rFonts w:ascii="Arial" w:hAnsi="Arial" w:cs="Arial"/>
                <w:bCs/>
                <w:color w:val="000000"/>
              </w:rPr>
              <w:br/>
            </w:r>
            <w:r w:rsidRPr="006009A9">
              <w:rPr>
                <w:rFonts w:ascii="Arial" w:hAnsi="Arial" w:cs="Arial"/>
                <w:bCs/>
                <w:color w:val="000000"/>
              </w:rPr>
              <w:br/>
              <w:t>Merck Sharp and Dohme (Australia) Pty Ltd</w:t>
            </w:r>
          </w:p>
          <w:p w:rsidR="00BB7B87" w:rsidRPr="006009A9" w:rsidRDefault="00BB7B87" w:rsidP="00D05B67">
            <w:pPr>
              <w:rPr>
                <w:rFonts w:ascii="Arial" w:hAnsi="Arial" w:cs="Arial"/>
                <w:bCs/>
                <w:color w:val="000000"/>
              </w:rPr>
            </w:pPr>
          </w:p>
          <w:p w:rsidR="00BB7B87" w:rsidRPr="006009A9" w:rsidRDefault="00BB7B87" w:rsidP="00D05B67">
            <w:pPr>
              <w:rPr>
                <w:rFonts w:ascii="Arial" w:hAnsi="Arial" w:cs="Arial"/>
                <w:bCs/>
                <w:color w:val="000000"/>
              </w:rPr>
            </w:pPr>
            <w:r w:rsidRPr="006009A9">
              <w:rPr>
                <w:rFonts w:ascii="Arial" w:hAnsi="Arial" w:cs="Arial"/>
                <w:bCs/>
                <w:color w:val="000000"/>
              </w:rPr>
              <w:t>Change to listing</w:t>
            </w:r>
          </w:p>
          <w:p w:rsidR="00BB7B87" w:rsidRPr="006009A9" w:rsidRDefault="00BB7B87" w:rsidP="00D05B67">
            <w:pPr>
              <w:rPr>
                <w:rFonts w:ascii="Arial" w:hAnsi="Arial" w:cs="Arial"/>
                <w:bCs/>
                <w:color w:val="000000"/>
              </w:rPr>
            </w:pPr>
          </w:p>
          <w:p w:rsidR="00BB7B87" w:rsidRPr="006009A9" w:rsidRDefault="00BB7B87" w:rsidP="00D05B67">
            <w:pPr>
              <w:rPr>
                <w:rFonts w:ascii="Arial" w:hAnsi="Arial" w:cs="Arial"/>
                <w:bCs/>
                <w:color w:val="000000"/>
              </w:rPr>
            </w:pPr>
            <w:r w:rsidRPr="006009A9">
              <w:rPr>
                <w:rFonts w:ascii="Arial" w:hAnsi="Arial" w:cs="Arial"/>
                <w:bCs/>
                <w:color w:val="000000"/>
              </w:rPr>
              <w:t>(Major submission)</w:t>
            </w:r>
          </w:p>
        </w:tc>
        <w:tc>
          <w:tcPr>
            <w:tcW w:w="2126" w:type="dxa"/>
            <w:vMerge w:val="restart"/>
            <w:tcBorders>
              <w:top w:val="single" w:sz="4" w:space="0" w:color="auto"/>
              <w:left w:val="single" w:sz="4" w:space="0" w:color="auto"/>
              <w:right w:val="single" w:sz="4" w:space="0" w:color="auto"/>
            </w:tcBorders>
            <w:tcMar>
              <w:top w:w="28" w:type="dxa"/>
              <w:bottom w:w="28" w:type="dxa"/>
            </w:tcMar>
          </w:tcPr>
          <w:p w:rsidR="00BB7B87" w:rsidRPr="006009A9" w:rsidRDefault="00BB7B87" w:rsidP="00D05B67">
            <w:pPr>
              <w:rPr>
                <w:rFonts w:ascii="Arial" w:hAnsi="Arial" w:cs="Arial"/>
                <w:bCs/>
                <w:color w:val="000000"/>
              </w:rPr>
            </w:pPr>
            <w:r w:rsidRPr="006009A9">
              <w:rPr>
                <w:rFonts w:ascii="Arial" w:hAnsi="Arial" w:cs="Arial"/>
                <w:bCs/>
                <w:color w:val="000000"/>
              </w:rPr>
              <w:t>Non-small cell lung cancer (NSCLC)</w:t>
            </w:r>
          </w:p>
        </w:tc>
        <w:tc>
          <w:tcPr>
            <w:tcW w:w="3261" w:type="dxa"/>
            <w:tcBorders>
              <w:top w:val="single" w:sz="4" w:space="0" w:color="auto"/>
              <w:left w:val="single" w:sz="4" w:space="0" w:color="auto"/>
              <w:bottom w:val="single" w:sz="4" w:space="0" w:color="auto"/>
              <w:right w:val="single" w:sz="4" w:space="0" w:color="auto"/>
            </w:tcBorders>
            <w:tcMar>
              <w:top w:w="28" w:type="dxa"/>
              <w:bottom w:w="28" w:type="dxa"/>
            </w:tcMar>
          </w:tcPr>
          <w:p w:rsidR="00BB7B87" w:rsidRPr="006009A9" w:rsidRDefault="00BB7B87" w:rsidP="00D05B67">
            <w:pPr>
              <w:rPr>
                <w:rFonts w:ascii="Arial" w:hAnsi="Arial" w:cs="Arial"/>
                <w:bCs/>
                <w:color w:val="000000"/>
              </w:rPr>
            </w:pPr>
            <w:r w:rsidRPr="006009A9">
              <w:rPr>
                <w:rFonts w:ascii="Arial" w:hAnsi="Arial" w:cs="Arial"/>
                <w:bCs/>
                <w:color w:val="000000"/>
              </w:rPr>
              <w:t xml:space="preserve">To request a Section 100 (Efficient Funding of Chemotherapy) Authority Required (STREAMLINED) listing for the treatment of </w:t>
            </w:r>
            <w:r w:rsidRPr="006009A9">
              <w:rPr>
                <w:rFonts w:ascii="Arial" w:hAnsi="Arial" w:cs="Arial"/>
              </w:rPr>
              <w:t>programmed death ligand 1 (</w:t>
            </w:r>
            <w:r w:rsidRPr="006009A9">
              <w:rPr>
                <w:rFonts w:ascii="Arial" w:hAnsi="Arial" w:cs="Arial"/>
                <w:bCs/>
                <w:color w:val="000000"/>
              </w:rPr>
              <w:t>PD-L1) positive NSCLC in patients refractory to platinum based chemotherapy.</w:t>
            </w:r>
          </w:p>
        </w:tc>
        <w:tc>
          <w:tcPr>
            <w:tcW w:w="6947" w:type="dxa"/>
            <w:tcBorders>
              <w:top w:val="single" w:sz="4" w:space="0" w:color="auto"/>
              <w:left w:val="single" w:sz="4" w:space="0" w:color="auto"/>
              <w:bottom w:val="single" w:sz="4" w:space="0" w:color="auto"/>
              <w:right w:val="single" w:sz="4" w:space="0" w:color="auto"/>
            </w:tcBorders>
          </w:tcPr>
          <w:p w:rsidR="00BB7B87" w:rsidRPr="006009A9" w:rsidRDefault="00BB7B87" w:rsidP="00D05B67">
            <w:pPr>
              <w:widowControl w:val="0"/>
              <w:contextualSpacing/>
              <w:rPr>
                <w:rFonts w:ascii="Arial" w:hAnsi="Arial" w:cs="Arial"/>
                <w:bCs/>
                <w:snapToGrid w:val="0"/>
              </w:rPr>
            </w:pPr>
            <w:r w:rsidRPr="006009A9">
              <w:rPr>
                <w:rFonts w:ascii="Arial" w:hAnsi="Arial" w:cs="Arial"/>
                <w:bCs/>
                <w:snapToGrid w:val="0"/>
                <w:lang w:val="en-GB"/>
              </w:rPr>
              <w:t xml:space="preserve">The PBAC decided not to recommend that pembrolizumab be listed on the PBS for the treatment of PD-L1 positive NSCLC on the basis of unfavourable and uncertain cost-effectiveness. </w:t>
            </w:r>
            <w:r w:rsidRPr="006009A9">
              <w:rPr>
                <w:rFonts w:ascii="Arial" w:hAnsi="Arial" w:cs="Arial"/>
                <w:bCs/>
                <w:snapToGrid w:val="0"/>
              </w:rPr>
              <w:t>The PBAC recognised that there is a clinical need for new treatments for patients with NSCLC, and that there is a clinical place for pembrolizumab in this population.</w:t>
            </w:r>
          </w:p>
          <w:p w:rsidR="00BB7B87" w:rsidRPr="006009A9" w:rsidRDefault="00BB7B87" w:rsidP="00D05B67">
            <w:pPr>
              <w:widowControl w:val="0"/>
              <w:contextualSpacing/>
              <w:rPr>
                <w:rFonts w:ascii="Arial" w:hAnsi="Arial" w:cs="Arial"/>
                <w:bCs/>
                <w:snapToGrid w:val="0"/>
              </w:rPr>
            </w:pPr>
          </w:p>
          <w:p w:rsidR="00BB7B87" w:rsidRPr="006009A9" w:rsidRDefault="00BB7B87" w:rsidP="00D05B67">
            <w:pPr>
              <w:widowControl w:val="0"/>
              <w:contextualSpacing/>
              <w:rPr>
                <w:rFonts w:ascii="Arial" w:hAnsi="Arial" w:cs="Arial"/>
                <w:bCs/>
                <w:snapToGrid w:val="0"/>
                <w:lang w:val="en-GB"/>
              </w:rPr>
            </w:pPr>
            <w:r w:rsidRPr="006009A9">
              <w:rPr>
                <w:rFonts w:ascii="Arial" w:hAnsi="Arial" w:cs="Arial"/>
                <w:bCs/>
                <w:snapToGrid w:val="0"/>
              </w:rPr>
              <w:t xml:space="preserve">The PBAC also considered that the use of the proposed ≥50% </w:t>
            </w:r>
            <w:r w:rsidRPr="006009A9">
              <w:rPr>
                <w:rFonts w:ascii="Arial" w:hAnsi="Arial" w:cs="Arial"/>
              </w:rPr>
              <w:t>tumour proportion score (</w:t>
            </w:r>
            <w:r w:rsidRPr="006009A9">
              <w:rPr>
                <w:rFonts w:ascii="Arial" w:hAnsi="Arial" w:cs="Arial"/>
                <w:bCs/>
                <w:snapToGrid w:val="0"/>
              </w:rPr>
              <w:t xml:space="preserve">TPS) threshold from PD-L1 testing to help determine eligibility of patients with NSCLC to receive pembrolizumab was not adequately justified. </w:t>
            </w:r>
            <w:r w:rsidRPr="006009A9">
              <w:rPr>
                <w:rFonts w:ascii="Arial" w:hAnsi="Arial" w:cs="Arial"/>
                <w:bCs/>
                <w:snapToGrid w:val="0"/>
                <w:lang w:val="en-GB"/>
              </w:rPr>
              <w:t>The PBAC noted that there were important unresolved issues regarding PD-L1 testing which have consequences for this codependent submission. As these issues were relevant to MSAC, PBAC decided that it should await MSAC’s assessment before first drawing any conclusions on the usefulness of PD-L1 testing as a means of selecting patients for treatment with pembrolizumab.</w:t>
            </w:r>
          </w:p>
          <w:p w:rsidR="00BB7B87" w:rsidRPr="006009A9" w:rsidRDefault="00BB7B87" w:rsidP="00D05B67">
            <w:pPr>
              <w:widowControl w:val="0"/>
              <w:contextualSpacing/>
              <w:rPr>
                <w:rFonts w:ascii="Arial" w:hAnsi="Arial" w:cs="Arial"/>
                <w:bCs/>
                <w:snapToGrid w:val="0"/>
                <w:lang w:val="en-GB"/>
              </w:rPr>
            </w:pPr>
          </w:p>
          <w:p w:rsidR="00BB7B87" w:rsidRPr="006009A9" w:rsidRDefault="00BB7B87" w:rsidP="00D05B67">
            <w:pPr>
              <w:widowControl w:val="0"/>
              <w:contextualSpacing/>
              <w:rPr>
                <w:rFonts w:ascii="Arial" w:hAnsi="Arial" w:cs="Arial"/>
                <w:bCs/>
                <w:snapToGrid w:val="0"/>
                <w:lang w:val="en-GB"/>
              </w:rPr>
            </w:pPr>
            <w:r w:rsidRPr="006009A9">
              <w:rPr>
                <w:rFonts w:ascii="Arial" w:hAnsi="Arial" w:cs="Arial"/>
                <w:bCs/>
                <w:snapToGrid w:val="0"/>
                <w:lang w:val="en-GB"/>
              </w:rPr>
              <w:t xml:space="preserve">The PBAC concluded that pembrolizumab was more effective than its comparators, docetaxel and pemetrexed, in </w:t>
            </w:r>
            <w:r w:rsidRPr="006009A9">
              <w:rPr>
                <w:rFonts w:ascii="Arial" w:hAnsi="Arial" w:cs="Arial"/>
              </w:rPr>
              <w:t>PD-L1 positive NSCLC</w:t>
            </w:r>
            <w:r w:rsidRPr="006009A9">
              <w:rPr>
                <w:rFonts w:ascii="Arial" w:hAnsi="Arial" w:cs="Arial"/>
                <w:bCs/>
                <w:snapToGrid w:val="0"/>
                <w:lang w:val="en-GB"/>
              </w:rPr>
              <w:t>, but that the magnitude of the gain in effectiveness over pemetrexed was less clear due to the need to conduct an indirect comparison.</w:t>
            </w:r>
          </w:p>
          <w:p w:rsidR="00BB7B87" w:rsidRPr="006009A9" w:rsidRDefault="00BB7B87" w:rsidP="00D05B67">
            <w:pPr>
              <w:pStyle w:val="ListParagraph"/>
              <w:ind w:left="0"/>
              <w:rPr>
                <w:rFonts w:ascii="Arial" w:hAnsi="Arial" w:cs="Arial"/>
                <w:bCs/>
                <w:snapToGrid w:val="0"/>
                <w:sz w:val="20"/>
                <w:szCs w:val="20"/>
                <w:lang w:val="en-GB"/>
              </w:rPr>
            </w:pPr>
          </w:p>
          <w:p w:rsidR="00BB7B87" w:rsidRPr="006009A9" w:rsidRDefault="00BB7B87" w:rsidP="00D05B67">
            <w:pPr>
              <w:widowControl w:val="0"/>
              <w:contextualSpacing/>
              <w:rPr>
                <w:rFonts w:ascii="Arial" w:hAnsi="Arial" w:cs="Arial"/>
                <w:bCs/>
                <w:snapToGrid w:val="0"/>
                <w:lang w:val="en-GB"/>
              </w:rPr>
            </w:pPr>
            <w:r w:rsidRPr="006009A9">
              <w:rPr>
                <w:rFonts w:ascii="Arial" w:hAnsi="Arial" w:cs="Arial"/>
                <w:bCs/>
                <w:snapToGrid w:val="0"/>
                <w:lang w:val="en-GB"/>
              </w:rPr>
              <w:t>The PBAC considered that pembrolizumab would likely be better tolerated overall than docetaxel or pemetrexed, however, was more likely to increase the risk of immune-related adverse events.</w:t>
            </w:r>
          </w:p>
          <w:p w:rsidR="00BB7B87" w:rsidRPr="006009A9" w:rsidRDefault="00BB7B87" w:rsidP="00D05B67">
            <w:pPr>
              <w:widowControl w:val="0"/>
              <w:contextualSpacing/>
              <w:rPr>
                <w:rFonts w:ascii="Arial" w:hAnsi="Arial" w:cs="Arial"/>
                <w:bCs/>
                <w:snapToGrid w:val="0"/>
                <w:lang w:val="en-GB"/>
              </w:rPr>
            </w:pPr>
          </w:p>
          <w:p w:rsidR="00BB7B87" w:rsidRPr="006009A9" w:rsidRDefault="00BB7B87" w:rsidP="00D05B67">
            <w:pPr>
              <w:widowControl w:val="0"/>
              <w:contextualSpacing/>
              <w:rPr>
                <w:rFonts w:ascii="Arial" w:hAnsi="Arial" w:cs="Arial"/>
                <w:bCs/>
                <w:snapToGrid w:val="0"/>
              </w:rPr>
            </w:pPr>
            <w:r w:rsidRPr="006009A9">
              <w:rPr>
                <w:rFonts w:ascii="Arial" w:hAnsi="Arial" w:cs="Arial"/>
                <w:bCs/>
                <w:snapToGrid w:val="0"/>
                <w:lang w:val="en-GB"/>
              </w:rPr>
              <w:t>The PBAC considered that the incremental cost effectiveness ratio for pembrolizumab was high, and was likely to be significantly underestimated due to several issues with the economic model. The PBAC noted that the estimated overall net cost of PD-L1 testing and pembrolizumab for NSCLC to the Government would be substantial.</w:t>
            </w:r>
          </w:p>
        </w:tc>
      </w:tr>
      <w:tr w:rsidR="00BB7B87" w:rsidRPr="002E3A4B" w:rsidTr="00BB7B87">
        <w:trPr>
          <w:trHeight w:val="405"/>
        </w:trPr>
        <w:tc>
          <w:tcPr>
            <w:tcW w:w="2977" w:type="dxa"/>
            <w:vMerge/>
            <w:tcBorders>
              <w:left w:val="single" w:sz="4" w:space="0" w:color="auto"/>
              <w:bottom w:val="single" w:sz="4" w:space="0" w:color="auto"/>
              <w:right w:val="single" w:sz="4" w:space="0" w:color="auto"/>
            </w:tcBorders>
            <w:tcMar>
              <w:top w:w="28" w:type="dxa"/>
              <w:bottom w:w="28" w:type="dxa"/>
            </w:tcMar>
          </w:tcPr>
          <w:p w:rsidR="00BB7B87" w:rsidRPr="006009A9" w:rsidRDefault="00BB7B87" w:rsidP="00D05B67">
            <w:pPr>
              <w:rPr>
                <w:rFonts w:ascii="Arial" w:hAnsi="Arial" w:cs="Arial"/>
                <w:bCs/>
                <w:color w:val="000000"/>
              </w:rPr>
            </w:pPr>
          </w:p>
        </w:tc>
        <w:tc>
          <w:tcPr>
            <w:tcW w:w="2126" w:type="dxa"/>
            <w:vMerge/>
            <w:tcBorders>
              <w:left w:val="single" w:sz="4" w:space="0" w:color="auto"/>
              <w:bottom w:val="single" w:sz="4" w:space="0" w:color="auto"/>
              <w:right w:val="single" w:sz="4" w:space="0" w:color="auto"/>
            </w:tcBorders>
            <w:tcMar>
              <w:top w:w="28" w:type="dxa"/>
              <w:bottom w:w="28" w:type="dxa"/>
            </w:tcMar>
          </w:tcPr>
          <w:p w:rsidR="00BB7B87" w:rsidRPr="006009A9" w:rsidRDefault="00BB7B87" w:rsidP="00D05B67">
            <w:pPr>
              <w:rPr>
                <w:rFonts w:ascii="Arial" w:hAnsi="Arial" w:cs="Arial"/>
                <w:bCs/>
                <w:color w:val="000000"/>
              </w:rPr>
            </w:pPr>
          </w:p>
        </w:tc>
        <w:tc>
          <w:tcPr>
            <w:tcW w:w="3261" w:type="dxa"/>
            <w:tcBorders>
              <w:top w:val="single" w:sz="4" w:space="0" w:color="auto"/>
              <w:left w:val="single" w:sz="4" w:space="0" w:color="auto"/>
              <w:bottom w:val="single" w:sz="4" w:space="0" w:color="auto"/>
              <w:right w:val="single" w:sz="4" w:space="0" w:color="auto"/>
            </w:tcBorders>
            <w:tcMar>
              <w:top w:w="28" w:type="dxa"/>
              <w:bottom w:w="28" w:type="dxa"/>
            </w:tcMar>
          </w:tcPr>
          <w:p w:rsidR="00BB7B87" w:rsidRPr="006009A9" w:rsidRDefault="00BB7B87" w:rsidP="00D05B67">
            <w:pPr>
              <w:rPr>
                <w:rFonts w:ascii="Arial" w:hAnsi="Arial" w:cs="Arial"/>
                <w:bCs/>
                <w:color w:val="000000"/>
              </w:rPr>
            </w:pPr>
            <w:r w:rsidRPr="006009A9">
              <w:rPr>
                <w:rFonts w:ascii="Arial" w:hAnsi="Arial" w:cs="Arial"/>
                <w:bCs/>
                <w:color w:val="000000"/>
              </w:rPr>
              <w:t>Sponsor comment:</w:t>
            </w:r>
          </w:p>
        </w:tc>
        <w:tc>
          <w:tcPr>
            <w:tcW w:w="6947" w:type="dxa"/>
            <w:tcBorders>
              <w:top w:val="single" w:sz="4" w:space="0" w:color="auto"/>
              <w:left w:val="single" w:sz="4" w:space="0" w:color="auto"/>
              <w:bottom w:val="single" w:sz="4" w:space="0" w:color="auto"/>
              <w:right w:val="single" w:sz="4" w:space="0" w:color="auto"/>
            </w:tcBorders>
          </w:tcPr>
          <w:p w:rsidR="00BB7B87" w:rsidRPr="006009A9" w:rsidRDefault="00BB7B87" w:rsidP="00D05B67">
            <w:pPr>
              <w:rPr>
                <w:rFonts w:ascii="Arial" w:hAnsi="Arial" w:cs="Arial"/>
                <w:bCs/>
                <w:color w:val="000000"/>
              </w:rPr>
            </w:pPr>
            <w:r w:rsidRPr="006009A9">
              <w:rPr>
                <w:rFonts w:ascii="Arial" w:hAnsi="Arial" w:cs="Arial"/>
                <w:bCs/>
                <w:color w:val="000000"/>
              </w:rPr>
              <w:t>The sponsor is disappointed and will continue to work with government to bring KEYTRUDA to appropriate patients as soon as possible.</w:t>
            </w:r>
          </w:p>
        </w:tc>
      </w:tr>
      <w:tr w:rsidR="00560B84" w:rsidRPr="007D6BCA" w:rsidTr="00BB7B87">
        <w:trPr>
          <w:cantSplit/>
          <w:trHeight w:val="546"/>
        </w:trPr>
        <w:tc>
          <w:tcPr>
            <w:tcW w:w="2977" w:type="dxa"/>
            <w:vMerge w:val="restart"/>
            <w:tcMar>
              <w:top w:w="28" w:type="dxa"/>
              <w:bottom w:w="28" w:type="dxa"/>
            </w:tcMar>
          </w:tcPr>
          <w:p w:rsidR="00560B84" w:rsidRPr="007D6BCA" w:rsidRDefault="008C3523" w:rsidP="005B6EB7">
            <w:pPr>
              <w:rPr>
                <w:rFonts w:ascii="Arial" w:hAnsi="Arial" w:cs="Arial"/>
                <w:color w:val="000000"/>
              </w:rPr>
            </w:pPr>
            <w:r w:rsidRPr="007D6BCA">
              <w:rPr>
                <w:rFonts w:ascii="Arial" w:hAnsi="Arial" w:cs="Arial"/>
                <w:color w:val="000000"/>
              </w:rPr>
              <w:lastRenderedPageBreak/>
              <w:t>ROMIDEPSIN</w:t>
            </w:r>
            <w:r w:rsidRPr="007D6BCA">
              <w:rPr>
                <w:rFonts w:ascii="Arial" w:hAnsi="Arial" w:cs="Arial"/>
                <w:color w:val="000000"/>
              </w:rPr>
              <w:br/>
            </w:r>
            <w:r w:rsidRPr="007D6BCA">
              <w:rPr>
                <w:rFonts w:ascii="Arial" w:hAnsi="Arial" w:cs="Arial"/>
                <w:color w:val="000000"/>
              </w:rPr>
              <w:br/>
              <w:t>Powder for I.V. infusion 10 mg</w:t>
            </w:r>
            <w:r w:rsidRPr="007D6BCA">
              <w:rPr>
                <w:rFonts w:ascii="Arial" w:hAnsi="Arial" w:cs="Arial"/>
                <w:color w:val="000000"/>
              </w:rPr>
              <w:br/>
            </w:r>
            <w:r w:rsidRPr="007D6BCA">
              <w:rPr>
                <w:rFonts w:ascii="Arial" w:hAnsi="Arial" w:cs="Arial"/>
                <w:color w:val="000000"/>
              </w:rPr>
              <w:br/>
              <w:t>Istodax®</w:t>
            </w:r>
            <w:r w:rsidRPr="007D6BCA">
              <w:rPr>
                <w:rFonts w:ascii="Arial" w:hAnsi="Arial" w:cs="Arial"/>
                <w:color w:val="000000"/>
              </w:rPr>
              <w:br/>
            </w:r>
            <w:r w:rsidRPr="007D6BCA">
              <w:rPr>
                <w:rFonts w:ascii="Arial" w:hAnsi="Arial" w:cs="Arial"/>
                <w:color w:val="000000"/>
              </w:rPr>
              <w:br/>
            </w:r>
            <w:r w:rsidR="00E51315" w:rsidRPr="007D6BCA">
              <w:rPr>
                <w:rFonts w:ascii="Arial" w:hAnsi="Arial" w:cs="Arial"/>
                <w:color w:val="000000"/>
              </w:rPr>
              <w:t xml:space="preserve">Celgene Pty Limited (submitted by </w:t>
            </w:r>
            <w:r w:rsidRPr="007D6BCA">
              <w:rPr>
                <w:rFonts w:ascii="Arial" w:hAnsi="Arial" w:cs="Arial"/>
                <w:color w:val="000000"/>
              </w:rPr>
              <w:t>Rare Cancers Australia</w:t>
            </w:r>
            <w:r w:rsidR="00E51315" w:rsidRPr="007D6BCA">
              <w:rPr>
                <w:rFonts w:ascii="Arial" w:hAnsi="Arial" w:cs="Arial"/>
                <w:color w:val="000000"/>
              </w:rPr>
              <w:t>)</w:t>
            </w:r>
          </w:p>
          <w:p w:rsidR="00DA38FD" w:rsidRPr="007D6BCA" w:rsidRDefault="00DA38FD" w:rsidP="005B6EB7">
            <w:pPr>
              <w:rPr>
                <w:rFonts w:ascii="Arial" w:hAnsi="Arial" w:cs="Arial"/>
                <w:color w:val="000000"/>
              </w:rPr>
            </w:pPr>
          </w:p>
          <w:p w:rsidR="00DA38FD" w:rsidRPr="007D6BCA" w:rsidRDefault="00DA38FD" w:rsidP="005B6EB7">
            <w:pPr>
              <w:rPr>
                <w:rFonts w:ascii="Arial" w:hAnsi="Arial" w:cs="Arial"/>
                <w:color w:val="000000"/>
              </w:rPr>
            </w:pPr>
            <w:r w:rsidRPr="007D6BCA">
              <w:rPr>
                <w:rFonts w:ascii="Arial" w:hAnsi="Arial" w:cs="Arial"/>
                <w:color w:val="000000"/>
              </w:rPr>
              <w:t>New listing</w:t>
            </w:r>
          </w:p>
          <w:p w:rsidR="00DA38FD" w:rsidRPr="007D6BCA" w:rsidRDefault="00DA38FD" w:rsidP="005B6EB7">
            <w:pPr>
              <w:rPr>
                <w:rFonts w:ascii="Arial" w:hAnsi="Arial" w:cs="Arial"/>
                <w:color w:val="000000"/>
              </w:rPr>
            </w:pPr>
          </w:p>
          <w:p w:rsidR="00DA38FD" w:rsidRPr="007D6BCA" w:rsidRDefault="00DA38FD" w:rsidP="005B6EB7">
            <w:pPr>
              <w:rPr>
                <w:rFonts w:ascii="Arial" w:hAnsi="Arial" w:cs="Arial"/>
                <w:color w:val="000000"/>
              </w:rPr>
            </w:pPr>
            <w:r w:rsidRPr="007D6BCA">
              <w:rPr>
                <w:rFonts w:ascii="Arial" w:hAnsi="Arial" w:cs="Arial"/>
                <w:color w:val="000000"/>
              </w:rPr>
              <w:t>(Major submission)</w:t>
            </w:r>
          </w:p>
        </w:tc>
        <w:tc>
          <w:tcPr>
            <w:tcW w:w="2126" w:type="dxa"/>
            <w:vMerge w:val="restart"/>
          </w:tcPr>
          <w:p w:rsidR="00560B84" w:rsidRPr="007D6BCA" w:rsidRDefault="005E5270" w:rsidP="005B6EB7">
            <w:pPr>
              <w:rPr>
                <w:rFonts w:ascii="Arial" w:hAnsi="Arial" w:cs="Arial"/>
              </w:rPr>
            </w:pPr>
            <w:r w:rsidRPr="007D6BCA">
              <w:rPr>
                <w:rFonts w:ascii="Arial" w:hAnsi="Arial" w:cs="Arial"/>
                <w:color w:val="000000"/>
              </w:rPr>
              <w:t>Relapsed or refractory peripheral T-cell lymphoma</w:t>
            </w:r>
          </w:p>
        </w:tc>
        <w:tc>
          <w:tcPr>
            <w:tcW w:w="3261" w:type="dxa"/>
            <w:tcMar>
              <w:top w:w="28" w:type="dxa"/>
              <w:bottom w:w="28" w:type="dxa"/>
            </w:tcMar>
          </w:tcPr>
          <w:p w:rsidR="00560B84" w:rsidRPr="007D6BCA" w:rsidRDefault="005E5270" w:rsidP="00690FAA">
            <w:pPr>
              <w:rPr>
                <w:rFonts w:ascii="Arial" w:hAnsi="Arial" w:cs="Arial"/>
                <w:color w:val="000000"/>
              </w:rPr>
            </w:pPr>
            <w:r w:rsidRPr="007D6BCA">
              <w:rPr>
                <w:rFonts w:ascii="Arial" w:hAnsi="Arial" w:cs="Arial"/>
                <w:color w:val="000000"/>
              </w:rPr>
              <w:t>To request a Section 100 (Highly Specialised Drugs Program) Authority Required listing for the treatment of relapsed or chemotherapy refractory peripheral T-cell lymphoma</w:t>
            </w:r>
            <w:r w:rsidR="00CA64A0" w:rsidRPr="007D6BCA">
              <w:rPr>
                <w:rFonts w:ascii="Arial" w:hAnsi="Arial" w:cs="Arial"/>
                <w:color w:val="000000"/>
              </w:rPr>
              <w:t xml:space="preserve"> (PTCL)</w:t>
            </w:r>
            <w:r w:rsidRPr="007D6BCA">
              <w:rPr>
                <w:rFonts w:ascii="Arial" w:hAnsi="Arial" w:cs="Arial"/>
                <w:color w:val="000000"/>
              </w:rPr>
              <w:t>.</w:t>
            </w:r>
          </w:p>
        </w:tc>
        <w:tc>
          <w:tcPr>
            <w:tcW w:w="6947" w:type="dxa"/>
          </w:tcPr>
          <w:p w:rsidR="009B1B35" w:rsidRPr="007D6BCA" w:rsidRDefault="009B1B35" w:rsidP="009B1B35">
            <w:pPr>
              <w:jc w:val="both"/>
              <w:rPr>
                <w:rFonts w:ascii="Arial" w:hAnsi="Arial" w:cs="Arial"/>
              </w:rPr>
            </w:pPr>
            <w:r w:rsidRPr="007D6BCA">
              <w:rPr>
                <w:rFonts w:ascii="Arial" w:hAnsi="Arial" w:cs="Arial"/>
              </w:rPr>
              <w:t>The PBAC decided not to recommend the Section 100 Authority Required listing of romidepsin for the treatment of PTCL, as the clinical data and economic analysis presented did not provide a basis for the PBAC to assess its comparative clinical effectiveness and cost-effectiveness. The PBAC considered that the submissio</w:t>
            </w:r>
            <w:r w:rsidR="00CA64A0" w:rsidRPr="007D6BCA">
              <w:rPr>
                <w:rFonts w:ascii="Arial" w:hAnsi="Arial" w:cs="Arial"/>
              </w:rPr>
              <w:t>n’s approach to estimating cost</w:t>
            </w:r>
            <w:r w:rsidR="00CA64A0" w:rsidRPr="007D6BCA">
              <w:rPr>
                <w:rFonts w:ascii="Arial" w:hAnsi="Arial" w:cs="Arial"/>
              </w:rPr>
              <w:noBreakHyphen/>
            </w:r>
            <w:r w:rsidRPr="007D6BCA">
              <w:rPr>
                <w:rFonts w:ascii="Arial" w:hAnsi="Arial" w:cs="Arial"/>
              </w:rPr>
              <w:t>effectiveness was fundamentally flawed</w:t>
            </w:r>
            <w:r w:rsidR="00D96C82">
              <w:rPr>
                <w:rFonts w:ascii="Arial" w:hAnsi="Arial" w:cs="Arial"/>
              </w:rPr>
              <w:t>,</w:t>
            </w:r>
            <w:r w:rsidRPr="007D6BCA">
              <w:rPr>
                <w:rFonts w:ascii="Arial" w:hAnsi="Arial" w:cs="Arial"/>
              </w:rPr>
              <w:t xml:space="preserve"> could not provide sufficient certainty for decision making, and was unacceptable in the context of the magnitude of the predicted additional expenditure.</w:t>
            </w:r>
          </w:p>
          <w:p w:rsidR="009B1B35" w:rsidRPr="007D6BCA" w:rsidRDefault="009B1B35" w:rsidP="009B1B35">
            <w:pPr>
              <w:jc w:val="both"/>
              <w:rPr>
                <w:rFonts w:ascii="Arial" w:hAnsi="Arial" w:cs="Arial"/>
              </w:rPr>
            </w:pPr>
          </w:p>
          <w:p w:rsidR="009B1B35" w:rsidRPr="007D6BCA" w:rsidRDefault="009B1B35" w:rsidP="009B1B35">
            <w:pPr>
              <w:jc w:val="both"/>
              <w:rPr>
                <w:rFonts w:ascii="Arial" w:hAnsi="Arial" w:cs="Arial"/>
              </w:rPr>
            </w:pPr>
            <w:r w:rsidRPr="007D6BCA">
              <w:rPr>
                <w:rFonts w:ascii="Arial" w:hAnsi="Arial" w:cs="Arial"/>
              </w:rPr>
              <w:t>In making this recommendation,</w:t>
            </w:r>
            <w:r w:rsidRPr="007D6BCA">
              <w:rPr>
                <w:rFonts w:ascii="Arial" w:hAnsi="Arial" w:cs="Arial"/>
                <w:i/>
              </w:rPr>
              <w:t xml:space="preserve"> </w:t>
            </w:r>
            <w:r w:rsidRPr="007D6BCA">
              <w:rPr>
                <w:rFonts w:ascii="Arial" w:hAnsi="Arial" w:cs="Arial"/>
              </w:rPr>
              <w:t xml:space="preserve">the PBAC recognised the high and unmet clinical need for an additional or alternative effective therapy in a group of patients with advanced PTCL after the failure of prior systemic therapy. </w:t>
            </w:r>
          </w:p>
          <w:p w:rsidR="009B1B35" w:rsidRPr="007D6BCA" w:rsidRDefault="009B1B35" w:rsidP="009B1B35">
            <w:pPr>
              <w:jc w:val="both"/>
              <w:rPr>
                <w:rFonts w:ascii="Arial" w:hAnsi="Arial" w:cs="Arial"/>
              </w:rPr>
            </w:pPr>
          </w:p>
          <w:p w:rsidR="009B1B35" w:rsidRPr="007D6BCA" w:rsidRDefault="009B1B35" w:rsidP="009B1B35">
            <w:pPr>
              <w:jc w:val="both"/>
              <w:rPr>
                <w:rFonts w:ascii="Arial" w:hAnsi="Arial" w:cs="Arial"/>
                <w:color w:val="000000"/>
                <w:u w:color="000000"/>
              </w:rPr>
            </w:pPr>
            <w:r w:rsidRPr="007D6BCA">
              <w:rPr>
                <w:rFonts w:ascii="Arial" w:hAnsi="Arial" w:cs="Arial"/>
                <w:color w:val="000000"/>
                <w:u w:color="000000"/>
              </w:rPr>
              <w:t xml:space="preserve">The PBAC noted that the key clinical evidence presented in the resubmission constituted two single-arm phase II studies (Study 0002, n=130 and Piekarz 2011, n=47) of romidepsin in PTCL. The PBAC considered </w:t>
            </w:r>
            <w:r w:rsidRPr="007D6BCA">
              <w:rPr>
                <w:rFonts w:ascii="Arial" w:hAnsi="Arial" w:cs="Arial"/>
                <w:iCs/>
                <w:color w:val="000000"/>
                <w:u w:color="000000"/>
              </w:rPr>
              <w:t xml:space="preserve">the efficacy and safety data were difficult to assess in the absence of a comparative analysis. </w:t>
            </w:r>
            <w:r w:rsidRPr="007D6BCA">
              <w:rPr>
                <w:rFonts w:ascii="Arial" w:hAnsi="Arial" w:cs="Arial"/>
                <w:color w:val="000000"/>
                <w:u w:color="000000"/>
              </w:rPr>
              <w:t>From the evidence presented in the resubmission, the PBAC considered that the romidepsin induced a durable response in a sizeable minority of patients with advanced PTCL; however</w:t>
            </w:r>
            <w:r w:rsidR="00CA64A0" w:rsidRPr="007D6BCA">
              <w:rPr>
                <w:rFonts w:ascii="Arial" w:hAnsi="Arial" w:cs="Arial"/>
                <w:color w:val="000000"/>
                <w:u w:color="000000"/>
              </w:rPr>
              <w:t>,</w:t>
            </w:r>
            <w:r w:rsidRPr="007D6BCA">
              <w:rPr>
                <w:rFonts w:ascii="Arial" w:hAnsi="Arial" w:cs="Arial"/>
                <w:color w:val="000000"/>
                <w:u w:color="000000"/>
              </w:rPr>
              <w:t xml:space="preserve"> the magnitude of any benefit was uninterpretable due to the limited and biased nature of the data.</w:t>
            </w:r>
          </w:p>
          <w:p w:rsidR="009B1B35" w:rsidRPr="007D6BCA" w:rsidRDefault="009B1B35" w:rsidP="009B1B35">
            <w:pPr>
              <w:jc w:val="both"/>
              <w:rPr>
                <w:rFonts w:ascii="Arial" w:hAnsi="Arial" w:cs="Arial"/>
                <w:color w:val="000000"/>
                <w:u w:color="000000"/>
              </w:rPr>
            </w:pPr>
          </w:p>
          <w:p w:rsidR="00560B84" w:rsidRPr="007D6BCA" w:rsidRDefault="009B1B35" w:rsidP="00CA64A0">
            <w:pPr>
              <w:jc w:val="both"/>
              <w:rPr>
                <w:rFonts w:ascii="Arial" w:hAnsi="Arial" w:cs="Arial"/>
                <w:color w:val="000000"/>
              </w:rPr>
            </w:pPr>
            <w:r w:rsidRPr="007D6BCA">
              <w:rPr>
                <w:rFonts w:ascii="Arial" w:hAnsi="Arial" w:cs="Arial"/>
              </w:rPr>
              <w:t xml:space="preserve">Within the limits of interpretation of the economic model provided, the PBAC considered that a substantial reduction in price was likely to be required to establish cost-effectiveness. </w:t>
            </w:r>
            <w:r w:rsidRPr="007D6BCA">
              <w:rPr>
                <w:rFonts w:ascii="Arial" w:hAnsi="Arial" w:cs="Arial"/>
                <w:snapToGrid w:val="0"/>
              </w:rPr>
              <w:t>The PBAC would welcome a future submission with comparative data and a revised economic evaluation, prepared in accordance with the PBAC Guidelines.</w:t>
            </w:r>
          </w:p>
        </w:tc>
      </w:tr>
      <w:tr w:rsidR="00560B84" w:rsidRPr="007D6BCA" w:rsidTr="00BB7B87">
        <w:trPr>
          <w:cantSplit/>
          <w:trHeight w:val="639"/>
        </w:trPr>
        <w:tc>
          <w:tcPr>
            <w:tcW w:w="2977" w:type="dxa"/>
            <w:vMerge/>
            <w:tcMar>
              <w:top w:w="28" w:type="dxa"/>
              <w:bottom w:w="28" w:type="dxa"/>
            </w:tcMar>
          </w:tcPr>
          <w:p w:rsidR="00560B84" w:rsidRPr="007D6BCA" w:rsidRDefault="00560B84">
            <w:pPr>
              <w:rPr>
                <w:rFonts w:ascii="Arial" w:hAnsi="Arial" w:cs="Arial"/>
              </w:rPr>
            </w:pPr>
          </w:p>
        </w:tc>
        <w:tc>
          <w:tcPr>
            <w:tcW w:w="2126" w:type="dxa"/>
            <w:vMerge/>
          </w:tcPr>
          <w:p w:rsidR="00560B84" w:rsidRPr="007D6BCA" w:rsidRDefault="00560B84">
            <w:pPr>
              <w:widowControl w:val="0"/>
              <w:rPr>
                <w:rFonts w:ascii="Arial" w:hAnsi="Arial" w:cs="Arial"/>
                <w:snapToGrid w:val="0"/>
                <w:lang w:eastAsia="en-US"/>
              </w:rPr>
            </w:pPr>
          </w:p>
        </w:tc>
        <w:tc>
          <w:tcPr>
            <w:tcW w:w="3261" w:type="dxa"/>
            <w:tcMar>
              <w:top w:w="28" w:type="dxa"/>
              <w:bottom w:w="28" w:type="dxa"/>
            </w:tcMar>
          </w:tcPr>
          <w:p w:rsidR="00560B84" w:rsidRPr="007D6BCA" w:rsidRDefault="00FE49CF">
            <w:pPr>
              <w:rPr>
                <w:rFonts w:ascii="Arial" w:hAnsi="Arial" w:cs="Arial"/>
                <w:bCs/>
                <w:color w:val="000000"/>
              </w:rPr>
            </w:pPr>
            <w:r w:rsidRPr="00F519CA">
              <w:rPr>
                <w:rFonts w:ascii="Arial" w:hAnsi="Arial" w:cs="Arial"/>
                <w:bCs/>
                <w:color w:val="000000"/>
              </w:rPr>
              <w:t>Sponsor comment:</w:t>
            </w:r>
          </w:p>
        </w:tc>
        <w:tc>
          <w:tcPr>
            <w:tcW w:w="6947" w:type="dxa"/>
          </w:tcPr>
          <w:p w:rsidR="00560B84" w:rsidRPr="007D6BCA" w:rsidRDefault="00352EF9">
            <w:pPr>
              <w:pStyle w:val="ListParagraph"/>
              <w:ind w:left="0"/>
              <w:jc w:val="both"/>
              <w:rPr>
                <w:rFonts w:ascii="Arial" w:hAnsi="Arial" w:cs="Arial"/>
                <w:iCs/>
                <w:sz w:val="20"/>
                <w:szCs w:val="20"/>
              </w:rPr>
            </w:pPr>
            <w:r w:rsidRPr="00352EF9">
              <w:rPr>
                <w:rFonts w:ascii="Arial" w:hAnsi="Arial" w:cs="Arial"/>
                <w:iCs/>
                <w:sz w:val="20"/>
                <w:szCs w:val="20"/>
              </w:rPr>
              <w:t>Rare Cancers Australia (RCA) is disappointed by the PBAC’s decision, not to recommend romidepsin in the treatment of peripheral T-cell lymphoma on this occasion. It is RCA’s sincere hope the manufacturer of romidepsin will go on to develop a successful resubmission, building on the PBAC’s feedback and the good will forged between RCA and the DoH and the PBAC throughout the submission process.</w:t>
            </w:r>
          </w:p>
        </w:tc>
      </w:tr>
      <w:tr w:rsidR="00560B84" w:rsidRPr="007D6BCA" w:rsidTr="00BB7B87">
        <w:trPr>
          <w:cantSplit/>
          <w:trHeight w:val="1604"/>
        </w:trPr>
        <w:tc>
          <w:tcPr>
            <w:tcW w:w="2977" w:type="dxa"/>
            <w:vMerge w:val="restart"/>
            <w:tcMar>
              <w:top w:w="28" w:type="dxa"/>
              <w:bottom w:w="28" w:type="dxa"/>
            </w:tcMar>
          </w:tcPr>
          <w:p w:rsidR="00560B84" w:rsidRPr="007D6BCA" w:rsidRDefault="008C3523" w:rsidP="005B6EB7">
            <w:pPr>
              <w:rPr>
                <w:rFonts w:ascii="Arial" w:hAnsi="Arial" w:cs="Arial"/>
                <w:color w:val="000000"/>
              </w:rPr>
            </w:pPr>
            <w:r w:rsidRPr="007D6BCA">
              <w:rPr>
                <w:rFonts w:ascii="Arial" w:hAnsi="Arial" w:cs="Arial"/>
                <w:color w:val="000000"/>
              </w:rPr>
              <w:lastRenderedPageBreak/>
              <w:t xml:space="preserve">TERIFLUNOMIDE </w:t>
            </w:r>
            <w:r w:rsidRPr="007D6BCA">
              <w:rPr>
                <w:rFonts w:ascii="Arial" w:hAnsi="Arial" w:cs="Arial"/>
                <w:color w:val="000000"/>
              </w:rPr>
              <w:br/>
            </w:r>
            <w:r w:rsidRPr="007D6BCA">
              <w:rPr>
                <w:rFonts w:ascii="Arial" w:hAnsi="Arial" w:cs="Arial"/>
                <w:color w:val="000000"/>
              </w:rPr>
              <w:br/>
              <w:t>Tablet 14 mg</w:t>
            </w:r>
            <w:r w:rsidRPr="007D6BCA">
              <w:rPr>
                <w:rFonts w:ascii="Arial" w:hAnsi="Arial" w:cs="Arial"/>
                <w:color w:val="000000"/>
              </w:rPr>
              <w:br/>
            </w:r>
            <w:r w:rsidRPr="007D6BCA">
              <w:rPr>
                <w:rFonts w:ascii="Arial" w:hAnsi="Arial" w:cs="Arial"/>
                <w:color w:val="000000"/>
              </w:rPr>
              <w:br/>
              <w:t>Aubagio®</w:t>
            </w:r>
            <w:r w:rsidRPr="007D6BCA">
              <w:rPr>
                <w:rFonts w:ascii="Arial" w:hAnsi="Arial" w:cs="Arial"/>
                <w:color w:val="000000"/>
              </w:rPr>
              <w:br/>
            </w:r>
            <w:r w:rsidRPr="007D6BCA">
              <w:rPr>
                <w:rFonts w:ascii="Arial" w:hAnsi="Arial" w:cs="Arial"/>
                <w:color w:val="000000"/>
              </w:rPr>
              <w:br/>
              <w:t>Sanofi-aventis Australia Pty Ltd</w:t>
            </w:r>
          </w:p>
          <w:p w:rsidR="00DA38FD" w:rsidRPr="007D6BCA" w:rsidRDefault="00DA38FD" w:rsidP="005B6EB7">
            <w:pPr>
              <w:rPr>
                <w:rFonts w:ascii="Arial" w:hAnsi="Arial" w:cs="Arial"/>
                <w:color w:val="000000"/>
              </w:rPr>
            </w:pPr>
          </w:p>
          <w:p w:rsidR="00DA38FD" w:rsidRPr="007D6BCA" w:rsidRDefault="00DA38FD" w:rsidP="005B6EB7">
            <w:pPr>
              <w:rPr>
                <w:rFonts w:ascii="Arial" w:hAnsi="Arial" w:cs="Arial"/>
                <w:color w:val="000000"/>
              </w:rPr>
            </w:pPr>
            <w:r w:rsidRPr="007D6BCA">
              <w:rPr>
                <w:rFonts w:ascii="Arial" w:hAnsi="Arial" w:cs="Arial"/>
                <w:color w:val="000000"/>
              </w:rPr>
              <w:t>Change to listing</w:t>
            </w:r>
          </w:p>
          <w:p w:rsidR="00DA38FD" w:rsidRPr="007D6BCA" w:rsidRDefault="00DA38FD" w:rsidP="005B6EB7">
            <w:pPr>
              <w:rPr>
                <w:rFonts w:ascii="Arial" w:hAnsi="Arial" w:cs="Arial"/>
                <w:color w:val="000000"/>
              </w:rPr>
            </w:pPr>
          </w:p>
          <w:p w:rsidR="00DA38FD" w:rsidRPr="007D6BCA" w:rsidRDefault="00DA38FD" w:rsidP="005B6EB7">
            <w:pPr>
              <w:rPr>
                <w:rFonts w:ascii="Arial" w:hAnsi="Arial" w:cs="Arial"/>
                <w:color w:val="000000"/>
              </w:rPr>
            </w:pPr>
            <w:r w:rsidRPr="007D6BCA">
              <w:rPr>
                <w:rFonts w:ascii="Arial" w:hAnsi="Arial" w:cs="Arial"/>
                <w:color w:val="000000"/>
              </w:rPr>
              <w:t>(Minor submission)</w:t>
            </w:r>
          </w:p>
        </w:tc>
        <w:tc>
          <w:tcPr>
            <w:tcW w:w="2126" w:type="dxa"/>
            <w:vMerge w:val="restart"/>
          </w:tcPr>
          <w:p w:rsidR="00560B84" w:rsidRPr="007D6BCA" w:rsidRDefault="005E5270" w:rsidP="005B6EB7">
            <w:pPr>
              <w:rPr>
                <w:rFonts w:ascii="Arial" w:hAnsi="Arial" w:cs="Arial"/>
              </w:rPr>
            </w:pPr>
            <w:r w:rsidRPr="007D6BCA">
              <w:rPr>
                <w:rFonts w:ascii="Arial" w:hAnsi="Arial" w:cs="Arial"/>
              </w:rPr>
              <w:t>Relapsing-remitting multiple sclerosis</w:t>
            </w:r>
            <w:r w:rsidR="00565698" w:rsidRPr="007D6BCA">
              <w:rPr>
                <w:rFonts w:ascii="Arial" w:hAnsi="Arial" w:cs="Arial"/>
              </w:rPr>
              <w:t xml:space="preserve"> (RRMS)</w:t>
            </w:r>
          </w:p>
        </w:tc>
        <w:tc>
          <w:tcPr>
            <w:tcW w:w="3261" w:type="dxa"/>
            <w:tcMar>
              <w:top w:w="28" w:type="dxa"/>
              <w:bottom w:w="28" w:type="dxa"/>
            </w:tcMar>
          </w:tcPr>
          <w:p w:rsidR="00560B84" w:rsidRPr="007D6BCA" w:rsidRDefault="005E5270" w:rsidP="00690FAA">
            <w:pPr>
              <w:rPr>
                <w:rFonts w:ascii="Arial" w:hAnsi="Arial" w:cs="Arial"/>
                <w:color w:val="000000"/>
              </w:rPr>
            </w:pPr>
            <w:r w:rsidRPr="007D6BCA">
              <w:rPr>
                <w:rFonts w:ascii="Arial" w:hAnsi="Arial" w:cs="Arial"/>
                <w:color w:val="000000"/>
              </w:rPr>
              <w:t>To request the current Authority Required listing be changed to Authority Required (STREAMLINED).</w:t>
            </w:r>
          </w:p>
        </w:tc>
        <w:tc>
          <w:tcPr>
            <w:tcW w:w="6947" w:type="dxa"/>
          </w:tcPr>
          <w:p w:rsidR="00560B84" w:rsidRPr="007D6BCA" w:rsidRDefault="00565698" w:rsidP="002F0461">
            <w:pPr>
              <w:rPr>
                <w:rFonts w:ascii="Arial" w:hAnsi="Arial" w:cs="Arial"/>
                <w:color w:val="000000"/>
              </w:rPr>
            </w:pPr>
            <w:r w:rsidRPr="007D6BCA">
              <w:rPr>
                <w:rFonts w:ascii="Arial" w:hAnsi="Arial" w:cs="Arial"/>
                <w:color w:val="000000"/>
              </w:rPr>
              <w:t xml:space="preserve">The PBAC decided not to recommend amending the listing of teriflunomide to Authority Required (STREAMLINED), as it considered that the market for oral therapies for RRMS had not yet stabilised. </w:t>
            </w:r>
          </w:p>
        </w:tc>
      </w:tr>
      <w:tr w:rsidR="00560B84" w:rsidRPr="007D6BCA" w:rsidTr="00BB7B87">
        <w:trPr>
          <w:cantSplit/>
          <w:trHeight w:val="639"/>
        </w:trPr>
        <w:tc>
          <w:tcPr>
            <w:tcW w:w="2977" w:type="dxa"/>
            <w:vMerge/>
            <w:tcMar>
              <w:top w:w="28" w:type="dxa"/>
              <w:bottom w:w="28" w:type="dxa"/>
            </w:tcMar>
          </w:tcPr>
          <w:p w:rsidR="00560B84" w:rsidRPr="007D6BCA" w:rsidRDefault="00560B84">
            <w:pPr>
              <w:rPr>
                <w:rFonts w:ascii="Arial" w:hAnsi="Arial" w:cs="Arial"/>
              </w:rPr>
            </w:pPr>
          </w:p>
        </w:tc>
        <w:tc>
          <w:tcPr>
            <w:tcW w:w="2126" w:type="dxa"/>
            <w:vMerge/>
          </w:tcPr>
          <w:p w:rsidR="00560B84" w:rsidRPr="007D6BCA" w:rsidRDefault="00560B84">
            <w:pPr>
              <w:widowControl w:val="0"/>
              <w:rPr>
                <w:rFonts w:ascii="Arial" w:hAnsi="Arial" w:cs="Arial"/>
                <w:snapToGrid w:val="0"/>
                <w:lang w:eastAsia="en-US"/>
              </w:rPr>
            </w:pPr>
          </w:p>
        </w:tc>
        <w:tc>
          <w:tcPr>
            <w:tcW w:w="3261" w:type="dxa"/>
            <w:tcMar>
              <w:top w:w="28" w:type="dxa"/>
              <w:bottom w:w="28" w:type="dxa"/>
            </w:tcMar>
          </w:tcPr>
          <w:p w:rsidR="00560B84" w:rsidRPr="00C23EB2" w:rsidRDefault="00FE49CF">
            <w:pPr>
              <w:rPr>
                <w:rFonts w:ascii="Arial" w:hAnsi="Arial" w:cs="Arial"/>
                <w:bCs/>
                <w:color w:val="000000"/>
                <w:highlight w:val="yellow"/>
              </w:rPr>
            </w:pPr>
            <w:r w:rsidRPr="00F519CA">
              <w:rPr>
                <w:rFonts w:ascii="Arial" w:hAnsi="Arial" w:cs="Arial"/>
                <w:bCs/>
                <w:color w:val="000000"/>
              </w:rPr>
              <w:t>Sponsor comment:</w:t>
            </w:r>
          </w:p>
        </w:tc>
        <w:tc>
          <w:tcPr>
            <w:tcW w:w="6947" w:type="dxa"/>
          </w:tcPr>
          <w:p w:rsidR="00560B84" w:rsidRPr="00C23EB2" w:rsidRDefault="00F519CA">
            <w:pPr>
              <w:pStyle w:val="ListParagraph"/>
              <w:ind w:left="0"/>
              <w:jc w:val="both"/>
              <w:rPr>
                <w:rFonts w:ascii="Arial" w:hAnsi="Arial" w:cs="Arial"/>
                <w:iCs/>
                <w:sz w:val="20"/>
                <w:szCs w:val="20"/>
                <w:highlight w:val="yellow"/>
              </w:rPr>
            </w:pPr>
            <w:r w:rsidRPr="00F519CA">
              <w:rPr>
                <w:rFonts w:ascii="Arial" w:hAnsi="Arial" w:cs="Arial"/>
                <w:iCs/>
                <w:sz w:val="20"/>
                <w:szCs w:val="20"/>
              </w:rPr>
              <w:t>The sponsor had no comment.</w:t>
            </w:r>
          </w:p>
        </w:tc>
      </w:tr>
      <w:tr w:rsidR="00713BDB" w:rsidRPr="002E3A4B" w:rsidTr="00B829F6">
        <w:trPr>
          <w:trHeight w:val="1138"/>
        </w:trPr>
        <w:tc>
          <w:tcPr>
            <w:tcW w:w="2977" w:type="dxa"/>
            <w:vMerge w:val="restart"/>
            <w:tcBorders>
              <w:left w:val="single" w:sz="4" w:space="0" w:color="auto"/>
              <w:right w:val="single" w:sz="4" w:space="0" w:color="auto"/>
            </w:tcBorders>
            <w:tcMar>
              <w:top w:w="28" w:type="dxa"/>
              <w:bottom w:w="28" w:type="dxa"/>
            </w:tcMar>
          </w:tcPr>
          <w:p w:rsidR="00713BDB" w:rsidRPr="00BA0898" w:rsidRDefault="00713BDB" w:rsidP="002E66AC">
            <w:pPr>
              <w:rPr>
                <w:rFonts w:ascii="Arial" w:hAnsi="Arial" w:cs="Arial"/>
                <w:bCs/>
                <w:color w:val="000000"/>
              </w:rPr>
            </w:pPr>
            <w:r w:rsidRPr="00BA0898">
              <w:rPr>
                <w:rFonts w:ascii="Arial" w:hAnsi="Arial" w:cs="Arial"/>
                <w:bCs/>
                <w:color w:val="000000"/>
              </w:rPr>
              <w:t>TRIFLURIDINE with TIPIRACIL</w:t>
            </w:r>
            <w:r w:rsidRPr="00BA0898">
              <w:rPr>
                <w:rFonts w:ascii="Arial" w:hAnsi="Arial" w:cs="Arial"/>
                <w:bCs/>
                <w:color w:val="000000"/>
              </w:rPr>
              <w:br/>
            </w:r>
            <w:r w:rsidRPr="00BA0898">
              <w:rPr>
                <w:rFonts w:ascii="Arial" w:hAnsi="Arial" w:cs="Arial"/>
                <w:bCs/>
                <w:color w:val="000000"/>
              </w:rPr>
              <w:br/>
              <w:t xml:space="preserve">Tablet containing 15 mg trifluridine with 6.14 mg tipiracil </w:t>
            </w:r>
            <w:r w:rsidRPr="00BA0898">
              <w:rPr>
                <w:rFonts w:ascii="Arial" w:hAnsi="Arial" w:cs="Arial"/>
                <w:bCs/>
                <w:color w:val="000000"/>
              </w:rPr>
              <w:br/>
              <w:t>Tablet containing 20 mg trifluridine with 8.19 mg tipiracil</w:t>
            </w:r>
            <w:r w:rsidRPr="00BA0898">
              <w:rPr>
                <w:rFonts w:ascii="Arial" w:hAnsi="Arial" w:cs="Arial"/>
                <w:bCs/>
                <w:color w:val="000000"/>
              </w:rPr>
              <w:br/>
            </w:r>
            <w:r w:rsidRPr="00BA0898">
              <w:rPr>
                <w:rFonts w:ascii="Arial" w:hAnsi="Arial" w:cs="Arial"/>
                <w:bCs/>
                <w:color w:val="000000"/>
              </w:rPr>
              <w:br/>
              <w:t>Lonsurf®</w:t>
            </w:r>
            <w:r w:rsidRPr="00BA0898">
              <w:rPr>
                <w:rFonts w:ascii="Arial" w:hAnsi="Arial" w:cs="Arial"/>
                <w:bCs/>
                <w:color w:val="000000"/>
              </w:rPr>
              <w:br/>
            </w:r>
            <w:r w:rsidRPr="00BA0898">
              <w:rPr>
                <w:rFonts w:ascii="Arial" w:hAnsi="Arial" w:cs="Arial"/>
                <w:bCs/>
                <w:color w:val="000000"/>
              </w:rPr>
              <w:br/>
              <w:t>Servier Laboratories (Australia) Pty Ltd</w:t>
            </w:r>
          </w:p>
          <w:p w:rsidR="00713BDB" w:rsidRPr="00BA0898" w:rsidRDefault="00713BDB" w:rsidP="002E66AC">
            <w:pPr>
              <w:rPr>
                <w:rFonts w:ascii="Arial" w:hAnsi="Arial" w:cs="Arial"/>
                <w:bCs/>
                <w:color w:val="000000"/>
              </w:rPr>
            </w:pPr>
          </w:p>
          <w:p w:rsidR="00713BDB" w:rsidRPr="00BA0898" w:rsidRDefault="00713BDB" w:rsidP="002E66AC">
            <w:pPr>
              <w:rPr>
                <w:rFonts w:ascii="Arial" w:hAnsi="Arial" w:cs="Arial"/>
                <w:bCs/>
                <w:color w:val="000000"/>
              </w:rPr>
            </w:pPr>
            <w:r w:rsidRPr="00BA0898">
              <w:rPr>
                <w:rFonts w:ascii="Arial" w:hAnsi="Arial" w:cs="Arial"/>
                <w:bCs/>
                <w:color w:val="000000"/>
              </w:rPr>
              <w:t>New listing</w:t>
            </w:r>
          </w:p>
          <w:p w:rsidR="00713BDB" w:rsidRPr="00BA0898" w:rsidRDefault="00713BDB" w:rsidP="002E66AC">
            <w:pPr>
              <w:rPr>
                <w:rFonts w:ascii="Arial" w:hAnsi="Arial" w:cs="Arial"/>
                <w:bCs/>
                <w:color w:val="000000"/>
              </w:rPr>
            </w:pPr>
          </w:p>
          <w:p w:rsidR="00713BDB" w:rsidRPr="00BA0898" w:rsidRDefault="00713BDB" w:rsidP="002E66AC">
            <w:pPr>
              <w:rPr>
                <w:rFonts w:ascii="Arial" w:hAnsi="Arial" w:cs="Arial"/>
                <w:bCs/>
                <w:color w:val="000000"/>
              </w:rPr>
            </w:pPr>
            <w:r w:rsidRPr="00BA0898">
              <w:rPr>
                <w:rFonts w:ascii="Arial" w:hAnsi="Arial" w:cs="Arial"/>
                <w:bCs/>
                <w:color w:val="000000"/>
              </w:rPr>
              <w:t>(Major submission)</w:t>
            </w:r>
          </w:p>
          <w:p w:rsidR="00713BDB" w:rsidRPr="00BA0898" w:rsidRDefault="00713BDB" w:rsidP="002E66AC">
            <w:pPr>
              <w:rPr>
                <w:rFonts w:ascii="Arial" w:hAnsi="Arial" w:cs="Arial"/>
                <w:bCs/>
                <w:color w:val="000000"/>
              </w:rPr>
            </w:pPr>
          </w:p>
        </w:tc>
        <w:tc>
          <w:tcPr>
            <w:tcW w:w="2126" w:type="dxa"/>
            <w:vMerge w:val="restart"/>
            <w:tcBorders>
              <w:left w:val="single" w:sz="4" w:space="0" w:color="auto"/>
              <w:right w:val="single" w:sz="4" w:space="0" w:color="auto"/>
            </w:tcBorders>
            <w:tcMar>
              <w:top w:w="28" w:type="dxa"/>
              <w:bottom w:w="28" w:type="dxa"/>
            </w:tcMar>
          </w:tcPr>
          <w:p w:rsidR="00713BDB" w:rsidRPr="00BA0898" w:rsidRDefault="00713BDB" w:rsidP="002E66AC">
            <w:pPr>
              <w:rPr>
                <w:rFonts w:ascii="Arial" w:hAnsi="Arial" w:cs="Arial"/>
                <w:bCs/>
                <w:color w:val="000000"/>
              </w:rPr>
            </w:pPr>
            <w:r w:rsidRPr="00BA0898">
              <w:rPr>
                <w:rFonts w:ascii="Arial" w:hAnsi="Arial" w:cs="Arial"/>
                <w:bCs/>
                <w:color w:val="000000"/>
              </w:rPr>
              <w:t>Metastatic colorectal cancer (mCRC)</w:t>
            </w:r>
          </w:p>
          <w:p w:rsidR="00713BDB" w:rsidRPr="00BA0898" w:rsidRDefault="00713BDB" w:rsidP="002E66AC">
            <w:pPr>
              <w:rPr>
                <w:rFonts w:ascii="Arial" w:hAnsi="Arial" w:cs="Arial"/>
                <w:bCs/>
                <w:color w:val="000000"/>
              </w:rPr>
            </w:pPr>
          </w:p>
        </w:tc>
        <w:tc>
          <w:tcPr>
            <w:tcW w:w="3261" w:type="dxa"/>
            <w:tcBorders>
              <w:top w:val="single" w:sz="4" w:space="0" w:color="auto"/>
              <w:left w:val="single" w:sz="4" w:space="0" w:color="auto"/>
              <w:right w:val="single" w:sz="4" w:space="0" w:color="auto"/>
            </w:tcBorders>
            <w:tcMar>
              <w:top w:w="28" w:type="dxa"/>
              <w:bottom w:w="28" w:type="dxa"/>
            </w:tcMar>
          </w:tcPr>
          <w:p w:rsidR="00713BDB" w:rsidRPr="00BA0898" w:rsidRDefault="00713BDB" w:rsidP="002E66AC">
            <w:pPr>
              <w:rPr>
                <w:rFonts w:ascii="Arial" w:hAnsi="Arial" w:cs="Arial"/>
                <w:bCs/>
                <w:color w:val="000000"/>
              </w:rPr>
            </w:pPr>
            <w:r w:rsidRPr="00BA0898">
              <w:rPr>
                <w:rFonts w:ascii="Arial" w:hAnsi="Arial" w:cs="Arial"/>
                <w:bCs/>
                <w:color w:val="000000"/>
              </w:rPr>
              <w:t>To request an Authority Required (STREAMLINED) listing for the treatment of mCRC.</w:t>
            </w:r>
          </w:p>
          <w:p w:rsidR="00713BDB" w:rsidRPr="00BA0898" w:rsidRDefault="00713BDB" w:rsidP="002E66AC">
            <w:pPr>
              <w:rPr>
                <w:rFonts w:ascii="Arial" w:hAnsi="Arial" w:cs="Arial"/>
                <w:bCs/>
                <w:color w:val="000000"/>
              </w:rPr>
            </w:pPr>
          </w:p>
          <w:p w:rsidR="00713BDB" w:rsidRPr="00BA0898" w:rsidRDefault="00713BDB" w:rsidP="002E66AC">
            <w:pPr>
              <w:rPr>
                <w:rFonts w:ascii="Arial" w:hAnsi="Arial" w:cs="Arial"/>
                <w:bCs/>
                <w:color w:val="000000"/>
              </w:rPr>
            </w:pPr>
          </w:p>
          <w:p w:rsidR="00713BDB" w:rsidRPr="00BA0898" w:rsidRDefault="00713BDB" w:rsidP="002E66AC">
            <w:pPr>
              <w:rPr>
                <w:rFonts w:ascii="Arial" w:hAnsi="Arial" w:cs="Arial"/>
                <w:bCs/>
                <w:color w:val="000000"/>
              </w:rPr>
            </w:pPr>
          </w:p>
        </w:tc>
        <w:tc>
          <w:tcPr>
            <w:tcW w:w="6947" w:type="dxa"/>
            <w:tcBorders>
              <w:top w:val="single" w:sz="4" w:space="0" w:color="auto"/>
              <w:left w:val="single" w:sz="4" w:space="0" w:color="auto"/>
              <w:bottom w:val="single" w:sz="4" w:space="0" w:color="auto"/>
              <w:right w:val="single" w:sz="4" w:space="0" w:color="auto"/>
            </w:tcBorders>
          </w:tcPr>
          <w:p w:rsidR="00713BDB" w:rsidRPr="00BA0898" w:rsidRDefault="00713BDB" w:rsidP="002E66AC">
            <w:pPr>
              <w:widowControl w:val="0"/>
              <w:jc w:val="both"/>
              <w:rPr>
                <w:rFonts w:ascii="Arial" w:hAnsi="Arial" w:cs="Arial"/>
                <w:bCs/>
                <w:color w:val="000000"/>
              </w:rPr>
            </w:pPr>
            <w:r w:rsidRPr="00BA0898">
              <w:rPr>
                <w:rFonts w:ascii="Arial" w:hAnsi="Arial" w:cs="Arial"/>
                <w:bCs/>
                <w:color w:val="000000"/>
              </w:rPr>
              <w:t>The PBAC did not recommend the listing of trifluridine with tipiracil on the PBS for the treatment of patients with mCRC who have been previously treated with, or are not considered suitable for, currently available therapies. This decision was made on the basis of a modest clinical benefit, high and uncertain incremental cost</w:t>
            </w:r>
            <w:r w:rsidRPr="00BA0898">
              <w:rPr>
                <w:rFonts w:ascii="Arial" w:hAnsi="Arial" w:cs="Arial"/>
                <w:bCs/>
                <w:color w:val="000000"/>
              </w:rPr>
              <w:noBreakHyphen/>
              <w:t>effectiveness ratio, and concern that the extent of benefit as observed in the clinical trial would not be realised in clinical practice.</w:t>
            </w:r>
          </w:p>
          <w:p w:rsidR="00713BDB" w:rsidRPr="00BA0898" w:rsidRDefault="00713BDB" w:rsidP="002E66AC">
            <w:pPr>
              <w:widowControl w:val="0"/>
              <w:jc w:val="both"/>
              <w:rPr>
                <w:rFonts w:ascii="Arial" w:hAnsi="Arial" w:cs="Arial"/>
                <w:bCs/>
                <w:color w:val="000000"/>
              </w:rPr>
            </w:pPr>
          </w:p>
          <w:p w:rsidR="00713BDB" w:rsidRPr="00BA0898" w:rsidRDefault="00713BDB" w:rsidP="002E66AC">
            <w:pPr>
              <w:widowControl w:val="0"/>
              <w:jc w:val="both"/>
              <w:rPr>
                <w:rFonts w:ascii="Arial" w:hAnsi="Arial" w:cs="Arial"/>
                <w:bCs/>
                <w:color w:val="000000"/>
              </w:rPr>
            </w:pPr>
            <w:r w:rsidRPr="00BA0898">
              <w:rPr>
                <w:rFonts w:ascii="Arial" w:hAnsi="Arial" w:cs="Arial"/>
                <w:bCs/>
                <w:color w:val="000000"/>
              </w:rPr>
              <w:t>The PBAC agreed with the submission’s nominated comparator of best supportive care.</w:t>
            </w:r>
          </w:p>
          <w:p w:rsidR="00713BDB" w:rsidRPr="00BA0898" w:rsidRDefault="00713BDB" w:rsidP="002E66AC">
            <w:pPr>
              <w:widowControl w:val="0"/>
              <w:jc w:val="both"/>
              <w:rPr>
                <w:rFonts w:ascii="Arial" w:hAnsi="Arial" w:cs="Arial"/>
                <w:bCs/>
                <w:color w:val="000000"/>
              </w:rPr>
            </w:pPr>
          </w:p>
          <w:p w:rsidR="00713BDB" w:rsidRPr="00BA0898" w:rsidRDefault="00713BDB" w:rsidP="002E66AC">
            <w:pPr>
              <w:ind w:right="-46"/>
              <w:jc w:val="both"/>
              <w:rPr>
                <w:rFonts w:ascii="Arial" w:hAnsi="Arial" w:cs="Arial"/>
                <w:bCs/>
                <w:color w:val="000000"/>
              </w:rPr>
            </w:pPr>
            <w:r w:rsidRPr="00BA0898">
              <w:rPr>
                <w:rFonts w:ascii="Arial" w:hAnsi="Arial" w:cs="Arial"/>
                <w:bCs/>
                <w:color w:val="000000"/>
              </w:rPr>
              <w:t>The PBAC considered the submission’s claim of superior efficacy of trifluridine with tipiracil over best supportive care to be adequately supported by the data, although considered the magnitude of the benefit to be modest. The PBAC considered the submission’s claim of inferior safety of trifluridine with tipiracil compared to placebo to be reasonable. The PBAC noted the toxicity associated with trifluridine with tipiracil was predictable, with myelosupression being the key adverse event.</w:t>
            </w:r>
          </w:p>
          <w:p w:rsidR="00713BDB" w:rsidRPr="00BA0898" w:rsidRDefault="00713BDB" w:rsidP="002E66AC">
            <w:pPr>
              <w:widowControl w:val="0"/>
              <w:contextualSpacing/>
              <w:jc w:val="both"/>
              <w:rPr>
                <w:rFonts w:ascii="Arial" w:hAnsi="Arial" w:cs="Arial"/>
                <w:bCs/>
                <w:color w:val="000000"/>
              </w:rPr>
            </w:pPr>
          </w:p>
          <w:p w:rsidR="00713BDB" w:rsidRPr="00BA0898" w:rsidRDefault="00713BDB" w:rsidP="002E66AC">
            <w:pPr>
              <w:ind w:right="-46"/>
              <w:jc w:val="both"/>
              <w:rPr>
                <w:rFonts w:ascii="Arial" w:hAnsi="Arial" w:cs="Arial"/>
                <w:bCs/>
                <w:color w:val="000000"/>
              </w:rPr>
            </w:pPr>
            <w:r w:rsidRPr="00BA0898">
              <w:rPr>
                <w:rFonts w:ascii="Arial" w:hAnsi="Arial" w:cs="Arial"/>
                <w:bCs/>
                <w:color w:val="000000"/>
              </w:rPr>
              <w:t>The PBAC questioned the applicability of the trial data to Australian clinical practice and noted that the magnitude of the benefit as observed in the trials may not be realised in clinical practice. This was because, on average, patients with a worse performance status may be treated and dose reductions or delays may be required because of neutropenia.</w:t>
            </w:r>
          </w:p>
          <w:p w:rsidR="00713BDB" w:rsidRPr="00BA0898" w:rsidRDefault="00713BDB" w:rsidP="002E66AC">
            <w:pPr>
              <w:widowControl w:val="0"/>
              <w:contextualSpacing/>
              <w:jc w:val="both"/>
              <w:rPr>
                <w:rFonts w:ascii="Arial" w:hAnsi="Arial" w:cs="Arial"/>
                <w:bCs/>
                <w:color w:val="000000"/>
              </w:rPr>
            </w:pPr>
          </w:p>
          <w:p w:rsidR="00713BDB" w:rsidRPr="00BA0898" w:rsidRDefault="00713BDB" w:rsidP="002E66AC">
            <w:pPr>
              <w:widowControl w:val="0"/>
              <w:jc w:val="both"/>
              <w:rPr>
                <w:rFonts w:ascii="Arial" w:hAnsi="Arial" w:cs="Arial"/>
                <w:bCs/>
                <w:color w:val="000000"/>
              </w:rPr>
            </w:pPr>
            <w:r w:rsidRPr="00BA0898">
              <w:rPr>
                <w:rFonts w:ascii="Arial" w:hAnsi="Arial" w:cs="Arial"/>
                <w:bCs/>
                <w:color w:val="000000"/>
              </w:rPr>
              <w:lastRenderedPageBreak/>
              <w:t>The PBAC considered the cost-effectiveness ratios presented in the submission ($75,000-$105,000 per quality adjusted life year (QALY) gained) and the pre-PBAC response ($45,000-$75,000 per QALY gained) to be unacceptably high, and likely to be underestimated given the potential applicability issues and concerns regarding the model structure.</w:t>
            </w:r>
          </w:p>
        </w:tc>
      </w:tr>
      <w:tr w:rsidR="00713BDB" w:rsidRPr="002E3A4B" w:rsidTr="00B829F6">
        <w:trPr>
          <w:trHeight w:val="1138"/>
        </w:trPr>
        <w:tc>
          <w:tcPr>
            <w:tcW w:w="2977" w:type="dxa"/>
            <w:vMerge/>
            <w:tcBorders>
              <w:left w:val="single" w:sz="4" w:space="0" w:color="auto"/>
              <w:right w:val="single" w:sz="4" w:space="0" w:color="auto"/>
            </w:tcBorders>
            <w:tcMar>
              <w:top w:w="28" w:type="dxa"/>
              <w:bottom w:w="28" w:type="dxa"/>
            </w:tcMar>
          </w:tcPr>
          <w:p w:rsidR="00713BDB" w:rsidRPr="00BA0898" w:rsidRDefault="00713BDB" w:rsidP="00146EA6">
            <w:pPr>
              <w:rPr>
                <w:rFonts w:ascii="Arial" w:hAnsi="Arial" w:cs="Arial"/>
              </w:rPr>
            </w:pPr>
          </w:p>
        </w:tc>
        <w:tc>
          <w:tcPr>
            <w:tcW w:w="2126" w:type="dxa"/>
            <w:vMerge/>
            <w:tcBorders>
              <w:left w:val="single" w:sz="4" w:space="0" w:color="auto"/>
              <w:right w:val="single" w:sz="4" w:space="0" w:color="auto"/>
            </w:tcBorders>
            <w:tcMar>
              <w:top w:w="28" w:type="dxa"/>
              <w:bottom w:w="28" w:type="dxa"/>
            </w:tcMar>
          </w:tcPr>
          <w:p w:rsidR="00713BDB" w:rsidRPr="00BA0898" w:rsidRDefault="00713BDB" w:rsidP="00146EA6">
            <w:pPr>
              <w:rPr>
                <w:rFonts w:ascii="Arial" w:hAnsi="Arial" w:cs="Arial"/>
                <w:bCs/>
                <w:color w:val="000000"/>
              </w:rPr>
            </w:pPr>
          </w:p>
        </w:tc>
        <w:tc>
          <w:tcPr>
            <w:tcW w:w="3261" w:type="dxa"/>
            <w:tcBorders>
              <w:left w:val="single" w:sz="4" w:space="0" w:color="auto"/>
              <w:bottom w:val="single" w:sz="4" w:space="0" w:color="auto"/>
              <w:right w:val="single" w:sz="4" w:space="0" w:color="auto"/>
            </w:tcBorders>
            <w:tcMar>
              <w:top w:w="28" w:type="dxa"/>
              <w:bottom w:w="28" w:type="dxa"/>
            </w:tcMar>
          </w:tcPr>
          <w:p w:rsidR="00713BDB" w:rsidRPr="00BA0898" w:rsidRDefault="00713BDB" w:rsidP="00146EA6">
            <w:pPr>
              <w:rPr>
                <w:rFonts w:ascii="Arial" w:hAnsi="Arial" w:cs="Arial"/>
                <w:bCs/>
                <w:color w:val="000000"/>
              </w:rPr>
            </w:pPr>
            <w:r w:rsidRPr="00BA0898">
              <w:rPr>
                <w:rFonts w:ascii="Arial" w:hAnsi="Arial" w:cs="Arial"/>
                <w:bCs/>
                <w:color w:val="000000"/>
              </w:rPr>
              <w:t>Sponsor comment:</w:t>
            </w:r>
          </w:p>
        </w:tc>
        <w:tc>
          <w:tcPr>
            <w:tcW w:w="6947" w:type="dxa"/>
            <w:tcBorders>
              <w:top w:val="single" w:sz="4" w:space="0" w:color="auto"/>
              <w:left w:val="single" w:sz="4" w:space="0" w:color="auto"/>
              <w:bottom w:val="single" w:sz="4" w:space="0" w:color="auto"/>
              <w:right w:val="single" w:sz="4" w:space="0" w:color="auto"/>
            </w:tcBorders>
          </w:tcPr>
          <w:p w:rsidR="00713BDB" w:rsidRPr="00BA0898" w:rsidRDefault="00713BDB" w:rsidP="00146EA6">
            <w:pPr>
              <w:rPr>
                <w:rFonts w:ascii="Arial" w:hAnsi="Arial" w:cs="Arial"/>
                <w:color w:val="222222"/>
              </w:rPr>
            </w:pPr>
            <w:r w:rsidRPr="00BA0898">
              <w:rPr>
                <w:rFonts w:ascii="Arial" w:hAnsi="Arial" w:cs="Arial"/>
                <w:bCs/>
                <w:color w:val="000000"/>
              </w:rPr>
              <w:t>The sponsor had no comment.</w:t>
            </w:r>
          </w:p>
        </w:tc>
      </w:tr>
      <w:tr w:rsidR="001E5FB2" w:rsidRPr="002E3A4B" w:rsidTr="00BB7B87">
        <w:trPr>
          <w:trHeight w:val="405"/>
        </w:trPr>
        <w:tc>
          <w:tcPr>
            <w:tcW w:w="2977" w:type="dxa"/>
            <w:vMerge w:val="restart"/>
            <w:tcBorders>
              <w:left w:val="single" w:sz="4" w:space="0" w:color="auto"/>
              <w:right w:val="single" w:sz="4" w:space="0" w:color="auto"/>
            </w:tcBorders>
            <w:tcMar>
              <w:top w:w="28" w:type="dxa"/>
              <w:bottom w:w="28" w:type="dxa"/>
            </w:tcMar>
          </w:tcPr>
          <w:p w:rsidR="001E5FB2" w:rsidRPr="00AE3FEF" w:rsidRDefault="001E5FB2" w:rsidP="00F4264A">
            <w:pPr>
              <w:rPr>
                <w:rFonts w:ascii="Arial" w:hAnsi="Arial" w:cs="Arial"/>
                <w:color w:val="000000"/>
              </w:rPr>
            </w:pPr>
            <w:r w:rsidRPr="00AE3FEF">
              <w:rPr>
                <w:rFonts w:ascii="Arial" w:hAnsi="Arial" w:cs="Arial"/>
                <w:color w:val="000000"/>
              </w:rPr>
              <w:t>VITAMIN, MINERAL, AND TRACE ELEMENTS with CARBOHYDRATE</w:t>
            </w:r>
            <w:r w:rsidRPr="00AE3FEF">
              <w:rPr>
                <w:rFonts w:ascii="Arial" w:hAnsi="Arial" w:cs="Arial"/>
                <w:color w:val="000000"/>
              </w:rPr>
              <w:br/>
            </w:r>
            <w:r w:rsidRPr="00AE3FEF">
              <w:rPr>
                <w:rFonts w:ascii="Arial" w:hAnsi="Arial" w:cs="Arial"/>
                <w:color w:val="000000"/>
              </w:rPr>
              <w:br/>
              <w:t>Sachet 6 g</w:t>
            </w:r>
            <w:r w:rsidRPr="00AE3FEF">
              <w:rPr>
                <w:rFonts w:ascii="Arial" w:hAnsi="Arial" w:cs="Arial"/>
                <w:color w:val="000000"/>
              </w:rPr>
              <w:br/>
            </w:r>
            <w:r w:rsidRPr="00AE3FEF">
              <w:rPr>
                <w:rFonts w:ascii="Arial" w:hAnsi="Arial" w:cs="Arial"/>
                <w:color w:val="000000"/>
              </w:rPr>
              <w:br/>
              <w:t>Fruitivits®</w:t>
            </w:r>
            <w:r w:rsidRPr="00AE3FEF">
              <w:rPr>
                <w:rFonts w:ascii="Arial" w:hAnsi="Arial" w:cs="Arial"/>
                <w:color w:val="000000"/>
              </w:rPr>
              <w:br/>
            </w:r>
            <w:r w:rsidRPr="00AE3FEF">
              <w:rPr>
                <w:rFonts w:ascii="Arial" w:hAnsi="Arial" w:cs="Arial"/>
                <w:color w:val="000000"/>
              </w:rPr>
              <w:br/>
              <w:t>Vitaflo Australia Pty Ltd</w:t>
            </w:r>
          </w:p>
          <w:p w:rsidR="001E5FB2" w:rsidRPr="00AE3FEF" w:rsidRDefault="001E5FB2" w:rsidP="00F4264A">
            <w:pPr>
              <w:rPr>
                <w:rFonts w:ascii="Arial" w:hAnsi="Arial" w:cs="Arial"/>
                <w:color w:val="000000"/>
              </w:rPr>
            </w:pPr>
          </w:p>
          <w:p w:rsidR="001E5FB2" w:rsidRPr="00AE3FEF" w:rsidRDefault="001E5FB2" w:rsidP="00F4264A">
            <w:pPr>
              <w:rPr>
                <w:rFonts w:ascii="Arial" w:hAnsi="Arial" w:cs="Arial"/>
                <w:color w:val="000000"/>
              </w:rPr>
            </w:pPr>
            <w:r w:rsidRPr="00AE3FEF">
              <w:rPr>
                <w:rFonts w:ascii="Arial" w:hAnsi="Arial" w:cs="Arial"/>
                <w:color w:val="000000"/>
              </w:rPr>
              <w:t>Change to listing</w:t>
            </w:r>
          </w:p>
          <w:p w:rsidR="001E5FB2" w:rsidRPr="00AE3FEF" w:rsidRDefault="001E5FB2" w:rsidP="00F4264A">
            <w:pPr>
              <w:rPr>
                <w:rFonts w:ascii="Arial" w:hAnsi="Arial" w:cs="Arial"/>
                <w:color w:val="000000"/>
              </w:rPr>
            </w:pPr>
          </w:p>
          <w:p w:rsidR="001E5FB2" w:rsidRPr="00AE3FEF" w:rsidRDefault="001E5FB2" w:rsidP="00F4264A">
            <w:pPr>
              <w:rPr>
                <w:rFonts w:ascii="Arial" w:hAnsi="Arial" w:cs="Arial"/>
                <w:color w:val="000000"/>
              </w:rPr>
            </w:pPr>
            <w:r w:rsidRPr="00AE3FEF">
              <w:rPr>
                <w:rFonts w:ascii="Arial" w:hAnsi="Arial" w:cs="Arial"/>
                <w:color w:val="000000"/>
              </w:rPr>
              <w:t>(Minor submission)</w:t>
            </w:r>
          </w:p>
        </w:tc>
        <w:tc>
          <w:tcPr>
            <w:tcW w:w="2126" w:type="dxa"/>
            <w:vMerge w:val="restart"/>
            <w:tcBorders>
              <w:left w:val="single" w:sz="4" w:space="0" w:color="auto"/>
              <w:right w:val="single" w:sz="4" w:space="0" w:color="auto"/>
            </w:tcBorders>
            <w:tcMar>
              <w:top w:w="28" w:type="dxa"/>
              <w:bottom w:w="28" w:type="dxa"/>
            </w:tcMar>
          </w:tcPr>
          <w:p w:rsidR="001E5FB2" w:rsidRPr="00AE3FEF" w:rsidRDefault="001E5FB2" w:rsidP="00F4264A">
            <w:pPr>
              <w:rPr>
                <w:rFonts w:ascii="Arial" w:hAnsi="Arial" w:cs="Arial"/>
              </w:rPr>
            </w:pPr>
            <w:r w:rsidRPr="00AE3FEF">
              <w:rPr>
                <w:rFonts w:ascii="Arial" w:hAnsi="Arial" w:cs="Arial"/>
                <w:color w:val="000000"/>
              </w:rPr>
              <w:t>Dietary management of conditions requiring a highly restrictive therapeutic diet</w:t>
            </w:r>
          </w:p>
        </w:tc>
        <w:tc>
          <w:tcPr>
            <w:tcW w:w="3261" w:type="dxa"/>
            <w:tcBorders>
              <w:top w:val="single" w:sz="4" w:space="0" w:color="auto"/>
              <w:left w:val="single" w:sz="4" w:space="0" w:color="auto"/>
              <w:bottom w:val="single" w:sz="4" w:space="0" w:color="auto"/>
              <w:right w:val="single" w:sz="4" w:space="0" w:color="auto"/>
            </w:tcBorders>
            <w:tcMar>
              <w:top w:w="28" w:type="dxa"/>
              <w:bottom w:w="28" w:type="dxa"/>
            </w:tcMar>
          </w:tcPr>
          <w:p w:rsidR="001E5FB2" w:rsidRPr="00AE3FEF" w:rsidRDefault="001E5FB2" w:rsidP="00F4264A">
            <w:pPr>
              <w:rPr>
                <w:rFonts w:ascii="Arial" w:hAnsi="Arial" w:cs="Arial"/>
                <w:color w:val="000000"/>
              </w:rPr>
            </w:pPr>
            <w:r w:rsidRPr="00AE3FEF">
              <w:rPr>
                <w:rFonts w:ascii="Arial" w:hAnsi="Arial" w:cs="Arial"/>
                <w:color w:val="000000"/>
              </w:rPr>
              <w:t>To request a change to the restriction to include children aged 1 year or older.</w:t>
            </w:r>
          </w:p>
        </w:tc>
        <w:tc>
          <w:tcPr>
            <w:tcW w:w="6947" w:type="dxa"/>
            <w:tcBorders>
              <w:top w:val="single" w:sz="4" w:space="0" w:color="auto"/>
              <w:left w:val="single" w:sz="4" w:space="0" w:color="auto"/>
              <w:bottom w:val="single" w:sz="4" w:space="0" w:color="auto"/>
              <w:right w:val="single" w:sz="4" w:space="0" w:color="auto"/>
            </w:tcBorders>
          </w:tcPr>
          <w:p w:rsidR="001E5FB2" w:rsidRPr="00AE3FEF" w:rsidRDefault="001E5FB2" w:rsidP="00F4264A">
            <w:pPr>
              <w:rPr>
                <w:rFonts w:ascii="Arial" w:hAnsi="Arial" w:cs="Arial"/>
                <w:color w:val="000000"/>
              </w:rPr>
            </w:pPr>
            <w:r w:rsidRPr="00AE3FEF">
              <w:rPr>
                <w:rFonts w:ascii="Arial" w:hAnsi="Arial" w:cs="Arial"/>
                <w:color w:val="000000"/>
              </w:rPr>
              <w:t>The PBAC did not recommend amending the restricted benefit listing for FruitiVits® to include patients from 1 year of age as the product contains iron at only 56% of the nutrient reference value for patients aged 1-3 years.</w:t>
            </w:r>
          </w:p>
        </w:tc>
      </w:tr>
      <w:tr w:rsidR="001E5FB2" w:rsidRPr="002E3A4B" w:rsidTr="00BB7B87">
        <w:trPr>
          <w:trHeight w:val="405"/>
        </w:trPr>
        <w:tc>
          <w:tcPr>
            <w:tcW w:w="2977" w:type="dxa"/>
            <w:vMerge/>
            <w:tcBorders>
              <w:left w:val="single" w:sz="4" w:space="0" w:color="auto"/>
              <w:bottom w:val="single" w:sz="4" w:space="0" w:color="auto"/>
              <w:right w:val="single" w:sz="4" w:space="0" w:color="auto"/>
            </w:tcBorders>
            <w:tcMar>
              <w:top w:w="28" w:type="dxa"/>
              <w:bottom w:w="28" w:type="dxa"/>
            </w:tcMar>
          </w:tcPr>
          <w:p w:rsidR="001E5FB2" w:rsidRPr="00AE3FEF" w:rsidRDefault="001E5FB2" w:rsidP="00F4264A">
            <w:pPr>
              <w:rPr>
                <w:rFonts w:ascii="Arial" w:hAnsi="Arial" w:cs="Arial"/>
                <w:bCs/>
                <w:color w:val="000000"/>
              </w:rPr>
            </w:pPr>
          </w:p>
        </w:tc>
        <w:tc>
          <w:tcPr>
            <w:tcW w:w="2126" w:type="dxa"/>
            <w:vMerge/>
            <w:tcBorders>
              <w:left w:val="single" w:sz="4" w:space="0" w:color="auto"/>
              <w:bottom w:val="single" w:sz="4" w:space="0" w:color="auto"/>
              <w:right w:val="single" w:sz="4" w:space="0" w:color="auto"/>
            </w:tcBorders>
            <w:tcMar>
              <w:top w:w="28" w:type="dxa"/>
              <w:bottom w:w="28" w:type="dxa"/>
            </w:tcMar>
          </w:tcPr>
          <w:p w:rsidR="001E5FB2" w:rsidRPr="00AE3FEF" w:rsidRDefault="001E5FB2" w:rsidP="00F4264A">
            <w:pPr>
              <w:rPr>
                <w:rFonts w:ascii="Arial" w:hAnsi="Arial" w:cs="Arial"/>
                <w:bCs/>
                <w:color w:val="000000"/>
              </w:rPr>
            </w:pPr>
          </w:p>
        </w:tc>
        <w:tc>
          <w:tcPr>
            <w:tcW w:w="3261" w:type="dxa"/>
            <w:tcBorders>
              <w:top w:val="single" w:sz="4" w:space="0" w:color="auto"/>
              <w:left w:val="single" w:sz="4" w:space="0" w:color="auto"/>
              <w:bottom w:val="single" w:sz="4" w:space="0" w:color="auto"/>
              <w:right w:val="single" w:sz="4" w:space="0" w:color="auto"/>
            </w:tcBorders>
            <w:tcMar>
              <w:top w:w="28" w:type="dxa"/>
              <w:bottom w:w="28" w:type="dxa"/>
            </w:tcMar>
          </w:tcPr>
          <w:p w:rsidR="001E5FB2" w:rsidRPr="00AE3FEF" w:rsidRDefault="001E5FB2" w:rsidP="00F4264A">
            <w:pPr>
              <w:rPr>
                <w:rFonts w:ascii="Arial" w:hAnsi="Arial" w:cs="Arial"/>
                <w:bCs/>
                <w:color w:val="000000"/>
              </w:rPr>
            </w:pPr>
            <w:r w:rsidRPr="00AE3FEF">
              <w:rPr>
                <w:rFonts w:ascii="Arial" w:hAnsi="Arial" w:cs="Arial"/>
                <w:bCs/>
                <w:color w:val="000000"/>
              </w:rPr>
              <w:t>Sponsor comment:</w:t>
            </w:r>
          </w:p>
        </w:tc>
        <w:tc>
          <w:tcPr>
            <w:tcW w:w="6947" w:type="dxa"/>
            <w:tcBorders>
              <w:top w:val="single" w:sz="4" w:space="0" w:color="auto"/>
              <w:left w:val="single" w:sz="4" w:space="0" w:color="auto"/>
              <w:bottom w:val="single" w:sz="4" w:space="0" w:color="auto"/>
              <w:right w:val="single" w:sz="4" w:space="0" w:color="auto"/>
            </w:tcBorders>
          </w:tcPr>
          <w:p w:rsidR="001E5FB2" w:rsidRPr="00AE3FEF" w:rsidRDefault="0055016E" w:rsidP="00F4264A">
            <w:pPr>
              <w:rPr>
                <w:rFonts w:ascii="Arial" w:hAnsi="Arial" w:cs="Arial"/>
                <w:bCs/>
                <w:color w:val="000000"/>
              </w:rPr>
            </w:pPr>
            <w:r w:rsidRPr="00AE3FEF">
              <w:rPr>
                <w:rFonts w:ascii="Arial" w:hAnsi="Arial" w:cs="Arial"/>
                <w:bCs/>
                <w:color w:val="000000"/>
              </w:rPr>
              <w:t>The sponsor had no comment.</w:t>
            </w:r>
          </w:p>
        </w:tc>
      </w:tr>
      <w:tr w:rsidR="00560B84" w:rsidRPr="007D6BCA" w:rsidTr="00BB7B87">
        <w:trPr>
          <w:cantSplit/>
          <w:trHeight w:val="546"/>
        </w:trPr>
        <w:tc>
          <w:tcPr>
            <w:tcW w:w="2977" w:type="dxa"/>
            <w:vMerge w:val="restart"/>
            <w:tcMar>
              <w:top w:w="28" w:type="dxa"/>
              <w:bottom w:w="28" w:type="dxa"/>
            </w:tcMar>
          </w:tcPr>
          <w:p w:rsidR="00560B84" w:rsidRPr="007D6BCA" w:rsidRDefault="008C3523" w:rsidP="005B6EB7">
            <w:pPr>
              <w:rPr>
                <w:rFonts w:ascii="Arial" w:hAnsi="Arial" w:cs="Arial"/>
                <w:color w:val="000000"/>
              </w:rPr>
            </w:pPr>
            <w:r w:rsidRPr="007D6BCA">
              <w:rPr>
                <w:rFonts w:ascii="Arial" w:hAnsi="Arial" w:cs="Arial"/>
                <w:color w:val="000000"/>
              </w:rPr>
              <w:t>WARFARIN</w:t>
            </w:r>
            <w:r w:rsidRPr="007D6BCA">
              <w:rPr>
                <w:rFonts w:ascii="Arial" w:hAnsi="Arial" w:cs="Arial"/>
                <w:color w:val="000000"/>
              </w:rPr>
              <w:br/>
            </w:r>
            <w:r w:rsidRPr="007D6BCA">
              <w:rPr>
                <w:rFonts w:ascii="Arial" w:hAnsi="Arial" w:cs="Arial"/>
                <w:color w:val="000000"/>
              </w:rPr>
              <w:br/>
              <w:t>Tablet containing warfarin sodium, 1 mg</w:t>
            </w:r>
            <w:r w:rsidRPr="007D6BCA">
              <w:rPr>
                <w:rFonts w:ascii="Arial" w:hAnsi="Arial" w:cs="Arial"/>
                <w:color w:val="000000"/>
              </w:rPr>
              <w:br/>
              <w:t>Tablet containing warfarin sodium, 2 mg</w:t>
            </w:r>
            <w:r w:rsidRPr="007D6BCA">
              <w:rPr>
                <w:rFonts w:ascii="Arial" w:hAnsi="Arial" w:cs="Arial"/>
                <w:color w:val="000000"/>
              </w:rPr>
              <w:br/>
              <w:t>Tablet containing warfarin sodium, 5 mg</w:t>
            </w:r>
            <w:r w:rsidRPr="007D6BCA">
              <w:rPr>
                <w:rFonts w:ascii="Arial" w:hAnsi="Arial" w:cs="Arial"/>
                <w:color w:val="000000"/>
              </w:rPr>
              <w:br/>
            </w:r>
            <w:r w:rsidRPr="007D6BCA">
              <w:rPr>
                <w:rFonts w:ascii="Arial" w:hAnsi="Arial" w:cs="Arial"/>
                <w:color w:val="000000"/>
              </w:rPr>
              <w:br/>
              <w:t>Warfarin APOTEX®</w:t>
            </w:r>
            <w:r w:rsidRPr="007D6BCA">
              <w:rPr>
                <w:rFonts w:ascii="Arial" w:hAnsi="Arial" w:cs="Arial"/>
                <w:color w:val="000000"/>
              </w:rPr>
              <w:br/>
            </w:r>
            <w:r w:rsidRPr="007D6BCA">
              <w:rPr>
                <w:rFonts w:ascii="Arial" w:hAnsi="Arial" w:cs="Arial"/>
                <w:color w:val="000000"/>
              </w:rPr>
              <w:lastRenderedPageBreak/>
              <w:br/>
              <w:t>Apotex Pty Ltd</w:t>
            </w:r>
          </w:p>
          <w:p w:rsidR="00DA38FD" w:rsidRPr="007D6BCA" w:rsidRDefault="00DA38FD" w:rsidP="005B6EB7">
            <w:pPr>
              <w:rPr>
                <w:rFonts w:ascii="Arial" w:hAnsi="Arial" w:cs="Arial"/>
                <w:color w:val="000000"/>
              </w:rPr>
            </w:pPr>
          </w:p>
          <w:p w:rsidR="00DA38FD" w:rsidRPr="007D6BCA" w:rsidRDefault="00DA38FD" w:rsidP="005B6EB7">
            <w:pPr>
              <w:rPr>
                <w:rFonts w:ascii="Arial" w:hAnsi="Arial" w:cs="Arial"/>
                <w:color w:val="000000"/>
              </w:rPr>
            </w:pPr>
            <w:r w:rsidRPr="007D6BCA">
              <w:rPr>
                <w:rFonts w:ascii="Arial" w:hAnsi="Arial" w:cs="Arial"/>
                <w:color w:val="000000"/>
              </w:rPr>
              <w:t>New listing</w:t>
            </w:r>
          </w:p>
          <w:p w:rsidR="00DA38FD" w:rsidRPr="007D6BCA" w:rsidRDefault="00DA38FD" w:rsidP="005B6EB7">
            <w:pPr>
              <w:rPr>
                <w:rFonts w:ascii="Arial" w:hAnsi="Arial" w:cs="Arial"/>
                <w:color w:val="000000"/>
              </w:rPr>
            </w:pPr>
          </w:p>
          <w:p w:rsidR="00DA38FD" w:rsidRPr="007D6BCA" w:rsidRDefault="00DA38FD" w:rsidP="005B6EB7">
            <w:pPr>
              <w:rPr>
                <w:rFonts w:ascii="Arial" w:hAnsi="Arial" w:cs="Arial"/>
                <w:color w:val="000000"/>
              </w:rPr>
            </w:pPr>
            <w:r w:rsidRPr="007D6BCA">
              <w:rPr>
                <w:rFonts w:ascii="Arial" w:hAnsi="Arial" w:cs="Arial"/>
                <w:color w:val="000000"/>
              </w:rPr>
              <w:t>(Minor submission)</w:t>
            </w:r>
          </w:p>
        </w:tc>
        <w:tc>
          <w:tcPr>
            <w:tcW w:w="2126" w:type="dxa"/>
            <w:vMerge w:val="restart"/>
          </w:tcPr>
          <w:p w:rsidR="00560B84" w:rsidRPr="007D6BCA" w:rsidRDefault="005E5270" w:rsidP="005B6EB7">
            <w:pPr>
              <w:rPr>
                <w:rFonts w:ascii="Arial" w:hAnsi="Arial" w:cs="Arial"/>
              </w:rPr>
            </w:pPr>
            <w:r w:rsidRPr="007D6BCA">
              <w:rPr>
                <w:rFonts w:ascii="Arial" w:hAnsi="Arial" w:cs="Arial"/>
                <w:color w:val="000000"/>
              </w:rPr>
              <w:lastRenderedPageBreak/>
              <w:t>Unrestricted</w:t>
            </w:r>
          </w:p>
        </w:tc>
        <w:tc>
          <w:tcPr>
            <w:tcW w:w="3261" w:type="dxa"/>
            <w:tcMar>
              <w:top w:w="28" w:type="dxa"/>
              <w:bottom w:w="28" w:type="dxa"/>
            </w:tcMar>
          </w:tcPr>
          <w:p w:rsidR="00560B84" w:rsidRPr="007D6BCA" w:rsidRDefault="005E5270" w:rsidP="00690FAA">
            <w:pPr>
              <w:rPr>
                <w:rFonts w:ascii="Arial" w:hAnsi="Arial" w:cs="Arial"/>
                <w:color w:val="000000"/>
              </w:rPr>
            </w:pPr>
            <w:r w:rsidRPr="007D6BCA">
              <w:rPr>
                <w:rFonts w:ascii="Arial" w:hAnsi="Arial" w:cs="Arial"/>
                <w:color w:val="000000"/>
              </w:rPr>
              <w:t>To request the listing of a new brand of warfarin (Warfarin APOTEX®) with an ‘a-flag’ to a currently listed brand of warfarin (Coumadin®).</w:t>
            </w:r>
          </w:p>
        </w:tc>
        <w:tc>
          <w:tcPr>
            <w:tcW w:w="6947" w:type="dxa"/>
          </w:tcPr>
          <w:p w:rsidR="00560B84" w:rsidRPr="007D6BCA" w:rsidRDefault="0038023C" w:rsidP="00CA64A0">
            <w:pPr>
              <w:jc w:val="both"/>
              <w:rPr>
                <w:rFonts w:ascii="Arial" w:hAnsi="Arial" w:cs="Arial"/>
                <w:color w:val="000000"/>
              </w:rPr>
            </w:pPr>
            <w:r w:rsidRPr="007D6BCA">
              <w:rPr>
                <w:rFonts w:ascii="Arial" w:hAnsi="Arial" w:cs="Arial"/>
                <w:color w:val="000000"/>
              </w:rPr>
              <w:t xml:space="preserve">The PBAC did not recommend the listing of Warfarin APOTEX® or for it to be marked as equivalent (i.e. ‘a’ flagged) to the Coumadin® brand of </w:t>
            </w:r>
            <w:r w:rsidR="00690FAA" w:rsidRPr="007D6BCA">
              <w:rPr>
                <w:rFonts w:ascii="Arial" w:hAnsi="Arial" w:cs="Arial"/>
                <w:color w:val="000000"/>
              </w:rPr>
              <w:t xml:space="preserve">warfarin </w:t>
            </w:r>
            <w:r w:rsidRPr="007D6BCA">
              <w:rPr>
                <w:rFonts w:ascii="Arial" w:hAnsi="Arial" w:cs="Arial"/>
                <w:color w:val="000000"/>
              </w:rPr>
              <w:t>tablets in the context of potential safety and quality use of medicines issues identified. The PBAC noted the narrow therapeutic index and considerable safety risks associated with inadequate control of warfarin. The PBAC considered that the listing of additional brands for warfarin would increase the potential risk of significant adverse outcomes, and would likely cause confusion and distress to patients, particularly because of the lack of interchangeability between the currently listed Coumadin® and Marevan® brands.</w:t>
            </w:r>
          </w:p>
        </w:tc>
      </w:tr>
      <w:tr w:rsidR="00560B84" w:rsidRPr="007D6BCA" w:rsidTr="00BB7B87">
        <w:trPr>
          <w:cantSplit/>
          <w:trHeight w:val="639"/>
        </w:trPr>
        <w:tc>
          <w:tcPr>
            <w:tcW w:w="2977" w:type="dxa"/>
            <w:vMerge/>
            <w:tcMar>
              <w:top w:w="28" w:type="dxa"/>
              <w:bottom w:w="28" w:type="dxa"/>
            </w:tcMar>
          </w:tcPr>
          <w:p w:rsidR="00560B84" w:rsidRPr="007D6BCA" w:rsidRDefault="00560B84">
            <w:pPr>
              <w:rPr>
                <w:rFonts w:ascii="Arial" w:hAnsi="Arial" w:cs="Arial"/>
              </w:rPr>
            </w:pPr>
          </w:p>
        </w:tc>
        <w:tc>
          <w:tcPr>
            <w:tcW w:w="2126" w:type="dxa"/>
            <w:vMerge/>
          </w:tcPr>
          <w:p w:rsidR="00560B84" w:rsidRPr="007D6BCA" w:rsidRDefault="00560B84">
            <w:pPr>
              <w:widowControl w:val="0"/>
              <w:rPr>
                <w:rFonts w:ascii="Arial" w:hAnsi="Arial" w:cs="Arial"/>
                <w:snapToGrid w:val="0"/>
                <w:lang w:eastAsia="en-US"/>
              </w:rPr>
            </w:pPr>
          </w:p>
        </w:tc>
        <w:tc>
          <w:tcPr>
            <w:tcW w:w="3261" w:type="dxa"/>
            <w:tcMar>
              <w:top w:w="28" w:type="dxa"/>
              <w:bottom w:w="28" w:type="dxa"/>
            </w:tcMar>
          </w:tcPr>
          <w:p w:rsidR="00560B84" w:rsidRPr="007D6BCA" w:rsidRDefault="005E5270">
            <w:pPr>
              <w:rPr>
                <w:rFonts w:ascii="Arial" w:hAnsi="Arial" w:cs="Arial"/>
                <w:bCs/>
                <w:color w:val="000000"/>
              </w:rPr>
            </w:pPr>
            <w:r w:rsidRPr="00F519CA">
              <w:rPr>
                <w:rFonts w:ascii="Arial" w:hAnsi="Arial" w:cs="Arial"/>
                <w:bCs/>
                <w:color w:val="000000"/>
              </w:rPr>
              <w:t>Sponsor comment:</w:t>
            </w:r>
          </w:p>
        </w:tc>
        <w:tc>
          <w:tcPr>
            <w:tcW w:w="6947" w:type="dxa"/>
          </w:tcPr>
          <w:p w:rsidR="00560B84" w:rsidRPr="007D6BCA" w:rsidRDefault="00F519CA">
            <w:pPr>
              <w:pStyle w:val="ListParagraph"/>
              <w:ind w:left="0"/>
              <w:jc w:val="both"/>
              <w:rPr>
                <w:rFonts w:ascii="Arial" w:hAnsi="Arial" w:cs="Arial"/>
                <w:iCs/>
                <w:sz w:val="20"/>
                <w:szCs w:val="20"/>
              </w:rPr>
            </w:pPr>
            <w:r w:rsidRPr="00F519CA">
              <w:rPr>
                <w:rFonts w:ascii="Arial" w:hAnsi="Arial" w:cs="Arial"/>
                <w:iCs/>
                <w:sz w:val="20"/>
                <w:szCs w:val="20"/>
              </w:rPr>
              <w:t>The sponsor had no comment.</w:t>
            </w:r>
          </w:p>
        </w:tc>
      </w:tr>
    </w:tbl>
    <w:p w:rsidR="00640C80" w:rsidRPr="007D6BCA" w:rsidRDefault="00640C80" w:rsidP="005B6EB7">
      <w:pPr>
        <w:tabs>
          <w:tab w:val="left" w:pos="5210"/>
        </w:tabs>
        <w:rPr>
          <w:rFonts w:ascii="Arial" w:hAnsi="Arial" w:cs="Arial"/>
          <w:lang w:val="en-US"/>
        </w:rPr>
      </w:pPr>
    </w:p>
    <w:p w:rsidR="00162E5A" w:rsidRPr="007D6BCA" w:rsidRDefault="00162E5A" w:rsidP="005B6EB7">
      <w:pPr>
        <w:tabs>
          <w:tab w:val="left" w:pos="5210"/>
        </w:tabs>
        <w:rPr>
          <w:rFonts w:ascii="Arial" w:hAnsi="Arial" w:cs="Arial"/>
          <w:lang w:val="en-US"/>
        </w:rPr>
      </w:pPr>
    </w:p>
    <w:p w:rsidR="00162E5A" w:rsidRPr="007D6BCA" w:rsidRDefault="00162E5A" w:rsidP="00690FAA">
      <w:pPr>
        <w:tabs>
          <w:tab w:val="left" w:pos="5210"/>
        </w:tabs>
        <w:rPr>
          <w:rFonts w:ascii="Arial" w:hAnsi="Arial" w:cs="Arial"/>
          <w:lang w:val="en-US"/>
        </w:rPr>
      </w:pPr>
    </w:p>
    <w:sectPr w:rsidR="00162E5A" w:rsidRPr="007D6BCA" w:rsidSect="00257615">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404" w:rsidRDefault="00AD0404">
      <w:r>
        <w:separator/>
      </w:r>
    </w:p>
  </w:endnote>
  <w:endnote w:type="continuationSeparator" w:id="0">
    <w:p w:rsidR="00AD0404" w:rsidRDefault="00AD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3B" w:rsidRDefault="005E1F3B"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E1F3B" w:rsidRDefault="005E1F3B" w:rsidP="00FE2A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3B" w:rsidRPr="00287C89" w:rsidRDefault="005E1F3B"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C1661D">
      <w:rPr>
        <w:rStyle w:val="PageNumber"/>
        <w:rFonts w:ascii="Arial" w:hAnsi="Arial" w:cs="Arial"/>
        <w:noProof/>
      </w:rPr>
      <w:t>2</w:t>
    </w:r>
    <w:r w:rsidRPr="00287C89">
      <w:rPr>
        <w:rStyle w:val="PageNumber"/>
        <w:rFonts w:ascii="Arial" w:hAnsi="Arial" w:cs="Arial"/>
      </w:rPr>
      <w:fldChar w:fldCharType="end"/>
    </w:r>
  </w:p>
  <w:p w:rsidR="005E1F3B" w:rsidRDefault="005E1F3B" w:rsidP="00FE2A81">
    <w:pPr>
      <w:pStyle w:val="Footer"/>
      <w:ind w:right="360"/>
    </w:pPr>
  </w:p>
  <w:p w:rsidR="00257615" w:rsidRDefault="00257615" w:rsidP="00FE2A8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8BC" w:rsidRDefault="001A08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404" w:rsidRDefault="00AD0404">
      <w:r>
        <w:separator/>
      </w:r>
    </w:p>
  </w:footnote>
  <w:footnote w:type="continuationSeparator" w:id="0">
    <w:p w:rsidR="00AD0404" w:rsidRDefault="00AD04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8BC" w:rsidRDefault="001A08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56F" w:rsidRDefault="001A08BC" w:rsidP="0071356F">
    <w:pPr>
      <w:pStyle w:val="Header"/>
      <w:jc w:val="center"/>
      <w:rPr>
        <w:rFonts w:ascii="Arial" w:hAnsi="Arial" w:cs="Arial"/>
        <w:b/>
      </w:rPr>
    </w:pPr>
    <w:r>
      <w:rPr>
        <w:rFonts w:ascii="Arial" w:hAnsi="Arial" w:cs="Arial"/>
        <w:b/>
      </w:rPr>
      <w:t>NOVEMBER</w:t>
    </w:r>
    <w:r w:rsidR="009C64D7">
      <w:rPr>
        <w:rFonts w:ascii="Arial" w:hAnsi="Arial" w:cs="Arial"/>
        <w:b/>
      </w:rPr>
      <w:t xml:space="preserve"> 2016</w:t>
    </w:r>
    <w:r w:rsidR="000E1E84">
      <w:rPr>
        <w:rFonts w:ascii="Arial" w:hAnsi="Arial" w:cs="Arial"/>
        <w:b/>
      </w:rPr>
      <w:t xml:space="preserve"> </w:t>
    </w:r>
    <w:r w:rsidR="0071356F" w:rsidRPr="0071356F">
      <w:rPr>
        <w:rFonts w:ascii="Arial" w:hAnsi="Arial" w:cs="Arial"/>
        <w:b/>
      </w:rPr>
      <w:t>PBAC OUTCOMES –</w:t>
    </w:r>
    <w:r w:rsidR="007F10B5">
      <w:rPr>
        <w:rFonts w:ascii="Arial" w:hAnsi="Arial" w:cs="Arial"/>
        <w:b/>
      </w:rPr>
      <w:t xml:space="preserve"> </w:t>
    </w:r>
    <w:r w:rsidR="0071356F" w:rsidRPr="0071356F">
      <w:rPr>
        <w:rFonts w:ascii="Arial" w:hAnsi="Arial" w:cs="Arial"/>
        <w:b/>
      </w:rPr>
      <w:t>1</w:t>
    </w:r>
    <w:r w:rsidR="0071356F" w:rsidRPr="0071356F">
      <w:rPr>
        <w:rFonts w:ascii="Arial" w:hAnsi="Arial" w:cs="Arial"/>
        <w:b/>
        <w:vertAlign w:val="superscript"/>
      </w:rPr>
      <w:t>ST</w:t>
    </w:r>
    <w:r w:rsidR="007F10B5">
      <w:rPr>
        <w:rFonts w:ascii="Arial" w:hAnsi="Arial" w:cs="Arial"/>
        <w:b/>
      </w:rPr>
      <w:t xml:space="preserve"> TIME</w:t>
    </w:r>
    <w:r w:rsidR="0071356F" w:rsidRPr="0071356F">
      <w:rPr>
        <w:rFonts w:ascii="Arial" w:hAnsi="Arial" w:cs="Arial"/>
        <w:b/>
      </w:rPr>
      <w:t xml:space="preserve"> DECISIONS NOT TO RECOMMEND</w:t>
    </w:r>
  </w:p>
  <w:p w:rsidR="00257615" w:rsidRPr="0071356F" w:rsidRDefault="00257615" w:rsidP="0071356F">
    <w:pPr>
      <w:pStyle w:val="Header"/>
      <w:jc w:val="center"/>
      <w:rPr>
        <w:rFonts w:ascii="Arial" w:hAnsi="Arial"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8BC" w:rsidRDefault="001A08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nsid w:val="019552A6"/>
    <w:multiLevelType w:val="hybridMultilevel"/>
    <w:tmpl w:val="08AC294E"/>
    <w:lvl w:ilvl="0" w:tplc="BBA2D27A">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25321D"/>
    <w:multiLevelType w:val="hybridMultilevel"/>
    <w:tmpl w:val="902C696C"/>
    <w:lvl w:ilvl="0" w:tplc="785C05E4">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4AD1CFB"/>
    <w:multiLevelType w:val="hybridMultilevel"/>
    <w:tmpl w:val="F2844B36"/>
    <w:lvl w:ilvl="0" w:tplc="D10E7B6A">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5413B67"/>
    <w:multiLevelType w:val="hybridMultilevel"/>
    <w:tmpl w:val="232E0D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0C195F1D"/>
    <w:multiLevelType w:val="hybridMultilevel"/>
    <w:tmpl w:val="2ED86B42"/>
    <w:lvl w:ilvl="0" w:tplc="8376CC04">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nsid w:val="11C607FF"/>
    <w:multiLevelType w:val="hybridMultilevel"/>
    <w:tmpl w:val="F9388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294F33"/>
    <w:multiLevelType w:val="multilevel"/>
    <w:tmpl w:val="16B465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ED1F15"/>
    <w:multiLevelType w:val="hybridMultilevel"/>
    <w:tmpl w:val="F6189D7C"/>
    <w:lvl w:ilvl="0" w:tplc="31341FC6">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854A8B"/>
    <w:multiLevelType w:val="hybridMultilevel"/>
    <w:tmpl w:val="DB5CF6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344F7246"/>
    <w:multiLevelType w:val="hybridMultilevel"/>
    <w:tmpl w:val="728AB2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B6556E4"/>
    <w:multiLevelType w:val="hybridMultilevel"/>
    <w:tmpl w:val="58146C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3B754780"/>
    <w:multiLevelType w:val="hybridMultilevel"/>
    <w:tmpl w:val="88C8F8E4"/>
    <w:lvl w:ilvl="0" w:tplc="C06213B2">
      <w:start w:val="6"/>
      <w:numFmt w:val="bullet"/>
      <w:lvlText w:val="-"/>
      <w:lvlJc w:val="left"/>
      <w:pPr>
        <w:ind w:left="1069" w:hanging="360"/>
      </w:pPr>
      <w:rPr>
        <w:rFonts w:ascii="Arial" w:eastAsia="Times New Roman" w:hAnsi="Arial" w:cs="Arial"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7">
    <w:nsid w:val="3BE75950"/>
    <w:multiLevelType w:val="hybridMultilevel"/>
    <w:tmpl w:val="15F0F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D8D7906"/>
    <w:multiLevelType w:val="hybridMultilevel"/>
    <w:tmpl w:val="499C7C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3F030CD8"/>
    <w:multiLevelType w:val="hybridMultilevel"/>
    <w:tmpl w:val="87BCAA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416745C0"/>
    <w:multiLevelType w:val="hybridMultilevel"/>
    <w:tmpl w:val="28E436AC"/>
    <w:lvl w:ilvl="0" w:tplc="3B4C541A">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4D5A39E7"/>
    <w:multiLevelType w:val="hybridMultilevel"/>
    <w:tmpl w:val="1F6245DE"/>
    <w:lvl w:ilvl="0" w:tplc="CB3E7C88">
      <w:numFmt w:val="bullet"/>
      <w:lvlText w:val="-"/>
      <w:lvlJc w:val="left"/>
      <w:pPr>
        <w:ind w:left="1440" w:hanging="360"/>
      </w:pPr>
      <w:rPr>
        <w:rFonts w:ascii="Arial" w:eastAsia="Times New Roman" w:hAnsi="Arial" w:cs="Aria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51CF3102"/>
    <w:multiLevelType w:val="hybridMultilevel"/>
    <w:tmpl w:val="6B0E70E2"/>
    <w:lvl w:ilvl="0" w:tplc="EE666F40">
      <w:numFmt w:val="bullet"/>
      <w:lvlText w:val="-"/>
      <w:lvlJc w:val="left"/>
      <w:pPr>
        <w:ind w:left="1211" w:hanging="360"/>
      </w:pPr>
      <w:rPr>
        <w:rFonts w:ascii="Arial" w:eastAsia="Times New Roman" w:hAnsi="Arial" w:cs="Arial" w:hint="default"/>
        <w:color w:val="auto"/>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24">
    <w:nsid w:val="54E1101C"/>
    <w:multiLevelType w:val="multilevel"/>
    <w:tmpl w:val="A010FC0E"/>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9BC5196"/>
    <w:multiLevelType w:val="multilevel"/>
    <w:tmpl w:val="2E0E5918"/>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BE35118"/>
    <w:multiLevelType w:val="hybridMultilevel"/>
    <w:tmpl w:val="C9A8D280"/>
    <w:lvl w:ilvl="0" w:tplc="A5A2E348">
      <w:start w:val="21"/>
      <w:numFmt w:val="bullet"/>
      <w:lvlText w:val="-"/>
      <w:lvlJc w:val="left"/>
      <w:pPr>
        <w:ind w:left="1069" w:hanging="360"/>
      </w:pPr>
      <w:rPr>
        <w:rFonts w:ascii="Arial" w:eastAsia="Times New Roman"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8">
    <w:nsid w:val="5F5E5A64"/>
    <w:multiLevelType w:val="multilevel"/>
    <w:tmpl w:val="4A98F64C"/>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9">
    <w:nsid w:val="5FDC3476"/>
    <w:multiLevelType w:val="hybridMultilevel"/>
    <w:tmpl w:val="83422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6564CBC"/>
    <w:multiLevelType w:val="hybridMultilevel"/>
    <w:tmpl w:val="01C64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D0D4E35"/>
    <w:multiLevelType w:val="hybridMultilevel"/>
    <w:tmpl w:val="8A7C4DAE"/>
    <w:lvl w:ilvl="0" w:tplc="A96E8B7C">
      <w:numFmt w:val="bullet"/>
      <w:lvlText w:val="-"/>
      <w:lvlJc w:val="left"/>
      <w:pPr>
        <w:ind w:left="1069" w:hanging="360"/>
      </w:pPr>
      <w:rPr>
        <w:rFonts w:ascii="Arial" w:eastAsia="Times New Roman" w:hAnsi="Arial" w:cs="Arial" w:hint="default"/>
        <w:i/>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5">
    <w:nsid w:val="6D122374"/>
    <w:multiLevelType w:val="hybridMultilevel"/>
    <w:tmpl w:val="B44A314A"/>
    <w:lvl w:ilvl="0" w:tplc="785C05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B0267C"/>
    <w:multiLevelType w:val="multilevel"/>
    <w:tmpl w:val="EC145630"/>
    <w:lvl w:ilvl="0">
      <w:start w:val="7"/>
      <w:numFmt w:val="decimal"/>
      <w:lvlText w:val="%1"/>
      <w:lvlJc w:val="left"/>
      <w:pPr>
        <w:ind w:left="420" w:hanging="420"/>
      </w:pPr>
      <w:rPr>
        <w:rFonts w:hint="default"/>
      </w:rPr>
    </w:lvl>
    <w:lvl w:ilvl="1">
      <w:start w:val="2"/>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8103EB6"/>
    <w:multiLevelType w:val="hybridMultilevel"/>
    <w:tmpl w:val="3DA08E3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8">
    <w:nsid w:val="784D033C"/>
    <w:multiLevelType w:val="multilevel"/>
    <w:tmpl w:val="072691B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7ABB39AE"/>
    <w:multiLevelType w:val="hybridMultilevel"/>
    <w:tmpl w:val="32148FB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0">
    <w:nsid w:val="7B4A0C22"/>
    <w:multiLevelType w:val="multilevel"/>
    <w:tmpl w:val="9B1E4FD0"/>
    <w:lvl w:ilvl="0">
      <w:start w:val="6"/>
      <w:numFmt w:val="decimal"/>
      <w:lvlText w:val="%1"/>
      <w:lvlJc w:val="left"/>
      <w:pPr>
        <w:ind w:left="360" w:hanging="360"/>
      </w:pPr>
      <w:rPr>
        <w:rFonts w:hint="default"/>
        <w:i w:val="0"/>
      </w:rPr>
    </w:lvl>
    <w:lvl w:ilvl="1">
      <w:start w:val="1"/>
      <w:numFmt w:val="bullet"/>
      <w:lvlText w:val=""/>
      <w:lvlJc w:val="left"/>
      <w:pPr>
        <w:ind w:left="107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7E514F97"/>
    <w:multiLevelType w:val="multilevel"/>
    <w:tmpl w:val="E82C7EC0"/>
    <w:lvl w:ilvl="0">
      <w:start w:val="6"/>
      <w:numFmt w:val="decimal"/>
      <w:lvlText w:val="%1"/>
      <w:lvlJc w:val="left"/>
      <w:pPr>
        <w:ind w:left="360" w:hanging="360"/>
      </w:pPr>
      <w:rPr>
        <w:rFonts w:hint="default"/>
        <w:color w:val="auto"/>
      </w:rPr>
    </w:lvl>
    <w:lvl w:ilvl="1">
      <w:start w:val="20"/>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2">
    <w:nsid w:val="7EF55792"/>
    <w:multiLevelType w:val="hybridMultilevel"/>
    <w:tmpl w:val="63286B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F763841"/>
    <w:multiLevelType w:val="hybridMultilevel"/>
    <w:tmpl w:val="5492E600"/>
    <w:lvl w:ilvl="0" w:tplc="39A4A3A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FD26FAC"/>
    <w:multiLevelType w:val="hybridMultilevel"/>
    <w:tmpl w:val="EED04ECA"/>
    <w:lvl w:ilvl="0" w:tplc="0C090001">
      <w:start w:val="1"/>
      <w:numFmt w:val="bullet"/>
      <w:lvlText w:val=""/>
      <w:lvlJc w:val="left"/>
      <w:pPr>
        <w:ind w:left="720" w:hanging="360"/>
      </w:pPr>
      <w:rPr>
        <w:rFonts w:ascii="Symbol" w:hAnsi="Symbol" w:hint="default"/>
      </w:rPr>
    </w:lvl>
    <w:lvl w:ilvl="1" w:tplc="BBEC001A">
      <w:start w:val="1"/>
      <w:numFmt w:val="bullet"/>
      <w:lvlText w:val=""/>
      <w:lvlJc w:val="righ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31"/>
  </w:num>
  <w:num w:numId="3">
    <w:abstractNumId w:val="30"/>
  </w:num>
  <w:num w:numId="4">
    <w:abstractNumId w:val="22"/>
  </w:num>
  <w:num w:numId="5">
    <w:abstractNumId w:val="12"/>
  </w:num>
  <w:num w:numId="6">
    <w:abstractNumId w:val="7"/>
  </w:num>
  <w:num w:numId="7">
    <w:abstractNumId w:val="33"/>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6"/>
  </w:num>
  <w:num w:numId="11">
    <w:abstractNumId w:val="24"/>
  </w:num>
  <w:num w:numId="12">
    <w:abstractNumId w:val="27"/>
  </w:num>
  <w:num w:numId="13">
    <w:abstractNumId w:val="8"/>
  </w:num>
  <w:num w:numId="14">
    <w:abstractNumId w:val="26"/>
  </w:num>
  <w:num w:numId="15">
    <w:abstractNumId w:val="28"/>
  </w:num>
  <w:num w:numId="16">
    <w:abstractNumId w:val="23"/>
  </w:num>
  <w:num w:numId="17">
    <w:abstractNumId w:val="41"/>
  </w:num>
  <w:num w:numId="18">
    <w:abstractNumId w:val="43"/>
  </w:num>
  <w:num w:numId="19">
    <w:abstractNumId w:val="5"/>
  </w:num>
  <w:num w:numId="20">
    <w:abstractNumId w:val="13"/>
  </w:num>
  <w:num w:numId="21">
    <w:abstractNumId w:val="15"/>
  </w:num>
  <w:num w:numId="22">
    <w:abstractNumId w:val="38"/>
  </w:num>
  <w:num w:numId="23">
    <w:abstractNumId w:val="4"/>
  </w:num>
  <w:num w:numId="24">
    <w:abstractNumId w:val="18"/>
  </w:num>
  <w:num w:numId="25">
    <w:abstractNumId w:val="11"/>
  </w:num>
  <w:num w:numId="26">
    <w:abstractNumId w:val="9"/>
  </w:num>
  <w:num w:numId="27">
    <w:abstractNumId w:val="20"/>
  </w:num>
  <w:num w:numId="28">
    <w:abstractNumId w:val="21"/>
  </w:num>
  <w:num w:numId="29">
    <w:abstractNumId w:val="19"/>
  </w:num>
  <w:num w:numId="30">
    <w:abstractNumId w:val="42"/>
  </w:num>
  <w:num w:numId="31">
    <w:abstractNumId w:val="16"/>
  </w:num>
  <w:num w:numId="32">
    <w:abstractNumId w:val="34"/>
  </w:num>
  <w:num w:numId="33">
    <w:abstractNumId w:val="40"/>
  </w:num>
  <w:num w:numId="34">
    <w:abstractNumId w:val="37"/>
  </w:num>
  <w:num w:numId="35">
    <w:abstractNumId w:val="3"/>
  </w:num>
  <w:num w:numId="36">
    <w:abstractNumId w:val="35"/>
  </w:num>
  <w:num w:numId="37">
    <w:abstractNumId w:val="2"/>
  </w:num>
  <w:num w:numId="38">
    <w:abstractNumId w:val="17"/>
  </w:num>
  <w:num w:numId="39">
    <w:abstractNumId w:val="1"/>
  </w:num>
  <w:num w:numId="40">
    <w:abstractNumId w:val="44"/>
  </w:num>
  <w:num w:numId="41">
    <w:abstractNumId w:val="25"/>
  </w:num>
  <w:num w:numId="42">
    <w:abstractNumId w:val="29"/>
  </w:num>
  <w:num w:numId="43">
    <w:abstractNumId w:val="6"/>
  </w:num>
  <w:num w:numId="44">
    <w:abstractNumId w:val="32"/>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8A"/>
    <w:rsid w:val="0000091B"/>
    <w:rsid w:val="0000099E"/>
    <w:rsid w:val="00000C2B"/>
    <w:rsid w:val="0000162D"/>
    <w:rsid w:val="00001A07"/>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2AF"/>
    <w:rsid w:val="00010379"/>
    <w:rsid w:val="00010886"/>
    <w:rsid w:val="00010920"/>
    <w:rsid w:val="0001152D"/>
    <w:rsid w:val="000118E3"/>
    <w:rsid w:val="00011EA7"/>
    <w:rsid w:val="000120D3"/>
    <w:rsid w:val="000129ED"/>
    <w:rsid w:val="00013284"/>
    <w:rsid w:val="0001362E"/>
    <w:rsid w:val="00013785"/>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17DE3"/>
    <w:rsid w:val="00020745"/>
    <w:rsid w:val="00021827"/>
    <w:rsid w:val="00022361"/>
    <w:rsid w:val="000223D3"/>
    <w:rsid w:val="00022435"/>
    <w:rsid w:val="00022686"/>
    <w:rsid w:val="000228B1"/>
    <w:rsid w:val="00022BF5"/>
    <w:rsid w:val="0002300F"/>
    <w:rsid w:val="0002305C"/>
    <w:rsid w:val="00023228"/>
    <w:rsid w:val="00023817"/>
    <w:rsid w:val="00023B44"/>
    <w:rsid w:val="0002401C"/>
    <w:rsid w:val="00024248"/>
    <w:rsid w:val="000245BC"/>
    <w:rsid w:val="0002470A"/>
    <w:rsid w:val="0002564D"/>
    <w:rsid w:val="00025967"/>
    <w:rsid w:val="00025F56"/>
    <w:rsid w:val="0002716D"/>
    <w:rsid w:val="00027346"/>
    <w:rsid w:val="00030320"/>
    <w:rsid w:val="00031946"/>
    <w:rsid w:val="000322EC"/>
    <w:rsid w:val="00032AB9"/>
    <w:rsid w:val="00033D0B"/>
    <w:rsid w:val="00034086"/>
    <w:rsid w:val="00034121"/>
    <w:rsid w:val="000350A9"/>
    <w:rsid w:val="00035472"/>
    <w:rsid w:val="00035FE8"/>
    <w:rsid w:val="000365B0"/>
    <w:rsid w:val="00036CF7"/>
    <w:rsid w:val="00037F52"/>
    <w:rsid w:val="0004019D"/>
    <w:rsid w:val="000407E0"/>
    <w:rsid w:val="00041467"/>
    <w:rsid w:val="0004160D"/>
    <w:rsid w:val="00041F3D"/>
    <w:rsid w:val="00042593"/>
    <w:rsid w:val="00043C1D"/>
    <w:rsid w:val="00044146"/>
    <w:rsid w:val="00044BB4"/>
    <w:rsid w:val="00046725"/>
    <w:rsid w:val="000468C0"/>
    <w:rsid w:val="00046DA2"/>
    <w:rsid w:val="00046E72"/>
    <w:rsid w:val="00050762"/>
    <w:rsid w:val="000507B9"/>
    <w:rsid w:val="00051AF5"/>
    <w:rsid w:val="00053DE7"/>
    <w:rsid w:val="000560E2"/>
    <w:rsid w:val="0005661F"/>
    <w:rsid w:val="00057006"/>
    <w:rsid w:val="000575B4"/>
    <w:rsid w:val="000601EA"/>
    <w:rsid w:val="000603CB"/>
    <w:rsid w:val="0006084C"/>
    <w:rsid w:val="000608FE"/>
    <w:rsid w:val="000615B0"/>
    <w:rsid w:val="00061E01"/>
    <w:rsid w:val="0006239E"/>
    <w:rsid w:val="0006295A"/>
    <w:rsid w:val="000643D0"/>
    <w:rsid w:val="00065195"/>
    <w:rsid w:val="00065E6F"/>
    <w:rsid w:val="000672D3"/>
    <w:rsid w:val="0006744F"/>
    <w:rsid w:val="00067A06"/>
    <w:rsid w:val="00067E91"/>
    <w:rsid w:val="00070204"/>
    <w:rsid w:val="00070612"/>
    <w:rsid w:val="000714CE"/>
    <w:rsid w:val="00071D67"/>
    <w:rsid w:val="00072584"/>
    <w:rsid w:val="000728AC"/>
    <w:rsid w:val="00072F02"/>
    <w:rsid w:val="00074126"/>
    <w:rsid w:val="0007567B"/>
    <w:rsid w:val="00075B7E"/>
    <w:rsid w:val="00076287"/>
    <w:rsid w:val="00076297"/>
    <w:rsid w:val="00077F45"/>
    <w:rsid w:val="00080510"/>
    <w:rsid w:val="00081153"/>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4D37"/>
    <w:rsid w:val="000855C9"/>
    <w:rsid w:val="00085F9C"/>
    <w:rsid w:val="00086013"/>
    <w:rsid w:val="0008687E"/>
    <w:rsid w:val="000868A3"/>
    <w:rsid w:val="00086D66"/>
    <w:rsid w:val="000872FA"/>
    <w:rsid w:val="00090385"/>
    <w:rsid w:val="00090D21"/>
    <w:rsid w:val="00090F42"/>
    <w:rsid w:val="00091262"/>
    <w:rsid w:val="00092523"/>
    <w:rsid w:val="00093960"/>
    <w:rsid w:val="0009470A"/>
    <w:rsid w:val="00095C30"/>
    <w:rsid w:val="00096B9F"/>
    <w:rsid w:val="00096E39"/>
    <w:rsid w:val="000972AC"/>
    <w:rsid w:val="00097C0E"/>
    <w:rsid w:val="00097ED4"/>
    <w:rsid w:val="000A1E1C"/>
    <w:rsid w:val="000A2697"/>
    <w:rsid w:val="000A2A86"/>
    <w:rsid w:val="000A2C2D"/>
    <w:rsid w:val="000A2DE4"/>
    <w:rsid w:val="000A2FEC"/>
    <w:rsid w:val="000A418B"/>
    <w:rsid w:val="000A46FC"/>
    <w:rsid w:val="000A4955"/>
    <w:rsid w:val="000A570D"/>
    <w:rsid w:val="000A59CC"/>
    <w:rsid w:val="000A64C7"/>
    <w:rsid w:val="000A7C8A"/>
    <w:rsid w:val="000A7F23"/>
    <w:rsid w:val="000B1170"/>
    <w:rsid w:val="000B1811"/>
    <w:rsid w:val="000B1A6E"/>
    <w:rsid w:val="000B21DD"/>
    <w:rsid w:val="000B2F97"/>
    <w:rsid w:val="000B3043"/>
    <w:rsid w:val="000B34FA"/>
    <w:rsid w:val="000B36FE"/>
    <w:rsid w:val="000B372D"/>
    <w:rsid w:val="000B38D3"/>
    <w:rsid w:val="000B5120"/>
    <w:rsid w:val="000B5B24"/>
    <w:rsid w:val="000B6487"/>
    <w:rsid w:val="000B7A91"/>
    <w:rsid w:val="000B7F45"/>
    <w:rsid w:val="000C040A"/>
    <w:rsid w:val="000C0497"/>
    <w:rsid w:val="000C0E21"/>
    <w:rsid w:val="000C13E3"/>
    <w:rsid w:val="000C1BA1"/>
    <w:rsid w:val="000C219D"/>
    <w:rsid w:val="000C22B0"/>
    <w:rsid w:val="000C2786"/>
    <w:rsid w:val="000C3369"/>
    <w:rsid w:val="000C3CAA"/>
    <w:rsid w:val="000C45E3"/>
    <w:rsid w:val="000C4C04"/>
    <w:rsid w:val="000C56B4"/>
    <w:rsid w:val="000C586F"/>
    <w:rsid w:val="000C5B48"/>
    <w:rsid w:val="000C661A"/>
    <w:rsid w:val="000C77A9"/>
    <w:rsid w:val="000C7A32"/>
    <w:rsid w:val="000D0D8B"/>
    <w:rsid w:val="000D14F1"/>
    <w:rsid w:val="000D1C61"/>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1E84"/>
    <w:rsid w:val="000E21D8"/>
    <w:rsid w:val="000E2C73"/>
    <w:rsid w:val="000E2C8F"/>
    <w:rsid w:val="000E2EA3"/>
    <w:rsid w:val="000E4B3E"/>
    <w:rsid w:val="000E539F"/>
    <w:rsid w:val="000E6CF9"/>
    <w:rsid w:val="000E73BD"/>
    <w:rsid w:val="000F069C"/>
    <w:rsid w:val="000F0B27"/>
    <w:rsid w:val="000F1D4F"/>
    <w:rsid w:val="000F2E82"/>
    <w:rsid w:val="000F305F"/>
    <w:rsid w:val="000F3A4F"/>
    <w:rsid w:val="000F3D50"/>
    <w:rsid w:val="000F5D35"/>
    <w:rsid w:val="000F5DDE"/>
    <w:rsid w:val="000F7390"/>
    <w:rsid w:val="000F7649"/>
    <w:rsid w:val="001000EA"/>
    <w:rsid w:val="00100B0B"/>
    <w:rsid w:val="001025E7"/>
    <w:rsid w:val="0010275F"/>
    <w:rsid w:val="0010316E"/>
    <w:rsid w:val="001038BB"/>
    <w:rsid w:val="00103F76"/>
    <w:rsid w:val="00105880"/>
    <w:rsid w:val="00107038"/>
    <w:rsid w:val="00107219"/>
    <w:rsid w:val="001101E1"/>
    <w:rsid w:val="00110379"/>
    <w:rsid w:val="001103CF"/>
    <w:rsid w:val="00111F4C"/>
    <w:rsid w:val="001129E8"/>
    <w:rsid w:val="00112BA9"/>
    <w:rsid w:val="0011385A"/>
    <w:rsid w:val="00113C76"/>
    <w:rsid w:val="00114588"/>
    <w:rsid w:val="001149B9"/>
    <w:rsid w:val="00114A58"/>
    <w:rsid w:val="00114D12"/>
    <w:rsid w:val="00115629"/>
    <w:rsid w:val="001158B6"/>
    <w:rsid w:val="00115B67"/>
    <w:rsid w:val="001171CB"/>
    <w:rsid w:val="00117210"/>
    <w:rsid w:val="0011744C"/>
    <w:rsid w:val="00117FBB"/>
    <w:rsid w:val="00120FAC"/>
    <w:rsid w:val="00121311"/>
    <w:rsid w:val="00121A8E"/>
    <w:rsid w:val="00121BF6"/>
    <w:rsid w:val="0012325F"/>
    <w:rsid w:val="00124D80"/>
    <w:rsid w:val="001267DB"/>
    <w:rsid w:val="001276FB"/>
    <w:rsid w:val="00130C57"/>
    <w:rsid w:val="0013141F"/>
    <w:rsid w:val="001317E4"/>
    <w:rsid w:val="00131CB1"/>
    <w:rsid w:val="00132052"/>
    <w:rsid w:val="0013270B"/>
    <w:rsid w:val="001329B7"/>
    <w:rsid w:val="00132A3A"/>
    <w:rsid w:val="00132DAB"/>
    <w:rsid w:val="00132FA5"/>
    <w:rsid w:val="001334F9"/>
    <w:rsid w:val="00133B4C"/>
    <w:rsid w:val="00133D7F"/>
    <w:rsid w:val="00134ECB"/>
    <w:rsid w:val="00134F08"/>
    <w:rsid w:val="001357A1"/>
    <w:rsid w:val="001362A6"/>
    <w:rsid w:val="0013631E"/>
    <w:rsid w:val="00136B3F"/>
    <w:rsid w:val="00136DF8"/>
    <w:rsid w:val="0013745F"/>
    <w:rsid w:val="00137894"/>
    <w:rsid w:val="00137CB8"/>
    <w:rsid w:val="00140035"/>
    <w:rsid w:val="00140465"/>
    <w:rsid w:val="00140E09"/>
    <w:rsid w:val="0014101A"/>
    <w:rsid w:val="0014142D"/>
    <w:rsid w:val="0014148A"/>
    <w:rsid w:val="00141FEB"/>
    <w:rsid w:val="0014274E"/>
    <w:rsid w:val="00142EED"/>
    <w:rsid w:val="00143743"/>
    <w:rsid w:val="001437D5"/>
    <w:rsid w:val="00143E66"/>
    <w:rsid w:val="001440CC"/>
    <w:rsid w:val="00145D66"/>
    <w:rsid w:val="00146AD5"/>
    <w:rsid w:val="00146F0E"/>
    <w:rsid w:val="0014776D"/>
    <w:rsid w:val="00147845"/>
    <w:rsid w:val="00147FC1"/>
    <w:rsid w:val="001500C8"/>
    <w:rsid w:val="001502B0"/>
    <w:rsid w:val="00150381"/>
    <w:rsid w:val="0015080E"/>
    <w:rsid w:val="00151705"/>
    <w:rsid w:val="00151C88"/>
    <w:rsid w:val="00151D35"/>
    <w:rsid w:val="00152387"/>
    <w:rsid w:val="00152A0C"/>
    <w:rsid w:val="00153424"/>
    <w:rsid w:val="00153EE1"/>
    <w:rsid w:val="0015402E"/>
    <w:rsid w:val="001546E8"/>
    <w:rsid w:val="00154828"/>
    <w:rsid w:val="00155698"/>
    <w:rsid w:val="00155BC9"/>
    <w:rsid w:val="00155C11"/>
    <w:rsid w:val="00157D22"/>
    <w:rsid w:val="00157F62"/>
    <w:rsid w:val="001600EB"/>
    <w:rsid w:val="00160423"/>
    <w:rsid w:val="00161CD7"/>
    <w:rsid w:val="00162E5A"/>
    <w:rsid w:val="0016312E"/>
    <w:rsid w:val="0016341E"/>
    <w:rsid w:val="001654A9"/>
    <w:rsid w:val="00165A05"/>
    <w:rsid w:val="00165E5D"/>
    <w:rsid w:val="00166297"/>
    <w:rsid w:val="001663D5"/>
    <w:rsid w:val="0016683E"/>
    <w:rsid w:val="00167277"/>
    <w:rsid w:val="00170573"/>
    <w:rsid w:val="001707C4"/>
    <w:rsid w:val="001712DE"/>
    <w:rsid w:val="00171570"/>
    <w:rsid w:val="00171DC1"/>
    <w:rsid w:val="00171E1D"/>
    <w:rsid w:val="00171EF7"/>
    <w:rsid w:val="00174067"/>
    <w:rsid w:val="0017449B"/>
    <w:rsid w:val="00174944"/>
    <w:rsid w:val="00175139"/>
    <w:rsid w:val="00175BA1"/>
    <w:rsid w:val="00175D26"/>
    <w:rsid w:val="00176067"/>
    <w:rsid w:val="00176645"/>
    <w:rsid w:val="001766A8"/>
    <w:rsid w:val="0017687A"/>
    <w:rsid w:val="001772D4"/>
    <w:rsid w:val="0017743E"/>
    <w:rsid w:val="00177845"/>
    <w:rsid w:val="001806A2"/>
    <w:rsid w:val="001810C8"/>
    <w:rsid w:val="001812AE"/>
    <w:rsid w:val="00182E45"/>
    <w:rsid w:val="00183DEE"/>
    <w:rsid w:val="00184E8A"/>
    <w:rsid w:val="0018519A"/>
    <w:rsid w:val="00190B9C"/>
    <w:rsid w:val="00190D52"/>
    <w:rsid w:val="00191157"/>
    <w:rsid w:val="0019138B"/>
    <w:rsid w:val="001919D3"/>
    <w:rsid w:val="001925E9"/>
    <w:rsid w:val="00192900"/>
    <w:rsid w:val="00193C35"/>
    <w:rsid w:val="0019441C"/>
    <w:rsid w:val="001950D9"/>
    <w:rsid w:val="00195379"/>
    <w:rsid w:val="00196144"/>
    <w:rsid w:val="001971B1"/>
    <w:rsid w:val="001971EA"/>
    <w:rsid w:val="00197975"/>
    <w:rsid w:val="001A08BC"/>
    <w:rsid w:val="001A0DC8"/>
    <w:rsid w:val="001A14F5"/>
    <w:rsid w:val="001A1777"/>
    <w:rsid w:val="001A1A8A"/>
    <w:rsid w:val="001A2649"/>
    <w:rsid w:val="001A307D"/>
    <w:rsid w:val="001A3986"/>
    <w:rsid w:val="001A3E19"/>
    <w:rsid w:val="001A4242"/>
    <w:rsid w:val="001A48FD"/>
    <w:rsid w:val="001A579F"/>
    <w:rsid w:val="001A6DEF"/>
    <w:rsid w:val="001A7A6A"/>
    <w:rsid w:val="001B049D"/>
    <w:rsid w:val="001B04E4"/>
    <w:rsid w:val="001B0553"/>
    <w:rsid w:val="001B0636"/>
    <w:rsid w:val="001B1577"/>
    <w:rsid w:val="001B16C3"/>
    <w:rsid w:val="001B1838"/>
    <w:rsid w:val="001B1C67"/>
    <w:rsid w:val="001B2234"/>
    <w:rsid w:val="001B3984"/>
    <w:rsid w:val="001B3FE9"/>
    <w:rsid w:val="001B46AE"/>
    <w:rsid w:val="001B54F0"/>
    <w:rsid w:val="001B5950"/>
    <w:rsid w:val="001B6AAD"/>
    <w:rsid w:val="001B71B5"/>
    <w:rsid w:val="001B78E2"/>
    <w:rsid w:val="001B7BF2"/>
    <w:rsid w:val="001B7EED"/>
    <w:rsid w:val="001C0289"/>
    <w:rsid w:val="001C181C"/>
    <w:rsid w:val="001C27AF"/>
    <w:rsid w:val="001C3033"/>
    <w:rsid w:val="001C30BA"/>
    <w:rsid w:val="001C3403"/>
    <w:rsid w:val="001C3AAA"/>
    <w:rsid w:val="001C43B3"/>
    <w:rsid w:val="001C4834"/>
    <w:rsid w:val="001C4C95"/>
    <w:rsid w:val="001C5BA6"/>
    <w:rsid w:val="001C7569"/>
    <w:rsid w:val="001D0229"/>
    <w:rsid w:val="001D028A"/>
    <w:rsid w:val="001D0868"/>
    <w:rsid w:val="001D1636"/>
    <w:rsid w:val="001D181F"/>
    <w:rsid w:val="001D2755"/>
    <w:rsid w:val="001D2F4D"/>
    <w:rsid w:val="001D39E8"/>
    <w:rsid w:val="001D4075"/>
    <w:rsid w:val="001D5794"/>
    <w:rsid w:val="001D600F"/>
    <w:rsid w:val="001D6843"/>
    <w:rsid w:val="001D79BC"/>
    <w:rsid w:val="001E05CB"/>
    <w:rsid w:val="001E092F"/>
    <w:rsid w:val="001E0947"/>
    <w:rsid w:val="001E152C"/>
    <w:rsid w:val="001E24EA"/>
    <w:rsid w:val="001E25FF"/>
    <w:rsid w:val="001E35D6"/>
    <w:rsid w:val="001E411C"/>
    <w:rsid w:val="001E5979"/>
    <w:rsid w:val="001E5C38"/>
    <w:rsid w:val="001E5FB2"/>
    <w:rsid w:val="001E70C9"/>
    <w:rsid w:val="001E776D"/>
    <w:rsid w:val="001E77D9"/>
    <w:rsid w:val="001E79E9"/>
    <w:rsid w:val="001F0D67"/>
    <w:rsid w:val="001F1A00"/>
    <w:rsid w:val="001F1B8A"/>
    <w:rsid w:val="001F2058"/>
    <w:rsid w:val="001F23BC"/>
    <w:rsid w:val="001F29C8"/>
    <w:rsid w:val="001F2E04"/>
    <w:rsid w:val="001F3474"/>
    <w:rsid w:val="001F391D"/>
    <w:rsid w:val="001F49C4"/>
    <w:rsid w:val="001F5561"/>
    <w:rsid w:val="001F5939"/>
    <w:rsid w:val="001F5B96"/>
    <w:rsid w:val="001F67F2"/>
    <w:rsid w:val="001F6895"/>
    <w:rsid w:val="001F6A3C"/>
    <w:rsid w:val="001F6DCB"/>
    <w:rsid w:val="001F7055"/>
    <w:rsid w:val="001F716B"/>
    <w:rsid w:val="001F7B95"/>
    <w:rsid w:val="001F7E44"/>
    <w:rsid w:val="001F7FE1"/>
    <w:rsid w:val="002010D3"/>
    <w:rsid w:val="00201885"/>
    <w:rsid w:val="0020322B"/>
    <w:rsid w:val="002032C8"/>
    <w:rsid w:val="00203A75"/>
    <w:rsid w:val="0020409B"/>
    <w:rsid w:val="00205B6C"/>
    <w:rsid w:val="002060A5"/>
    <w:rsid w:val="002068F5"/>
    <w:rsid w:val="002070E4"/>
    <w:rsid w:val="0020721C"/>
    <w:rsid w:val="002072C3"/>
    <w:rsid w:val="00207813"/>
    <w:rsid w:val="0020790A"/>
    <w:rsid w:val="00207E86"/>
    <w:rsid w:val="00210594"/>
    <w:rsid w:val="00210F65"/>
    <w:rsid w:val="00212939"/>
    <w:rsid w:val="00212B8B"/>
    <w:rsid w:val="00212F67"/>
    <w:rsid w:val="0021371C"/>
    <w:rsid w:val="002139E7"/>
    <w:rsid w:val="002144A1"/>
    <w:rsid w:val="002147A6"/>
    <w:rsid w:val="00214D4B"/>
    <w:rsid w:val="00215739"/>
    <w:rsid w:val="002157B5"/>
    <w:rsid w:val="00215E55"/>
    <w:rsid w:val="00216869"/>
    <w:rsid w:val="0021720D"/>
    <w:rsid w:val="00217D2B"/>
    <w:rsid w:val="0022016A"/>
    <w:rsid w:val="00220F03"/>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1068"/>
    <w:rsid w:val="00231F8F"/>
    <w:rsid w:val="00234FCD"/>
    <w:rsid w:val="00234FD9"/>
    <w:rsid w:val="00236374"/>
    <w:rsid w:val="00237E07"/>
    <w:rsid w:val="00237F8D"/>
    <w:rsid w:val="002400A1"/>
    <w:rsid w:val="00240222"/>
    <w:rsid w:val="0024218B"/>
    <w:rsid w:val="002425FE"/>
    <w:rsid w:val="00242CD9"/>
    <w:rsid w:val="0024349D"/>
    <w:rsid w:val="00243967"/>
    <w:rsid w:val="0024424C"/>
    <w:rsid w:val="002444C2"/>
    <w:rsid w:val="00244BE9"/>
    <w:rsid w:val="0024530D"/>
    <w:rsid w:val="00245A74"/>
    <w:rsid w:val="00246A8F"/>
    <w:rsid w:val="0024727D"/>
    <w:rsid w:val="00250912"/>
    <w:rsid w:val="00250DBA"/>
    <w:rsid w:val="00251087"/>
    <w:rsid w:val="00251294"/>
    <w:rsid w:val="00251AD5"/>
    <w:rsid w:val="002523E5"/>
    <w:rsid w:val="00252C2E"/>
    <w:rsid w:val="00253058"/>
    <w:rsid w:val="00253764"/>
    <w:rsid w:val="002550D8"/>
    <w:rsid w:val="00255B46"/>
    <w:rsid w:val="00256078"/>
    <w:rsid w:val="002564FB"/>
    <w:rsid w:val="00257615"/>
    <w:rsid w:val="0026049B"/>
    <w:rsid w:val="00260EFA"/>
    <w:rsid w:val="00261377"/>
    <w:rsid w:val="00261EFF"/>
    <w:rsid w:val="00262160"/>
    <w:rsid w:val="00262814"/>
    <w:rsid w:val="002629E0"/>
    <w:rsid w:val="00262E2E"/>
    <w:rsid w:val="00263457"/>
    <w:rsid w:val="00263EF4"/>
    <w:rsid w:val="00264A64"/>
    <w:rsid w:val="00264B9F"/>
    <w:rsid w:val="00265FE9"/>
    <w:rsid w:val="0026773E"/>
    <w:rsid w:val="0027218C"/>
    <w:rsid w:val="002723FD"/>
    <w:rsid w:val="00272E01"/>
    <w:rsid w:val="00273015"/>
    <w:rsid w:val="0027463A"/>
    <w:rsid w:val="0027487A"/>
    <w:rsid w:val="00274D0D"/>
    <w:rsid w:val="00274D8B"/>
    <w:rsid w:val="00275318"/>
    <w:rsid w:val="002766B0"/>
    <w:rsid w:val="00277572"/>
    <w:rsid w:val="00277812"/>
    <w:rsid w:val="002802A1"/>
    <w:rsid w:val="002803B8"/>
    <w:rsid w:val="002808CA"/>
    <w:rsid w:val="00280926"/>
    <w:rsid w:val="00281B0A"/>
    <w:rsid w:val="00282CDE"/>
    <w:rsid w:val="00283073"/>
    <w:rsid w:val="0028348A"/>
    <w:rsid w:val="00285478"/>
    <w:rsid w:val="0028663C"/>
    <w:rsid w:val="00287C89"/>
    <w:rsid w:val="002905B5"/>
    <w:rsid w:val="002911D8"/>
    <w:rsid w:val="002931F6"/>
    <w:rsid w:val="00293203"/>
    <w:rsid w:val="0029329A"/>
    <w:rsid w:val="00293A15"/>
    <w:rsid w:val="00295693"/>
    <w:rsid w:val="002960C3"/>
    <w:rsid w:val="002969C0"/>
    <w:rsid w:val="002972D4"/>
    <w:rsid w:val="00297AEF"/>
    <w:rsid w:val="00297F02"/>
    <w:rsid w:val="002A06E1"/>
    <w:rsid w:val="002A21E8"/>
    <w:rsid w:val="002A3220"/>
    <w:rsid w:val="002A3596"/>
    <w:rsid w:val="002A3AA9"/>
    <w:rsid w:val="002A58F4"/>
    <w:rsid w:val="002A5AA2"/>
    <w:rsid w:val="002A5C85"/>
    <w:rsid w:val="002A5C87"/>
    <w:rsid w:val="002A5D50"/>
    <w:rsid w:val="002A5DE5"/>
    <w:rsid w:val="002A7542"/>
    <w:rsid w:val="002A7BE8"/>
    <w:rsid w:val="002B09C6"/>
    <w:rsid w:val="002B0F52"/>
    <w:rsid w:val="002B1071"/>
    <w:rsid w:val="002B129B"/>
    <w:rsid w:val="002B29E2"/>
    <w:rsid w:val="002B3708"/>
    <w:rsid w:val="002B45D1"/>
    <w:rsid w:val="002B5625"/>
    <w:rsid w:val="002B5F9C"/>
    <w:rsid w:val="002B6147"/>
    <w:rsid w:val="002B7497"/>
    <w:rsid w:val="002C0170"/>
    <w:rsid w:val="002C0E18"/>
    <w:rsid w:val="002C2427"/>
    <w:rsid w:val="002C2773"/>
    <w:rsid w:val="002C2A4F"/>
    <w:rsid w:val="002C3502"/>
    <w:rsid w:val="002C397B"/>
    <w:rsid w:val="002C3BA0"/>
    <w:rsid w:val="002C436C"/>
    <w:rsid w:val="002C47C4"/>
    <w:rsid w:val="002C6E41"/>
    <w:rsid w:val="002C748E"/>
    <w:rsid w:val="002C7D3C"/>
    <w:rsid w:val="002D0DDF"/>
    <w:rsid w:val="002D17A5"/>
    <w:rsid w:val="002D1AC7"/>
    <w:rsid w:val="002D347E"/>
    <w:rsid w:val="002D3547"/>
    <w:rsid w:val="002D3D17"/>
    <w:rsid w:val="002D42A0"/>
    <w:rsid w:val="002D440D"/>
    <w:rsid w:val="002D44F4"/>
    <w:rsid w:val="002D4C8C"/>
    <w:rsid w:val="002D545A"/>
    <w:rsid w:val="002D59E5"/>
    <w:rsid w:val="002D5C23"/>
    <w:rsid w:val="002D5CBC"/>
    <w:rsid w:val="002D5DC3"/>
    <w:rsid w:val="002D6B4D"/>
    <w:rsid w:val="002E1388"/>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736D"/>
    <w:rsid w:val="002F00F2"/>
    <w:rsid w:val="002F0461"/>
    <w:rsid w:val="002F0875"/>
    <w:rsid w:val="002F0884"/>
    <w:rsid w:val="002F1A5B"/>
    <w:rsid w:val="002F1B87"/>
    <w:rsid w:val="002F4CA2"/>
    <w:rsid w:val="002F51B3"/>
    <w:rsid w:val="002F527B"/>
    <w:rsid w:val="002F5306"/>
    <w:rsid w:val="002F5570"/>
    <w:rsid w:val="002F5792"/>
    <w:rsid w:val="002F5C9A"/>
    <w:rsid w:val="002F6254"/>
    <w:rsid w:val="002F6432"/>
    <w:rsid w:val="002F64A0"/>
    <w:rsid w:val="002F69EB"/>
    <w:rsid w:val="002F6D11"/>
    <w:rsid w:val="002F6FC4"/>
    <w:rsid w:val="002F7255"/>
    <w:rsid w:val="00300450"/>
    <w:rsid w:val="003005AA"/>
    <w:rsid w:val="00300EA5"/>
    <w:rsid w:val="00301D68"/>
    <w:rsid w:val="003022B8"/>
    <w:rsid w:val="003023C4"/>
    <w:rsid w:val="003023EB"/>
    <w:rsid w:val="003026B9"/>
    <w:rsid w:val="00302C73"/>
    <w:rsid w:val="003035B2"/>
    <w:rsid w:val="00303733"/>
    <w:rsid w:val="00303A2F"/>
    <w:rsid w:val="00303BEB"/>
    <w:rsid w:val="00303C94"/>
    <w:rsid w:val="00304BF7"/>
    <w:rsid w:val="00304FE8"/>
    <w:rsid w:val="0030527B"/>
    <w:rsid w:val="00305FA4"/>
    <w:rsid w:val="00310992"/>
    <w:rsid w:val="00311387"/>
    <w:rsid w:val="0031153B"/>
    <w:rsid w:val="00311EEA"/>
    <w:rsid w:val="0031351E"/>
    <w:rsid w:val="00313537"/>
    <w:rsid w:val="003135CD"/>
    <w:rsid w:val="00313C59"/>
    <w:rsid w:val="00314373"/>
    <w:rsid w:val="00314425"/>
    <w:rsid w:val="003146EE"/>
    <w:rsid w:val="003153EA"/>
    <w:rsid w:val="00316745"/>
    <w:rsid w:val="00320015"/>
    <w:rsid w:val="00320263"/>
    <w:rsid w:val="003209C7"/>
    <w:rsid w:val="00320AB2"/>
    <w:rsid w:val="003225D5"/>
    <w:rsid w:val="0032271E"/>
    <w:rsid w:val="003229A0"/>
    <w:rsid w:val="003232F1"/>
    <w:rsid w:val="0032378E"/>
    <w:rsid w:val="00323C12"/>
    <w:rsid w:val="00323D04"/>
    <w:rsid w:val="003243CB"/>
    <w:rsid w:val="003245FB"/>
    <w:rsid w:val="00324614"/>
    <w:rsid w:val="003250E2"/>
    <w:rsid w:val="0032569E"/>
    <w:rsid w:val="00326522"/>
    <w:rsid w:val="003270BF"/>
    <w:rsid w:val="00327A0C"/>
    <w:rsid w:val="003301A3"/>
    <w:rsid w:val="00330353"/>
    <w:rsid w:val="0033063D"/>
    <w:rsid w:val="00331DCA"/>
    <w:rsid w:val="00332129"/>
    <w:rsid w:val="0033322F"/>
    <w:rsid w:val="00334912"/>
    <w:rsid w:val="00334C52"/>
    <w:rsid w:val="00335779"/>
    <w:rsid w:val="00336FF2"/>
    <w:rsid w:val="003376B5"/>
    <w:rsid w:val="003376DF"/>
    <w:rsid w:val="003402DF"/>
    <w:rsid w:val="00340D16"/>
    <w:rsid w:val="00340EB5"/>
    <w:rsid w:val="00341361"/>
    <w:rsid w:val="00343535"/>
    <w:rsid w:val="00343D26"/>
    <w:rsid w:val="00343D77"/>
    <w:rsid w:val="003444EC"/>
    <w:rsid w:val="00345308"/>
    <w:rsid w:val="003455FE"/>
    <w:rsid w:val="00345652"/>
    <w:rsid w:val="00345B4F"/>
    <w:rsid w:val="00346216"/>
    <w:rsid w:val="0034672E"/>
    <w:rsid w:val="0034782B"/>
    <w:rsid w:val="00347C46"/>
    <w:rsid w:val="00350DDB"/>
    <w:rsid w:val="00351A7F"/>
    <w:rsid w:val="003525C0"/>
    <w:rsid w:val="0035262D"/>
    <w:rsid w:val="00352CFB"/>
    <w:rsid w:val="00352EF9"/>
    <w:rsid w:val="00352F20"/>
    <w:rsid w:val="003530B9"/>
    <w:rsid w:val="00353798"/>
    <w:rsid w:val="003541D1"/>
    <w:rsid w:val="003545A3"/>
    <w:rsid w:val="003548D7"/>
    <w:rsid w:val="003548F0"/>
    <w:rsid w:val="00354D94"/>
    <w:rsid w:val="003550C7"/>
    <w:rsid w:val="003566E9"/>
    <w:rsid w:val="00357214"/>
    <w:rsid w:val="0035791D"/>
    <w:rsid w:val="00360CBD"/>
    <w:rsid w:val="00361072"/>
    <w:rsid w:val="00362461"/>
    <w:rsid w:val="003628AA"/>
    <w:rsid w:val="00362D37"/>
    <w:rsid w:val="00363DA3"/>
    <w:rsid w:val="00364D63"/>
    <w:rsid w:val="00365105"/>
    <w:rsid w:val="0036579C"/>
    <w:rsid w:val="003657E7"/>
    <w:rsid w:val="00365E78"/>
    <w:rsid w:val="00366857"/>
    <w:rsid w:val="00370449"/>
    <w:rsid w:val="00370EE0"/>
    <w:rsid w:val="003713B0"/>
    <w:rsid w:val="00371B3D"/>
    <w:rsid w:val="00372F44"/>
    <w:rsid w:val="00374783"/>
    <w:rsid w:val="003750B5"/>
    <w:rsid w:val="00375135"/>
    <w:rsid w:val="00377224"/>
    <w:rsid w:val="003777B8"/>
    <w:rsid w:val="00377BAD"/>
    <w:rsid w:val="0038023C"/>
    <w:rsid w:val="00381DCB"/>
    <w:rsid w:val="00381F87"/>
    <w:rsid w:val="00383FF3"/>
    <w:rsid w:val="00384485"/>
    <w:rsid w:val="00384833"/>
    <w:rsid w:val="00384B1C"/>
    <w:rsid w:val="00384EA5"/>
    <w:rsid w:val="0038505C"/>
    <w:rsid w:val="00385BBE"/>
    <w:rsid w:val="00385D5C"/>
    <w:rsid w:val="00386843"/>
    <w:rsid w:val="00386C0B"/>
    <w:rsid w:val="00386C4E"/>
    <w:rsid w:val="00386E5D"/>
    <w:rsid w:val="00387E97"/>
    <w:rsid w:val="003902C1"/>
    <w:rsid w:val="00390919"/>
    <w:rsid w:val="00390A7C"/>
    <w:rsid w:val="00390A91"/>
    <w:rsid w:val="00390AFB"/>
    <w:rsid w:val="0039142B"/>
    <w:rsid w:val="00391A35"/>
    <w:rsid w:val="00391E07"/>
    <w:rsid w:val="00393110"/>
    <w:rsid w:val="00393B9A"/>
    <w:rsid w:val="00393DD4"/>
    <w:rsid w:val="00393FF5"/>
    <w:rsid w:val="003946AC"/>
    <w:rsid w:val="00395338"/>
    <w:rsid w:val="00395600"/>
    <w:rsid w:val="00395B97"/>
    <w:rsid w:val="00397572"/>
    <w:rsid w:val="003A074E"/>
    <w:rsid w:val="003A1CFF"/>
    <w:rsid w:val="003A2BB7"/>
    <w:rsid w:val="003A312D"/>
    <w:rsid w:val="003A4AB4"/>
    <w:rsid w:val="003A4C61"/>
    <w:rsid w:val="003A546F"/>
    <w:rsid w:val="003A565B"/>
    <w:rsid w:val="003A5C29"/>
    <w:rsid w:val="003A5DEB"/>
    <w:rsid w:val="003A5F75"/>
    <w:rsid w:val="003A61D4"/>
    <w:rsid w:val="003A6240"/>
    <w:rsid w:val="003A648B"/>
    <w:rsid w:val="003A6A14"/>
    <w:rsid w:val="003A6C16"/>
    <w:rsid w:val="003A72E4"/>
    <w:rsid w:val="003A7535"/>
    <w:rsid w:val="003A7616"/>
    <w:rsid w:val="003A799B"/>
    <w:rsid w:val="003A7D18"/>
    <w:rsid w:val="003B00C2"/>
    <w:rsid w:val="003B07D1"/>
    <w:rsid w:val="003B1AF6"/>
    <w:rsid w:val="003B1B75"/>
    <w:rsid w:val="003B2FBC"/>
    <w:rsid w:val="003B32CC"/>
    <w:rsid w:val="003B35CB"/>
    <w:rsid w:val="003B4DA2"/>
    <w:rsid w:val="003B4DDF"/>
    <w:rsid w:val="003B545C"/>
    <w:rsid w:val="003B57B7"/>
    <w:rsid w:val="003B5E19"/>
    <w:rsid w:val="003B64D8"/>
    <w:rsid w:val="003B78AC"/>
    <w:rsid w:val="003C08BD"/>
    <w:rsid w:val="003C1A62"/>
    <w:rsid w:val="003C2F43"/>
    <w:rsid w:val="003C32FC"/>
    <w:rsid w:val="003C49A9"/>
    <w:rsid w:val="003C4EBE"/>
    <w:rsid w:val="003C558C"/>
    <w:rsid w:val="003C66C3"/>
    <w:rsid w:val="003C6F87"/>
    <w:rsid w:val="003C75BD"/>
    <w:rsid w:val="003C7E0E"/>
    <w:rsid w:val="003D0802"/>
    <w:rsid w:val="003D098A"/>
    <w:rsid w:val="003D0B7A"/>
    <w:rsid w:val="003D17E4"/>
    <w:rsid w:val="003D1A6C"/>
    <w:rsid w:val="003D1AEC"/>
    <w:rsid w:val="003D23D5"/>
    <w:rsid w:val="003D3CD1"/>
    <w:rsid w:val="003D489A"/>
    <w:rsid w:val="003D4EA6"/>
    <w:rsid w:val="003D5944"/>
    <w:rsid w:val="003D5D05"/>
    <w:rsid w:val="003D5ECA"/>
    <w:rsid w:val="003D5FB6"/>
    <w:rsid w:val="003D6CBF"/>
    <w:rsid w:val="003D72CC"/>
    <w:rsid w:val="003D7D05"/>
    <w:rsid w:val="003E03C3"/>
    <w:rsid w:val="003E067B"/>
    <w:rsid w:val="003E11A4"/>
    <w:rsid w:val="003E1AD1"/>
    <w:rsid w:val="003E236D"/>
    <w:rsid w:val="003E2E8C"/>
    <w:rsid w:val="003E3009"/>
    <w:rsid w:val="003E308A"/>
    <w:rsid w:val="003E3094"/>
    <w:rsid w:val="003E367A"/>
    <w:rsid w:val="003E37A4"/>
    <w:rsid w:val="003E4136"/>
    <w:rsid w:val="003E4E45"/>
    <w:rsid w:val="003E61CB"/>
    <w:rsid w:val="003E63FE"/>
    <w:rsid w:val="003E7AFC"/>
    <w:rsid w:val="003E7C04"/>
    <w:rsid w:val="003E7FDA"/>
    <w:rsid w:val="003F01F7"/>
    <w:rsid w:val="003F0570"/>
    <w:rsid w:val="003F0D15"/>
    <w:rsid w:val="003F1283"/>
    <w:rsid w:val="003F13F6"/>
    <w:rsid w:val="003F174E"/>
    <w:rsid w:val="003F1BB0"/>
    <w:rsid w:val="003F1F13"/>
    <w:rsid w:val="003F2DAF"/>
    <w:rsid w:val="003F2ED2"/>
    <w:rsid w:val="003F3772"/>
    <w:rsid w:val="003F3ED2"/>
    <w:rsid w:val="003F4627"/>
    <w:rsid w:val="003F4ABA"/>
    <w:rsid w:val="003F53B6"/>
    <w:rsid w:val="003F54CA"/>
    <w:rsid w:val="003F6169"/>
    <w:rsid w:val="003F6645"/>
    <w:rsid w:val="003F72D7"/>
    <w:rsid w:val="003F77DA"/>
    <w:rsid w:val="003F7B2D"/>
    <w:rsid w:val="003F7C7A"/>
    <w:rsid w:val="00400D40"/>
    <w:rsid w:val="004014C9"/>
    <w:rsid w:val="00401DDB"/>
    <w:rsid w:val="00402B5F"/>
    <w:rsid w:val="00402C3D"/>
    <w:rsid w:val="00403087"/>
    <w:rsid w:val="00403EDA"/>
    <w:rsid w:val="00403F44"/>
    <w:rsid w:val="0040409C"/>
    <w:rsid w:val="00404A45"/>
    <w:rsid w:val="004058B8"/>
    <w:rsid w:val="00405B3F"/>
    <w:rsid w:val="00406113"/>
    <w:rsid w:val="004063C4"/>
    <w:rsid w:val="004072FC"/>
    <w:rsid w:val="004074CB"/>
    <w:rsid w:val="00407D7D"/>
    <w:rsid w:val="00410B00"/>
    <w:rsid w:val="00410B24"/>
    <w:rsid w:val="00410E12"/>
    <w:rsid w:val="00410E3B"/>
    <w:rsid w:val="004115C8"/>
    <w:rsid w:val="00412760"/>
    <w:rsid w:val="00413BE9"/>
    <w:rsid w:val="00413C6D"/>
    <w:rsid w:val="00413E03"/>
    <w:rsid w:val="00414E73"/>
    <w:rsid w:val="00415367"/>
    <w:rsid w:val="004161C2"/>
    <w:rsid w:val="004170A6"/>
    <w:rsid w:val="004176BC"/>
    <w:rsid w:val="004177A1"/>
    <w:rsid w:val="00417CB0"/>
    <w:rsid w:val="00417FB8"/>
    <w:rsid w:val="00420584"/>
    <w:rsid w:val="00421048"/>
    <w:rsid w:val="00422A93"/>
    <w:rsid w:val="00422BB1"/>
    <w:rsid w:val="00424D21"/>
    <w:rsid w:val="00424F3C"/>
    <w:rsid w:val="00425C24"/>
    <w:rsid w:val="004273BF"/>
    <w:rsid w:val="004311FF"/>
    <w:rsid w:val="004314B6"/>
    <w:rsid w:val="00432447"/>
    <w:rsid w:val="00432D97"/>
    <w:rsid w:val="00432F21"/>
    <w:rsid w:val="004349D9"/>
    <w:rsid w:val="0043544F"/>
    <w:rsid w:val="004362C0"/>
    <w:rsid w:val="00436425"/>
    <w:rsid w:val="004364E6"/>
    <w:rsid w:val="0043678B"/>
    <w:rsid w:val="00436B27"/>
    <w:rsid w:val="0043712E"/>
    <w:rsid w:val="004400BC"/>
    <w:rsid w:val="00441267"/>
    <w:rsid w:val="004412E8"/>
    <w:rsid w:val="00441947"/>
    <w:rsid w:val="00443331"/>
    <w:rsid w:val="00443561"/>
    <w:rsid w:val="00443591"/>
    <w:rsid w:val="0044501E"/>
    <w:rsid w:val="00445B35"/>
    <w:rsid w:val="00445DFA"/>
    <w:rsid w:val="004462BD"/>
    <w:rsid w:val="004462FA"/>
    <w:rsid w:val="0044692E"/>
    <w:rsid w:val="0044732A"/>
    <w:rsid w:val="00450BC1"/>
    <w:rsid w:val="00451103"/>
    <w:rsid w:val="00451F2C"/>
    <w:rsid w:val="0045203F"/>
    <w:rsid w:val="004520DB"/>
    <w:rsid w:val="00452550"/>
    <w:rsid w:val="004525A5"/>
    <w:rsid w:val="00453228"/>
    <w:rsid w:val="00453DB2"/>
    <w:rsid w:val="00453F45"/>
    <w:rsid w:val="00454D4D"/>
    <w:rsid w:val="00454F1D"/>
    <w:rsid w:val="00455817"/>
    <w:rsid w:val="00455982"/>
    <w:rsid w:val="00455AE4"/>
    <w:rsid w:val="00457034"/>
    <w:rsid w:val="00457BAA"/>
    <w:rsid w:val="00460981"/>
    <w:rsid w:val="004609DE"/>
    <w:rsid w:val="00461DC0"/>
    <w:rsid w:val="004628F0"/>
    <w:rsid w:val="00462D54"/>
    <w:rsid w:val="00462D63"/>
    <w:rsid w:val="00462ED7"/>
    <w:rsid w:val="00463886"/>
    <w:rsid w:val="00464F36"/>
    <w:rsid w:val="0046568B"/>
    <w:rsid w:val="00466121"/>
    <w:rsid w:val="00466912"/>
    <w:rsid w:val="00467686"/>
    <w:rsid w:val="00467792"/>
    <w:rsid w:val="004679AB"/>
    <w:rsid w:val="00467F80"/>
    <w:rsid w:val="00471665"/>
    <w:rsid w:val="0047195F"/>
    <w:rsid w:val="00471A9E"/>
    <w:rsid w:val="00471B86"/>
    <w:rsid w:val="00472227"/>
    <w:rsid w:val="00472E9C"/>
    <w:rsid w:val="004732E6"/>
    <w:rsid w:val="00474927"/>
    <w:rsid w:val="00474FBE"/>
    <w:rsid w:val="0047540F"/>
    <w:rsid w:val="004772FF"/>
    <w:rsid w:val="004803B6"/>
    <w:rsid w:val="0048048A"/>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103F"/>
    <w:rsid w:val="00491532"/>
    <w:rsid w:val="0049239D"/>
    <w:rsid w:val="004925C9"/>
    <w:rsid w:val="00493577"/>
    <w:rsid w:val="00494307"/>
    <w:rsid w:val="00494B3B"/>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391"/>
    <w:rsid w:val="004A3C39"/>
    <w:rsid w:val="004A3FAE"/>
    <w:rsid w:val="004A4291"/>
    <w:rsid w:val="004A4D02"/>
    <w:rsid w:val="004A4F2D"/>
    <w:rsid w:val="004A5AFA"/>
    <w:rsid w:val="004B17CE"/>
    <w:rsid w:val="004B1903"/>
    <w:rsid w:val="004B1A9C"/>
    <w:rsid w:val="004B1B15"/>
    <w:rsid w:val="004B1CB3"/>
    <w:rsid w:val="004B2241"/>
    <w:rsid w:val="004B25D3"/>
    <w:rsid w:val="004B27D6"/>
    <w:rsid w:val="004B2EBB"/>
    <w:rsid w:val="004B36DF"/>
    <w:rsid w:val="004B3C81"/>
    <w:rsid w:val="004B47F4"/>
    <w:rsid w:val="004B50CC"/>
    <w:rsid w:val="004B5825"/>
    <w:rsid w:val="004B6415"/>
    <w:rsid w:val="004B64FA"/>
    <w:rsid w:val="004B758A"/>
    <w:rsid w:val="004B7F9F"/>
    <w:rsid w:val="004C06CE"/>
    <w:rsid w:val="004C099B"/>
    <w:rsid w:val="004C0DB4"/>
    <w:rsid w:val="004C33E8"/>
    <w:rsid w:val="004C4A96"/>
    <w:rsid w:val="004C4E5F"/>
    <w:rsid w:val="004C5875"/>
    <w:rsid w:val="004C5F28"/>
    <w:rsid w:val="004C6997"/>
    <w:rsid w:val="004C6CDB"/>
    <w:rsid w:val="004C723F"/>
    <w:rsid w:val="004C7C36"/>
    <w:rsid w:val="004C7D16"/>
    <w:rsid w:val="004D0132"/>
    <w:rsid w:val="004D080F"/>
    <w:rsid w:val="004D10C5"/>
    <w:rsid w:val="004D1133"/>
    <w:rsid w:val="004D185E"/>
    <w:rsid w:val="004D29F9"/>
    <w:rsid w:val="004D4B61"/>
    <w:rsid w:val="004D606D"/>
    <w:rsid w:val="004D6B20"/>
    <w:rsid w:val="004D6C2F"/>
    <w:rsid w:val="004D71FE"/>
    <w:rsid w:val="004D72CE"/>
    <w:rsid w:val="004D74B2"/>
    <w:rsid w:val="004D7A80"/>
    <w:rsid w:val="004D7CA3"/>
    <w:rsid w:val="004E0388"/>
    <w:rsid w:val="004E0894"/>
    <w:rsid w:val="004E135A"/>
    <w:rsid w:val="004E1C50"/>
    <w:rsid w:val="004E20EE"/>
    <w:rsid w:val="004E251F"/>
    <w:rsid w:val="004E2B23"/>
    <w:rsid w:val="004E3390"/>
    <w:rsid w:val="004E416F"/>
    <w:rsid w:val="004E424D"/>
    <w:rsid w:val="004E5F45"/>
    <w:rsid w:val="004E5F96"/>
    <w:rsid w:val="004E64DC"/>
    <w:rsid w:val="004E6F86"/>
    <w:rsid w:val="004E706A"/>
    <w:rsid w:val="004F0671"/>
    <w:rsid w:val="004F0C01"/>
    <w:rsid w:val="004F126D"/>
    <w:rsid w:val="004F24B5"/>
    <w:rsid w:val="004F2B02"/>
    <w:rsid w:val="004F2D1B"/>
    <w:rsid w:val="004F2E11"/>
    <w:rsid w:val="004F31BD"/>
    <w:rsid w:val="004F3B34"/>
    <w:rsid w:val="004F3E23"/>
    <w:rsid w:val="004F4767"/>
    <w:rsid w:val="004F498A"/>
    <w:rsid w:val="004F51B2"/>
    <w:rsid w:val="004F59C4"/>
    <w:rsid w:val="004F5D65"/>
    <w:rsid w:val="004F70F8"/>
    <w:rsid w:val="004F7230"/>
    <w:rsid w:val="004F7D7B"/>
    <w:rsid w:val="0050107A"/>
    <w:rsid w:val="00501659"/>
    <w:rsid w:val="00501733"/>
    <w:rsid w:val="00501B75"/>
    <w:rsid w:val="00501C39"/>
    <w:rsid w:val="00502203"/>
    <w:rsid w:val="005027B8"/>
    <w:rsid w:val="00503286"/>
    <w:rsid w:val="00503F42"/>
    <w:rsid w:val="00505378"/>
    <w:rsid w:val="00505A66"/>
    <w:rsid w:val="00506576"/>
    <w:rsid w:val="00506710"/>
    <w:rsid w:val="00506E86"/>
    <w:rsid w:val="0050702C"/>
    <w:rsid w:val="0050723E"/>
    <w:rsid w:val="00507403"/>
    <w:rsid w:val="00507430"/>
    <w:rsid w:val="005101E5"/>
    <w:rsid w:val="00511D75"/>
    <w:rsid w:val="00511FF2"/>
    <w:rsid w:val="00512232"/>
    <w:rsid w:val="00513B7E"/>
    <w:rsid w:val="00514597"/>
    <w:rsid w:val="005150AB"/>
    <w:rsid w:val="0051769B"/>
    <w:rsid w:val="0052052F"/>
    <w:rsid w:val="00520571"/>
    <w:rsid w:val="00522C8A"/>
    <w:rsid w:val="00523AF8"/>
    <w:rsid w:val="00523F57"/>
    <w:rsid w:val="00523F8F"/>
    <w:rsid w:val="005248F8"/>
    <w:rsid w:val="00524E1E"/>
    <w:rsid w:val="0052565F"/>
    <w:rsid w:val="00526E9C"/>
    <w:rsid w:val="005278F8"/>
    <w:rsid w:val="005300ED"/>
    <w:rsid w:val="00531706"/>
    <w:rsid w:val="00532121"/>
    <w:rsid w:val="00532429"/>
    <w:rsid w:val="00532850"/>
    <w:rsid w:val="005328A9"/>
    <w:rsid w:val="00532C7A"/>
    <w:rsid w:val="005331D3"/>
    <w:rsid w:val="005332FA"/>
    <w:rsid w:val="005335ED"/>
    <w:rsid w:val="00534668"/>
    <w:rsid w:val="005346BF"/>
    <w:rsid w:val="0053472D"/>
    <w:rsid w:val="00535189"/>
    <w:rsid w:val="005356B6"/>
    <w:rsid w:val="00535D75"/>
    <w:rsid w:val="00535FF9"/>
    <w:rsid w:val="0053609B"/>
    <w:rsid w:val="0053655A"/>
    <w:rsid w:val="00536ECF"/>
    <w:rsid w:val="0053740F"/>
    <w:rsid w:val="00540D9E"/>
    <w:rsid w:val="0054171A"/>
    <w:rsid w:val="005420CF"/>
    <w:rsid w:val="00542C2A"/>
    <w:rsid w:val="0054337D"/>
    <w:rsid w:val="005438E3"/>
    <w:rsid w:val="00543CAC"/>
    <w:rsid w:val="00543DAB"/>
    <w:rsid w:val="005440E4"/>
    <w:rsid w:val="00545BEC"/>
    <w:rsid w:val="005468A5"/>
    <w:rsid w:val="00546A1D"/>
    <w:rsid w:val="00546C8E"/>
    <w:rsid w:val="00546CB9"/>
    <w:rsid w:val="00546E83"/>
    <w:rsid w:val="00547725"/>
    <w:rsid w:val="0055016E"/>
    <w:rsid w:val="00550292"/>
    <w:rsid w:val="005512BB"/>
    <w:rsid w:val="00551309"/>
    <w:rsid w:val="00552426"/>
    <w:rsid w:val="00552F1A"/>
    <w:rsid w:val="0055363B"/>
    <w:rsid w:val="00553693"/>
    <w:rsid w:val="00553934"/>
    <w:rsid w:val="00553B71"/>
    <w:rsid w:val="00554C4D"/>
    <w:rsid w:val="00556A43"/>
    <w:rsid w:val="00557CB3"/>
    <w:rsid w:val="0056087F"/>
    <w:rsid w:val="00560B84"/>
    <w:rsid w:val="0056121A"/>
    <w:rsid w:val="00562195"/>
    <w:rsid w:val="0056261D"/>
    <w:rsid w:val="00562918"/>
    <w:rsid w:val="00563269"/>
    <w:rsid w:val="00564643"/>
    <w:rsid w:val="00564772"/>
    <w:rsid w:val="00565698"/>
    <w:rsid w:val="00566518"/>
    <w:rsid w:val="005669DA"/>
    <w:rsid w:val="00566F11"/>
    <w:rsid w:val="00567613"/>
    <w:rsid w:val="00571640"/>
    <w:rsid w:val="00571902"/>
    <w:rsid w:val="0057194C"/>
    <w:rsid w:val="005720AF"/>
    <w:rsid w:val="00572283"/>
    <w:rsid w:val="00572F6B"/>
    <w:rsid w:val="00573604"/>
    <w:rsid w:val="00573DE2"/>
    <w:rsid w:val="00573F29"/>
    <w:rsid w:val="00574949"/>
    <w:rsid w:val="00574AD1"/>
    <w:rsid w:val="005767F1"/>
    <w:rsid w:val="00576A92"/>
    <w:rsid w:val="00577417"/>
    <w:rsid w:val="005779BD"/>
    <w:rsid w:val="00580009"/>
    <w:rsid w:val="00580850"/>
    <w:rsid w:val="00580912"/>
    <w:rsid w:val="00580CDE"/>
    <w:rsid w:val="00580D6B"/>
    <w:rsid w:val="00580F14"/>
    <w:rsid w:val="005812AE"/>
    <w:rsid w:val="0058144C"/>
    <w:rsid w:val="0058159E"/>
    <w:rsid w:val="00582234"/>
    <w:rsid w:val="005824FB"/>
    <w:rsid w:val="00582686"/>
    <w:rsid w:val="005829C4"/>
    <w:rsid w:val="00582D45"/>
    <w:rsid w:val="00582E8D"/>
    <w:rsid w:val="005860BC"/>
    <w:rsid w:val="00587129"/>
    <w:rsid w:val="005879CE"/>
    <w:rsid w:val="0059000C"/>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603"/>
    <w:rsid w:val="00595917"/>
    <w:rsid w:val="00595BE6"/>
    <w:rsid w:val="005969F6"/>
    <w:rsid w:val="00596FEB"/>
    <w:rsid w:val="005979BE"/>
    <w:rsid w:val="00597A00"/>
    <w:rsid w:val="00597AB3"/>
    <w:rsid w:val="00597DBB"/>
    <w:rsid w:val="005A118A"/>
    <w:rsid w:val="005A1897"/>
    <w:rsid w:val="005A3B97"/>
    <w:rsid w:val="005A45EC"/>
    <w:rsid w:val="005A4A89"/>
    <w:rsid w:val="005A55F6"/>
    <w:rsid w:val="005A57D4"/>
    <w:rsid w:val="005A59B1"/>
    <w:rsid w:val="005A5C31"/>
    <w:rsid w:val="005A5DB4"/>
    <w:rsid w:val="005A600A"/>
    <w:rsid w:val="005A74D9"/>
    <w:rsid w:val="005A7B45"/>
    <w:rsid w:val="005A7E88"/>
    <w:rsid w:val="005B01F4"/>
    <w:rsid w:val="005B05BE"/>
    <w:rsid w:val="005B0692"/>
    <w:rsid w:val="005B07C7"/>
    <w:rsid w:val="005B1B4F"/>
    <w:rsid w:val="005B2564"/>
    <w:rsid w:val="005B2E53"/>
    <w:rsid w:val="005B2F26"/>
    <w:rsid w:val="005B389B"/>
    <w:rsid w:val="005B4B88"/>
    <w:rsid w:val="005B4C25"/>
    <w:rsid w:val="005B52D8"/>
    <w:rsid w:val="005B57E9"/>
    <w:rsid w:val="005B5DAD"/>
    <w:rsid w:val="005B659A"/>
    <w:rsid w:val="005B65CA"/>
    <w:rsid w:val="005B6EB7"/>
    <w:rsid w:val="005B79C6"/>
    <w:rsid w:val="005C04C0"/>
    <w:rsid w:val="005C0912"/>
    <w:rsid w:val="005C1B46"/>
    <w:rsid w:val="005C1F7E"/>
    <w:rsid w:val="005C2057"/>
    <w:rsid w:val="005C20A0"/>
    <w:rsid w:val="005C2EF2"/>
    <w:rsid w:val="005C3AE2"/>
    <w:rsid w:val="005C5258"/>
    <w:rsid w:val="005C57F7"/>
    <w:rsid w:val="005C75E2"/>
    <w:rsid w:val="005C76FD"/>
    <w:rsid w:val="005C7A6D"/>
    <w:rsid w:val="005C7DC3"/>
    <w:rsid w:val="005D0DAF"/>
    <w:rsid w:val="005D0E2B"/>
    <w:rsid w:val="005D14A4"/>
    <w:rsid w:val="005D1D83"/>
    <w:rsid w:val="005D2E2B"/>
    <w:rsid w:val="005D3D10"/>
    <w:rsid w:val="005D6E2B"/>
    <w:rsid w:val="005D71BB"/>
    <w:rsid w:val="005E07F3"/>
    <w:rsid w:val="005E0823"/>
    <w:rsid w:val="005E1008"/>
    <w:rsid w:val="005E11E2"/>
    <w:rsid w:val="005E170E"/>
    <w:rsid w:val="005E1DDB"/>
    <w:rsid w:val="005E1F3B"/>
    <w:rsid w:val="005E1F3F"/>
    <w:rsid w:val="005E250E"/>
    <w:rsid w:val="005E3769"/>
    <w:rsid w:val="005E3B68"/>
    <w:rsid w:val="005E4148"/>
    <w:rsid w:val="005E4455"/>
    <w:rsid w:val="005E4674"/>
    <w:rsid w:val="005E4AF5"/>
    <w:rsid w:val="005E4F30"/>
    <w:rsid w:val="005E511D"/>
    <w:rsid w:val="005E5270"/>
    <w:rsid w:val="005E56C4"/>
    <w:rsid w:val="005E6369"/>
    <w:rsid w:val="005E652A"/>
    <w:rsid w:val="005E68B2"/>
    <w:rsid w:val="005E6C14"/>
    <w:rsid w:val="005E6F87"/>
    <w:rsid w:val="005E7038"/>
    <w:rsid w:val="005F043C"/>
    <w:rsid w:val="005F0593"/>
    <w:rsid w:val="005F1BE8"/>
    <w:rsid w:val="005F1C1F"/>
    <w:rsid w:val="005F2ABB"/>
    <w:rsid w:val="005F3375"/>
    <w:rsid w:val="005F354A"/>
    <w:rsid w:val="005F74BD"/>
    <w:rsid w:val="005F7D2F"/>
    <w:rsid w:val="006003A9"/>
    <w:rsid w:val="006009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72E8"/>
    <w:rsid w:val="00607C2D"/>
    <w:rsid w:val="006103A4"/>
    <w:rsid w:val="00610922"/>
    <w:rsid w:val="00611D8D"/>
    <w:rsid w:val="006122E2"/>
    <w:rsid w:val="006125AA"/>
    <w:rsid w:val="00613E9D"/>
    <w:rsid w:val="0061423C"/>
    <w:rsid w:val="0061427C"/>
    <w:rsid w:val="00615FAB"/>
    <w:rsid w:val="006169BB"/>
    <w:rsid w:val="00616F11"/>
    <w:rsid w:val="006177F0"/>
    <w:rsid w:val="0062005F"/>
    <w:rsid w:val="00620165"/>
    <w:rsid w:val="006201DC"/>
    <w:rsid w:val="00620985"/>
    <w:rsid w:val="00620BD5"/>
    <w:rsid w:val="00621B17"/>
    <w:rsid w:val="00622289"/>
    <w:rsid w:val="00622543"/>
    <w:rsid w:val="00622643"/>
    <w:rsid w:val="00622BB6"/>
    <w:rsid w:val="00623312"/>
    <w:rsid w:val="0062351E"/>
    <w:rsid w:val="00623E92"/>
    <w:rsid w:val="00623E93"/>
    <w:rsid w:val="00624322"/>
    <w:rsid w:val="00624406"/>
    <w:rsid w:val="006248E3"/>
    <w:rsid w:val="00625D3D"/>
    <w:rsid w:val="00625DB6"/>
    <w:rsid w:val="00626CAC"/>
    <w:rsid w:val="00627AD4"/>
    <w:rsid w:val="00627FE7"/>
    <w:rsid w:val="00630F33"/>
    <w:rsid w:val="006312A4"/>
    <w:rsid w:val="006312F8"/>
    <w:rsid w:val="006313C9"/>
    <w:rsid w:val="006317D2"/>
    <w:rsid w:val="00631C0F"/>
    <w:rsid w:val="006329A9"/>
    <w:rsid w:val="006337EA"/>
    <w:rsid w:val="006348ED"/>
    <w:rsid w:val="00636A18"/>
    <w:rsid w:val="00636C52"/>
    <w:rsid w:val="0063771E"/>
    <w:rsid w:val="006406A6"/>
    <w:rsid w:val="00640A5A"/>
    <w:rsid w:val="00640C80"/>
    <w:rsid w:val="00640E6C"/>
    <w:rsid w:val="00642334"/>
    <w:rsid w:val="00642351"/>
    <w:rsid w:val="006424F7"/>
    <w:rsid w:val="00642A2C"/>
    <w:rsid w:val="00642C32"/>
    <w:rsid w:val="006433D0"/>
    <w:rsid w:val="00643467"/>
    <w:rsid w:val="00643A31"/>
    <w:rsid w:val="00643AAE"/>
    <w:rsid w:val="00644A9F"/>
    <w:rsid w:val="00646BA0"/>
    <w:rsid w:val="00646F54"/>
    <w:rsid w:val="0065002D"/>
    <w:rsid w:val="00650254"/>
    <w:rsid w:val="006502BB"/>
    <w:rsid w:val="006515EF"/>
    <w:rsid w:val="00651CA1"/>
    <w:rsid w:val="0065234B"/>
    <w:rsid w:val="006530E2"/>
    <w:rsid w:val="006535DE"/>
    <w:rsid w:val="0065453F"/>
    <w:rsid w:val="00654758"/>
    <w:rsid w:val="006563FC"/>
    <w:rsid w:val="00656EAE"/>
    <w:rsid w:val="00657344"/>
    <w:rsid w:val="006602CF"/>
    <w:rsid w:val="00660FB0"/>
    <w:rsid w:val="00661356"/>
    <w:rsid w:val="00662399"/>
    <w:rsid w:val="006628D0"/>
    <w:rsid w:val="00664A30"/>
    <w:rsid w:val="00664B40"/>
    <w:rsid w:val="006652FD"/>
    <w:rsid w:val="00665679"/>
    <w:rsid w:val="0066568C"/>
    <w:rsid w:val="0066590A"/>
    <w:rsid w:val="00665DB7"/>
    <w:rsid w:val="00666370"/>
    <w:rsid w:val="0066646F"/>
    <w:rsid w:val="00666775"/>
    <w:rsid w:val="00666A5B"/>
    <w:rsid w:val="00670EFB"/>
    <w:rsid w:val="00671380"/>
    <w:rsid w:val="006713F9"/>
    <w:rsid w:val="00672F3E"/>
    <w:rsid w:val="00673BF2"/>
    <w:rsid w:val="00673C58"/>
    <w:rsid w:val="0067494B"/>
    <w:rsid w:val="00674A3C"/>
    <w:rsid w:val="00674DB0"/>
    <w:rsid w:val="00675296"/>
    <w:rsid w:val="006766B8"/>
    <w:rsid w:val="00677143"/>
    <w:rsid w:val="006807E1"/>
    <w:rsid w:val="00680DE4"/>
    <w:rsid w:val="0068116A"/>
    <w:rsid w:val="006823D9"/>
    <w:rsid w:val="0068241F"/>
    <w:rsid w:val="00683367"/>
    <w:rsid w:val="00683B8F"/>
    <w:rsid w:val="006841B1"/>
    <w:rsid w:val="0068436A"/>
    <w:rsid w:val="0068523F"/>
    <w:rsid w:val="006855A0"/>
    <w:rsid w:val="006861C4"/>
    <w:rsid w:val="00686C23"/>
    <w:rsid w:val="00687033"/>
    <w:rsid w:val="00687D28"/>
    <w:rsid w:val="00687EC6"/>
    <w:rsid w:val="00690AC8"/>
    <w:rsid w:val="00690CCF"/>
    <w:rsid w:val="00690E24"/>
    <w:rsid w:val="00690FAA"/>
    <w:rsid w:val="00691626"/>
    <w:rsid w:val="006936CD"/>
    <w:rsid w:val="0069391C"/>
    <w:rsid w:val="00693EA8"/>
    <w:rsid w:val="0069493D"/>
    <w:rsid w:val="00694C13"/>
    <w:rsid w:val="00694FF9"/>
    <w:rsid w:val="0069550C"/>
    <w:rsid w:val="0069620B"/>
    <w:rsid w:val="0069659F"/>
    <w:rsid w:val="00696801"/>
    <w:rsid w:val="0069758F"/>
    <w:rsid w:val="006978DB"/>
    <w:rsid w:val="00697989"/>
    <w:rsid w:val="006979EF"/>
    <w:rsid w:val="006A049D"/>
    <w:rsid w:val="006A0623"/>
    <w:rsid w:val="006A12AE"/>
    <w:rsid w:val="006A12E9"/>
    <w:rsid w:val="006A1BC6"/>
    <w:rsid w:val="006A272F"/>
    <w:rsid w:val="006A393F"/>
    <w:rsid w:val="006A54EF"/>
    <w:rsid w:val="006A5756"/>
    <w:rsid w:val="006A58A2"/>
    <w:rsid w:val="006A5A39"/>
    <w:rsid w:val="006A5C7F"/>
    <w:rsid w:val="006A6263"/>
    <w:rsid w:val="006A6484"/>
    <w:rsid w:val="006A652E"/>
    <w:rsid w:val="006A6D21"/>
    <w:rsid w:val="006A7E21"/>
    <w:rsid w:val="006A7EA3"/>
    <w:rsid w:val="006B022C"/>
    <w:rsid w:val="006B07D8"/>
    <w:rsid w:val="006B0CEB"/>
    <w:rsid w:val="006B13C1"/>
    <w:rsid w:val="006B1707"/>
    <w:rsid w:val="006B1AD5"/>
    <w:rsid w:val="006B2489"/>
    <w:rsid w:val="006B3215"/>
    <w:rsid w:val="006B3348"/>
    <w:rsid w:val="006B3448"/>
    <w:rsid w:val="006B4F5C"/>
    <w:rsid w:val="006B5062"/>
    <w:rsid w:val="006B5725"/>
    <w:rsid w:val="006B6BDE"/>
    <w:rsid w:val="006B6CBE"/>
    <w:rsid w:val="006B71E4"/>
    <w:rsid w:val="006B721D"/>
    <w:rsid w:val="006C00B5"/>
    <w:rsid w:val="006C1170"/>
    <w:rsid w:val="006C2506"/>
    <w:rsid w:val="006C2952"/>
    <w:rsid w:val="006C348B"/>
    <w:rsid w:val="006C34C1"/>
    <w:rsid w:val="006C374C"/>
    <w:rsid w:val="006C4E73"/>
    <w:rsid w:val="006C4EB7"/>
    <w:rsid w:val="006C5014"/>
    <w:rsid w:val="006C565B"/>
    <w:rsid w:val="006C5D35"/>
    <w:rsid w:val="006C6119"/>
    <w:rsid w:val="006C75FA"/>
    <w:rsid w:val="006C7FAC"/>
    <w:rsid w:val="006D002D"/>
    <w:rsid w:val="006D0421"/>
    <w:rsid w:val="006D047B"/>
    <w:rsid w:val="006D089E"/>
    <w:rsid w:val="006D1D18"/>
    <w:rsid w:val="006D2594"/>
    <w:rsid w:val="006D2BD4"/>
    <w:rsid w:val="006D3530"/>
    <w:rsid w:val="006D407D"/>
    <w:rsid w:val="006D477F"/>
    <w:rsid w:val="006D47BC"/>
    <w:rsid w:val="006D4ACA"/>
    <w:rsid w:val="006D5843"/>
    <w:rsid w:val="006D6871"/>
    <w:rsid w:val="006D6CA2"/>
    <w:rsid w:val="006D71D3"/>
    <w:rsid w:val="006E1FB4"/>
    <w:rsid w:val="006E22C0"/>
    <w:rsid w:val="006E24D7"/>
    <w:rsid w:val="006E3415"/>
    <w:rsid w:val="006E3962"/>
    <w:rsid w:val="006E464C"/>
    <w:rsid w:val="006E4970"/>
    <w:rsid w:val="006E4A6B"/>
    <w:rsid w:val="006E4CCB"/>
    <w:rsid w:val="006E4CCC"/>
    <w:rsid w:val="006E516B"/>
    <w:rsid w:val="006E64FC"/>
    <w:rsid w:val="006E6536"/>
    <w:rsid w:val="006E78A4"/>
    <w:rsid w:val="006E7A04"/>
    <w:rsid w:val="006F065D"/>
    <w:rsid w:val="006F0C10"/>
    <w:rsid w:val="006F29B4"/>
    <w:rsid w:val="006F6D3E"/>
    <w:rsid w:val="006F6DDA"/>
    <w:rsid w:val="006F7041"/>
    <w:rsid w:val="0070068B"/>
    <w:rsid w:val="00700990"/>
    <w:rsid w:val="00700CF4"/>
    <w:rsid w:val="007016BE"/>
    <w:rsid w:val="007025A3"/>
    <w:rsid w:val="007030B9"/>
    <w:rsid w:val="00703181"/>
    <w:rsid w:val="007042E7"/>
    <w:rsid w:val="007044EC"/>
    <w:rsid w:val="00704571"/>
    <w:rsid w:val="007048F0"/>
    <w:rsid w:val="00705362"/>
    <w:rsid w:val="0070604E"/>
    <w:rsid w:val="0070718C"/>
    <w:rsid w:val="00711526"/>
    <w:rsid w:val="0071165C"/>
    <w:rsid w:val="00711CAD"/>
    <w:rsid w:val="0071201B"/>
    <w:rsid w:val="0071356F"/>
    <w:rsid w:val="00713BDB"/>
    <w:rsid w:val="007153F0"/>
    <w:rsid w:val="007154CF"/>
    <w:rsid w:val="007159A1"/>
    <w:rsid w:val="00716812"/>
    <w:rsid w:val="007171DB"/>
    <w:rsid w:val="00717651"/>
    <w:rsid w:val="0071796A"/>
    <w:rsid w:val="00717A8D"/>
    <w:rsid w:val="00717BF6"/>
    <w:rsid w:val="00717F9F"/>
    <w:rsid w:val="00720493"/>
    <w:rsid w:val="00720B9E"/>
    <w:rsid w:val="00721887"/>
    <w:rsid w:val="00721CC5"/>
    <w:rsid w:val="007224ED"/>
    <w:rsid w:val="00722FD8"/>
    <w:rsid w:val="0072366C"/>
    <w:rsid w:val="00724291"/>
    <w:rsid w:val="00724D0C"/>
    <w:rsid w:val="0072590A"/>
    <w:rsid w:val="00725996"/>
    <w:rsid w:val="00726886"/>
    <w:rsid w:val="00726A5E"/>
    <w:rsid w:val="0072724E"/>
    <w:rsid w:val="00727381"/>
    <w:rsid w:val="00727924"/>
    <w:rsid w:val="00730896"/>
    <w:rsid w:val="007314BA"/>
    <w:rsid w:val="0073194F"/>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409AA"/>
    <w:rsid w:val="007411F4"/>
    <w:rsid w:val="007413BF"/>
    <w:rsid w:val="00741968"/>
    <w:rsid w:val="00741BDD"/>
    <w:rsid w:val="007423E9"/>
    <w:rsid w:val="00743A58"/>
    <w:rsid w:val="00743D1C"/>
    <w:rsid w:val="00743D29"/>
    <w:rsid w:val="0074406C"/>
    <w:rsid w:val="00744146"/>
    <w:rsid w:val="00745153"/>
    <w:rsid w:val="00745844"/>
    <w:rsid w:val="007460ED"/>
    <w:rsid w:val="0074661C"/>
    <w:rsid w:val="007469B7"/>
    <w:rsid w:val="00746A2F"/>
    <w:rsid w:val="007472EF"/>
    <w:rsid w:val="00747669"/>
    <w:rsid w:val="00751097"/>
    <w:rsid w:val="00751E1F"/>
    <w:rsid w:val="0075296E"/>
    <w:rsid w:val="00752F33"/>
    <w:rsid w:val="0075319C"/>
    <w:rsid w:val="007531A5"/>
    <w:rsid w:val="007535E3"/>
    <w:rsid w:val="0075377E"/>
    <w:rsid w:val="00753FCB"/>
    <w:rsid w:val="007542B1"/>
    <w:rsid w:val="007550FE"/>
    <w:rsid w:val="00755EE8"/>
    <w:rsid w:val="00756609"/>
    <w:rsid w:val="007566A7"/>
    <w:rsid w:val="00756E30"/>
    <w:rsid w:val="0075707E"/>
    <w:rsid w:val="00757941"/>
    <w:rsid w:val="007636C1"/>
    <w:rsid w:val="007639A5"/>
    <w:rsid w:val="00763EE9"/>
    <w:rsid w:val="00764375"/>
    <w:rsid w:val="007653BF"/>
    <w:rsid w:val="00765630"/>
    <w:rsid w:val="00765919"/>
    <w:rsid w:val="007661BB"/>
    <w:rsid w:val="0076653E"/>
    <w:rsid w:val="00766647"/>
    <w:rsid w:val="0076786D"/>
    <w:rsid w:val="00770E63"/>
    <w:rsid w:val="00773D6E"/>
    <w:rsid w:val="00774469"/>
    <w:rsid w:val="00774752"/>
    <w:rsid w:val="00775291"/>
    <w:rsid w:val="0077594E"/>
    <w:rsid w:val="00775FB9"/>
    <w:rsid w:val="00776268"/>
    <w:rsid w:val="00777495"/>
    <w:rsid w:val="0078016F"/>
    <w:rsid w:val="007805EC"/>
    <w:rsid w:val="007808A4"/>
    <w:rsid w:val="00780928"/>
    <w:rsid w:val="00780B0E"/>
    <w:rsid w:val="00781689"/>
    <w:rsid w:val="00782394"/>
    <w:rsid w:val="00782848"/>
    <w:rsid w:val="007829B1"/>
    <w:rsid w:val="00783873"/>
    <w:rsid w:val="007847D1"/>
    <w:rsid w:val="00784924"/>
    <w:rsid w:val="00785B0C"/>
    <w:rsid w:val="00785D82"/>
    <w:rsid w:val="0078647B"/>
    <w:rsid w:val="00786ED4"/>
    <w:rsid w:val="0078716F"/>
    <w:rsid w:val="007873C8"/>
    <w:rsid w:val="0078793D"/>
    <w:rsid w:val="00790F50"/>
    <w:rsid w:val="00791374"/>
    <w:rsid w:val="00791B6F"/>
    <w:rsid w:val="0079263D"/>
    <w:rsid w:val="00792B66"/>
    <w:rsid w:val="0079352C"/>
    <w:rsid w:val="00793B34"/>
    <w:rsid w:val="00793B84"/>
    <w:rsid w:val="00793D87"/>
    <w:rsid w:val="00794795"/>
    <w:rsid w:val="007949E6"/>
    <w:rsid w:val="00794CC2"/>
    <w:rsid w:val="00794D98"/>
    <w:rsid w:val="00794F29"/>
    <w:rsid w:val="00795A2A"/>
    <w:rsid w:val="007964B5"/>
    <w:rsid w:val="007972FB"/>
    <w:rsid w:val="007977AD"/>
    <w:rsid w:val="007A02BC"/>
    <w:rsid w:val="007A099F"/>
    <w:rsid w:val="007A0ADA"/>
    <w:rsid w:val="007A0F0F"/>
    <w:rsid w:val="007A16EB"/>
    <w:rsid w:val="007A26C4"/>
    <w:rsid w:val="007A2742"/>
    <w:rsid w:val="007A2F96"/>
    <w:rsid w:val="007A33C4"/>
    <w:rsid w:val="007A49D9"/>
    <w:rsid w:val="007A5620"/>
    <w:rsid w:val="007B01E7"/>
    <w:rsid w:val="007B0810"/>
    <w:rsid w:val="007B104F"/>
    <w:rsid w:val="007B13D2"/>
    <w:rsid w:val="007B1418"/>
    <w:rsid w:val="007B1C29"/>
    <w:rsid w:val="007B2177"/>
    <w:rsid w:val="007B2FF1"/>
    <w:rsid w:val="007B56E1"/>
    <w:rsid w:val="007B7BB1"/>
    <w:rsid w:val="007C0B47"/>
    <w:rsid w:val="007C1229"/>
    <w:rsid w:val="007C17AB"/>
    <w:rsid w:val="007C1DFF"/>
    <w:rsid w:val="007C1E1D"/>
    <w:rsid w:val="007C2145"/>
    <w:rsid w:val="007C2349"/>
    <w:rsid w:val="007C377C"/>
    <w:rsid w:val="007C3815"/>
    <w:rsid w:val="007C3B7F"/>
    <w:rsid w:val="007C5B20"/>
    <w:rsid w:val="007C65FA"/>
    <w:rsid w:val="007D069C"/>
    <w:rsid w:val="007D1AFD"/>
    <w:rsid w:val="007D1E73"/>
    <w:rsid w:val="007D23C4"/>
    <w:rsid w:val="007D2FC8"/>
    <w:rsid w:val="007D408D"/>
    <w:rsid w:val="007D4CD5"/>
    <w:rsid w:val="007D52A7"/>
    <w:rsid w:val="007D619D"/>
    <w:rsid w:val="007D658F"/>
    <w:rsid w:val="007D6B04"/>
    <w:rsid w:val="007D6BCA"/>
    <w:rsid w:val="007D6D6F"/>
    <w:rsid w:val="007D6E6D"/>
    <w:rsid w:val="007D6F5D"/>
    <w:rsid w:val="007D7604"/>
    <w:rsid w:val="007D7729"/>
    <w:rsid w:val="007D7AA9"/>
    <w:rsid w:val="007E075D"/>
    <w:rsid w:val="007E170B"/>
    <w:rsid w:val="007E18BA"/>
    <w:rsid w:val="007E18FA"/>
    <w:rsid w:val="007E1DF2"/>
    <w:rsid w:val="007E2888"/>
    <w:rsid w:val="007E32D4"/>
    <w:rsid w:val="007E3514"/>
    <w:rsid w:val="007E3829"/>
    <w:rsid w:val="007E402B"/>
    <w:rsid w:val="007E48C4"/>
    <w:rsid w:val="007E495E"/>
    <w:rsid w:val="007E5FF3"/>
    <w:rsid w:val="007E65FE"/>
    <w:rsid w:val="007E6782"/>
    <w:rsid w:val="007E6B64"/>
    <w:rsid w:val="007E6F9A"/>
    <w:rsid w:val="007E7679"/>
    <w:rsid w:val="007E79F5"/>
    <w:rsid w:val="007E7AF0"/>
    <w:rsid w:val="007F02BF"/>
    <w:rsid w:val="007F0B70"/>
    <w:rsid w:val="007F10B5"/>
    <w:rsid w:val="007F10D0"/>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49A"/>
    <w:rsid w:val="00801BFF"/>
    <w:rsid w:val="0080250E"/>
    <w:rsid w:val="0080281E"/>
    <w:rsid w:val="0080288E"/>
    <w:rsid w:val="00803DDF"/>
    <w:rsid w:val="00805261"/>
    <w:rsid w:val="0080563D"/>
    <w:rsid w:val="00805F75"/>
    <w:rsid w:val="00806071"/>
    <w:rsid w:val="00807C1B"/>
    <w:rsid w:val="00810489"/>
    <w:rsid w:val="00810B18"/>
    <w:rsid w:val="00811026"/>
    <w:rsid w:val="00811B7A"/>
    <w:rsid w:val="00811E77"/>
    <w:rsid w:val="00812638"/>
    <w:rsid w:val="00812720"/>
    <w:rsid w:val="00812AE2"/>
    <w:rsid w:val="00812CD4"/>
    <w:rsid w:val="00813337"/>
    <w:rsid w:val="00814892"/>
    <w:rsid w:val="00814D78"/>
    <w:rsid w:val="00815167"/>
    <w:rsid w:val="008151B0"/>
    <w:rsid w:val="008161EB"/>
    <w:rsid w:val="008164EE"/>
    <w:rsid w:val="00816744"/>
    <w:rsid w:val="0081696D"/>
    <w:rsid w:val="00816B36"/>
    <w:rsid w:val="00817452"/>
    <w:rsid w:val="0081758D"/>
    <w:rsid w:val="00817C39"/>
    <w:rsid w:val="00817C8A"/>
    <w:rsid w:val="0082098B"/>
    <w:rsid w:val="00821E84"/>
    <w:rsid w:val="00822005"/>
    <w:rsid w:val="0082256B"/>
    <w:rsid w:val="00822609"/>
    <w:rsid w:val="00822B0C"/>
    <w:rsid w:val="00822C45"/>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73D"/>
    <w:rsid w:val="00834AF4"/>
    <w:rsid w:val="00834BEC"/>
    <w:rsid w:val="00834D47"/>
    <w:rsid w:val="00834DC9"/>
    <w:rsid w:val="00835389"/>
    <w:rsid w:val="00835459"/>
    <w:rsid w:val="008356D1"/>
    <w:rsid w:val="008358DA"/>
    <w:rsid w:val="008373F3"/>
    <w:rsid w:val="00840350"/>
    <w:rsid w:val="00840409"/>
    <w:rsid w:val="0084055F"/>
    <w:rsid w:val="0084098C"/>
    <w:rsid w:val="008411FD"/>
    <w:rsid w:val="0084138C"/>
    <w:rsid w:val="008429DB"/>
    <w:rsid w:val="00842BA8"/>
    <w:rsid w:val="0084324E"/>
    <w:rsid w:val="00844B2A"/>
    <w:rsid w:val="00844ED2"/>
    <w:rsid w:val="0084562E"/>
    <w:rsid w:val="0084736D"/>
    <w:rsid w:val="008479BC"/>
    <w:rsid w:val="00847C79"/>
    <w:rsid w:val="00850A19"/>
    <w:rsid w:val="0085106C"/>
    <w:rsid w:val="008514EC"/>
    <w:rsid w:val="00851F31"/>
    <w:rsid w:val="0085233E"/>
    <w:rsid w:val="008524F7"/>
    <w:rsid w:val="00852A9A"/>
    <w:rsid w:val="008534FA"/>
    <w:rsid w:val="00853616"/>
    <w:rsid w:val="00853704"/>
    <w:rsid w:val="00853C23"/>
    <w:rsid w:val="00853EFD"/>
    <w:rsid w:val="0085413E"/>
    <w:rsid w:val="00854674"/>
    <w:rsid w:val="00854784"/>
    <w:rsid w:val="00854B1C"/>
    <w:rsid w:val="00854C8E"/>
    <w:rsid w:val="0085579E"/>
    <w:rsid w:val="0085729A"/>
    <w:rsid w:val="008575ED"/>
    <w:rsid w:val="00857F3D"/>
    <w:rsid w:val="00860F08"/>
    <w:rsid w:val="008612F5"/>
    <w:rsid w:val="00861F9D"/>
    <w:rsid w:val="0086307F"/>
    <w:rsid w:val="008639AD"/>
    <w:rsid w:val="00863C1F"/>
    <w:rsid w:val="00870856"/>
    <w:rsid w:val="0087157B"/>
    <w:rsid w:val="00873845"/>
    <w:rsid w:val="00876522"/>
    <w:rsid w:val="00876AE3"/>
    <w:rsid w:val="008775DB"/>
    <w:rsid w:val="00877B07"/>
    <w:rsid w:val="00877B7A"/>
    <w:rsid w:val="00880EFA"/>
    <w:rsid w:val="00881EBC"/>
    <w:rsid w:val="008828DF"/>
    <w:rsid w:val="00882E91"/>
    <w:rsid w:val="00882EA8"/>
    <w:rsid w:val="00883EE1"/>
    <w:rsid w:val="0088421A"/>
    <w:rsid w:val="00884A9E"/>
    <w:rsid w:val="00884ED2"/>
    <w:rsid w:val="00885317"/>
    <w:rsid w:val="0088567D"/>
    <w:rsid w:val="00885D0E"/>
    <w:rsid w:val="008863EC"/>
    <w:rsid w:val="00887227"/>
    <w:rsid w:val="008900AA"/>
    <w:rsid w:val="00890427"/>
    <w:rsid w:val="0089096B"/>
    <w:rsid w:val="008918D1"/>
    <w:rsid w:val="008919D4"/>
    <w:rsid w:val="00892157"/>
    <w:rsid w:val="0089225A"/>
    <w:rsid w:val="00892AC0"/>
    <w:rsid w:val="008934FE"/>
    <w:rsid w:val="00893B5D"/>
    <w:rsid w:val="00893E2F"/>
    <w:rsid w:val="008944DB"/>
    <w:rsid w:val="0089594E"/>
    <w:rsid w:val="008968C4"/>
    <w:rsid w:val="00897463"/>
    <w:rsid w:val="0089753B"/>
    <w:rsid w:val="00897911"/>
    <w:rsid w:val="00897B11"/>
    <w:rsid w:val="008A03BE"/>
    <w:rsid w:val="008A1C8E"/>
    <w:rsid w:val="008A2377"/>
    <w:rsid w:val="008A2E17"/>
    <w:rsid w:val="008A344E"/>
    <w:rsid w:val="008A3721"/>
    <w:rsid w:val="008A382F"/>
    <w:rsid w:val="008A39A0"/>
    <w:rsid w:val="008A39AD"/>
    <w:rsid w:val="008A3DB6"/>
    <w:rsid w:val="008A56ED"/>
    <w:rsid w:val="008A5BE4"/>
    <w:rsid w:val="008A7E3B"/>
    <w:rsid w:val="008B0364"/>
    <w:rsid w:val="008B0379"/>
    <w:rsid w:val="008B0D70"/>
    <w:rsid w:val="008B0EA7"/>
    <w:rsid w:val="008B10F5"/>
    <w:rsid w:val="008B18C5"/>
    <w:rsid w:val="008B480A"/>
    <w:rsid w:val="008B4F76"/>
    <w:rsid w:val="008B58D9"/>
    <w:rsid w:val="008B64DC"/>
    <w:rsid w:val="008B6AFD"/>
    <w:rsid w:val="008B70D9"/>
    <w:rsid w:val="008B7A48"/>
    <w:rsid w:val="008C07A9"/>
    <w:rsid w:val="008C0A39"/>
    <w:rsid w:val="008C1814"/>
    <w:rsid w:val="008C3523"/>
    <w:rsid w:val="008C3CCC"/>
    <w:rsid w:val="008C4084"/>
    <w:rsid w:val="008C4116"/>
    <w:rsid w:val="008C4162"/>
    <w:rsid w:val="008C43A5"/>
    <w:rsid w:val="008C5C81"/>
    <w:rsid w:val="008C6580"/>
    <w:rsid w:val="008C7375"/>
    <w:rsid w:val="008C79F3"/>
    <w:rsid w:val="008D0267"/>
    <w:rsid w:val="008D04D0"/>
    <w:rsid w:val="008D1097"/>
    <w:rsid w:val="008D11A8"/>
    <w:rsid w:val="008D1417"/>
    <w:rsid w:val="008D1F27"/>
    <w:rsid w:val="008D2F95"/>
    <w:rsid w:val="008D384C"/>
    <w:rsid w:val="008D3EF5"/>
    <w:rsid w:val="008D483E"/>
    <w:rsid w:val="008D4AB8"/>
    <w:rsid w:val="008D4B98"/>
    <w:rsid w:val="008D4BD7"/>
    <w:rsid w:val="008D56F1"/>
    <w:rsid w:val="008D6375"/>
    <w:rsid w:val="008E02E0"/>
    <w:rsid w:val="008E0670"/>
    <w:rsid w:val="008E114F"/>
    <w:rsid w:val="008E1153"/>
    <w:rsid w:val="008E1D76"/>
    <w:rsid w:val="008E2594"/>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5536"/>
    <w:rsid w:val="008F6537"/>
    <w:rsid w:val="00900590"/>
    <w:rsid w:val="00901459"/>
    <w:rsid w:val="00901C47"/>
    <w:rsid w:val="0090328B"/>
    <w:rsid w:val="009032E9"/>
    <w:rsid w:val="00903EFE"/>
    <w:rsid w:val="009040EB"/>
    <w:rsid w:val="0090437C"/>
    <w:rsid w:val="0090472D"/>
    <w:rsid w:val="0090518E"/>
    <w:rsid w:val="0090563D"/>
    <w:rsid w:val="00906EF4"/>
    <w:rsid w:val="00910287"/>
    <w:rsid w:val="00910D9D"/>
    <w:rsid w:val="00910F33"/>
    <w:rsid w:val="00911691"/>
    <w:rsid w:val="009118B0"/>
    <w:rsid w:val="00912000"/>
    <w:rsid w:val="009124E6"/>
    <w:rsid w:val="00913944"/>
    <w:rsid w:val="00916440"/>
    <w:rsid w:val="00916748"/>
    <w:rsid w:val="00917332"/>
    <w:rsid w:val="009177FA"/>
    <w:rsid w:val="009202C5"/>
    <w:rsid w:val="00920773"/>
    <w:rsid w:val="009209C5"/>
    <w:rsid w:val="00921817"/>
    <w:rsid w:val="00922327"/>
    <w:rsid w:val="0092265F"/>
    <w:rsid w:val="00922F1A"/>
    <w:rsid w:val="0092359E"/>
    <w:rsid w:val="00923EA0"/>
    <w:rsid w:val="0092474D"/>
    <w:rsid w:val="0092598F"/>
    <w:rsid w:val="00925FF9"/>
    <w:rsid w:val="00927BAA"/>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661E"/>
    <w:rsid w:val="00936789"/>
    <w:rsid w:val="00936EF5"/>
    <w:rsid w:val="009372E1"/>
    <w:rsid w:val="00937FBA"/>
    <w:rsid w:val="0094325C"/>
    <w:rsid w:val="00945766"/>
    <w:rsid w:val="009457AC"/>
    <w:rsid w:val="00945B1E"/>
    <w:rsid w:val="0094609D"/>
    <w:rsid w:val="00946484"/>
    <w:rsid w:val="00946970"/>
    <w:rsid w:val="00946B28"/>
    <w:rsid w:val="00947447"/>
    <w:rsid w:val="009510F9"/>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3EB"/>
    <w:rsid w:val="00960092"/>
    <w:rsid w:val="00960671"/>
    <w:rsid w:val="0096083A"/>
    <w:rsid w:val="009610B1"/>
    <w:rsid w:val="009618CD"/>
    <w:rsid w:val="00961F2F"/>
    <w:rsid w:val="009621E4"/>
    <w:rsid w:val="00962429"/>
    <w:rsid w:val="00964583"/>
    <w:rsid w:val="00964775"/>
    <w:rsid w:val="00964ACE"/>
    <w:rsid w:val="009659F8"/>
    <w:rsid w:val="009664CB"/>
    <w:rsid w:val="00966CC0"/>
    <w:rsid w:val="009671A1"/>
    <w:rsid w:val="0097179C"/>
    <w:rsid w:val="0097191C"/>
    <w:rsid w:val="0097198A"/>
    <w:rsid w:val="009734BF"/>
    <w:rsid w:val="009737F3"/>
    <w:rsid w:val="00973C3E"/>
    <w:rsid w:val="00974ACC"/>
    <w:rsid w:val="00974C49"/>
    <w:rsid w:val="00974EE4"/>
    <w:rsid w:val="009754CE"/>
    <w:rsid w:val="009756B6"/>
    <w:rsid w:val="00975E51"/>
    <w:rsid w:val="00975EF7"/>
    <w:rsid w:val="009774BE"/>
    <w:rsid w:val="00977A70"/>
    <w:rsid w:val="00980140"/>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7DF4"/>
    <w:rsid w:val="00987FDA"/>
    <w:rsid w:val="00990175"/>
    <w:rsid w:val="00991ED6"/>
    <w:rsid w:val="009920A0"/>
    <w:rsid w:val="00992E8A"/>
    <w:rsid w:val="00992E8D"/>
    <w:rsid w:val="009937FD"/>
    <w:rsid w:val="00994F4D"/>
    <w:rsid w:val="0099582B"/>
    <w:rsid w:val="00995DAF"/>
    <w:rsid w:val="00995FC3"/>
    <w:rsid w:val="00996AA6"/>
    <w:rsid w:val="00997230"/>
    <w:rsid w:val="009A0274"/>
    <w:rsid w:val="009A035E"/>
    <w:rsid w:val="009A18AB"/>
    <w:rsid w:val="009A2D7C"/>
    <w:rsid w:val="009A30FE"/>
    <w:rsid w:val="009A4644"/>
    <w:rsid w:val="009A468E"/>
    <w:rsid w:val="009A4908"/>
    <w:rsid w:val="009A6258"/>
    <w:rsid w:val="009A6B3A"/>
    <w:rsid w:val="009A76F7"/>
    <w:rsid w:val="009B01CF"/>
    <w:rsid w:val="009B02DB"/>
    <w:rsid w:val="009B0A50"/>
    <w:rsid w:val="009B1B35"/>
    <w:rsid w:val="009B1DA0"/>
    <w:rsid w:val="009B1F5D"/>
    <w:rsid w:val="009B2407"/>
    <w:rsid w:val="009B3BEA"/>
    <w:rsid w:val="009B41BA"/>
    <w:rsid w:val="009B44F0"/>
    <w:rsid w:val="009B545D"/>
    <w:rsid w:val="009B5957"/>
    <w:rsid w:val="009B5C0B"/>
    <w:rsid w:val="009B7273"/>
    <w:rsid w:val="009B7356"/>
    <w:rsid w:val="009B7FAC"/>
    <w:rsid w:val="009C0C99"/>
    <w:rsid w:val="009C1122"/>
    <w:rsid w:val="009C1840"/>
    <w:rsid w:val="009C1B99"/>
    <w:rsid w:val="009C1DC2"/>
    <w:rsid w:val="009C323A"/>
    <w:rsid w:val="009C3AE8"/>
    <w:rsid w:val="009C4087"/>
    <w:rsid w:val="009C4959"/>
    <w:rsid w:val="009C4CFF"/>
    <w:rsid w:val="009C5961"/>
    <w:rsid w:val="009C64D7"/>
    <w:rsid w:val="009C76A3"/>
    <w:rsid w:val="009C79E5"/>
    <w:rsid w:val="009C7ACB"/>
    <w:rsid w:val="009C7C85"/>
    <w:rsid w:val="009D03F6"/>
    <w:rsid w:val="009D6353"/>
    <w:rsid w:val="009D6CF0"/>
    <w:rsid w:val="009D6E22"/>
    <w:rsid w:val="009D7050"/>
    <w:rsid w:val="009D7327"/>
    <w:rsid w:val="009D75A9"/>
    <w:rsid w:val="009E0A40"/>
    <w:rsid w:val="009E153F"/>
    <w:rsid w:val="009E19AE"/>
    <w:rsid w:val="009E1E3F"/>
    <w:rsid w:val="009E1E60"/>
    <w:rsid w:val="009E1F86"/>
    <w:rsid w:val="009E216D"/>
    <w:rsid w:val="009E3112"/>
    <w:rsid w:val="009E34B7"/>
    <w:rsid w:val="009E434B"/>
    <w:rsid w:val="009E480B"/>
    <w:rsid w:val="009E4C2E"/>
    <w:rsid w:val="009E5BAE"/>
    <w:rsid w:val="009E5BF5"/>
    <w:rsid w:val="009E5D18"/>
    <w:rsid w:val="009E5F8E"/>
    <w:rsid w:val="009E65CA"/>
    <w:rsid w:val="009E699D"/>
    <w:rsid w:val="009F1904"/>
    <w:rsid w:val="009F209E"/>
    <w:rsid w:val="009F2446"/>
    <w:rsid w:val="009F2450"/>
    <w:rsid w:val="009F2BF4"/>
    <w:rsid w:val="009F2C12"/>
    <w:rsid w:val="009F385D"/>
    <w:rsid w:val="009F4B7F"/>
    <w:rsid w:val="009F555E"/>
    <w:rsid w:val="009F5C78"/>
    <w:rsid w:val="009F697A"/>
    <w:rsid w:val="009F6DAC"/>
    <w:rsid w:val="009F7309"/>
    <w:rsid w:val="009F763F"/>
    <w:rsid w:val="009F7748"/>
    <w:rsid w:val="009F7802"/>
    <w:rsid w:val="009F791B"/>
    <w:rsid w:val="009F79D5"/>
    <w:rsid w:val="009F7D96"/>
    <w:rsid w:val="00A007E7"/>
    <w:rsid w:val="00A00F2E"/>
    <w:rsid w:val="00A035DE"/>
    <w:rsid w:val="00A035EA"/>
    <w:rsid w:val="00A04F59"/>
    <w:rsid w:val="00A05597"/>
    <w:rsid w:val="00A05B20"/>
    <w:rsid w:val="00A070DE"/>
    <w:rsid w:val="00A0718D"/>
    <w:rsid w:val="00A07468"/>
    <w:rsid w:val="00A0797A"/>
    <w:rsid w:val="00A07FED"/>
    <w:rsid w:val="00A105EC"/>
    <w:rsid w:val="00A10896"/>
    <w:rsid w:val="00A10C0A"/>
    <w:rsid w:val="00A10D95"/>
    <w:rsid w:val="00A11019"/>
    <w:rsid w:val="00A114E5"/>
    <w:rsid w:val="00A115CB"/>
    <w:rsid w:val="00A116B1"/>
    <w:rsid w:val="00A11A73"/>
    <w:rsid w:val="00A11A7E"/>
    <w:rsid w:val="00A11F1D"/>
    <w:rsid w:val="00A1253F"/>
    <w:rsid w:val="00A13C50"/>
    <w:rsid w:val="00A14331"/>
    <w:rsid w:val="00A145EB"/>
    <w:rsid w:val="00A14AB2"/>
    <w:rsid w:val="00A14AC9"/>
    <w:rsid w:val="00A175A7"/>
    <w:rsid w:val="00A17EE6"/>
    <w:rsid w:val="00A20573"/>
    <w:rsid w:val="00A207FA"/>
    <w:rsid w:val="00A20C94"/>
    <w:rsid w:val="00A21C4C"/>
    <w:rsid w:val="00A220B7"/>
    <w:rsid w:val="00A22649"/>
    <w:rsid w:val="00A227D6"/>
    <w:rsid w:val="00A227E7"/>
    <w:rsid w:val="00A22D55"/>
    <w:rsid w:val="00A22F6E"/>
    <w:rsid w:val="00A239DB"/>
    <w:rsid w:val="00A24008"/>
    <w:rsid w:val="00A24078"/>
    <w:rsid w:val="00A2475E"/>
    <w:rsid w:val="00A258E0"/>
    <w:rsid w:val="00A25FCF"/>
    <w:rsid w:val="00A269B5"/>
    <w:rsid w:val="00A26A3F"/>
    <w:rsid w:val="00A2726D"/>
    <w:rsid w:val="00A30627"/>
    <w:rsid w:val="00A30B6C"/>
    <w:rsid w:val="00A31D99"/>
    <w:rsid w:val="00A3244C"/>
    <w:rsid w:val="00A32E59"/>
    <w:rsid w:val="00A33017"/>
    <w:rsid w:val="00A333C1"/>
    <w:rsid w:val="00A33DF3"/>
    <w:rsid w:val="00A33E4D"/>
    <w:rsid w:val="00A346EE"/>
    <w:rsid w:val="00A34995"/>
    <w:rsid w:val="00A34C32"/>
    <w:rsid w:val="00A34DDE"/>
    <w:rsid w:val="00A34EAB"/>
    <w:rsid w:val="00A350EA"/>
    <w:rsid w:val="00A3594F"/>
    <w:rsid w:val="00A35D94"/>
    <w:rsid w:val="00A362F7"/>
    <w:rsid w:val="00A36940"/>
    <w:rsid w:val="00A36EBD"/>
    <w:rsid w:val="00A40F98"/>
    <w:rsid w:val="00A42AD8"/>
    <w:rsid w:val="00A43813"/>
    <w:rsid w:val="00A43D47"/>
    <w:rsid w:val="00A440A6"/>
    <w:rsid w:val="00A45B00"/>
    <w:rsid w:val="00A4618D"/>
    <w:rsid w:val="00A464E1"/>
    <w:rsid w:val="00A46C4E"/>
    <w:rsid w:val="00A46D95"/>
    <w:rsid w:val="00A47081"/>
    <w:rsid w:val="00A47480"/>
    <w:rsid w:val="00A47E8C"/>
    <w:rsid w:val="00A51BC0"/>
    <w:rsid w:val="00A5298C"/>
    <w:rsid w:val="00A52AD0"/>
    <w:rsid w:val="00A53497"/>
    <w:rsid w:val="00A536CB"/>
    <w:rsid w:val="00A542F8"/>
    <w:rsid w:val="00A55A47"/>
    <w:rsid w:val="00A574BF"/>
    <w:rsid w:val="00A579F8"/>
    <w:rsid w:val="00A605E1"/>
    <w:rsid w:val="00A6204A"/>
    <w:rsid w:val="00A62093"/>
    <w:rsid w:val="00A6310C"/>
    <w:rsid w:val="00A6316B"/>
    <w:rsid w:val="00A63679"/>
    <w:rsid w:val="00A63A8F"/>
    <w:rsid w:val="00A64389"/>
    <w:rsid w:val="00A64797"/>
    <w:rsid w:val="00A64817"/>
    <w:rsid w:val="00A67F2A"/>
    <w:rsid w:val="00A71CDE"/>
    <w:rsid w:val="00A7252E"/>
    <w:rsid w:val="00A72BBC"/>
    <w:rsid w:val="00A72E18"/>
    <w:rsid w:val="00A730F3"/>
    <w:rsid w:val="00A74BE6"/>
    <w:rsid w:val="00A7557C"/>
    <w:rsid w:val="00A758A4"/>
    <w:rsid w:val="00A75BA0"/>
    <w:rsid w:val="00A768A2"/>
    <w:rsid w:val="00A76A55"/>
    <w:rsid w:val="00A773B4"/>
    <w:rsid w:val="00A80948"/>
    <w:rsid w:val="00A81811"/>
    <w:rsid w:val="00A833A3"/>
    <w:rsid w:val="00A835E5"/>
    <w:rsid w:val="00A83768"/>
    <w:rsid w:val="00A84373"/>
    <w:rsid w:val="00A8456A"/>
    <w:rsid w:val="00A845ED"/>
    <w:rsid w:val="00A867C8"/>
    <w:rsid w:val="00A86F87"/>
    <w:rsid w:val="00A87161"/>
    <w:rsid w:val="00A874D6"/>
    <w:rsid w:val="00A87C01"/>
    <w:rsid w:val="00A902A7"/>
    <w:rsid w:val="00A90327"/>
    <w:rsid w:val="00A904AB"/>
    <w:rsid w:val="00A90DEF"/>
    <w:rsid w:val="00A91358"/>
    <w:rsid w:val="00A91FE5"/>
    <w:rsid w:val="00A93154"/>
    <w:rsid w:val="00A93214"/>
    <w:rsid w:val="00A93C27"/>
    <w:rsid w:val="00A93C2B"/>
    <w:rsid w:val="00A94D8C"/>
    <w:rsid w:val="00A95CF3"/>
    <w:rsid w:val="00A96FC0"/>
    <w:rsid w:val="00A9734D"/>
    <w:rsid w:val="00A97BFA"/>
    <w:rsid w:val="00AA007C"/>
    <w:rsid w:val="00AA0B30"/>
    <w:rsid w:val="00AA25C9"/>
    <w:rsid w:val="00AA3726"/>
    <w:rsid w:val="00AA40AA"/>
    <w:rsid w:val="00AA4F09"/>
    <w:rsid w:val="00AA53BB"/>
    <w:rsid w:val="00AA7A72"/>
    <w:rsid w:val="00AA7DCE"/>
    <w:rsid w:val="00AA7F3F"/>
    <w:rsid w:val="00AA7F8C"/>
    <w:rsid w:val="00AA7FA5"/>
    <w:rsid w:val="00AB0725"/>
    <w:rsid w:val="00AB0807"/>
    <w:rsid w:val="00AB0FB2"/>
    <w:rsid w:val="00AB10E3"/>
    <w:rsid w:val="00AB18AB"/>
    <w:rsid w:val="00AB1FAD"/>
    <w:rsid w:val="00AB2AF8"/>
    <w:rsid w:val="00AB37FD"/>
    <w:rsid w:val="00AB41AF"/>
    <w:rsid w:val="00AB42BB"/>
    <w:rsid w:val="00AB4B6A"/>
    <w:rsid w:val="00AB50C3"/>
    <w:rsid w:val="00AB57D9"/>
    <w:rsid w:val="00AB6F61"/>
    <w:rsid w:val="00AB7601"/>
    <w:rsid w:val="00AB7957"/>
    <w:rsid w:val="00AB7A15"/>
    <w:rsid w:val="00AC0BD8"/>
    <w:rsid w:val="00AC1E53"/>
    <w:rsid w:val="00AC42FA"/>
    <w:rsid w:val="00AC455C"/>
    <w:rsid w:val="00AC45CA"/>
    <w:rsid w:val="00AC4D66"/>
    <w:rsid w:val="00AC5C0E"/>
    <w:rsid w:val="00AC5FCE"/>
    <w:rsid w:val="00AC615E"/>
    <w:rsid w:val="00AC62B7"/>
    <w:rsid w:val="00AC6926"/>
    <w:rsid w:val="00AC6BDA"/>
    <w:rsid w:val="00AC6E20"/>
    <w:rsid w:val="00AC7A38"/>
    <w:rsid w:val="00AC7FF7"/>
    <w:rsid w:val="00AD0404"/>
    <w:rsid w:val="00AD07F1"/>
    <w:rsid w:val="00AD20E0"/>
    <w:rsid w:val="00AD2BE1"/>
    <w:rsid w:val="00AD3C49"/>
    <w:rsid w:val="00AD3D21"/>
    <w:rsid w:val="00AD68F8"/>
    <w:rsid w:val="00AD692B"/>
    <w:rsid w:val="00AD6AA3"/>
    <w:rsid w:val="00AE0B68"/>
    <w:rsid w:val="00AE0CA2"/>
    <w:rsid w:val="00AE1038"/>
    <w:rsid w:val="00AE10CD"/>
    <w:rsid w:val="00AE1499"/>
    <w:rsid w:val="00AE2D0A"/>
    <w:rsid w:val="00AE3725"/>
    <w:rsid w:val="00AE3FEF"/>
    <w:rsid w:val="00AE448F"/>
    <w:rsid w:val="00AE4E58"/>
    <w:rsid w:val="00AE5139"/>
    <w:rsid w:val="00AE54FA"/>
    <w:rsid w:val="00AE5C8B"/>
    <w:rsid w:val="00AE65CA"/>
    <w:rsid w:val="00AE6800"/>
    <w:rsid w:val="00AE6CDA"/>
    <w:rsid w:val="00AE72FC"/>
    <w:rsid w:val="00AE751E"/>
    <w:rsid w:val="00AF16A0"/>
    <w:rsid w:val="00AF239F"/>
    <w:rsid w:val="00AF23AA"/>
    <w:rsid w:val="00AF23C2"/>
    <w:rsid w:val="00AF3040"/>
    <w:rsid w:val="00AF31DB"/>
    <w:rsid w:val="00AF39BC"/>
    <w:rsid w:val="00AF51E5"/>
    <w:rsid w:val="00AF52E7"/>
    <w:rsid w:val="00AF5D55"/>
    <w:rsid w:val="00AF605B"/>
    <w:rsid w:val="00AF741B"/>
    <w:rsid w:val="00AF7453"/>
    <w:rsid w:val="00AF7C3D"/>
    <w:rsid w:val="00AF7E72"/>
    <w:rsid w:val="00B0115C"/>
    <w:rsid w:val="00B01F83"/>
    <w:rsid w:val="00B0432F"/>
    <w:rsid w:val="00B043ED"/>
    <w:rsid w:val="00B054FF"/>
    <w:rsid w:val="00B05CB6"/>
    <w:rsid w:val="00B0633F"/>
    <w:rsid w:val="00B070A0"/>
    <w:rsid w:val="00B07CC0"/>
    <w:rsid w:val="00B07E41"/>
    <w:rsid w:val="00B102F5"/>
    <w:rsid w:val="00B103E9"/>
    <w:rsid w:val="00B11586"/>
    <w:rsid w:val="00B11E6D"/>
    <w:rsid w:val="00B11FA4"/>
    <w:rsid w:val="00B12242"/>
    <w:rsid w:val="00B1393B"/>
    <w:rsid w:val="00B140D2"/>
    <w:rsid w:val="00B1462C"/>
    <w:rsid w:val="00B14CD1"/>
    <w:rsid w:val="00B15491"/>
    <w:rsid w:val="00B1562F"/>
    <w:rsid w:val="00B16D63"/>
    <w:rsid w:val="00B17629"/>
    <w:rsid w:val="00B21D6E"/>
    <w:rsid w:val="00B22C39"/>
    <w:rsid w:val="00B22DE0"/>
    <w:rsid w:val="00B23D2D"/>
    <w:rsid w:val="00B24FEA"/>
    <w:rsid w:val="00B2540B"/>
    <w:rsid w:val="00B25B94"/>
    <w:rsid w:val="00B25FE6"/>
    <w:rsid w:val="00B2603E"/>
    <w:rsid w:val="00B26397"/>
    <w:rsid w:val="00B26407"/>
    <w:rsid w:val="00B26CD6"/>
    <w:rsid w:val="00B27255"/>
    <w:rsid w:val="00B2749B"/>
    <w:rsid w:val="00B2763A"/>
    <w:rsid w:val="00B27A0A"/>
    <w:rsid w:val="00B30160"/>
    <w:rsid w:val="00B3068C"/>
    <w:rsid w:val="00B317DC"/>
    <w:rsid w:val="00B31E48"/>
    <w:rsid w:val="00B327F4"/>
    <w:rsid w:val="00B32D08"/>
    <w:rsid w:val="00B32F4E"/>
    <w:rsid w:val="00B3322F"/>
    <w:rsid w:val="00B334B1"/>
    <w:rsid w:val="00B33E53"/>
    <w:rsid w:val="00B3426C"/>
    <w:rsid w:val="00B35101"/>
    <w:rsid w:val="00B35631"/>
    <w:rsid w:val="00B3586B"/>
    <w:rsid w:val="00B3587C"/>
    <w:rsid w:val="00B35B04"/>
    <w:rsid w:val="00B36E10"/>
    <w:rsid w:val="00B36E89"/>
    <w:rsid w:val="00B37246"/>
    <w:rsid w:val="00B3733C"/>
    <w:rsid w:val="00B3775E"/>
    <w:rsid w:val="00B37810"/>
    <w:rsid w:val="00B37E95"/>
    <w:rsid w:val="00B410B3"/>
    <w:rsid w:val="00B4190C"/>
    <w:rsid w:val="00B41956"/>
    <w:rsid w:val="00B42A22"/>
    <w:rsid w:val="00B45535"/>
    <w:rsid w:val="00B4553C"/>
    <w:rsid w:val="00B4572C"/>
    <w:rsid w:val="00B459C8"/>
    <w:rsid w:val="00B45BAB"/>
    <w:rsid w:val="00B46975"/>
    <w:rsid w:val="00B472EC"/>
    <w:rsid w:val="00B52046"/>
    <w:rsid w:val="00B5259A"/>
    <w:rsid w:val="00B52CB1"/>
    <w:rsid w:val="00B53B6D"/>
    <w:rsid w:val="00B53C9A"/>
    <w:rsid w:val="00B53D31"/>
    <w:rsid w:val="00B553DF"/>
    <w:rsid w:val="00B5563C"/>
    <w:rsid w:val="00B57D54"/>
    <w:rsid w:val="00B60946"/>
    <w:rsid w:val="00B609C3"/>
    <w:rsid w:val="00B609D4"/>
    <w:rsid w:val="00B60FB5"/>
    <w:rsid w:val="00B62014"/>
    <w:rsid w:val="00B629C9"/>
    <w:rsid w:val="00B63426"/>
    <w:rsid w:val="00B63656"/>
    <w:rsid w:val="00B63F21"/>
    <w:rsid w:val="00B63FB6"/>
    <w:rsid w:val="00B64086"/>
    <w:rsid w:val="00B643C4"/>
    <w:rsid w:val="00B64519"/>
    <w:rsid w:val="00B64541"/>
    <w:rsid w:val="00B6456D"/>
    <w:rsid w:val="00B64BD0"/>
    <w:rsid w:val="00B64FCD"/>
    <w:rsid w:val="00B65CBD"/>
    <w:rsid w:val="00B66802"/>
    <w:rsid w:val="00B67453"/>
    <w:rsid w:val="00B675F7"/>
    <w:rsid w:val="00B67A78"/>
    <w:rsid w:val="00B7086A"/>
    <w:rsid w:val="00B70A5F"/>
    <w:rsid w:val="00B70C27"/>
    <w:rsid w:val="00B70E97"/>
    <w:rsid w:val="00B715DC"/>
    <w:rsid w:val="00B71ACD"/>
    <w:rsid w:val="00B722FE"/>
    <w:rsid w:val="00B7263F"/>
    <w:rsid w:val="00B729F1"/>
    <w:rsid w:val="00B7300C"/>
    <w:rsid w:val="00B73222"/>
    <w:rsid w:val="00B74D56"/>
    <w:rsid w:val="00B75CCA"/>
    <w:rsid w:val="00B768A7"/>
    <w:rsid w:val="00B76970"/>
    <w:rsid w:val="00B76F65"/>
    <w:rsid w:val="00B7738B"/>
    <w:rsid w:val="00B77809"/>
    <w:rsid w:val="00B77E9E"/>
    <w:rsid w:val="00B80406"/>
    <w:rsid w:val="00B8062C"/>
    <w:rsid w:val="00B80A5E"/>
    <w:rsid w:val="00B80F1F"/>
    <w:rsid w:val="00B813C8"/>
    <w:rsid w:val="00B8146F"/>
    <w:rsid w:val="00B8167D"/>
    <w:rsid w:val="00B82C49"/>
    <w:rsid w:val="00B82D90"/>
    <w:rsid w:val="00B82FB4"/>
    <w:rsid w:val="00B83B69"/>
    <w:rsid w:val="00B83DFC"/>
    <w:rsid w:val="00B86B7E"/>
    <w:rsid w:val="00B87DD5"/>
    <w:rsid w:val="00B90F96"/>
    <w:rsid w:val="00B9219F"/>
    <w:rsid w:val="00B926CB"/>
    <w:rsid w:val="00B933B2"/>
    <w:rsid w:val="00B936CB"/>
    <w:rsid w:val="00B93CAF"/>
    <w:rsid w:val="00B941B6"/>
    <w:rsid w:val="00B94A06"/>
    <w:rsid w:val="00B952E7"/>
    <w:rsid w:val="00B95B2F"/>
    <w:rsid w:val="00B97356"/>
    <w:rsid w:val="00B97A6D"/>
    <w:rsid w:val="00BA0391"/>
    <w:rsid w:val="00BA060B"/>
    <w:rsid w:val="00BA0898"/>
    <w:rsid w:val="00BA0DCD"/>
    <w:rsid w:val="00BA2423"/>
    <w:rsid w:val="00BA34B1"/>
    <w:rsid w:val="00BA382E"/>
    <w:rsid w:val="00BA3830"/>
    <w:rsid w:val="00BA41E7"/>
    <w:rsid w:val="00BA42E0"/>
    <w:rsid w:val="00BA5792"/>
    <w:rsid w:val="00BA5C83"/>
    <w:rsid w:val="00BA71FA"/>
    <w:rsid w:val="00BA7701"/>
    <w:rsid w:val="00BA7BAB"/>
    <w:rsid w:val="00BA7C02"/>
    <w:rsid w:val="00BA7C73"/>
    <w:rsid w:val="00BB00C3"/>
    <w:rsid w:val="00BB01F3"/>
    <w:rsid w:val="00BB0741"/>
    <w:rsid w:val="00BB17AD"/>
    <w:rsid w:val="00BB292D"/>
    <w:rsid w:val="00BB300F"/>
    <w:rsid w:val="00BB369B"/>
    <w:rsid w:val="00BB3919"/>
    <w:rsid w:val="00BB3A56"/>
    <w:rsid w:val="00BB3E2E"/>
    <w:rsid w:val="00BB436A"/>
    <w:rsid w:val="00BB49CB"/>
    <w:rsid w:val="00BB4CAE"/>
    <w:rsid w:val="00BB67F1"/>
    <w:rsid w:val="00BB79C2"/>
    <w:rsid w:val="00BB7B87"/>
    <w:rsid w:val="00BB7F0F"/>
    <w:rsid w:val="00BC0EC7"/>
    <w:rsid w:val="00BC1722"/>
    <w:rsid w:val="00BC194A"/>
    <w:rsid w:val="00BC2214"/>
    <w:rsid w:val="00BC2791"/>
    <w:rsid w:val="00BC2825"/>
    <w:rsid w:val="00BC2E96"/>
    <w:rsid w:val="00BC365F"/>
    <w:rsid w:val="00BC406F"/>
    <w:rsid w:val="00BC4C88"/>
    <w:rsid w:val="00BC59CA"/>
    <w:rsid w:val="00BC6970"/>
    <w:rsid w:val="00BC6D81"/>
    <w:rsid w:val="00BC6F87"/>
    <w:rsid w:val="00BC734E"/>
    <w:rsid w:val="00BC7713"/>
    <w:rsid w:val="00BC7C93"/>
    <w:rsid w:val="00BD0286"/>
    <w:rsid w:val="00BD0A29"/>
    <w:rsid w:val="00BD1B3F"/>
    <w:rsid w:val="00BD33A9"/>
    <w:rsid w:val="00BD33BE"/>
    <w:rsid w:val="00BD3792"/>
    <w:rsid w:val="00BD3C72"/>
    <w:rsid w:val="00BD4E12"/>
    <w:rsid w:val="00BD5D4E"/>
    <w:rsid w:val="00BD7991"/>
    <w:rsid w:val="00BE0BDD"/>
    <w:rsid w:val="00BE21E3"/>
    <w:rsid w:val="00BE305B"/>
    <w:rsid w:val="00BE5F4E"/>
    <w:rsid w:val="00BE62B2"/>
    <w:rsid w:val="00BE6350"/>
    <w:rsid w:val="00BE67F1"/>
    <w:rsid w:val="00BE7287"/>
    <w:rsid w:val="00BE7C93"/>
    <w:rsid w:val="00BF0362"/>
    <w:rsid w:val="00BF0479"/>
    <w:rsid w:val="00BF0D73"/>
    <w:rsid w:val="00BF1D23"/>
    <w:rsid w:val="00BF1F82"/>
    <w:rsid w:val="00BF2520"/>
    <w:rsid w:val="00BF3470"/>
    <w:rsid w:val="00BF3B94"/>
    <w:rsid w:val="00BF3F3D"/>
    <w:rsid w:val="00BF3FF8"/>
    <w:rsid w:val="00BF4C53"/>
    <w:rsid w:val="00BF54DC"/>
    <w:rsid w:val="00BF5748"/>
    <w:rsid w:val="00BF6270"/>
    <w:rsid w:val="00BF67B7"/>
    <w:rsid w:val="00BF770B"/>
    <w:rsid w:val="00C01510"/>
    <w:rsid w:val="00C01CEB"/>
    <w:rsid w:val="00C01F6E"/>
    <w:rsid w:val="00C03249"/>
    <w:rsid w:val="00C04BAE"/>
    <w:rsid w:val="00C05896"/>
    <w:rsid w:val="00C0599A"/>
    <w:rsid w:val="00C06748"/>
    <w:rsid w:val="00C073DA"/>
    <w:rsid w:val="00C07C15"/>
    <w:rsid w:val="00C10B9B"/>
    <w:rsid w:val="00C10C30"/>
    <w:rsid w:val="00C1104C"/>
    <w:rsid w:val="00C11577"/>
    <w:rsid w:val="00C1166B"/>
    <w:rsid w:val="00C11DC5"/>
    <w:rsid w:val="00C11F13"/>
    <w:rsid w:val="00C11F39"/>
    <w:rsid w:val="00C11F55"/>
    <w:rsid w:val="00C12249"/>
    <w:rsid w:val="00C1250E"/>
    <w:rsid w:val="00C138E7"/>
    <w:rsid w:val="00C139A1"/>
    <w:rsid w:val="00C1448C"/>
    <w:rsid w:val="00C14D7A"/>
    <w:rsid w:val="00C1661D"/>
    <w:rsid w:val="00C17059"/>
    <w:rsid w:val="00C17174"/>
    <w:rsid w:val="00C171C5"/>
    <w:rsid w:val="00C17B44"/>
    <w:rsid w:val="00C17F63"/>
    <w:rsid w:val="00C2041C"/>
    <w:rsid w:val="00C20869"/>
    <w:rsid w:val="00C20DC6"/>
    <w:rsid w:val="00C2113D"/>
    <w:rsid w:val="00C215D1"/>
    <w:rsid w:val="00C21AE1"/>
    <w:rsid w:val="00C223D1"/>
    <w:rsid w:val="00C227C6"/>
    <w:rsid w:val="00C230F6"/>
    <w:rsid w:val="00C23EB2"/>
    <w:rsid w:val="00C23F8A"/>
    <w:rsid w:val="00C24B05"/>
    <w:rsid w:val="00C25D31"/>
    <w:rsid w:val="00C265D0"/>
    <w:rsid w:val="00C26FE5"/>
    <w:rsid w:val="00C3022B"/>
    <w:rsid w:val="00C30723"/>
    <w:rsid w:val="00C31756"/>
    <w:rsid w:val="00C31F7F"/>
    <w:rsid w:val="00C32186"/>
    <w:rsid w:val="00C335AE"/>
    <w:rsid w:val="00C34DDC"/>
    <w:rsid w:val="00C34E1F"/>
    <w:rsid w:val="00C35C70"/>
    <w:rsid w:val="00C35E26"/>
    <w:rsid w:val="00C3626A"/>
    <w:rsid w:val="00C36684"/>
    <w:rsid w:val="00C36F0A"/>
    <w:rsid w:val="00C36F4F"/>
    <w:rsid w:val="00C372CB"/>
    <w:rsid w:val="00C4067A"/>
    <w:rsid w:val="00C41480"/>
    <w:rsid w:val="00C44052"/>
    <w:rsid w:val="00C44368"/>
    <w:rsid w:val="00C46111"/>
    <w:rsid w:val="00C46822"/>
    <w:rsid w:val="00C46CE5"/>
    <w:rsid w:val="00C47CFC"/>
    <w:rsid w:val="00C50260"/>
    <w:rsid w:val="00C51395"/>
    <w:rsid w:val="00C51553"/>
    <w:rsid w:val="00C518A5"/>
    <w:rsid w:val="00C51A60"/>
    <w:rsid w:val="00C52334"/>
    <w:rsid w:val="00C52C65"/>
    <w:rsid w:val="00C53110"/>
    <w:rsid w:val="00C53B12"/>
    <w:rsid w:val="00C541B2"/>
    <w:rsid w:val="00C54928"/>
    <w:rsid w:val="00C54A44"/>
    <w:rsid w:val="00C54E2A"/>
    <w:rsid w:val="00C5661F"/>
    <w:rsid w:val="00C57085"/>
    <w:rsid w:val="00C575AF"/>
    <w:rsid w:val="00C576FC"/>
    <w:rsid w:val="00C60361"/>
    <w:rsid w:val="00C60738"/>
    <w:rsid w:val="00C608D7"/>
    <w:rsid w:val="00C60D9F"/>
    <w:rsid w:val="00C61D76"/>
    <w:rsid w:val="00C620BA"/>
    <w:rsid w:val="00C627C5"/>
    <w:rsid w:val="00C6395F"/>
    <w:rsid w:val="00C63C3D"/>
    <w:rsid w:val="00C644BF"/>
    <w:rsid w:val="00C65163"/>
    <w:rsid w:val="00C65B6B"/>
    <w:rsid w:val="00C66492"/>
    <w:rsid w:val="00C664AB"/>
    <w:rsid w:val="00C66584"/>
    <w:rsid w:val="00C66705"/>
    <w:rsid w:val="00C67754"/>
    <w:rsid w:val="00C70254"/>
    <w:rsid w:val="00C703C0"/>
    <w:rsid w:val="00C706D1"/>
    <w:rsid w:val="00C70FAE"/>
    <w:rsid w:val="00C71284"/>
    <w:rsid w:val="00C719C3"/>
    <w:rsid w:val="00C72DD5"/>
    <w:rsid w:val="00C733A6"/>
    <w:rsid w:val="00C737B0"/>
    <w:rsid w:val="00C73D39"/>
    <w:rsid w:val="00C7675A"/>
    <w:rsid w:val="00C76E9D"/>
    <w:rsid w:val="00C816DF"/>
    <w:rsid w:val="00C820EE"/>
    <w:rsid w:val="00C84713"/>
    <w:rsid w:val="00C84758"/>
    <w:rsid w:val="00C853AB"/>
    <w:rsid w:val="00C85F72"/>
    <w:rsid w:val="00C86896"/>
    <w:rsid w:val="00C876E1"/>
    <w:rsid w:val="00C90162"/>
    <w:rsid w:val="00C908A9"/>
    <w:rsid w:val="00C908BE"/>
    <w:rsid w:val="00C91507"/>
    <w:rsid w:val="00C93DBE"/>
    <w:rsid w:val="00C940C2"/>
    <w:rsid w:val="00C952E9"/>
    <w:rsid w:val="00C95AC8"/>
    <w:rsid w:val="00C9760B"/>
    <w:rsid w:val="00C976E0"/>
    <w:rsid w:val="00C9796B"/>
    <w:rsid w:val="00C97C19"/>
    <w:rsid w:val="00CA0174"/>
    <w:rsid w:val="00CA018B"/>
    <w:rsid w:val="00CA0C53"/>
    <w:rsid w:val="00CA1AE4"/>
    <w:rsid w:val="00CA1E0C"/>
    <w:rsid w:val="00CA1FA7"/>
    <w:rsid w:val="00CA20E3"/>
    <w:rsid w:val="00CA245C"/>
    <w:rsid w:val="00CA26EC"/>
    <w:rsid w:val="00CA3071"/>
    <w:rsid w:val="00CA423D"/>
    <w:rsid w:val="00CA5AF9"/>
    <w:rsid w:val="00CA5D0C"/>
    <w:rsid w:val="00CA5E13"/>
    <w:rsid w:val="00CA625D"/>
    <w:rsid w:val="00CA64A0"/>
    <w:rsid w:val="00CA69FF"/>
    <w:rsid w:val="00CA6F73"/>
    <w:rsid w:val="00CA7A1F"/>
    <w:rsid w:val="00CA7DAF"/>
    <w:rsid w:val="00CB017E"/>
    <w:rsid w:val="00CB0226"/>
    <w:rsid w:val="00CB0717"/>
    <w:rsid w:val="00CB0A65"/>
    <w:rsid w:val="00CB1177"/>
    <w:rsid w:val="00CB1618"/>
    <w:rsid w:val="00CB1A88"/>
    <w:rsid w:val="00CB277F"/>
    <w:rsid w:val="00CB3318"/>
    <w:rsid w:val="00CB3628"/>
    <w:rsid w:val="00CB407C"/>
    <w:rsid w:val="00CB46B4"/>
    <w:rsid w:val="00CB4940"/>
    <w:rsid w:val="00CB5D5B"/>
    <w:rsid w:val="00CB6E94"/>
    <w:rsid w:val="00CB7060"/>
    <w:rsid w:val="00CB77F2"/>
    <w:rsid w:val="00CB7DD6"/>
    <w:rsid w:val="00CC0438"/>
    <w:rsid w:val="00CC0563"/>
    <w:rsid w:val="00CC140D"/>
    <w:rsid w:val="00CC1E56"/>
    <w:rsid w:val="00CC201A"/>
    <w:rsid w:val="00CC2270"/>
    <w:rsid w:val="00CC3277"/>
    <w:rsid w:val="00CC385B"/>
    <w:rsid w:val="00CC4207"/>
    <w:rsid w:val="00CC5222"/>
    <w:rsid w:val="00CC5775"/>
    <w:rsid w:val="00CC62C6"/>
    <w:rsid w:val="00CC62CD"/>
    <w:rsid w:val="00CC7881"/>
    <w:rsid w:val="00CC7971"/>
    <w:rsid w:val="00CD0422"/>
    <w:rsid w:val="00CD0982"/>
    <w:rsid w:val="00CD124B"/>
    <w:rsid w:val="00CD19CF"/>
    <w:rsid w:val="00CD2987"/>
    <w:rsid w:val="00CD2A22"/>
    <w:rsid w:val="00CD2A3D"/>
    <w:rsid w:val="00CD2EE0"/>
    <w:rsid w:val="00CD400D"/>
    <w:rsid w:val="00CD40C7"/>
    <w:rsid w:val="00CD5885"/>
    <w:rsid w:val="00CD5D11"/>
    <w:rsid w:val="00CD63D3"/>
    <w:rsid w:val="00CD6924"/>
    <w:rsid w:val="00CD7055"/>
    <w:rsid w:val="00CD7340"/>
    <w:rsid w:val="00CE06B1"/>
    <w:rsid w:val="00CE0944"/>
    <w:rsid w:val="00CE0A76"/>
    <w:rsid w:val="00CE3120"/>
    <w:rsid w:val="00CE3C60"/>
    <w:rsid w:val="00CE42DB"/>
    <w:rsid w:val="00CE4C6F"/>
    <w:rsid w:val="00CE52CC"/>
    <w:rsid w:val="00CE53F4"/>
    <w:rsid w:val="00CE5510"/>
    <w:rsid w:val="00CE5B5C"/>
    <w:rsid w:val="00CE5B69"/>
    <w:rsid w:val="00CE6071"/>
    <w:rsid w:val="00CE66E3"/>
    <w:rsid w:val="00CE793F"/>
    <w:rsid w:val="00CE7E6F"/>
    <w:rsid w:val="00CF0724"/>
    <w:rsid w:val="00CF15DD"/>
    <w:rsid w:val="00CF223D"/>
    <w:rsid w:val="00CF2824"/>
    <w:rsid w:val="00CF3526"/>
    <w:rsid w:val="00CF3A33"/>
    <w:rsid w:val="00CF3C7D"/>
    <w:rsid w:val="00CF45BF"/>
    <w:rsid w:val="00CF51C1"/>
    <w:rsid w:val="00CF5B47"/>
    <w:rsid w:val="00CF5B54"/>
    <w:rsid w:val="00CF5EE3"/>
    <w:rsid w:val="00CF6C01"/>
    <w:rsid w:val="00CF7105"/>
    <w:rsid w:val="00CF7305"/>
    <w:rsid w:val="00D005E0"/>
    <w:rsid w:val="00D012FF"/>
    <w:rsid w:val="00D0157B"/>
    <w:rsid w:val="00D01CC4"/>
    <w:rsid w:val="00D01E6B"/>
    <w:rsid w:val="00D0354D"/>
    <w:rsid w:val="00D0497C"/>
    <w:rsid w:val="00D04BDA"/>
    <w:rsid w:val="00D04C30"/>
    <w:rsid w:val="00D04F45"/>
    <w:rsid w:val="00D04FAA"/>
    <w:rsid w:val="00D0548B"/>
    <w:rsid w:val="00D05AEE"/>
    <w:rsid w:val="00D05D6E"/>
    <w:rsid w:val="00D0648D"/>
    <w:rsid w:val="00D06EB9"/>
    <w:rsid w:val="00D1153F"/>
    <w:rsid w:val="00D11995"/>
    <w:rsid w:val="00D11CFD"/>
    <w:rsid w:val="00D12432"/>
    <w:rsid w:val="00D13808"/>
    <w:rsid w:val="00D146FE"/>
    <w:rsid w:val="00D1581E"/>
    <w:rsid w:val="00D15D19"/>
    <w:rsid w:val="00D15D93"/>
    <w:rsid w:val="00D15DA1"/>
    <w:rsid w:val="00D15EEC"/>
    <w:rsid w:val="00D1635E"/>
    <w:rsid w:val="00D16380"/>
    <w:rsid w:val="00D163FF"/>
    <w:rsid w:val="00D166B5"/>
    <w:rsid w:val="00D167D0"/>
    <w:rsid w:val="00D16E87"/>
    <w:rsid w:val="00D17335"/>
    <w:rsid w:val="00D2079E"/>
    <w:rsid w:val="00D21356"/>
    <w:rsid w:val="00D216EE"/>
    <w:rsid w:val="00D220B5"/>
    <w:rsid w:val="00D232D8"/>
    <w:rsid w:val="00D233CD"/>
    <w:rsid w:val="00D23500"/>
    <w:rsid w:val="00D23607"/>
    <w:rsid w:val="00D23AD3"/>
    <w:rsid w:val="00D23FC0"/>
    <w:rsid w:val="00D23FCE"/>
    <w:rsid w:val="00D24364"/>
    <w:rsid w:val="00D2469E"/>
    <w:rsid w:val="00D2649E"/>
    <w:rsid w:val="00D27300"/>
    <w:rsid w:val="00D27875"/>
    <w:rsid w:val="00D307FD"/>
    <w:rsid w:val="00D30A3B"/>
    <w:rsid w:val="00D31E2D"/>
    <w:rsid w:val="00D321E8"/>
    <w:rsid w:val="00D328E1"/>
    <w:rsid w:val="00D32E01"/>
    <w:rsid w:val="00D33975"/>
    <w:rsid w:val="00D33A8C"/>
    <w:rsid w:val="00D35597"/>
    <w:rsid w:val="00D35689"/>
    <w:rsid w:val="00D365FA"/>
    <w:rsid w:val="00D37093"/>
    <w:rsid w:val="00D37286"/>
    <w:rsid w:val="00D40425"/>
    <w:rsid w:val="00D40BC3"/>
    <w:rsid w:val="00D40D6B"/>
    <w:rsid w:val="00D4129E"/>
    <w:rsid w:val="00D418A3"/>
    <w:rsid w:val="00D41AB6"/>
    <w:rsid w:val="00D42946"/>
    <w:rsid w:val="00D43984"/>
    <w:rsid w:val="00D4459D"/>
    <w:rsid w:val="00D46BE9"/>
    <w:rsid w:val="00D46FA2"/>
    <w:rsid w:val="00D47451"/>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3E14"/>
    <w:rsid w:val="00D64155"/>
    <w:rsid w:val="00D64BEA"/>
    <w:rsid w:val="00D65C02"/>
    <w:rsid w:val="00D661D2"/>
    <w:rsid w:val="00D66410"/>
    <w:rsid w:val="00D66550"/>
    <w:rsid w:val="00D66648"/>
    <w:rsid w:val="00D66FDA"/>
    <w:rsid w:val="00D67292"/>
    <w:rsid w:val="00D70372"/>
    <w:rsid w:val="00D70C38"/>
    <w:rsid w:val="00D710E5"/>
    <w:rsid w:val="00D71197"/>
    <w:rsid w:val="00D7178C"/>
    <w:rsid w:val="00D72008"/>
    <w:rsid w:val="00D72192"/>
    <w:rsid w:val="00D72D32"/>
    <w:rsid w:val="00D731D1"/>
    <w:rsid w:val="00D7359E"/>
    <w:rsid w:val="00D73645"/>
    <w:rsid w:val="00D73AC1"/>
    <w:rsid w:val="00D73BD2"/>
    <w:rsid w:val="00D73FC4"/>
    <w:rsid w:val="00D73FE8"/>
    <w:rsid w:val="00D74538"/>
    <w:rsid w:val="00D749A0"/>
    <w:rsid w:val="00D749CB"/>
    <w:rsid w:val="00D74C9E"/>
    <w:rsid w:val="00D75F19"/>
    <w:rsid w:val="00D77AD8"/>
    <w:rsid w:val="00D80605"/>
    <w:rsid w:val="00D80973"/>
    <w:rsid w:val="00D80BD8"/>
    <w:rsid w:val="00D82A2B"/>
    <w:rsid w:val="00D8301D"/>
    <w:rsid w:val="00D8473E"/>
    <w:rsid w:val="00D86255"/>
    <w:rsid w:val="00D863D1"/>
    <w:rsid w:val="00D872B7"/>
    <w:rsid w:val="00D87DCF"/>
    <w:rsid w:val="00D87F5B"/>
    <w:rsid w:val="00D90125"/>
    <w:rsid w:val="00D9057B"/>
    <w:rsid w:val="00D9096B"/>
    <w:rsid w:val="00D90ED1"/>
    <w:rsid w:val="00D91C34"/>
    <w:rsid w:val="00D925C5"/>
    <w:rsid w:val="00D9279F"/>
    <w:rsid w:val="00D938FB"/>
    <w:rsid w:val="00D94E4C"/>
    <w:rsid w:val="00D95709"/>
    <w:rsid w:val="00D958D7"/>
    <w:rsid w:val="00D96B2B"/>
    <w:rsid w:val="00D96C82"/>
    <w:rsid w:val="00D96D46"/>
    <w:rsid w:val="00D97B72"/>
    <w:rsid w:val="00D97CF6"/>
    <w:rsid w:val="00DA0BBE"/>
    <w:rsid w:val="00DA11AE"/>
    <w:rsid w:val="00DA16E5"/>
    <w:rsid w:val="00DA1BE9"/>
    <w:rsid w:val="00DA283D"/>
    <w:rsid w:val="00DA38FD"/>
    <w:rsid w:val="00DA3E12"/>
    <w:rsid w:val="00DA4141"/>
    <w:rsid w:val="00DA417B"/>
    <w:rsid w:val="00DA45BD"/>
    <w:rsid w:val="00DA52EB"/>
    <w:rsid w:val="00DA5CD6"/>
    <w:rsid w:val="00DA6868"/>
    <w:rsid w:val="00DB0312"/>
    <w:rsid w:val="00DB115A"/>
    <w:rsid w:val="00DB3213"/>
    <w:rsid w:val="00DB387C"/>
    <w:rsid w:val="00DB42F5"/>
    <w:rsid w:val="00DB43F8"/>
    <w:rsid w:val="00DB46DA"/>
    <w:rsid w:val="00DB5A7F"/>
    <w:rsid w:val="00DB640B"/>
    <w:rsid w:val="00DB656B"/>
    <w:rsid w:val="00DB6A23"/>
    <w:rsid w:val="00DB75BE"/>
    <w:rsid w:val="00DB7D6B"/>
    <w:rsid w:val="00DB7F19"/>
    <w:rsid w:val="00DC00C2"/>
    <w:rsid w:val="00DC01DD"/>
    <w:rsid w:val="00DC29D6"/>
    <w:rsid w:val="00DC430F"/>
    <w:rsid w:val="00DC43B0"/>
    <w:rsid w:val="00DC478C"/>
    <w:rsid w:val="00DC47BF"/>
    <w:rsid w:val="00DC4CEC"/>
    <w:rsid w:val="00DC53EE"/>
    <w:rsid w:val="00DC5F0A"/>
    <w:rsid w:val="00DC6348"/>
    <w:rsid w:val="00DC6447"/>
    <w:rsid w:val="00DC6F43"/>
    <w:rsid w:val="00DD0C80"/>
    <w:rsid w:val="00DD2409"/>
    <w:rsid w:val="00DD2798"/>
    <w:rsid w:val="00DD2A6B"/>
    <w:rsid w:val="00DD3946"/>
    <w:rsid w:val="00DD3A79"/>
    <w:rsid w:val="00DD4174"/>
    <w:rsid w:val="00DD418A"/>
    <w:rsid w:val="00DD452E"/>
    <w:rsid w:val="00DD4929"/>
    <w:rsid w:val="00DD5DF3"/>
    <w:rsid w:val="00DD6998"/>
    <w:rsid w:val="00DD7C32"/>
    <w:rsid w:val="00DE00A7"/>
    <w:rsid w:val="00DE0A7D"/>
    <w:rsid w:val="00DE0B84"/>
    <w:rsid w:val="00DE0DC9"/>
    <w:rsid w:val="00DE12EF"/>
    <w:rsid w:val="00DE19AA"/>
    <w:rsid w:val="00DE367F"/>
    <w:rsid w:val="00DE3E2A"/>
    <w:rsid w:val="00DE5469"/>
    <w:rsid w:val="00DE5D83"/>
    <w:rsid w:val="00DE7DBA"/>
    <w:rsid w:val="00DE7FB5"/>
    <w:rsid w:val="00DF0953"/>
    <w:rsid w:val="00DF28B5"/>
    <w:rsid w:val="00DF354D"/>
    <w:rsid w:val="00DF3B05"/>
    <w:rsid w:val="00DF44BC"/>
    <w:rsid w:val="00DF46D2"/>
    <w:rsid w:val="00DF5209"/>
    <w:rsid w:val="00DF5300"/>
    <w:rsid w:val="00DF649D"/>
    <w:rsid w:val="00E00733"/>
    <w:rsid w:val="00E00948"/>
    <w:rsid w:val="00E00C13"/>
    <w:rsid w:val="00E00C41"/>
    <w:rsid w:val="00E01D40"/>
    <w:rsid w:val="00E024F6"/>
    <w:rsid w:val="00E0287E"/>
    <w:rsid w:val="00E02D84"/>
    <w:rsid w:val="00E037FD"/>
    <w:rsid w:val="00E04271"/>
    <w:rsid w:val="00E053BA"/>
    <w:rsid w:val="00E0562D"/>
    <w:rsid w:val="00E05C05"/>
    <w:rsid w:val="00E06510"/>
    <w:rsid w:val="00E072B0"/>
    <w:rsid w:val="00E07C90"/>
    <w:rsid w:val="00E111E7"/>
    <w:rsid w:val="00E111F8"/>
    <w:rsid w:val="00E1153D"/>
    <w:rsid w:val="00E12041"/>
    <w:rsid w:val="00E12618"/>
    <w:rsid w:val="00E129DF"/>
    <w:rsid w:val="00E12B5D"/>
    <w:rsid w:val="00E13435"/>
    <w:rsid w:val="00E13F23"/>
    <w:rsid w:val="00E143D4"/>
    <w:rsid w:val="00E14773"/>
    <w:rsid w:val="00E1521D"/>
    <w:rsid w:val="00E154D2"/>
    <w:rsid w:val="00E155E5"/>
    <w:rsid w:val="00E16E19"/>
    <w:rsid w:val="00E1769F"/>
    <w:rsid w:val="00E17930"/>
    <w:rsid w:val="00E17F98"/>
    <w:rsid w:val="00E20164"/>
    <w:rsid w:val="00E21AA6"/>
    <w:rsid w:val="00E223DC"/>
    <w:rsid w:val="00E2304B"/>
    <w:rsid w:val="00E2320D"/>
    <w:rsid w:val="00E23447"/>
    <w:rsid w:val="00E23F6C"/>
    <w:rsid w:val="00E23FBF"/>
    <w:rsid w:val="00E24A35"/>
    <w:rsid w:val="00E24B61"/>
    <w:rsid w:val="00E24E2E"/>
    <w:rsid w:val="00E25093"/>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B79"/>
    <w:rsid w:val="00E32715"/>
    <w:rsid w:val="00E32D36"/>
    <w:rsid w:val="00E334B8"/>
    <w:rsid w:val="00E33C3F"/>
    <w:rsid w:val="00E34156"/>
    <w:rsid w:val="00E3511E"/>
    <w:rsid w:val="00E36CFD"/>
    <w:rsid w:val="00E36F8A"/>
    <w:rsid w:val="00E37A6A"/>
    <w:rsid w:val="00E37CC3"/>
    <w:rsid w:val="00E40479"/>
    <w:rsid w:val="00E40FB5"/>
    <w:rsid w:val="00E41884"/>
    <w:rsid w:val="00E4192C"/>
    <w:rsid w:val="00E41DF6"/>
    <w:rsid w:val="00E420CB"/>
    <w:rsid w:val="00E42C15"/>
    <w:rsid w:val="00E42FB9"/>
    <w:rsid w:val="00E451B6"/>
    <w:rsid w:val="00E454AD"/>
    <w:rsid w:val="00E4671A"/>
    <w:rsid w:val="00E474DE"/>
    <w:rsid w:val="00E47920"/>
    <w:rsid w:val="00E5019C"/>
    <w:rsid w:val="00E51311"/>
    <w:rsid w:val="00E51315"/>
    <w:rsid w:val="00E51D11"/>
    <w:rsid w:val="00E52056"/>
    <w:rsid w:val="00E522E3"/>
    <w:rsid w:val="00E52841"/>
    <w:rsid w:val="00E52FF6"/>
    <w:rsid w:val="00E530E1"/>
    <w:rsid w:val="00E532BD"/>
    <w:rsid w:val="00E53D9D"/>
    <w:rsid w:val="00E54446"/>
    <w:rsid w:val="00E54704"/>
    <w:rsid w:val="00E55DC8"/>
    <w:rsid w:val="00E567C7"/>
    <w:rsid w:val="00E56821"/>
    <w:rsid w:val="00E569DE"/>
    <w:rsid w:val="00E56F73"/>
    <w:rsid w:val="00E603AF"/>
    <w:rsid w:val="00E604FA"/>
    <w:rsid w:val="00E60FAB"/>
    <w:rsid w:val="00E615BD"/>
    <w:rsid w:val="00E61F48"/>
    <w:rsid w:val="00E62A1B"/>
    <w:rsid w:val="00E62B98"/>
    <w:rsid w:val="00E62F16"/>
    <w:rsid w:val="00E631E5"/>
    <w:rsid w:val="00E6329E"/>
    <w:rsid w:val="00E6390E"/>
    <w:rsid w:val="00E65018"/>
    <w:rsid w:val="00E66EAB"/>
    <w:rsid w:val="00E67339"/>
    <w:rsid w:val="00E6734C"/>
    <w:rsid w:val="00E67560"/>
    <w:rsid w:val="00E67B4D"/>
    <w:rsid w:val="00E67B50"/>
    <w:rsid w:val="00E67EF0"/>
    <w:rsid w:val="00E705EE"/>
    <w:rsid w:val="00E70B72"/>
    <w:rsid w:val="00E70FDA"/>
    <w:rsid w:val="00E722A2"/>
    <w:rsid w:val="00E729B9"/>
    <w:rsid w:val="00E730FA"/>
    <w:rsid w:val="00E742E4"/>
    <w:rsid w:val="00E752A9"/>
    <w:rsid w:val="00E75529"/>
    <w:rsid w:val="00E75D96"/>
    <w:rsid w:val="00E75DC3"/>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51B"/>
    <w:rsid w:val="00E878A3"/>
    <w:rsid w:val="00E900A4"/>
    <w:rsid w:val="00E9041B"/>
    <w:rsid w:val="00E91398"/>
    <w:rsid w:val="00E9159F"/>
    <w:rsid w:val="00E91BF4"/>
    <w:rsid w:val="00E91E02"/>
    <w:rsid w:val="00E92398"/>
    <w:rsid w:val="00E92CBF"/>
    <w:rsid w:val="00E92E0A"/>
    <w:rsid w:val="00E9381C"/>
    <w:rsid w:val="00E93CFD"/>
    <w:rsid w:val="00E94584"/>
    <w:rsid w:val="00E95C26"/>
    <w:rsid w:val="00E95CEA"/>
    <w:rsid w:val="00E967F1"/>
    <w:rsid w:val="00E97FE2"/>
    <w:rsid w:val="00EA08E8"/>
    <w:rsid w:val="00EA0F7E"/>
    <w:rsid w:val="00EA12CE"/>
    <w:rsid w:val="00EA1903"/>
    <w:rsid w:val="00EA19A5"/>
    <w:rsid w:val="00EA1A5A"/>
    <w:rsid w:val="00EA2FC0"/>
    <w:rsid w:val="00EA3F5C"/>
    <w:rsid w:val="00EA4397"/>
    <w:rsid w:val="00EA499D"/>
    <w:rsid w:val="00EA4FFF"/>
    <w:rsid w:val="00EA54AD"/>
    <w:rsid w:val="00EA58A0"/>
    <w:rsid w:val="00EA5AE3"/>
    <w:rsid w:val="00EA5C8C"/>
    <w:rsid w:val="00EA5ECB"/>
    <w:rsid w:val="00EA622F"/>
    <w:rsid w:val="00EA62F8"/>
    <w:rsid w:val="00EA6B56"/>
    <w:rsid w:val="00EA6D49"/>
    <w:rsid w:val="00EA7D0C"/>
    <w:rsid w:val="00EA7F0B"/>
    <w:rsid w:val="00EB0CCF"/>
    <w:rsid w:val="00EB114C"/>
    <w:rsid w:val="00EB18C0"/>
    <w:rsid w:val="00EB20F4"/>
    <w:rsid w:val="00EB2490"/>
    <w:rsid w:val="00EB3F05"/>
    <w:rsid w:val="00EB56C4"/>
    <w:rsid w:val="00EB5955"/>
    <w:rsid w:val="00EB6662"/>
    <w:rsid w:val="00EB6E71"/>
    <w:rsid w:val="00EC05E1"/>
    <w:rsid w:val="00EC07BA"/>
    <w:rsid w:val="00EC08E4"/>
    <w:rsid w:val="00EC23D8"/>
    <w:rsid w:val="00EC25BB"/>
    <w:rsid w:val="00EC3785"/>
    <w:rsid w:val="00EC3B2D"/>
    <w:rsid w:val="00EC3E5A"/>
    <w:rsid w:val="00EC458A"/>
    <w:rsid w:val="00EC4BBA"/>
    <w:rsid w:val="00EC51A1"/>
    <w:rsid w:val="00EC6178"/>
    <w:rsid w:val="00EC65DD"/>
    <w:rsid w:val="00EC6A56"/>
    <w:rsid w:val="00EC7166"/>
    <w:rsid w:val="00EC75D3"/>
    <w:rsid w:val="00EC7E78"/>
    <w:rsid w:val="00ED06AD"/>
    <w:rsid w:val="00ED0BED"/>
    <w:rsid w:val="00ED1232"/>
    <w:rsid w:val="00ED1A7F"/>
    <w:rsid w:val="00ED22C5"/>
    <w:rsid w:val="00ED3503"/>
    <w:rsid w:val="00ED4DFC"/>
    <w:rsid w:val="00ED4E42"/>
    <w:rsid w:val="00ED5E54"/>
    <w:rsid w:val="00ED7786"/>
    <w:rsid w:val="00ED7EA9"/>
    <w:rsid w:val="00EE00E5"/>
    <w:rsid w:val="00EE0B31"/>
    <w:rsid w:val="00EE1D86"/>
    <w:rsid w:val="00EE1E9C"/>
    <w:rsid w:val="00EE200B"/>
    <w:rsid w:val="00EE2083"/>
    <w:rsid w:val="00EE20A8"/>
    <w:rsid w:val="00EE23BC"/>
    <w:rsid w:val="00EE25D9"/>
    <w:rsid w:val="00EE29CE"/>
    <w:rsid w:val="00EE2D89"/>
    <w:rsid w:val="00EE433B"/>
    <w:rsid w:val="00EE46D0"/>
    <w:rsid w:val="00EE476D"/>
    <w:rsid w:val="00EE49A6"/>
    <w:rsid w:val="00EE4C73"/>
    <w:rsid w:val="00EE5C23"/>
    <w:rsid w:val="00EE67FE"/>
    <w:rsid w:val="00EE703E"/>
    <w:rsid w:val="00EE749C"/>
    <w:rsid w:val="00EE76F0"/>
    <w:rsid w:val="00EE7B1C"/>
    <w:rsid w:val="00EF02BD"/>
    <w:rsid w:val="00EF17B9"/>
    <w:rsid w:val="00EF1EB9"/>
    <w:rsid w:val="00EF274D"/>
    <w:rsid w:val="00EF2A0D"/>
    <w:rsid w:val="00EF34F6"/>
    <w:rsid w:val="00EF355D"/>
    <w:rsid w:val="00EF3725"/>
    <w:rsid w:val="00EF37B5"/>
    <w:rsid w:val="00EF388A"/>
    <w:rsid w:val="00EF3D14"/>
    <w:rsid w:val="00EF3EEE"/>
    <w:rsid w:val="00EF3F88"/>
    <w:rsid w:val="00EF75A6"/>
    <w:rsid w:val="00F0045E"/>
    <w:rsid w:val="00F006D2"/>
    <w:rsid w:val="00F00724"/>
    <w:rsid w:val="00F00774"/>
    <w:rsid w:val="00F0081B"/>
    <w:rsid w:val="00F01968"/>
    <w:rsid w:val="00F01F95"/>
    <w:rsid w:val="00F0256E"/>
    <w:rsid w:val="00F03681"/>
    <w:rsid w:val="00F03E2F"/>
    <w:rsid w:val="00F04D9B"/>
    <w:rsid w:val="00F04FE9"/>
    <w:rsid w:val="00F0588E"/>
    <w:rsid w:val="00F05AB5"/>
    <w:rsid w:val="00F05BC9"/>
    <w:rsid w:val="00F0608B"/>
    <w:rsid w:val="00F0659C"/>
    <w:rsid w:val="00F06776"/>
    <w:rsid w:val="00F06CDD"/>
    <w:rsid w:val="00F06D5D"/>
    <w:rsid w:val="00F11AA5"/>
    <w:rsid w:val="00F11E55"/>
    <w:rsid w:val="00F128DE"/>
    <w:rsid w:val="00F12DF4"/>
    <w:rsid w:val="00F13400"/>
    <w:rsid w:val="00F1411B"/>
    <w:rsid w:val="00F149A9"/>
    <w:rsid w:val="00F14C07"/>
    <w:rsid w:val="00F14C0C"/>
    <w:rsid w:val="00F14CD6"/>
    <w:rsid w:val="00F154D7"/>
    <w:rsid w:val="00F1585C"/>
    <w:rsid w:val="00F15FFE"/>
    <w:rsid w:val="00F16901"/>
    <w:rsid w:val="00F17267"/>
    <w:rsid w:val="00F2210C"/>
    <w:rsid w:val="00F231FB"/>
    <w:rsid w:val="00F243C4"/>
    <w:rsid w:val="00F243FF"/>
    <w:rsid w:val="00F25199"/>
    <w:rsid w:val="00F254D8"/>
    <w:rsid w:val="00F26A46"/>
    <w:rsid w:val="00F26CDC"/>
    <w:rsid w:val="00F26F86"/>
    <w:rsid w:val="00F2780A"/>
    <w:rsid w:val="00F314EF"/>
    <w:rsid w:val="00F3167E"/>
    <w:rsid w:val="00F332B2"/>
    <w:rsid w:val="00F33DD2"/>
    <w:rsid w:val="00F33E94"/>
    <w:rsid w:val="00F33F0D"/>
    <w:rsid w:val="00F352BD"/>
    <w:rsid w:val="00F3589E"/>
    <w:rsid w:val="00F35DAE"/>
    <w:rsid w:val="00F368F2"/>
    <w:rsid w:val="00F3715D"/>
    <w:rsid w:val="00F37A09"/>
    <w:rsid w:val="00F404BF"/>
    <w:rsid w:val="00F40EB5"/>
    <w:rsid w:val="00F40F31"/>
    <w:rsid w:val="00F41380"/>
    <w:rsid w:val="00F41421"/>
    <w:rsid w:val="00F41886"/>
    <w:rsid w:val="00F419C3"/>
    <w:rsid w:val="00F41A80"/>
    <w:rsid w:val="00F41C4B"/>
    <w:rsid w:val="00F431E3"/>
    <w:rsid w:val="00F43206"/>
    <w:rsid w:val="00F435B6"/>
    <w:rsid w:val="00F43849"/>
    <w:rsid w:val="00F4392C"/>
    <w:rsid w:val="00F448F9"/>
    <w:rsid w:val="00F44EC7"/>
    <w:rsid w:val="00F452E7"/>
    <w:rsid w:val="00F4670C"/>
    <w:rsid w:val="00F467C0"/>
    <w:rsid w:val="00F47C6B"/>
    <w:rsid w:val="00F503D2"/>
    <w:rsid w:val="00F505AC"/>
    <w:rsid w:val="00F50603"/>
    <w:rsid w:val="00F50C03"/>
    <w:rsid w:val="00F50F47"/>
    <w:rsid w:val="00F51899"/>
    <w:rsid w:val="00F519CA"/>
    <w:rsid w:val="00F51E43"/>
    <w:rsid w:val="00F5253A"/>
    <w:rsid w:val="00F52EBA"/>
    <w:rsid w:val="00F5325B"/>
    <w:rsid w:val="00F53AF0"/>
    <w:rsid w:val="00F55337"/>
    <w:rsid w:val="00F55F0A"/>
    <w:rsid w:val="00F5652C"/>
    <w:rsid w:val="00F568F6"/>
    <w:rsid w:val="00F57843"/>
    <w:rsid w:val="00F57C49"/>
    <w:rsid w:val="00F57D6B"/>
    <w:rsid w:val="00F609BF"/>
    <w:rsid w:val="00F60A98"/>
    <w:rsid w:val="00F618C5"/>
    <w:rsid w:val="00F619E0"/>
    <w:rsid w:val="00F622E5"/>
    <w:rsid w:val="00F626FF"/>
    <w:rsid w:val="00F6380C"/>
    <w:rsid w:val="00F63E23"/>
    <w:rsid w:val="00F65CBF"/>
    <w:rsid w:val="00F65D31"/>
    <w:rsid w:val="00F666A7"/>
    <w:rsid w:val="00F66A2E"/>
    <w:rsid w:val="00F67F09"/>
    <w:rsid w:val="00F706A0"/>
    <w:rsid w:val="00F709F5"/>
    <w:rsid w:val="00F717CC"/>
    <w:rsid w:val="00F72F11"/>
    <w:rsid w:val="00F72F51"/>
    <w:rsid w:val="00F73999"/>
    <w:rsid w:val="00F73AB3"/>
    <w:rsid w:val="00F73AB7"/>
    <w:rsid w:val="00F75051"/>
    <w:rsid w:val="00F7566A"/>
    <w:rsid w:val="00F76268"/>
    <w:rsid w:val="00F76CF3"/>
    <w:rsid w:val="00F76DA3"/>
    <w:rsid w:val="00F805CA"/>
    <w:rsid w:val="00F807A4"/>
    <w:rsid w:val="00F809ED"/>
    <w:rsid w:val="00F80DD8"/>
    <w:rsid w:val="00F81914"/>
    <w:rsid w:val="00F81B7D"/>
    <w:rsid w:val="00F824D5"/>
    <w:rsid w:val="00F82628"/>
    <w:rsid w:val="00F82D8E"/>
    <w:rsid w:val="00F8321D"/>
    <w:rsid w:val="00F83461"/>
    <w:rsid w:val="00F83883"/>
    <w:rsid w:val="00F8517B"/>
    <w:rsid w:val="00F853BE"/>
    <w:rsid w:val="00F87B71"/>
    <w:rsid w:val="00F87EB0"/>
    <w:rsid w:val="00F9052C"/>
    <w:rsid w:val="00F9135D"/>
    <w:rsid w:val="00F91B71"/>
    <w:rsid w:val="00F91BA8"/>
    <w:rsid w:val="00F9260F"/>
    <w:rsid w:val="00F9308E"/>
    <w:rsid w:val="00F95BD6"/>
    <w:rsid w:val="00F95E64"/>
    <w:rsid w:val="00F960B8"/>
    <w:rsid w:val="00F9649D"/>
    <w:rsid w:val="00F96A46"/>
    <w:rsid w:val="00F96BB8"/>
    <w:rsid w:val="00F97647"/>
    <w:rsid w:val="00F97A19"/>
    <w:rsid w:val="00FA068B"/>
    <w:rsid w:val="00FA1926"/>
    <w:rsid w:val="00FA1B1B"/>
    <w:rsid w:val="00FA2534"/>
    <w:rsid w:val="00FA2BC2"/>
    <w:rsid w:val="00FA37EA"/>
    <w:rsid w:val="00FA381E"/>
    <w:rsid w:val="00FA52C8"/>
    <w:rsid w:val="00FA54B2"/>
    <w:rsid w:val="00FA5812"/>
    <w:rsid w:val="00FA59CD"/>
    <w:rsid w:val="00FA7990"/>
    <w:rsid w:val="00FA7A7E"/>
    <w:rsid w:val="00FB07FC"/>
    <w:rsid w:val="00FB1180"/>
    <w:rsid w:val="00FB15B5"/>
    <w:rsid w:val="00FB174F"/>
    <w:rsid w:val="00FB1FEB"/>
    <w:rsid w:val="00FB22AB"/>
    <w:rsid w:val="00FB295D"/>
    <w:rsid w:val="00FB4250"/>
    <w:rsid w:val="00FB5638"/>
    <w:rsid w:val="00FB59AB"/>
    <w:rsid w:val="00FB5A8D"/>
    <w:rsid w:val="00FB6627"/>
    <w:rsid w:val="00FB6721"/>
    <w:rsid w:val="00FB7318"/>
    <w:rsid w:val="00FB77DE"/>
    <w:rsid w:val="00FC0251"/>
    <w:rsid w:val="00FC1102"/>
    <w:rsid w:val="00FC16AD"/>
    <w:rsid w:val="00FC1F94"/>
    <w:rsid w:val="00FC2E23"/>
    <w:rsid w:val="00FC3241"/>
    <w:rsid w:val="00FC3BB3"/>
    <w:rsid w:val="00FC3ED9"/>
    <w:rsid w:val="00FC54D5"/>
    <w:rsid w:val="00FC664D"/>
    <w:rsid w:val="00FC737A"/>
    <w:rsid w:val="00FC7844"/>
    <w:rsid w:val="00FD0A8B"/>
    <w:rsid w:val="00FD1512"/>
    <w:rsid w:val="00FD1AB4"/>
    <w:rsid w:val="00FD1DDF"/>
    <w:rsid w:val="00FD1ED9"/>
    <w:rsid w:val="00FD2550"/>
    <w:rsid w:val="00FD28E8"/>
    <w:rsid w:val="00FD2994"/>
    <w:rsid w:val="00FD3355"/>
    <w:rsid w:val="00FD3CF7"/>
    <w:rsid w:val="00FD4DD3"/>
    <w:rsid w:val="00FD4FCC"/>
    <w:rsid w:val="00FD522F"/>
    <w:rsid w:val="00FD5A00"/>
    <w:rsid w:val="00FD5F89"/>
    <w:rsid w:val="00FD6570"/>
    <w:rsid w:val="00FD6EA4"/>
    <w:rsid w:val="00FD6FCC"/>
    <w:rsid w:val="00FD79A7"/>
    <w:rsid w:val="00FD7DB9"/>
    <w:rsid w:val="00FE0841"/>
    <w:rsid w:val="00FE08FD"/>
    <w:rsid w:val="00FE12A5"/>
    <w:rsid w:val="00FE1B58"/>
    <w:rsid w:val="00FE1DFA"/>
    <w:rsid w:val="00FE1EDA"/>
    <w:rsid w:val="00FE1F3B"/>
    <w:rsid w:val="00FE22CB"/>
    <w:rsid w:val="00FE2859"/>
    <w:rsid w:val="00FE2A81"/>
    <w:rsid w:val="00FE303A"/>
    <w:rsid w:val="00FE345D"/>
    <w:rsid w:val="00FE486C"/>
    <w:rsid w:val="00FE49CF"/>
    <w:rsid w:val="00FE4E00"/>
    <w:rsid w:val="00FE5194"/>
    <w:rsid w:val="00FE544E"/>
    <w:rsid w:val="00FE5A35"/>
    <w:rsid w:val="00FE64A9"/>
    <w:rsid w:val="00FE6BD7"/>
    <w:rsid w:val="00FE6C8F"/>
    <w:rsid w:val="00FF0644"/>
    <w:rsid w:val="00FF094E"/>
    <w:rsid w:val="00FF0A66"/>
    <w:rsid w:val="00FF1FCE"/>
    <w:rsid w:val="00FF2234"/>
    <w:rsid w:val="00FF290B"/>
    <w:rsid w:val="00FF320D"/>
    <w:rsid w:val="00FF33BD"/>
    <w:rsid w:val="00FF3C13"/>
    <w:rsid w:val="00FF4169"/>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
    <w:basedOn w:val="Normal"/>
    <w:link w:val="ListParagraphChar"/>
    <w:uiPriority w:val="72"/>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aliases w:val="BulletPoints Char"/>
    <w:link w:val="ListParagraph"/>
    <w:uiPriority w:val="72"/>
    <w:rsid w:val="001E35D6"/>
    <w:rPr>
      <w:rFonts w:eastAsia="SimSun"/>
      <w:sz w:val="24"/>
      <w:szCs w:val="24"/>
    </w:rPr>
  </w:style>
  <w:style w:type="paragraph" w:styleId="NoSpacing">
    <w:name w:val="No Spacing"/>
    <w:uiPriority w:val="1"/>
    <w:qFormat/>
    <w:rsid w:val="006B1AD5"/>
    <w:pPr>
      <w:widowControl w:val="0"/>
      <w:jc w:val="both"/>
    </w:pPr>
    <w:rPr>
      <w:rFonts w:ascii="Arial" w:hAnsi="Arial" w:cs="Arial"/>
      <w:snapToGrid w:val="0"/>
      <w:sz w:val="22"/>
      <w:lang w:eastAsia="en-US"/>
    </w:rPr>
  </w:style>
  <w:style w:type="paragraph" w:customStyle="1" w:styleId="PBACHeading1">
    <w:name w:val="PBAC Heading 1"/>
    <w:qFormat/>
    <w:rsid w:val="005979BE"/>
    <w:pPr>
      <w:ind w:left="720" w:hanging="720"/>
    </w:pPr>
    <w:rPr>
      <w:rFonts w:ascii="Arial" w:hAnsi="Arial" w:cs="Arial"/>
      <w:b/>
      <w:snapToGrid w:val="0"/>
      <w:sz w:val="22"/>
      <w:szCs w:val="22"/>
      <w:lang w:eastAsia="en-US"/>
    </w:rPr>
  </w:style>
  <w:style w:type="paragraph" w:customStyle="1" w:styleId="Char1">
    <w:name w:val="Char"/>
    <w:basedOn w:val="Normal"/>
    <w:rsid w:val="004D1133"/>
    <w:pPr>
      <w:spacing w:after="160" w:line="240" w:lineRule="exact"/>
    </w:pPr>
    <w:rPr>
      <w:rFonts w:ascii="Verdana" w:eastAsia="MS Mincho" w:hAnsi="Verdana" w:cs="Verdana"/>
      <w:lang w:val="en-US" w:eastAsia="en-US"/>
    </w:rPr>
  </w:style>
  <w:style w:type="character" w:styleId="IntenseReference">
    <w:name w:val="Intense Reference"/>
    <w:basedOn w:val="DefaultParagraphFont"/>
    <w:uiPriority w:val="32"/>
    <w:qFormat/>
    <w:rsid w:val="003444EC"/>
    <w:rPr>
      <w:b/>
      <w:bCs/>
      <w:i/>
      <w:smallCaps/>
      <w:color w:val="C0504D" w:themeColor="accent2"/>
      <w:spacing w:val="5"/>
      <w:u w:val="none"/>
    </w:rPr>
  </w:style>
  <w:style w:type="paragraph" w:customStyle="1" w:styleId="Char2">
    <w:name w:val="Char"/>
    <w:basedOn w:val="Normal"/>
    <w:rsid w:val="00560B84"/>
    <w:pPr>
      <w:spacing w:after="160" w:line="240" w:lineRule="exact"/>
    </w:pPr>
    <w:rPr>
      <w:rFonts w:ascii="Verdana" w:eastAsia="MS Mincho" w:hAnsi="Verdana" w:cs="Verdana"/>
      <w:lang w:val="en-US" w:eastAsia="en-US"/>
    </w:rPr>
  </w:style>
  <w:style w:type="paragraph" w:customStyle="1" w:styleId="Char3">
    <w:name w:val="Char"/>
    <w:basedOn w:val="Normal"/>
    <w:rsid w:val="005E5270"/>
    <w:pPr>
      <w:spacing w:after="160" w:line="240" w:lineRule="exact"/>
    </w:pPr>
    <w:rPr>
      <w:rFonts w:ascii="Verdana" w:eastAsia="MS Mincho"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
    <w:basedOn w:val="Normal"/>
    <w:link w:val="ListParagraphChar"/>
    <w:uiPriority w:val="72"/>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aliases w:val="BulletPoints Char"/>
    <w:link w:val="ListParagraph"/>
    <w:uiPriority w:val="72"/>
    <w:rsid w:val="001E35D6"/>
    <w:rPr>
      <w:rFonts w:eastAsia="SimSun"/>
      <w:sz w:val="24"/>
      <w:szCs w:val="24"/>
    </w:rPr>
  </w:style>
  <w:style w:type="paragraph" w:styleId="NoSpacing">
    <w:name w:val="No Spacing"/>
    <w:uiPriority w:val="1"/>
    <w:qFormat/>
    <w:rsid w:val="006B1AD5"/>
    <w:pPr>
      <w:widowControl w:val="0"/>
      <w:jc w:val="both"/>
    </w:pPr>
    <w:rPr>
      <w:rFonts w:ascii="Arial" w:hAnsi="Arial" w:cs="Arial"/>
      <w:snapToGrid w:val="0"/>
      <w:sz w:val="22"/>
      <w:lang w:eastAsia="en-US"/>
    </w:rPr>
  </w:style>
  <w:style w:type="paragraph" w:customStyle="1" w:styleId="PBACHeading1">
    <w:name w:val="PBAC Heading 1"/>
    <w:qFormat/>
    <w:rsid w:val="005979BE"/>
    <w:pPr>
      <w:ind w:left="720" w:hanging="720"/>
    </w:pPr>
    <w:rPr>
      <w:rFonts w:ascii="Arial" w:hAnsi="Arial" w:cs="Arial"/>
      <w:b/>
      <w:snapToGrid w:val="0"/>
      <w:sz w:val="22"/>
      <w:szCs w:val="22"/>
      <w:lang w:eastAsia="en-US"/>
    </w:rPr>
  </w:style>
  <w:style w:type="paragraph" w:customStyle="1" w:styleId="Char1">
    <w:name w:val="Char"/>
    <w:basedOn w:val="Normal"/>
    <w:rsid w:val="004D1133"/>
    <w:pPr>
      <w:spacing w:after="160" w:line="240" w:lineRule="exact"/>
    </w:pPr>
    <w:rPr>
      <w:rFonts w:ascii="Verdana" w:eastAsia="MS Mincho" w:hAnsi="Verdana" w:cs="Verdana"/>
      <w:lang w:val="en-US" w:eastAsia="en-US"/>
    </w:rPr>
  </w:style>
  <w:style w:type="character" w:styleId="IntenseReference">
    <w:name w:val="Intense Reference"/>
    <w:basedOn w:val="DefaultParagraphFont"/>
    <w:uiPriority w:val="32"/>
    <w:qFormat/>
    <w:rsid w:val="003444EC"/>
    <w:rPr>
      <w:b/>
      <w:bCs/>
      <w:i/>
      <w:smallCaps/>
      <w:color w:val="C0504D" w:themeColor="accent2"/>
      <w:spacing w:val="5"/>
      <w:u w:val="none"/>
    </w:rPr>
  </w:style>
  <w:style w:type="paragraph" w:customStyle="1" w:styleId="Char2">
    <w:name w:val="Char"/>
    <w:basedOn w:val="Normal"/>
    <w:rsid w:val="00560B84"/>
    <w:pPr>
      <w:spacing w:after="160" w:line="240" w:lineRule="exact"/>
    </w:pPr>
    <w:rPr>
      <w:rFonts w:ascii="Verdana" w:eastAsia="MS Mincho" w:hAnsi="Verdana" w:cs="Verdana"/>
      <w:lang w:val="en-US" w:eastAsia="en-US"/>
    </w:rPr>
  </w:style>
  <w:style w:type="paragraph" w:customStyle="1" w:styleId="Char3">
    <w:name w:val="Char"/>
    <w:basedOn w:val="Normal"/>
    <w:rsid w:val="005E5270"/>
    <w:pPr>
      <w:spacing w:after="160" w:line="240" w:lineRule="exact"/>
    </w:pPr>
    <w:rPr>
      <w:rFonts w:ascii="Verdana" w:eastAsia="MS Mincho"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2605959">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18140">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0004595">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7956642">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46229665">
      <w:bodyDiv w:val="1"/>
      <w:marLeft w:val="0"/>
      <w:marRight w:val="0"/>
      <w:marTop w:val="0"/>
      <w:marBottom w:val="0"/>
      <w:divBdr>
        <w:top w:val="none" w:sz="0" w:space="0" w:color="auto"/>
        <w:left w:val="none" w:sz="0" w:space="0" w:color="auto"/>
        <w:bottom w:val="none" w:sz="0" w:space="0" w:color="auto"/>
        <w:right w:val="none" w:sz="0" w:space="0" w:color="auto"/>
      </w:divBdr>
    </w:div>
    <w:div w:id="247620026">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59025131">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02391815">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6272907">
      <w:bodyDiv w:val="1"/>
      <w:marLeft w:val="0"/>
      <w:marRight w:val="0"/>
      <w:marTop w:val="0"/>
      <w:marBottom w:val="0"/>
      <w:divBdr>
        <w:top w:val="none" w:sz="0" w:space="0" w:color="auto"/>
        <w:left w:val="none" w:sz="0" w:space="0" w:color="auto"/>
        <w:bottom w:val="none" w:sz="0" w:space="0" w:color="auto"/>
        <w:right w:val="none" w:sz="0" w:space="0" w:color="auto"/>
      </w:divBdr>
    </w:div>
    <w:div w:id="410584530">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67833522">
      <w:bodyDiv w:val="1"/>
      <w:marLeft w:val="0"/>
      <w:marRight w:val="0"/>
      <w:marTop w:val="0"/>
      <w:marBottom w:val="0"/>
      <w:divBdr>
        <w:top w:val="none" w:sz="0" w:space="0" w:color="auto"/>
        <w:left w:val="none" w:sz="0" w:space="0" w:color="auto"/>
        <w:bottom w:val="none" w:sz="0" w:space="0" w:color="auto"/>
        <w:right w:val="none" w:sz="0" w:space="0" w:color="auto"/>
      </w:divBdr>
    </w:div>
    <w:div w:id="712997879">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802889891">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1771237">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54415839">
      <w:bodyDiv w:val="1"/>
      <w:marLeft w:val="0"/>
      <w:marRight w:val="0"/>
      <w:marTop w:val="0"/>
      <w:marBottom w:val="0"/>
      <w:divBdr>
        <w:top w:val="none" w:sz="0" w:space="0" w:color="auto"/>
        <w:left w:val="none" w:sz="0" w:space="0" w:color="auto"/>
        <w:bottom w:val="none" w:sz="0" w:space="0" w:color="auto"/>
        <w:right w:val="none" w:sz="0" w:space="0" w:color="auto"/>
      </w:divBdr>
    </w:div>
    <w:div w:id="854996191">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90506793">
      <w:bodyDiv w:val="1"/>
      <w:marLeft w:val="0"/>
      <w:marRight w:val="0"/>
      <w:marTop w:val="0"/>
      <w:marBottom w:val="0"/>
      <w:divBdr>
        <w:top w:val="none" w:sz="0" w:space="0" w:color="auto"/>
        <w:left w:val="none" w:sz="0" w:space="0" w:color="auto"/>
        <w:bottom w:val="none" w:sz="0" w:space="0" w:color="auto"/>
        <w:right w:val="none" w:sz="0" w:space="0" w:color="auto"/>
      </w:divBdr>
    </w:div>
    <w:div w:id="909773149">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71132700">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16546497">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5873820">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5110703">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1482666">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22097094">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56630646">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4167873">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724602571">
      <w:bodyDiv w:val="1"/>
      <w:marLeft w:val="0"/>
      <w:marRight w:val="0"/>
      <w:marTop w:val="0"/>
      <w:marBottom w:val="0"/>
      <w:divBdr>
        <w:top w:val="none" w:sz="0" w:space="0" w:color="auto"/>
        <w:left w:val="none" w:sz="0" w:space="0" w:color="auto"/>
        <w:bottom w:val="none" w:sz="0" w:space="0" w:color="auto"/>
        <w:right w:val="none" w:sz="0" w:space="0" w:color="auto"/>
      </w:divBdr>
    </w:div>
    <w:div w:id="1776049131">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25931201">
      <w:bodyDiv w:val="1"/>
      <w:marLeft w:val="0"/>
      <w:marRight w:val="0"/>
      <w:marTop w:val="0"/>
      <w:marBottom w:val="0"/>
      <w:divBdr>
        <w:top w:val="none" w:sz="0" w:space="0" w:color="auto"/>
        <w:left w:val="none" w:sz="0" w:space="0" w:color="auto"/>
        <w:bottom w:val="none" w:sz="0" w:space="0" w:color="auto"/>
        <w:right w:val="none" w:sz="0" w:space="0" w:color="auto"/>
      </w:divBdr>
    </w:div>
    <w:div w:id="1831559195">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50060832">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249436">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5354B-1139-4B71-9C53-BA9054AA5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3404</Words>
  <Characters>19612</Characters>
  <Application>Microsoft Office Word</Application>
  <DocSecurity>0</DocSecurity>
  <Lines>163</Lines>
  <Paragraphs>45</Paragraphs>
  <ScaleCrop>false</ScaleCrop>
  <Company/>
  <LinksUpToDate>false</LinksUpToDate>
  <CharactersWithSpaces>22971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2017-03-07T03:17:00Z</dcterms:created>
  <dcterms:modified xsi:type="dcterms:W3CDTF">2017-03-07T03:17:00Z</dcterms:modified>
</cp:coreProperties>
</file>