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315"/>
        <w:gridCol w:w="2126"/>
        <w:gridCol w:w="3544"/>
        <w:gridCol w:w="5339"/>
      </w:tblGrid>
      <w:tr w:rsidR="0010394D" w:rsidRPr="00CA293C" w:rsidTr="00F463A6">
        <w:trPr>
          <w:tblHeader/>
        </w:trPr>
        <w:tc>
          <w:tcPr>
            <w:tcW w:w="2363" w:type="dxa"/>
            <w:vAlign w:val="center"/>
          </w:tcPr>
          <w:p w:rsidR="0010394D" w:rsidRPr="001047FA" w:rsidRDefault="00642545" w:rsidP="00F301A5">
            <w:pPr>
              <w:pStyle w:val="Header"/>
              <w:spacing w:after="240"/>
              <w:contextualSpacing/>
              <w:jc w:val="center"/>
              <w:rPr>
                <w:rFonts w:ascii="Arial" w:hAnsi="Arial" w:cs="Arial"/>
                <w:b/>
                <w:snapToGrid w:val="0"/>
                <w:sz w:val="20"/>
                <w:lang w:eastAsia="en-US"/>
              </w:rPr>
            </w:pPr>
            <w:bookmarkStart w:id="0" w:name="_GoBack"/>
            <w:bookmarkEnd w:id="0"/>
            <w:r>
              <w:rPr>
                <w:rFonts w:ascii="Arial" w:hAnsi="Arial" w:cs="Arial"/>
                <w:b/>
                <w:snapToGrid w:val="0"/>
                <w:sz w:val="20"/>
                <w:lang w:eastAsia="en-US"/>
              </w:rPr>
              <w:t xml:space="preserve"> </w:t>
            </w:r>
            <w:r w:rsidR="001047FA" w:rsidRPr="001047FA">
              <w:rPr>
                <w:rFonts w:ascii="Arial" w:hAnsi="Arial" w:cs="Arial"/>
                <w:b/>
                <w:snapToGrid w:val="0"/>
                <w:sz w:val="20"/>
                <w:lang w:eastAsia="en-US"/>
              </w:rPr>
              <w:t>DRUG NAME, FORM(S), STRENGTH(S), SPONSOR, TYPE OF SUBMISSION</w:t>
            </w:r>
          </w:p>
        </w:tc>
        <w:tc>
          <w:tcPr>
            <w:tcW w:w="2315" w:type="dxa"/>
            <w:tcBorders>
              <w:bottom w:val="single" w:sz="4" w:space="0" w:color="auto"/>
            </w:tcBorders>
            <w:vAlign w:val="center"/>
          </w:tcPr>
          <w:p w:rsidR="0010394D" w:rsidRPr="0010394D" w:rsidRDefault="001047FA" w:rsidP="00304964">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tc>
        <w:tc>
          <w:tcPr>
            <w:tcW w:w="2126" w:type="dxa"/>
            <w:tcBorders>
              <w:bottom w:val="single" w:sz="4" w:space="0" w:color="auto"/>
            </w:tcBorders>
            <w:vAlign w:val="center"/>
          </w:tcPr>
          <w:p w:rsidR="0010394D" w:rsidRPr="0010394D"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p>
        </w:tc>
        <w:tc>
          <w:tcPr>
            <w:tcW w:w="3544" w:type="dxa"/>
            <w:shd w:val="clear" w:color="auto" w:fill="auto"/>
            <w:vAlign w:val="center"/>
          </w:tcPr>
          <w:p w:rsidR="0010394D" w:rsidRPr="0010394D"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339" w:type="dxa"/>
            <w:vAlign w:val="center"/>
          </w:tcPr>
          <w:p w:rsidR="0010394D" w:rsidRPr="001047FA" w:rsidRDefault="0010394D" w:rsidP="00F301A5">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5109A7" w:rsidRPr="00443075" w:rsidTr="00F463A6">
        <w:trPr>
          <w:trHeight w:val="488"/>
        </w:trPr>
        <w:tc>
          <w:tcPr>
            <w:tcW w:w="2363" w:type="dxa"/>
            <w:vMerge w:val="restart"/>
          </w:tcPr>
          <w:p w:rsidR="005109A7" w:rsidRPr="004A4A6D" w:rsidRDefault="005109A7" w:rsidP="004A4A6D">
            <w:pPr>
              <w:keepNext/>
              <w:spacing w:line="276" w:lineRule="auto"/>
              <w:rPr>
                <w:rFonts w:ascii="Arial" w:hAnsi="Arial" w:cs="Arial"/>
                <w:sz w:val="20"/>
              </w:rPr>
            </w:pPr>
            <w:r w:rsidRPr="004A4A6D">
              <w:rPr>
                <w:rFonts w:ascii="Arial" w:hAnsi="Arial" w:cs="Arial"/>
                <w:sz w:val="20"/>
              </w:rPr>
              <w:t>APREMILAST</w:t>
            </w:r>
          </w:p>
          <w:p w:rsidR="005109A7" w:rsidRPr="004A4A6D" w:rsidRDefault="005109A7" w:rsidP="004A4A6D">
            <w:pPr>
              <w:keepNext/>
              <w:spacing w:line="276" w:lineRule="auto"/>
              <w:rPr>
                <w:rFonts w:ascii="Arial" w:hAnsi="Arial" w:cs="Arial"/>
                <w:sz w:val="20"/>
              </w:rPr>
            </w:pPr>
          </w:p>
          <w:p w:rsidR="005109A7" w:rsidRPr="004A4A6D" w:rsidRDefault="005109A7" w:rsidP="004A4A6D">
            <w:pPr>
              <w:keepNext/>
              <w:spacing w:line="276" w:lineRule="auto"/>
              <w:rPr>
                <w:rFonts w:ascii="Arial" w:hAnsi="Arial" w:cs="Arial"/>
                <w:sz w:val="20"/>
              </w:rPr>
            </w:pPr>
            <w:r w:rsidRPr="004A4A6D">
              <w:rPr>
                <w:rFonts w:ascii="Arial" w:hAnsi="Arial" w:cs="Arial"/>
                <w:sz w:val="20"/>
              </w:rPr>
              <w:t>Tablet 30 mg</w:t>
            </w:r>
          </w:p>
          <w:p w:rsidR="005109A7" w:rsidRPr="004A4A6D" w:rsidRDefault="005109A7" w:rsidP="004A4A6D">
            <w:pPr>
              <w:keepNext/>
              <w:spacing w:line="276" w:lineRule="auto"/>
              <w:rPr>
                <w:rFonts w:ascii="Arial" w:hAnsi="Arial" w:cs="Arial"/>
                <w:sz w:val="20"/>
              </w:rPr>
            </w:pPr>
            <w:r w:rsidRPr="004A4A6D">
              <w:rPr>
                <w:rFonts w:ascii="Arial" w:hAnsi="Arial" w:cs="Arial"/>
                <w:sz w:val="20"/>
              </w:rPr>
              <w:t>Pack containing 4 tablets 10 mg, 4 tablets 20 mg and 19 tablets 30 mg</w:t>
            </w:r>
          </w:p>
          <w:p w:rsidR="005109A7" w:rsidRPr="004A4A6D" w:rsidRDefault="005109A7" w:rsidP="004A4A6D">
            <w:pPr>
              <w:keepNext/>
              <w:spacing w:line="276" w:lineRule="auto"/>
              <w:rPr>
                <w:rFonts w:ascii="Arial" w:hAnsi="Arial" w:cs="Arial"/>
                <w:sz w:val="20"/>
              </w:rPr>
            </w:pPr>
          </w:p>
          <w:p w:rsidR="005109A7" w:rsidRPr="004A4A6D" w:rsidRDefault="005109A7" w:rsidP="004A4A6D">
            <w:pPr>
              <w:keepNext/>
              <w:spacing w:line="276" w:lineRule="auto"/>
              <w:rPr>
                <w:rFonts w:ascii="Arial" w:hAnsi="Arial" w:cs="Arial"/>
                <w:sz w:val="20"/>
              </w:rPr>
            </w:pPr>
            <w:r w:rsidRPr="004A4A6D">
              <w:rPr>
                <w:rFonts w:ascii="Arial" w:hAnsi="Arial" w:cs="Arial"/>
                <w:sz w:val="20"/>
              </w:rPr>
              <w:t>Otezla®</w:t>
            </w:r>
          </w:p>
          <w:p w:rsidR="005109A7" w:rsidRPr="004A4A6D" w:rsidRDefault="005109A7" w:rsidP="004A4A6D">
            <w:pPr>
              <w:keepNext/>
              <w:spacing w:line="276" w:lineRule="auto"/>
              <w:rPr>
                <w:rFonts w:ascii="Arial" w:hAnsi="Arial" w:cs="Arial"/>
                <w:sz w:val="20"/>
              </w:rPr>
            </w:pPr>
          </w:p>
          <w:p w:rsidR="005109A7" w:rsidRDefault="005109A7" w:rsidP="005109A7">
            <w:pPr>
              <w:keepNext/>
              <w:spacing w:line="276" w:lineRule="auto"/>
              <w:rPr>
                <w:rFonts w:ascii="Arial" w:hAnsi="Arial" w:cs="Arial"/>
                <w:sz w:val="20"/>
              </w:rPr>
            </w:pPr>
            <w:r w:rsidRPr="004A4A6D">
              <w:rPr>
                <w:rFonts w:ascii="Arial" w:hAnsi="Arial" w:cs="Arial"/>
                <w:sz w:val="20"/>
              </w:rPr>
              <w:t>Celgene Pty Ltd</w:t>
            </w:r>
          </w:p>
          <w:p w:rsidR="00D029DF" w:rsidRDefault="00D029DF" w:rsidP="005109A7">
            <w:pPr>
              <w:keepNext/>
              <w:spacing w:line="276" w:lineRule="auto"/>
              <w:rPr>
                <w:rFonts w:ascii="Arial" w:hAnsi="Arial" w:cs="Arial"/>
                <w:sz w:val="20"/>
              </w:rPr>
            </w:pPr>
          </w:p>
          <w:p w:rsidR="00D029DF" w:rsidRPr="00D029DF" w:rsidRDefault="00D029DF" w:rsidP="00D029DF">
            <w:pPr>
              <w:keepNext/>
              <w:spacing w:line="276" w:lineRule="auto"/>
              <w:rPr>
                <w:rFonts w:ascii="Arial" w:hAnsi="Arial" w:cs="Arial"/>
                <w:sz w:val="20"/>
              </w:rPr>
            </w:pPr>
            <w:r w:rsidRPr="00D029DF">
              <w:rPr>
                <w:rFonts w:ascii="Arial" w:hAnsi="Arial" w:cs="Arial"/>
                <w:sz w:val="20"/>
              </w:rPr>
              <w:t>New listing</w:t>
            </w:r>
          </w:p>
          <w:p w:rsidR="00D029DF" w:rsidRPr="00D029DF" w:rsidRDefault="00D029DF" w:rsidP="00D029DF">
            <w:pPr>
              <w:keepNext/>
              <w:spacing w:line="276" w:lineRule="auto"/>
              <w:rPr>
                <w:rFonts w:ascii="Arial" w:hAnsi="Arial" w:cs="Arial"/>
                <w:sz w:val="20"/>
              </w:rPr>
            </w:pPr>
          </w:p>
          <w:p w:rsidR="00D029DF" w:rsidRPr="00CA0C65" w:rsidRDefault="00D029DF" w:rsidP="00D029DF">
            <w:pPr>
              <w:keepNext/>
              <w:spacing w:line="276" w:lineRule="auto"/>
              <w:rPr>
                <w:rFonts w:ascii="Arial" w:hAnsi="Arial" w:cs="Arial"/>
                <w:sz w:val="20"/>
                <w:highlight w:val="yellow"/>
              </w:rPr>
            </w:pPr>
            <w:r w:rsidRPr="00D029DF">
              <w:rPr>
                <w:rFonts w:ascii="Arial" w:hAnsi="Arial" w:cs="Arial"/>
                <w:sz w:val="20"/>
              </w:rPr>
              <w:t>(Major Submission)</w:t>
            </w:r>
          </w:p>
        </w:tc>
        <w:tc>
          <w:tcPr>
            <w:tcW w:w="2315" w:type="dxa"/>
            <w:vMerge w:val="restart"/>
            <w:shd w:val="clear" w:color="auto" w:fill="auto"/>
          </w:tcPr>
          <w:p w:rsidR="005109A7" w:rsidRPr="00CA0C65" w:rsidRDefault="005109A7" w:rsidP="007F36D7">
            <w:pPr>
              <w:rPr>
                <w:rFonts w:ascii="Arial" w:hAnsi="Arial" w:cs="Arial"/>
                <w:sz w:val="20"/>
              </w:rPr>
            </w:pPr>
            <w:r>
              <w:rPr>
                <w:rFonts w:ascii="Arial" w:hAnsi="Arial" w:cs="Arial"/>
                <w:sz w:val="20"/>
              </w:rPr>
              <w:t>Apremilast is indicated for the treatment of signs and symptoms of active psoriatic arthritis in adult patients; and the treatment of adult patients with moderate to severe plaque psoriasis who are candidates for phototherapy or systemic therapy.</w:t>
            </w:r>
          </w:p>
        </w:tc>
        <w:tc>
          <w:tcPr>
            <w:tcW w:w="2126" w:type="dxa"/>
            <w:vMerge w:val="restart"/>
            <w:shd w:val="clear" w:color="auto" w:fill="auto"/>
          </w:tcPr>
          <w:p w:rsidR="005109A7" w:rsidRPr="004571A9" w:rsidRDefault="005109A7" w:rsidP="00BA6888">
            <w:pPr>
              <w:rPr>
                <w:rFonts w:ascii="Arial" w:hAnsi="Arial" w:cs="Arial"/>
                <w:color w:val="000000"/>
                <w:sz w:val="20"/>
              </w:rPr>
            </w:pPr>
            <w:r>
              <w:rPr>
                <w:rFonts w:ascii="Arial" w:hAnsi="Arial" w:cs="Arial"/>
                <w:color w:val="000000"/>
                <w:sz w:val="20"/>
              </w:rPr>
              <w:t>Apremilast is not currently</w:t>
            </w:r>
            <w:r w:rsidR="00BA6888">
              <w:rPr>
                <w:rFonts w:ascii="Arial" w:hAnsi="Arial" w:cs="Arial"/>
                <w:color w:val="000000"/>
                <w:sz w:val="20"/>
              </w:rPr>
              <w:t xml:space="preserve"> PBS</w:t>
            </w:r>
            <w:r>
              <w:rPr>
                <w:rFonts w:ascii="Arial" w:hAnsi="Arial" w:cs="Arial"/>
                <w:color w:val="000000"/>
                <w:sz w:val="20"/>
              </w:rPr>
              <w:t xml:space="preserve"> listed</w:t>
            </w:r>
            <w:r w:rsidR="00BA6888">
              <w:rPr>
                <w:rFonts w:ascii="Arial" w:hAnsi="Arial" w:cs="Arial"/>
                <w:color w:val="000000"/>
                <w:sz w:val="20"/>
              </w:rPr>
              <w:t>.</w:t>
            </w:r>
          </w:p>
        </w:tc>
        <w:tc>
          <w:tcPr>
            <w:tcW w:w="3544" w:type="dxa"/>
          </w:tcPr>
          <w:p w:rsidR="005109A7" w:rsidRPr="00443075" w:rsidRDefault="005109A7" w:rsidP="007F36D7">
            <w:pPr>
              <w:keepNext/>
              <w:spacing w:line="276" w:lineRule="auto"/>
              <w:rPr>
                <w:rFonts w:ascii="Arial" w:hAnsi="Arial" w:cs="Arial"/>
                <w:color w:val="000000"/>
                <w:sz w:val="20"/>
              </w:rPr>
            </w:pPr>
            <w:r w:rsidRPr="00F516E0">
              <w:rPr>
                <w:rFonts w:ascii="Arial" w:hAnsi="Arial" w:cs="Arial"/>
                <w:color w:val="000000"/>
                <w:sz w:val="20"/>
              </w:rPr>
              <w:t>Resubmission to request an Authority Required (STREAMLINED) listing for the treatment of moderate to severe plaque psoriasis.</w:t>
            </w:r>
          </w:p>
        </w:tc>
        <w:tc>
          <w:tcPr>
            <w:tcW w:w="5339" w:type="dxa"/>
          </w:tcPr>
          <w:p w:rsidR="003273DE" w:rsidRPr="003273DE" w:rsidRDefault="003273DE" w:rsidP="003273DE">
            <w:pPr>
              <w:jc w:val="both"/>
              <w:rPr>
                <w:rFonts w:ascii="Arial" w:hAnsi="Arial" w:cs="Arial"/>
                <w:color w:val="000000"/>
                <w:sz w:val="20"/>
              </w:rPr>
            </w:pPr>
            <w:r w:rsidRPr="003273DE">
              <w:rPr>
                <w:rFonts w:ascii="Arial" w:hAnsi="Arial" w:cs="Arial"/>
                <w:color w:val="000000"/>
                <w:sz w:val="20"/>
              </w:rPr>
              <w:t>The PBAC did not recommend the listing of apremilast for moderate to severe plaque psoriasis on the basis that the evidence presented did not support the claims of superior comparative efficacy or safety versus cyclosporin and the cost effectiveness of apremilast was uncertain and unacceptable at the requested price.</w:t>
            </w:r>
          </w:p>
          <w:p w:rsidR="003273DE" w:rsidRPr="003273DE" w:rsidRDefault="003273DE" w:rsidP="003273DE">
            <w:pPr>
              <w:widowControl w:val="0"/>
              <w:jc w:val="both"/>
              <w:rPr>
                <w:rFonts w:ascii="Arial" w:hAnsi="Arial" w:cs="Arial"/>
                <w:color w:val="000000"/>
                <w:sz w:val="20"/>
              </w:rPr>
            </w:pPr>
          </w:p>
          <w:p w:rsidR="002D46EB" w:rsidRDefault="003273DE" w:rsidP="004B2379">
            <w:pPr>
              <w:jc w:val="both"/>
              <w:rPr>
                <w:rFonts w:ascii="Arial" w:hAnsi="Arial" w:cs="Arial"/>
                <w:color w:val="000000"/>
                <w:sz w:val="20"/>
              </w:rPr>
            </w:pPr>
            <w:r w:rsidRPr="003273DE">
              <w:rPr>
                <w:rFonts w:ascii="Arial" w:hAnsi="Arial" w:cs="Arial"/>
                <w:color w:val="000000"/>
                <w:sz w:val="20"/>
              </w:rPr>
              <w:t>The PBAC noted and welcomed the consumer comments receiv</w:t>
            </w:r>
            <w:r w:rsidR="004B2379">
              <w:rPr>
                <w:rFonts w:ascii="Arial" w:hAnsi="Arial" w:cs="Arial"/>
                <w:color w:val="000000"/>
                <w:sz w:val="20"/>
              </w:rPr>
              <w:t xml:space="preserve">ed relating to this submission. </w:t>
            </w:r>
            <w:r w:rsidRPr="003273DE">
              <w:rPr>
                <w:rFonts w:ascii="Arial" w:hAnsi="Arial" w:cs="Arial"/>
                <w:color w:val="000000"/>
                <w:sz w:val="20"/>
              </w:rPr>
              <w:t>The PBAC recognised the support for subsidised access to apremilast.</w:t>
            </w:r>
          </w:p>
          <w:p w:rsidR="002D46EB" w:rsidRDefault="002D46EB" w:rsidP="004B2379">
            <w:pPr>
              <w:jc w:val="both"/>
              <w:rPr>
                <w:rFonts w:ascii="Arial" w:hAnsi="Arial" w:cs="Arial"/>
                <w:color w:val="000000"/>
                <w:sz w:val="20"/>
              </w:rPr>
            </w:pPr>
          </w:p>
          <w:p w:rsidR="002D46EB" w:rsidRPr="003273DE" w:rsidRDefault="002D46EB" w:rsidP="004B2379">
            <w:pPr>
              <w:jc w:val="both"/>
              <w:rPr>
                <w:rFonts w:ascii="Arial" w:hAnsi="Arial" w:cs="Arial"/>
                <w:color w:val="000000"/>
                <w:sz w:val="20"/>
              </w:rPr>
            </w:pPr>
            <w:r w:rsidRPr="00F44F29">
              <w:rPr>
                <w:rFonts w:ascii="Arial" w:hAnsi="Arial" w:cs="Arial"/>
                <w:sz w:val="20"/>
              </w:rPr>
              <w:t xml:space="preserve">The PBAC noted that the estimated net cost of </w:t>
            </w:r>
            <w:r>
              <w:rPr>
                <w:rFonts w:ascii="Arial" w:hAnsi="Arial" w:cs="Arial"/>
                <w:sz w:val="20"/>
              </w:rPr>
              <w:t>apremilast</w:t>
            </w:r>
            <w:r w:rsidRPr="00F44F29">
              <w:rPr>
                <w:rFonts w:ascii="Arial" w:hAnsi="Arial" w:cs="Arial"/>
                <w:sz w:val="20"/>
              </w:rPr>
              <w:t xml:space="preserve"> to government was more than $100 million in </w:t>
            </w:r>
            <w:r>
              <w:rPr>
                <w:rFonts w:ascii="Arial" w:hAnsi="Arial" w:cs="Arial"/>
                <w:sz w:val="20"/>
              </w:rPr>
              <w:t>four</w:t>
            </w:r>
            <w:r w:rsidRPr="00F44F29">
              <w:rPr>
                <w:rFonts w:ascii="Arial" w:hAnsi="Arial" w:cs="Arial"/>
                <w:sz w:val="20"/>
              </w:rPr>
              <w:t xml:space="preserve"> of the first five years of listing.</w:t>
            </w: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Pr="00443075" w:rsidRDefault="005109A7" w:rsidP="00DE6CD6">
            <w:pPr>
              <w:pStyle w:val="ListBullet"/>
            </w:pPr>
            <w:r>
              <w:t>Comparator:</w:t>
            </w:r>
            <w:r w:rsidR="00213E0E">
              <w:t xml:space="preserve"> Cyclosporin</w:t>
            </w:r>
          </w:p>
        </w:tc>
        <w:tc>
          <w:tcPr>
            <w:tcW w:w="5339" w:type="dxa"/>
          </w:tcPr>
          <w:p w:rsidR="005109A7" w:rsidRPr="004B2379" w:rsidRDefault="003273DE" w:rsidP="004B2379">
            <w:pPr>
              <w:jc w:val="both"/>
              <w:rPr>
                <w:rFonts w:ascii="Arial" w:hAnsi="Arial" w:cs="Arial"/>
                <w:color w:val="000000"/>
                <w:sz w:val="20"/>
              </w:rPr>
            </w:pPr>
            <w:r w:rsidRPr="003273DE">
              <w:rPr>
                <w:rFonts w:ascii="Arial" w:hAnsi="Arial" w:cs="Arial"/>
                <w:color w:val="000000"/>
                <w:sz w:val="20"/>
              </w:rPr>
              <w:t>The sponsor requested that if methotrexate was considered a relevant comparator, that apremilast be restricted to patients who have failed treatment with methotrexate. In this context, the PBAC accepted cyclosporin as the main comparator.</w:t>
            </w:r>
          </w:p>
        </w:tc>
      </w:tr>
      <w:tr w:rsidR="005109A7" w:rsidRPr="003273DE"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Default="005109A7" w:rsidP="00DE6CD6">
            <w:pPr>
              <w:pStyle w:val="ListBullet"/>
            </w:pPr>
            <w:r>
              <w:t>Clinical Claim:</w:t>
            </w:r>
            <w:r w:rsidR="00213E0E">
              <w:t xml:space="preserve"> Superior efficacy and safety compared </w:t>
            </w:r>
            <w:r w:rsidR="004B2379">
              <w:t>with</w:t>
            </w:r>
            <w:r w:rsidR="00213E0E">
              <w:t xml:space="preserve"> cyclosporin</w:t>
            </w:r>
          </w:p>
        </w:tc>
        <w:tc>
          <w:tcPr>
            <w:tcW w:w="5339" w:type="dxa"/>
          </w:tcPr>
          <w:p w:rsidR="004B2379" w:rsidRDefault="003273DE" w:rsidP="003273DE">
            <w:pPr>
              <w:jc w:val="both"/>
              <w:rPr>
                <w:rFonts w:ascii="Arial" w:hAnsi="Arial" w:cs="Arial"/>
                <w:color w:val="000000"/>
                <w:sz w:val="20"/>
              </w:rPr>
            </w:pPr>
            <w:r w:rsidRPr="003273DE">
              <w:rPr>
                <w:rFonts w:ascii="Arial" w:hAnsi="Arial" w:cs="Arial"/>
                <w:color w:val="000000"/>
                <w:sz w:val="20"/>
              </w:rPr>
              <w:t>The PBAC recalled that the March 2015 submission had described apremilast as non</w:t>
            </w:r>
            <w:r w:rsidRPr="003273DE">
              <w:rPr>
                <w:rFonts w:ascii="Arial" w:hAnsi="Arial" w:cs="Arial"/>
                <w:color w:val="000000"/>
                <w:sz w:val="20"/>
              </w:rPr>
              <w:noBreakHyphen/>
              <w:t xml:space="preserve">inferior in terms of effectiveness and superior in terms of safety compared with cyclosporin, and that it previously considered that neither of these claims had been adequately supported. </w:t>
            </w:r>
          </w:p>
          <w:p w:rsidR="004B2379" w:rsidRDefault="004B2379" w:rsidP="003273DE">
            <w:pPr>
              <w:jc w:val="both"/>
              <w:rPr>
                <w:rFonts w:ascii="Arial" w:hAnsi="Arial" w:cs="Arial"/>
                <w:color w:val="000000"/>
                <w:sz w:val="20"/>
              </w:rPr>
            </w:pPr>
          </w:p>
          <w:p w:rsidR="004B2379" w:rsidRDefault="003273DE" w:rsidP="003273DE">
            <w:pPr>
              <w:jc w:val="both"/>
              <w:rPr>
                <w:rFonts w:ascii="Arial" w:hAnsi="Arial" w:cs="Arial"/>
                <w:color w:val="000000"/>
                <w:sz w:val="20"/>
              </w:rPr>
            </w:pPr>
            <w:r w:rsidRPr="003273DE">
              <w:rPr>
                <w:rFonts w:ascii="Arial" w:hAnsi="Arial" w:cs="Arial"/>
                <w:color w:val="000000"/>
                <w:sz w:val="20"/>
              </w:rPr>
              <w:t>The resubmission revised the clinical claim to describe apremilast as superior in terms of comparative effectiveness and safety compared with cyclosporin based on a real-world, non</w:t>
            </w:r>
            <w:r w:rsidRPr="003273DE">
              <w:rPr>
                <w:rFonts w:ascii="Arial" w:hAnsi="Arial" w:cs="Arial"/>
                <w:color w:val="000000"/>
                <w:sz w:val="20"/>
              </w:rPr>
              <w:noBreakHyphen/>
              <w:t xml:space="preserve">randomised US study of comparative persistence rates. </w:t>
            </w:r>
          </w:p>
          <w:p w:rsidR="004B2379" w:rsidRDefault="004B2379" w:rsidP="003273DE">
            <w:pPr>
              <w:jc w:val="both"/>
              <w:rPr>
                <w:rFonts w:ascii="Arial" w:hAnsi="Arial" w:cs="Arial"/>
                <w:color w:val="000000"/>
                <w:sz w:val="20"/>
              </w:rPr>
            </w:pPr>
          </w:p>
          <w:p w:rsidR="004B2379" w:rsidRDefault="003273DE" w:rsidP="004B2379">
            <w:pPr>
              <w:jc w:val="both"/>
              <w:rPr>
                <w:rFonts w:ascii="Arial" w:hAnsi="Arial" w:cs="Arial"/>
                <w:color w:val="000000"/>
                <w:sz w:val="20"/>
              </w:rPr>
            </w:pPr>
            <w:r w:rsidRPr="003273DE">
              <w:rPr>
                <w:rFonts w:ascii="Arial" w:hAnsi="Arial" w:cs="Arial"/>
                <w:color w:val="000000"/>
                <w:sz w:val="20"/>
              </w:rPr>
              <w:t xml:space="preserve">The PBAC considered that the applicability of the non-randomised US persistence data presented in the submission to the likely PBS use of apremilast was </w:t>
            </w:r>
            <w:r w:rsidRPr="003273DE">
              <w:rPr>
                <w:rFonts w:ascii="Arial" w:hAnsi="Arial" w:cs="Arial"/>
                <w:color w:val="000000"/>
                <w:sz w:val="20"/>
              </w:rPr>
              <w:lastRenderedPageBreak/>
              <w:t>unclear and the submission did not demonstrate that apremilast was associated with improvements in health outcomes relevant to psoriasis (compared with cyclosporin). In this regard, the PBAC noted that the indirect comparison of clinical trial evidence suggested that there is no statistically significant difference in the proportion of patients achieving PASI 75 response at 16 weeks for apremilast versus 10 weeks for cyclosporin.</w:t>
            </w:r>
          </w:p>
          <w:p w:rsidR="004B2379" w:rsidRDefault="004B2379" w:rsidP="004B2379">
            <w:pPr>
              <w:jc w:val="both"/>
              <w:rPr>
                <w:rFonts w:ascii="Arial" w:hAnsi="Arial" w:cs="Arial"/>
                <w:color w:val="000000"/>
                <w:sz w:val="20"/>
              </w:rPr>
            </w:pPr>
          </w:p>
          <w:p w:rsidR="005109A7" w:rsidRPr="003273DE" w:rsidRDefault="003273DE" w:rsidP="004B2379">
            <w:pPr>
              <w:jc w:val="both"/>
              <w:rPr>
                <w:rFonts w:ascii="Arial" w:hAnsi="Arial" w:cs="Arial"/>
                <w:color w:val="000000"/>
                <w:sz w:val="20"/>
              </w:rPr>
            </w:pPr>
            <w:r w:rsidRPr="003273DE">
              <w:rPr>
                <w:rFonts w:ascii="Arial" w:hAnsi="Arial" w:cs="Arial"/>
                <w:color w:val="000000"/>
                <w:sz w:val="20"/>
              </w:rPr>
              <w:t xml:space="preserve">Overall, the PBAC considered that the non-randomised persistence data was relevant supportive information, but that it was an insufficient basis to </w:t>
            </w:r>
            <w:r w:rsidR="004B2379">
              <w:rPr>
                <w:rFonts w:ascii="Arial" w:hAnsi="Arial" w:cs="Arial"/>
                <w:color w:val="000000"/>
                <w:sz w:val="20"/>
              </w:rPr>
              <w:t>support the claim of superior</w:t>
            </w:r>
            <w:r w:rsidRPr="003273DE">
              <w:rPr>
                <w:rFonts w:ascii="Arial" w:hAnsi="Arial" w:cs="Arial"/>
                <w:color w:val="000000"/>
                <w:sz w:val="20"/>
              </w:rPr>
              <w:t xml:space="preserve"> comparative effectiveness </w:t>
            </w:r>
            <w:r w:rsidR="004B2379">
              <w:rPr>
                <w:rFonts w:ascii="Arial" w:hAnsi="Arial" w:cs="Arial"/>
                <w:color w:val="000000"/>
                <w:sz w:val="20"/>
              </w:rPr>
              <w:t>and</w:t>
            </w:r>
            <w:r w:rsidRPr="003273DE">
              <w:rPr>
                <w:rFonts w:ascii="Arial" w:hAnsi="Arial" w:cs="Arial"/>
                <w:color w:val="000000"/>
                <w:sz w:val="20"/>
              </w:rPr>
              <w:t xml:space="preserve"> safety.</w:t>
            </w: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Default="005109A7" w:rsidP="00DE6CD6">
            <w:pPr>
              <w:pStyle w:val="ListBullet"/>
            </w:pPr>
            <w:r>
              <w:t>Economic Claim:</w:t>
            </w:r>
            <w:r w:rsidR="00213E0E">
              <w:t xml:space="preserve"> Cost utility analysis based on non-randomised persistence data from United States longitudinal claims data</w:t>
            </w:r>
          </w:p>
        </w:tc>
        <w:tc>
          <w:tcPr>
            <w:tcW w:w="5339" w:type="dxa"/>
          </w:tcPr>
          <w:p w:rsidR="002D46EB" w:rsidRPr="004B2379" w:rsidRDefault="003273DE" w:rsidP="002D46EB">
            <w:pPr>
              <w:jc w:val="both"/>
              <w:rPr>
                <w:rFonts w:ascii="Arial" w:hAnsi="Arial" w:cs="Arial"/>
                <w:color w:val="000000"/>
                <w:sz w:val="20"/>
              </w:rPr>
            </w:pPr>
            <w:r w:rsidRPr="003273DE">
              <w:rPr>
                <w:rFonts w:ascii="Arial" w:hAnsi="Arial" w:cs="Arial"/>
                <w:color w:val="000000"/>
                <w:sz w:val="20"/>
              </w:rPr>
              <w:t>Given that the economic model used non-randomised persistence data as an unsubstantiated proxy for the comparative effectiveness and safety of apremilast and cyclosporin, the PBAC considered the model to be uninformative for decision making. Notwithstanding this issue, the PBAC considered the ICER per QALY gained for apremilast was uncertain and unacceptably high.</w:t>
            </w:r>
          </w:p>
        </w:tc>
      </w:tr>
      <w:tr w:rsidR="005109A7" w:rsidRPr="00443075" w:rsidTr="005109A7">
        <w:trPr>
          <w:trHeight w:val="508"/>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Default="005109A7" w:rsidP="00DE6CD6">
            <w:pPr>
              <w:pStyle w:val="ListBullet"/>
            </w:pPr>
            <w:r>
              <w:t>Sponsor comment:</w:t>
            </w:r>
          </w:p>
        </w:tc>
        <w:tc>
          <w:tcPr>
            <w:tcW w:w="5339" w:type="dxa"/>
          </w:tcPr>
          <w:p w:rsidR="005109A7" w:rsidRPr="00D61EB6" w:rsidRDefault="00DE6CD6" w:rsidP="00DE6CD6">
            <w:pPr>
              <w:pStyle w:val="ListBullet"/>
            </w:pPr>
            <w:r w:rsidRPr="00DE6CD6">
              <w:t>Celgene is disappointed with the outcome given the acknowledged clinical place for apremilast as a treatment option for plaque psoriasis.  Celgene will continue to work with the Department to exhaust all feasible options with the PBAC and Department to make apremilast available to Australian patients.</w:t>
            </w:r>
          </w:p>
        </w:tc>
      </w:tr>
      <w:tr w:rsidR="005109A7" w:rsidRPr="00443075" w:rsidTr="00F463A6">
        <w:trPr>
          <w:trHeight w:val="488"/>
        </w:trPr>
        <w:tc>
          <w:tcPr>
            <w:tcW w:w="2363" w:type="dxa"/>
            <w:vMerge w:val="restart"/>
          </w:tcPr>
          <w:p w:rsidR="005109A7" w:rsidRPr="004A4A6D" w:rsidRDefault="005109A7" w:rsidP="004A4A6D">
            <w:pPr>
              <w:keepNext/>
              <w:spacing w:line="276" w:lineRule="auto"/>
              <w:rPr>
                <w:rFonts w:ascii="Arial" w:hAnsi="Arial" w:cs="Arial"/>
                <w:sz w:val="20"/>
              </w:rPr>
            </w:pPr>
            <w:r w:rsidRPr="004A4A6D">
              <w:rPr>
                <w:rFonts w:ascii="Arial" w:hAnsi="Arial" w:cs="Arial"/>
                <w:sz w:val="20"/>
              </w:rPr>
              <w:lastRenderedPageBreak/>
              <w:t>CETUXIMAB</w:t>
            </w:r>
          </w:p>
          <w:p w:rsidR="005109A7" w:rsidRPr="004A4A6D" w:rsidRDefault="005109A7" w:rsidP="004A4A6D">
            <w:pPr>
              <w:keepNext/>
              <w:spacing w:line="276" w:lineRule="auto"/>
              <w:rPr>
                <w:rFonts w:ascii="Arial" w:hAnsi="Arial" w:cs="Arial"/>
                <w:sz w:val="20"/>
              </w:rPr>
            </w:pPr>
          </w:p>
          <w:p w:rsidR="005109A7" w:rsidRPr="004A4A6D" w:rsidRDefault="005109A7" w:rsidP="004A4A6D">
            <w:pPr>
              <w:keepNext/>
              <w:spacing w:line="276" w:lineRule="auto"/>
              <w:rPr>
                <w:rFonts w:ascii="Arial" w:hAnsi="Arial" w:cs="Arial"/>
                <w:sz w:val="20"/>
              </w:rPr>
            </w:pPr>
            <w:r w:rsidRPr="004A4A6D">
              <w:rPr>
                <w:rFonts w:ascii="Arial" w:hAnsi="Arial" w:cs="Arial"/>
                <w:sz w:val="20"/>
              </w:rPr>
              <w:t>Injection 100 mg in 20 mL</w:t>
            </w:r>
          </w:p>
          <w:p w:rsidR="005109A7" w:rsidRPr="004A4A6D" w:rsidRDefault="005109A7" w:rsidP="004A4A6D">
            <w:pPr>
              <w:keepNext/>
              <w:spacing w:line="276" w:lineRule="auto"/>
              <w:rPr>
                <w:rFonts w:ascii="Arial" w:hAnsi="Arial" w:cs="Arial"/>
                <w:sz w:val="20"/>
              </w:rPr>
            </w:pPr>
            <w:r w:rsidRPr="004A4A6D">
              <w:rPr>
                <w:rFonts w:ascii="Arial" w:hAnsi="Arial" w:cs="Arial"/>
                <w:sz w:val="20"/>
              </w:rPr>
              <w:t>Injection 500 mg in 100 mL</w:t>
            </w:r>
          </w:p>
          <w:p w:rsidR="005109A7" w:rsidRPr="004A4A6D" w:rsidRDefault="005109A7" w:rsidP="004A4A6D">
            <w:pPr>
              <w:keepNext/>
              <w:spacing w:line="276" w:lineRule="auto"/>
              <w:rPr>
                <w:rFonts w:ascii="Arial" w:hAnsi="Arial" w:cs="Arial"/>
                <w:sz w:val="20"/>
              </w:rPr>
            </w:pPr>
          </w:p>
          <w:p w:rsidR="005109A7" w:rsidRPr="004A4A6D" w:rsidRDefault="005109A7" w:rsidP="004A4A6D">
            <w:pPr>
              <w:keepNext/>
              <w:spacing w:line="276" w:lineRule="auto"/>
              <w:rPr>
                <w:rFonts w:ascii="Arial" w:hAnsi="Arial" w:cs="Arial"/>
                <w:sz w:val="20"/>
              </w:rPr>
            </w:pPr>
            <w:r w:rsidRPr="004A4A6D">
              <w:rPr>
                <w:rFonts w:ascii="Arial" w:hAnsi="Arial" w:cs="Arial"/>
                <w:sz w:val="20"/>
              </w:rPr>
              <w:t>Erbitux®</w:t>
            </w:r>
          </w:p>
          <w:p w:rsidR="005109A7" w:rsidRPr="004A4A6D" w:rsidRDefault="005109A7" w:rsidP="004A4A6D">
            <w:pPr>
              <w:keepNext/>
              <w:spacing w:line="276" w:lineRule="auto"/>
              <w:rPr>
                <w:rFonts w:ascii="Arial" w:hAnsi="Arial" w:cs="Arial"/>
                <w:sz w:val="20"/>
              </w:rPr>
            </w:pPr>
          </w:p>
          <w:p w:rsidR="005109A7" w:rsidRDefault="005109A7" w:rsidP="004A4A6D">
            <w:pPr>
              <w:keepNext/>
              <w:spacing w:line="276" w:lineRule="auto"/>
              <w:rPr>
                <w:rFonts w:ascii="Arial" w:hAnsi="Arial" w:cs="Arial"/>
                <w:sz w:val="20"/>
              </w:rPr>
            </w:pPr>
            <w:r w:rsidRPr="004A4A6D">
              <w:rPr>
                <w:rFonts w:ascii="Arial" w:hAnsi="Arial" w:cs="Arial"/>
                <w:sz w:val="20"/>
              </w:rPr>
              <w:t>Merck Serono Australia Pty Ltd</w:t>
            </w:r>
          </w:p>
          <w:p w:rsidR="00D029DF" w:rsidRDefault="00D029DF" w:rsidP="004A4A6D">
            <w:pPr>
              <w:keepNext/>
              <w:spacing w:line="276" w:lineRule="auto"/>
              <w:rPr>
                <w:rFonts w:ascii="Arial" w:hAnsi="Arial" w:cs="Arial"/>
                <w:sz w:val="20"/>
              </w:rPr>
            </w:pPr>
          </w:p>
          <w:p w:rsidR="00D029DF" w:rsidRPr="00D029DF" w:rsidRDefault="00D029DF" w:rsidP="00D029DF">
            <w:pPr>
              <w:keepNext/>
              <w:spacing w:line="276" w:lineRule="auto"/>
              <w:rPr>
                <w:rFonts w:ascii="Arial" w:hAnsi="Arial" w:cs="Arial"/>
                <w:sz w:val="20"/>
              </w:rPr>
            </w:pPr>
            <w:r w:rsidRPr="00D029DF">
              <w:rPr>
                <w:rFonts w:ascii="Arial" w:hAnsi="Arial" w:cs="Arial"/>
                <w:sz w:val="20"/>
              </w:rPr>
              <w:t>New listing</w:t>
            </w:r>
          </w:p>
          <w:p w:rsidR="00D029DF" w:rsidRPr="00D029DF" w:rsidRDefault="00D029DF" w:rsidP="00D029DF">
            <w:pPr>
              <w:keepNext/>
              <w:spacing w:line="276" w:lineRule="auto"/>
              <w:rPr>
                <w:rFonts w:ascii="Arial" w:hAnsi="Arial" w:cs="Arial"/>
                <w:sz w:val="20"/>
              </w:rPr>
            </w:pPr>
          </w:p>
          <w:p w:rsidR="005109A7" w:rsidRPr="00CA0C65" w:rsidRDefault="00D029DF" w:rsidP="00D029DF">
            <w:pPr>
              <w:keepNext/>
              <w:spacing w:line="276" w:lineRule="auto"/>
              <w:rPr>
                <w:rFonts w:ascii="Arial" w:hAnsi="Arial" w:cs="Arial"/>
                <w:sz w:val="20"/>
                <w:highlight w:val="yellow"/>
              </w:rPr>
            </w:pPr>
            <w:r w:rsidRPr="00D029DF">
              <w:rPr>
                <w:rFonts w:ascii="Arial" w:hAnsi="Arial" w:cs="Arial"/>
                <w:sz w:val="20"/>
              </w:rPr>
              <w:t>(Minor Submission)</w:t>
            </w:r>
          </w:p>
        </w:tc>
        <w:tc>
          <w:tcPr>
            <w:tcW w:w="2315" w:type="dxa"/>
            <w:vMerge w:val="restart"/>
            <w:shd w:val="clear" w:color="auto" w:fill="auto"/>
          </w:tcPr>
          <w:p w:rsidR="005109A7" w:rsidRPr="00CA0C65" w:rsidRDefault="005109A7" w:rsidP="007F36D7">
            <w:pPr>
              <w:rPr>
                <w:rFonts w:ascii="Arial" w:hAnsi="Arial" w:cs="Arial"/>
                <w:sz w:val="20"/>
              </w:rPr>
            </w:pPr>
            <w:r>
              <w:rPr>
                <w:rFonts w:ascii="Arial" w:hAnsi="Arial" w:cs="Arial"/>
                <w:sz w:val="20"/>
              </w:rPr>
              <w:t>Cetixumab is indicated for the treatment of patients with epidermal growth factor receptor (EGFR)-expressing, RAS wild-type metastatic colorectal cancer; and for the treatment of patients with squamous cell cancer of the head and neck.</w:t>
            </w:r>
          </w:p>
        </w:tc>
        <w:tc>
          <w:tcPr>
            <w:tcW w:w="2126" w:type="dxa"/>
            <w:vMerge w:val="restart"/>
            <w:shd w:val="clear" w:color="auto" w:fill="auto"/>
          </w:tcPr>
          <w:p w:rsidR="005109A7" w:rsidRPr="004571A9" w:rsidRDefault="005109A7" w:rsidP="007F36D7">
            <w:pPr>
              <w:rPr>
                <w:rFonts w:ascii="Arial" w:hAnsi="Arial" w:cs="Arial"/>
                <w:color w:val="000000"/>
                <w:sz w:val="20"/>
              </w:rPr>
            </w:pPr>
            <w:r>
              <w:rPr>
                <w:rFonts w:ascii="Arial" w:hAnsi="Arial" w:cs="Arial"/>
                <w:color w:val="000000"/>
                <w:sz w:val="20"/>
              </w:rPr>
              <w:t xml:space="preserve">Cetuximab is currently PBS listed for treatment of metastatic colorectal cancer and Stage III, </w:t>
            </w:r>
            <w:r w:rsidR="009C41B4">
              <w:rPr>
                <w:rFonts w:ascii="Arial" w:hAnsi="Arial" w:cs="Arial"/>
                <w:color w:val="000000"/>
                <w:sz w:val="20"/>
              </w:rPr>
              <w:t xml:space="preserve">Stage </w:t>
            </w:r>
            <w:r>
              <w:rPr>
                <w:rFonts w:ascii="Arial" w:hAnsi="Arial" w:cs="Arial"/>
                <w:color w:val="000000"/>
                <w:sz w:val="20"/>
              </w:rPr>
              <w:t>I</w:t>
            </w:r>
            <w:r w:rsidR="009C41B4">
              <w:rPr>
                <w:rFonts w:ascii="Arial" w:hAnsi="Arial" w:cs="Arial"/>
                <w:color w:val="000000"/>
                <w:sz w:val="20"/>
              </w:rPr>
              <w:t>V</w:t>
            </w:r>
            <w:r>
              <w:rPr>
                <w:rFonts w:ascii="Arial" w:hAnsi="Arial" w:cs="Arial"/>
                <w:color w:val="000000"/>
                <w:sz w:val="20"/>
              </w:rPr>
              <w:t>a or IVb squamous cell cancer of the larynx, oropharynx or hypopharynx</w:t>
            </w:r>
            <w:r w:rsidR="00B51C7E">
              <w:rPr>
                <w:rFonts w:ascii="Arial" w:hAnsi="Arial" w:cs="Arial"/>
                <w:color w:val="000000"/>
                <w:sz w:val="20"/>
              </w:rPr>
              <w:t>.</w:t>
            </w:r>
          </w:p>
        </w:tc>
        <w:tc>
          <w:tcPr>
            <w:tcW w:w="3544" w:type="dxa"/>
          </w:tcPr>
          <w:p w:rsidR="005109A7" w:rsidRPr="00443075" w:rsidRDefault="005109A7" w:rsidP="007F36D7">
            <w:pPr>
              <w:keepNext/>
              <w:spacing w:line="276" w:lineRule="auto"/>
              <w:rPr>
                <w:rFonts w:ascii="Arial" w:hAnsi="Arial" w:cs="Arial"/>
                <w:color w:val="000000"/>
                <w:sz w:val="20"/>
              </w:rPr>
            </w:pPr>
            <w:r w:rsidRPr="00F516E0">
              <w:rPr>
                <w:rFonts w:ascii="Arial" w:hAnsi="Arial" w:cs="Arial"/>
                <w:color w:val="000000"/>
                <w:sz w:val="20"/>
              </w:rPr>
              <w:t>Resubmission to request a Section 100 (Efficient Funding of Chemotherapy) Authority Required (STREAMLINED) listing for the treatment of recurrent or metastatic squamous cell carcinoma of the head and neck</w:t>
            </w:r>
            <w:r w:rsidR="00B51C7E">
              <w:rPr>
                <w:rFonts w:ascii="Arial" w:hAnsi="Arial" w:cs="Arial"/>
                <w:color w:val="000000"/>
                <w:sz w:val="20"/>
              </w:rPr>
              <w:t xml:space="preserve"> </w:t>
            </w:r>
            <w:r w:rsidR="00B51C7E" w:rsidRPr="00B51C7E">
              <w:rPr>
                <w:rFonts w:ascii="Arial" w:hAnsi="Arial" w:cs="Arial"/>
                <w:color w:val="000000"/>
                <w:sz w:val="20"/>
              </w:rPr>
              <w:t>(RM SCCHN)</w:t>
            </w:r>
            <w:r w:rsidRPr="00F516E0">
              <w:rPr>
                <w:rFonts w:ascii="Arial" w:hAnsi="Arial" w:cs="Arial"/>
                <w:color w:val="000000"/>
                <w:sz w:val="20"/>
              </w:rPr>
              <w:t>.</w:t>
            </w:r>
          </w:p>
        </w:tc>
        <w:tc>
          <w:tcPr>
            <w:tcW w:w="5339" w:type="dxa"/>
          </w:tcPr>
          <w:p w:rsidR="00D61EB6" w:rsidRPr="00D61EB6" w:rsidRDefault="00D61EB6" w:rsidP="00DE6CD6">
            <w:pPr>
              <w:pStyle w:val="ListBullet"/>
            </w:pPr>
            <w:r w:rsidRPr="00D61EB6">
              <w:t xml:space="preserve">The PBAC decided not to recommend cetuximab in combination with platinum chemotherapy for previously untreated </w:t>
            </w:r>
            <w:r w:rsidR="00374EA8" w:rsidRPr="00B51C7E">
              <w:rPr>
                <w:color w:val="000000"/>
              </w:rPr>
              <w:t>RM SCCHN</w:t>
            </w:r>
            <w:r w:rsidR="00374EA8" w:rsidRPr="00D61EB6">
              <w:t xml:space="preserve"> </w:t>
            </w:r>
            <w:r w:rsidRPr="00D61EB6">
              <w:t>on the basis of uncertain clinical effectiveness and uncertain and u</w:t>
            </w:r>
            <w:r w:rsidR="004B2379">
              <w:t>nfavourable cost-effectiveness.</w:t>
            </w:r>
          </w:p>
          <w:p w:rsidR="005109A7" w:rsidRPr="00443075" w:rsidRDefault="005109A7" w:rsidP="00DE6CD6">
            <w:pPr>
              <w:pStyle w:val="ListBullet"/>
            </w:pP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Pr="00443075" w:rsidRDefault="005109A7" w:rsidP="00DE6CD6">
            <w:pPr>
              <w:pStyle w:val="ListBullet"/>
            </w:pPr>
            <w:r>
              <w:t>Comparator:</w:t>
            </w:r>
            <w:r w:rsidR="00E9797D">
              <w:t xml:space="preserve"> P</w:t>
            </w:r>
            <w:r w:rsidR="00E9797D" w:rsidRPr="00D61EB6">
              <w:t>latinum-based chemotherapy</w:t>
            </w:r>
          </w:p>
        </w:tc>
        <w:tc>
          <w:tcPr>
            <w:tcW w:w="5339" w:type="dxa"/>
          </w:tcPr>
          <w:p w:rsidR="00E9797D" w:rsidRPr="00E9797D" w:rsidRDefault="00E9797D" w:rsidP="00DE6CD6">
            <w:pPr>
              <w:pStyle w:val="ListBullet"/>
            </w:pPr>
            <w:r w:rsidRPr="00E9797D">
              <w:t>Accepted.</w:t>
            </w:r>
          </w:p>
          <w:p w:rsidR="005109A7" w:rsidRPr="00443075" w:rsidRDefault="005109A7" w:rsidP="00DE6CD6">
            <w:pPr>
              <w:pStyle w:val="ListBullet"/>
              <w:rPr>
                <w:highlight w:val="yellow"/>
              </w:rPr>
            </w:pP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Default="005109A7" w:rsidP="00DE6CD6">
            <w:pPr>
              <w:pStyle w:val="ListBullet"/>
            </w:pPr>
            <w:r>
              <w:t>Clinical Claim:</w:t>
            </w:r>
            <w:r w:rsidR="00E9797D">
              <w:t xml:space="preserve"> </w:t>
            </w:r>
            <w:r w:rsidR="00E9797D" w:rsidRPr="00E9797D">
              <w:t>superior efficacy, with an inferior but manageable safety profile compared to chemotherapy alone</w:t>
            </w:r>
          </w:p>
        </w:tc>
        <w:tc>
          <w:tcPr>
            <w:tcW w:w="5339" w:type="dxa"/>
          </w:tcPr>
          <w:p w:rsidR="00D61EB6" w:rsidRPr="00D61EB6" w:rsidRDefault="00D61EB6" w:rsidP="00374EA8">
            <w:pPr>
              <w:keepNext/>
              <w:spacing w:line="276" w:lineRule="auto"/>
              <w:jc w:val="both"/>
              <w:rPr>
                <w:rFonts w:ascii="Arial" w:hAnsi="Arial" w:cs="Arial"/>
                <w:sz w:val="20"/>
              </w:rPr>
            </w:pPr>
            <w:r w:rsidRPr="00D61EB6">
              <w:rPr>
                <w:rFonts w:ascii="Arial" w:hAnsi="Arial" w:cs="Arial"/>
                <w:sz w:val="20"/>
              </w:rPr>
              <w:t>The PBAC reaffirmed its conclusion from the March 2016 meeting that the incremental benefits with cetuximab plus chemotherapy over chemotherapy alone in the treatment of RM SCCHN were small, and that the addition of cetuximab increased toxicity.</w:t>
            </w:r>
          </w:p>
          <w:p w:rsidR="005109A7" w:rsidRPr="00443075" w:rsidRDefault="005109A7" w:rsidP="007F36D7">
            <w:pPr>
              <w:spacing w:line="276" w:lineRule="auto"/>
              <w:rPr>
                <w:rFonts w:ascii="Arial" w:hAnsi="Arial" w:cs="Arial"/>
                <w:sz w:val="20"/>
                <w:highlight w:val="yellow"/>
              </w:rPr>
            </w:pP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Default="005109A7" w:rsidP="00DE6CD6">
            <w:pPr>
              <w:pStyle w:val="ListBullet"/>
            </w:pPr>
            <w:r>
              <w:t>Economic Claim:</w:t>
            </w:r>
            <w:r w:rsidR="00E9797D" w:rsidRPr="00E9797D">
              <w:t xml:space="preserve"> cost-utility analysis for the ITT population of the EXTREME trial against chemotherapy alone</w:t>
            </w:r>
          </w:p>
        </w:tc>
        <w:tc>
          <w:tcPr>
            <w:tcW w:w="5339" w:type="dxa"/>
          </w:tcPr>
          <w:p w:rsidR="00D61EB6" w:rsidRPr="00D61EB6" w:rsidRDefault="00374EA8" w:rsidP="00DE6CD6">
            <w:pPr>
              <w:pStyle w:val="ListBullet"/>
            </w:pPr>
            <w:r>
              <w:t xml:space="preserve">The PBAC considered the cost per quality adjusted life year </w:t>
            </w:r>
            <w:r w:rsidR="00D61EB6" w:rsidRPr="00D61EB6">
              <w:t>gained of $</w:t>
            </w:r>
            <w:r>
              <w:t>75,000-$105,000</w:t>
            </w:r>
            <w:r w:rsidR="00D61EB6" w:rsidRPr="00D61EB6">
              <w:t xml:space="preserve"> to be high and uncertain, reflecting the uncertain extent of clinical benefit. The PBAC also noted that the economic model did not address all of the issues identified at its March 2016 meeting, including the choice of extrapolation method, the source of the utility values, and the optimistic time horizon.</w:t>
            </w: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CA0C65" w:rsidRDefault="005109A7" w:rsidP="007F36D7">
            <w:pPr>
              <w:rPr>
                <w:rFonts w:ascii="Arial" w:hAnsi="Arial" w:cs="Arial"/>
                <w:sz w:val="20"/>
              </w:rPr>
            </w:pPr>
          </w:p>
        </w:tc>
        <w:tc>
          <w:tcPr>
            <w:tcW w:w="2126" w:type="dxa"/>
            <w:vMerge/>
            <w:shd w:val="clear" w:color="auto" w:fill="auto"/>
          </w:tcPr>
          <w:p w:rsidR="005109A7" w:rsidRPr="00CA0C65" w:rsidRDefault="005109A7" w:rsidP="007F36D7">
            <w:pPr>
              <w:rPr>
                <w:rFonts w:ascii="Arial" w:hAnsi="Arial" w:cs="Arial"/>
                <w:sz w:val="20"/>
              </w:rPr>
            </w:pPr>
          </w:p>
        </w:tc>
        <w:tc>
          <w:tcPr>
            <w:tcW w:w="3544" w:type="dxa"/>
          </w:tcPr>
          <w:p w:rsidR="005109A7" w:rsidRDefault="00B024DE" w:rsidP="00DE6CD6">
            <w:pPr>
              <w:pStyle w:val="ListBullet"/>
            </w:pPr>
            <w:r w:rsidRPr="00BE0C87">
              <w:t>Sponsor comment:</w:t>
            </w:r>
          </w:p>
        </w:tc>
        <w:tc>
          <w:tcPr>
            <w:tcW w:w="5339" w:type="dxa"/>
          </w:tcPr>
          <w:p w:rsidR="005109A7" w:rsidRPr="00443075" w:rsidRDefault="00F70567" w:rsidP="007F36D7">
            <w:pPr>
              <w:spacing w:line="276" w:lineRule="auto"/>
              <w:rPr>
                <w:rFonts w:ascii="Arial" w:hAnsi="Arial" w:cs="Arial"/>
                <w:sz w:val="20"/>
                <w:highlight w:val="yellow"/>
              </w:rPr>
            </w:pPr>
            <w:r w:rsidRPr="00F70567">
              <w:rPr>
                <w:rFonts w:ascii="Arial" w:hAnsi="Arial" w:cs="Arial"/>
                <w:sz w:val="20"/>
              </w:rPr>
              <w:t>Merck is disappointed with a second rejection by the PBAC.  Overseas, cetuximab has been the standard of care for patients with RM</w:t>
            </w:r>
            <w:r w:rsidR="004B62AC">
              <w:rPr>
                <w:rFonts w:ascii="Arial" w:hAnsi="Arial" w:cs="Arial"/>
                <w:sz w:val="20"/>
              </w:rPr>
              <w:t xml:space="preserve"> </w:t>
            </w:r>
            <w:r w:rsidRPr="00F70567">
              <w:rPr>
                <w:rFonts w:ascii="Arial" w:hAnsi="Arial" w:cs="Arial"/>
                <w:sz w:val="20"/>
              </w:rPr>
              <w:t>SCCHN for many years as recommended in European and American Guidelines. We shall discuss with the Department to determine if there is a way forward.</w:t>
            </w:r>
          </w:p>
        </w:tc>
      </w:tr>
      <w:tr w:rsidR="005109A7" w:rsidRPr="00443075" w:rsidTr="00F463A6">
        <w:trPr>
          <w:trHeight w:val="488"/>
        </w:trPr>
        <w:tc>
          <w:tcPr>
            <w:tcW w:w="2363" w:type="dxa"/>
            <w:vMerge w:val="restart"/>
          </w:tcPr>
          <w:p w:rsidR="005109A7" w:rsidRDefault="009C41B4" w:rsidP="004A4A6D">
            <w:pPr>
              <w:keepNext/>
              <w:spacing w:line="276" w:lineRule="auto"/>
              <w:rPr>
                <w:rFonts w:ascii="Arial" w:hAnsi="Arial" w:cs="Arial"/>
                <w:sz w:val="20"/>
              </w:rPr>
            </w:pPr>
            <w:r w:rsidRPr="009C41B4">
              <w:rPr>
                <w:rFonts w:ascii="Arial" w:hAnsi="Arial" w:cs="Arial"/>
                <w:sz w:val="20"/>
              </w:rPr>
              <w:lastRenderedPageBreak/>
              <w:t xml:space="preserve">HIGHLY PURIFIED HUMAN MENOPAUSAL GONADOTROPHIN </w:t>
            </w:r>
          </w:p>
          <w:p w:rsidR="009C41B4" w:rsidRPr="004A4A6D" w:rsidRDefault="009C41B4" w:rsidP="004A4A6D">
            <w:pPr>
              <w:keepNext/>
              <w:spacing w:line="276" w:lineRule="auto"/>
              <w:rPr>
                <w:rFonts w:ascii="Arial" w:hAnsi="Arial" w:cs="Arial"/>
                <w:sz w:val="20"/>
              </w:rPr>
            </w:pPr>
          </w:p>
          <w:p w:rsidR="005109A7" w:rsidRPr="004A4A6D" w:rsidRDefault="005109A7" w:rsidP="004A4A6D">
            <w:pPr>
              <w:keepNext/>
              <w:spacing w:line="276" w:lineRule="auto"/>
              <w:rPr>
                <w:rFonts w:ascii="Arial" w:hAnsi="Arial" w:cs="Arial"/>
                <w:sz w:val="20"/>
              </w:rPr>
            </w:pPr>
            <w:r w:rsidRPr="004A4A6D">
              <w:rPr>
                <w:rFonts w:ascii="Arial" w:hAnsi="Arial" w:cs="Arial"/>
                <w:sz w:val="20"/>
              </w:rPr>
              <w:t>Powder for injection, 600 I.U</w:t>
            </w:r>
          </w:p>
          <w:p w:rsidR="005109A7" w:rsidRPr="004A4A6D" w:rsidRDefault="005109A7" w:rsidP="004A4A6D">
            <w:pPr>
              <w:keepNext/>
              <w:spacing w:line="276" w:lineRule="auto"/>
              <w:rPr>
                <w:rFonts w:ascii="Arial" w:hAnsi="Arial" w:cs="Arial"/>
                <w:sz w:val="20"/>
              </w:rPr>
            </w:pPr>
            <w:r w:rsidRPr="004A4A6D">
              <w:rPr>
                <w:rFonts w:ascii="Arial" w:hAnsi="Arial" w:cs="Arial"/>
                <w:sz w:val="20"/>
              </w:rPr>
              <w:t>Powder for injection, 1200 I.U</w:t>
            </w:r>
          </w:p>
          <w:p w:rsidR="005109A7" w:rsidRPr="004A4A6D" w:rsidRDefault="005109A7" w:rsidP="004A4A6D">
            <w:pPr>
              <w:keepNext/>
              <w:spacing w:line="276" w:lineRule="auto"/>
              <w:rPr>
                <w:rFonts w:ascii="Arial" w:hAnsi="Arial" w:cs="Arial"/>
                <w:sz w:val="20"/>
              </w:rPr>
            </w:pPr>
          </w:p>
          <w:p w:rsidR="005109A7" w:rsidRPr="004A4A6D" w:rsidRDefault="005109A7" w:rsidP="004A4A6D">
            <w:pPr>
              <w:keepNext/>
              <w:spacing w:line="276" w:lineRule="auto"/>
              <w:rPr>
                <w:rFonts w:ascii="Arial" w:hAnsi="Arial" w:cs="Arial"/>
                <w:sz w:val="20"/>
              </w:rPr>
            </w:pPr>
            <w:r w:rsidRPr="004A4A6D">
              <w:rPr>
                <w:rFonts w:ascii="Arial" w:hAnsi="Arial" w:cs="Arial"/>
                <w:sz w:val="20"/>
              </w:rPr>
              <w:t>Menopur®</w:t>
            </w:r>
          </w:p>
          <w:p w:rsidR="005109A7" w:rsidRPr="004A4A6D" w:rsidRDefault="005109A7" w:rsidP="004A4A6D">
            <w:pPr>
              <w:keepNext/>
              <w:spacing w:line="276" w:lineRule="auto"/>
              <w:rPr>
                <w:rFonts w:ascii="Arial" w:hAnsi="Arial" w:cs="Arial"/>
                <w:sz w:val="20"/>
              </w:rPr>
            </w:pPr>
          </w:p>
          <w:p w:rsidR="005109A7" w:rsidRDefault="005109A7" w:rsidP="004A4A6D">
            <w:pPr>
              <w:keepNext/>
              <w:spacing w:line="276" w:lineRule="auto"/>
              <w:rPr>
                <w:rFonts w:ascii="Arial" w:hAnsi="Arial" w:cs="Arial"/>
                <w:sz w:val="20"/>
              </w:rPr>
            </w:pPr>
            <w:r w:rsidRPr="004A4A6D">
              <w:rPr>
                <w:rFonts w:ascii="Arial" w:hAnsi="Arial" w:cs="Arial"/>
                <w:sz w:val="20"/>
              </w:rPr>
              <w:t>Ferring Pharmaceuticals Pty Ltd</w:t>
            </w:r>
          </w:p>
          <w:p w:rsidR="00D029DF" w:rsidRDefault="00D029DF" w:rsidP="004A4A6D">
            <w:pPr>
              <w:keepNext/>
              <w:spacing w:line="276" w:lineRule="auto"/>
              <w:rPr>
                <w:rFonts w:ascii="Arial" w:hAnsi="Arial" w:cs="Arial"/>
                <w:sz w:val="20"/>
              </w:rPr>
            </w:pPr>
          </w:p>
          <w:p w:rsidR="00D029DF" w:rsidRPr="00D029DF" w:rsidRDefault="00D029DF" w:rsidP="00D029DF">
            <w:pPr>
              <w:keepNext/>
              <w:spacing w:line="276" w:lineRule="auto"/>
              <w:rPr>
                <w:rFonts w:ascii="Arial" w:hAnsi="Arial" w:cs="Arial"/>
                <w:sz w:val="20"/>
              </w:rPr>
            </w:pPr>
            <w:r w:rsidRPr="00D029DF">
              <w:rPr>
                <w:rFonts w:ascii="Arial" w:hAnsi="Arial" w:cs="Arial"/>
                <w:sz w:val="20"/>
              </w:rPr>
              <w:t>New listing</w:t>
            </w:r>
          </w:p>
          <w:p w:rsidR="00D029DF" w:rsidRPr="00D029DF" w:rsidRDefault="00D029DF" w:rsidP="00D029DF">
            <w:pPr>
              <w:keepNext/>
              <w:spacing w:line="276" w:lineRule="auto"/>
              <w:rPr>
                <w:rFonts w:ascii="Arial" w:hAnsi="Arial" w:cs="Arial"/>
                <w:sz w:val="20"/>
              </w:rPr>
            </w:pPr>
          </w:p>
          <w:p w:rsidR="00D029DF" w:rsidRPr="00CA0C65" w:rsidRDefault="00D029DF" w:rsidP="00D029DF">
            <w:pPr>
              <w:keepNext/>
              <w:spacing w:line="276" w:lineRule="auto"/>
              <w:rPr>
                <w:rFonts w:ascii="Arial" w:hAnsi="Arial" w:cs="Arial"/>
                <w:sz w:val="20"/>
              </w:rPr>
            </w:pPr>
            <w:r w:rsidRPr="00D029DF">
              <w:rPr>
                <w:rFonts w:ascii="Arial" w:hAnsi="Arial" w:cs="Arial"/>
                <w:sz w:val="20"/>
              </w:rPr>
              <w:t>(Minor Submission)</w:t>
            </w:r>
          </w:p>
          <w:p w:rsidR="005109A7" w:rsidRPr="00CA0C65" w:rsidRDefault="005109A7" w:rsidP="007F36D7">
            <w:pPr>
              <w:keepNext/>
              <w:spacing w:line="276" w:lineRule="auto"/>
              <w:rPr>
                <w:rFonts w:ascii="Arial" w:hAnsi="Arial" w:cs="Arial"/>
                <w:sz w:val="20"/>
                <w:highlight w:val="yellow"/>
              </w:rPr>
            </w:pPr>
          </w:p>
        </w:tc>
        <w:tc>
          <w:tcPr>
            <w:tcW w:w="2315" w:type="dxa"/>
            <w:vMerge w:val="restart"/>
            <w:shd w:val="clear" w:color="auto" w:fill="auto"/>
          </w:tcPr>
          <w:p w:rsidR="005109A7" w:rsidRPr="00576EBC" w:rsidRDefault="00AD3100" w:rsidP="009F382A">
            <w:pPr>
              <w:rPr>
                <w:rFonts w:ascii="Arial" w:hAnsi="Arial" w:cs="Arial"/>
                <w:sz w:val="20"/>
              </w:rPr>
            </w:pPr>
            <w:r w:rsidRPr="00576EBC">
              <w:rPr>
                <w:rFonts w:ascii="Arial" w:hAnsi="Arial" w:cs="Arial"/>
                <w:sz w:val="20"/>
              </w:rPr>
              <w:t>G</w:t>
            </w:r>
            <w:r w:rsidR="005109A7" w:rsidRPr="00576EBC">
              <w:rPr>
                <w:rFonts w:ascii="Arial" w:hAnsi="Arial" w:cs="Arial"/>
                <w:sz w:val="20"/>
              </w:rPr>
              <w:t>onadotrophin is indicated for the treatment of anovulatory infertility, including polycystic ovarian disease in women who have been unresponsive to treatment with clomiphene citrate; and controlled ovarian hyperstimulation as part of assisted reproductive technologies (ART).</w:t>
            </w:r>
          </w:p>
        </w:tc>
        <w:tc>
          <w:tcPr>
            <w:tcW w:w="2126" w:type="dxa"/>
            <w:vMerge w:val="restart"/>
            <w:shd w:val="clear" w:color="auto" w:fill="auto"/>
          </w:tcPr>
          <w:p w:rsidR="005109A7" w:rsidRPr="00576EBC" w:rsidRDefault="00D029DF" w:rsidP="00BA6888">
            <w:pPr>
              <w:rPr>
                <w:rFonts w:ascii="Arial" w:hAnsi="Arial" w:cs="Arial"/>
                <w:color w:val="000000"/>
                <w:sz w:val="20"/>
              </w:rPr>
            </w:pPr>
            <w:r w:rsidRPr="00576EBC">
              <w:rPr>
                <w:rFonts w:ascii="Arial" w:hAnsi="Arial" w:cs="Arial"/>
                <w:color w:val="000000"/>
                <w:sz w:val="20"/>
              </w:rPr>
              <w:t>Human menopausal g</w:t>
            </w:r>
            <w:r w:rsidR="005109A7" w:rsidRPr="00576EBC">
              <w:rPr>
                <w:rFonts w:ascii="Arial" w:hAnsi="Arial" w:cs="Arial"/>
                <w:color w:val="000000"/>
                <w:sz w:val="20"/>
              </w:rPr>
              <w:t>onadotrophin is currently PBS listed for Assisted Reproductive Technology under Section 100 (IVF).</w:t>
            </w:r>
          </w:p>
        </w:tc>
        <w:tc>
          <w:tcPr>
            <w:tcW w:w="3544" w:type="dxa"/>
          </w:tcPr>
          <w:p w:rsidR="005109A7" w:rsidRPr="00576EBC" w:rsidRDefault="005109A7" w:rsidP="007F36D7">
            <w:pPr>
              <w:keepNext/>
              <w:spacing w:line="276" w:lineRule="auto"/>
              <w:rPr>
                <w:rFonts w:ascii="Arial" w:hAnsi="Arial" w:cs="Arial"/>
                <w:color w:val="000000"/>
                <w:sz w:val="20"/>
              </w:rPr>
            </w:pPr>
            <w:r w:rsidRPr="00576EBC">
              <w:rPr>
                <w:rFonts w:ascii="Arial" w:hAnsi="Arial" w:cs="Arial"/>
                <w:color w:val="000000"/>
                <w:sz w:val="20"/>
              </w:rPr>
              <w:t>Resubmission to request a restricted benefit listing for anovulatory infertility.</w:t>
            </w:r>
          </w:p>
        </w:tc>
        <w:tc>
          <w:tcPr>
            <w:tcW w:w="5339" w:type="dxa"/>
          </w:tcPr>
          <w:p w:rsidR="005109A7" w:rsidRPr="00894F36" w:rsidRDefault="00894F36" w:rsidP="00894F36">
            <w:pPr>
              <w:contextualSpacing/>
              <w:jc w:val="both"/>
              <w:rPr>
                <w:rFonts w:ascii="Arial" w:hAnsi="Arial" w:cs="Arial"/>
                <w:bCs/>
                <w:snapToGrid w:val="0"/>
                <w:sz w:val="20"/>
                <w:lang w:val="en-GB"/>
              </w:rPr>
            </w:pPr>
            <w:r w:rsidRPr="00894F36">
              <w:rPr>
                <w:rFonts w:ascii="Arial" w:hAnsi="Arial" w:cs="Arial"/>
                <w:bCs/>
                <w:snapToGrid w:val="0"/>
                <w:sz w:val="20"/>
                <w:lang w:val="en-GB"/>
              </w:rPr>
              <w:t>The PBAC decided not to recommend the PBS listing of HP-hMG for the treatment of anovulatory infertility on the basis that the minor resubmission did not adequately support a claim of non-inferiority to follitropin alfa.</w:t>
            </w: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576EBC" w:rsidRDefault="005109A7" w:rsidP="007F36D7">
            <w:pPr>
              <w:rPr>
                <w:rFonts w:ascii="Arial" w:hAnsi="Arial" w:cs="Arial"/>
                <w:sz w:val="20"/>
              </w:rPr>
            </w:pPr>
          </w:p>
        </w:tc>
        <w:tc>
          <w:tcPr>
            <w:tcW w:w="2126" w:type="dxa"/>
            <w:vMerge/>
            <w:shd w:val="clear" w:color="auto" w:fill="auto"/>
          </w:tcPr>
          <w:p w:rsidR="005109A7" w:rsidRPr="00576EBC" w:rsidRDefault="005109A7" w:rsidP="007F36D7">
            <w:pPr>
              <w:rPr>
                <w:rFonts w:ascii="Arial" w:hAnsi="Arial" w:cs="Arial"/>
                <w:sz w:val="20"/>
              </w:rPr>
            </w:pPr>
          </w:p>
        </w:tc>
        <w:tc>
          <w:tcPr>
            <w:tcW w:w="3544" w:type="dxa"/>
          </w:tcPr>
          <w:p w:rsidR="005109A7" w:rsidRPr="00576EBC" w:rsidRDefault="005109A7" w:rsidP="00DE6CD6">
            <w:pPr>
              <w:pStyle w:val="ListBullet"/>
            </w:pPr>
            <w:r w:rsidRPr="00576EBC">
              <w:t>Comparator:</w:t>
            </w:r>
            <w:r w:rsidR="00894F36" w:rsidRPr="00576EBC">
              <w:t xml:space="preserve"> follitropin alfa</w:t>
            </w:r>
          </w:p>
        </w:tc>
        <w:tc>
          <w:tcPr>
            <w:tcW w:w="5339" w:type="dxa"/>
          </w:tcPr>
          <w:p w:rsidR="00894F36" w:rsidRPr="00894F36" w:rsidRDefault="00894F36" w:rsidP="00894F36">
            <w:pPr>
              <w:jc w:val="both"/>
              <w:rPr>
                <w:rFonts w:ascii="Arial" w:hAnsi="Arial" w:cs="Arial"/>
                <w:bCs/>
                <w:snapToGrid w:val="0"/>
                <w:sz w:val="20"/>
              </w:rPr>
            </w:pPr>
            <w:r w:rsidRPr="00894F36">
              <w:rPr>
                <w:rFonts w:ascii="Arial" w:hAnsi="Arial" w:cs="Arial"/>
                <w:bCs/>
                <w:snapToGrid w:val="0"/>
                <w:sz w:val="20"/>
              </w:rPr>
              <w:t>Accepted</w:t>
            </w:r>
          </w:p>
          <w:p w:rsidR="005109A7" w:rsidRPr="00894F36" w:rsidRDefault="005109A7" w:rsidP="007F36D7">
            <w:pPr>
              <w:spacing w:line="276" w:lineRule="auto"/>
              <w:rPr>
                <w:rFonts w:ascii="Arial" w:hAnsi="Arial" w:cs="Arial"/>
                <w:sz w:val="20"/>
                <w:highlight w:val="yellow"/>
              </w:rPr>
            </w:pP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576EBC" w:rsidRDefault="005109A7" w:rsidP="007F36D7">
            <w:pPr>
              <w:rPr>
                <w:rFonts w:ascii="Arial" w:hAnsi="Arial" w:cs="Arial"/>
                <w:sz w:val="20"/>
              </w:rPr>
            </w:pPr>
          </w:p>
        </w:tc>
        <w:tc>
          <w:tcPr>
            <w:tcW w:w="2126" w:type="dxa"/>
            <w:vMerge/>
            <w:shd w:val="clear" w:color="auto" w:fill="auto"/>
          </w:tcPr>
          <w:p w:rsidR="005109A7" w:rsidRPr="00576EBC" w:rsidRDefault="005109A7" w:rsidP="007F36D7">
            <w:pPr>
              <w:rPr>
                <w:rFonts w:ascii="Arial" w:hAnsi="Arial" w:cs="Arial"/>
                <w:sz w:val="20"/>
              </w:rPr>
            </w:pPr>
          </w:p>
        </w:tc>
        <w:tc>
          <w:tcPr>
            <w:tcW w:w="3544" w:type="dxa"/>
          </w:tcPr>
          <w:p w:rsidR="005109A7" w:rsidRPr="00576EBC" w:rsidRDefault="005109A7" w:rsidP="00DE6CD6">
            <w:pPr>
              <w:pStyle w:val="ListBullet"/>
            </w:pPr>
            <w:r w:rsidRPr="00576EBC">
              <w:t>Clinical Claim:</w:t>
            </w:r>
            <w:r w:rsidR="00894F36" w:rsidRPr="00576EBC">
              <w:t xml:space="preserve"> non-inferior effectiveness and safety compared with follitropin alfa.</w:t>
            </w:r>
          </w:p>
        </w:tc>
        <w:tc>
          <w:tcPr>
            <w:tcW w:w="5339" w:type="dxa"/>
          </w:tcPr>
          <w:p w:rsidR="005109A7" w:rsidRPr="00894F36" w:rsidRDefault="00894F36" w:rsidP="007F36D7">
            <w:pPr>
              <w:spacing w:line="276" w:lineRule="auto"/>
              <w:rPr>
                <w:rFonts w:ascii="Arial" w:hAnsi="Arial" w:cs="Arial"/>
                <w:sz w:val="20"/>
                <w:highlight w:val="yellow"/>
              </w:rPr>
            </w:pPr>
            <w:r w:rsidRPr="00894F36">
              <w:rPr>
                <w:rFonts w:ascii="Arial" w:hAnsi="Arial" w:cs="Arial"/>
                <w:sz w:val="20"/>
              </w:rPr>
              <w:t>The PBAC recalled that in March 2016 it rejected a major submission for HP-hMG on the basis that the evidence presented did not adequately support a claim of non-inferiority to the comparator, follitropin alfa. The PBAC considered that as no new clinical trial data had been provided in the resubmission, there was an insufficient basis on which to change its previous consideration regarding the claim of non-inferiority to follitropin alfa.</w:t>
            </w: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576EBC" w:rsidRDefault="005109A7" w:rsidP="007F36D7">
            <w:pPr>
              <w:rPr>
                <w:rFonts w:ascii="Arial" w:hAnsi="Arial" w:cs="Arial"/>
                <w:sz w:val="20"/>
              </w:rPr>
            </w:pPr>
          </w:p>
        </w:tc>
        <w:tc>
          <w:tcPr>
            <w:tcW w:w="2126" w:type="dxa"/>
            <w:vMerge/>
            <w:shd w:val="clear" w:color="auto" w:fill="auto"/>
          </w:tcPr>
          <w:p w:rsidR="005109A7" w:rsidRPr="00576EBC" w:rsidRDefault="005109A7" w:rsidP="007F36D7">
            <w:pPr>
              <w:rPr>
                <w:rFonts w:ascii="Arial" w:hAnsi="Arial" w:cs="Arial"/>
                <w:sz w:val="20"/>
              </w:rPr>
            </w:pPr>
          </w:p>
        </w:tc>
        <w:tc>
          <w:tcPr>
            <w:tcW w:w="3544" w:type="dxa"/>
          </w:tcPr>
          <w:p w:rsidR="005109A7" w:rsidRPr="00576EBC" w:rsidRDefault="005109A7" w:rsidP="00DE6CD6">
            <w:pPr>
              <w:pStyle w:val="ListBullet"/>
            </w:pPr>
            <w:r w:rsidRPr="00576EBC">
              <w:t>Economic Claim:</w:t>
            </w:r>
            <w:r w:rsidR="00894F36" w:rsidRPr="00576EBC">
              <w:t xml:space="preserve"> Cost-minimisation analysis with equi-effective dose ratio of 1 IU and 1.14 IU.</w:t>
            </w:r>
          </w:p>
        </w:tc>
        <w:tc>
          <w:tcPr>
            <w:tcW w:w="5339" w:type="dxa"/>
          </w:tcPr>
          <w:p w:rsidR="005109A7" w:rsidRPr="00443075" w:rsidRDefault="00894F36" w:rsidP="007F36D7">
            <w:pPr>
              <w:spacing w:line="276" w:lineRule="auto"/>
              <w:rPr>
                <w:rFonts w:ascii="Arial" w:hAnsi="Arial" w:cs="Arial"/>
                <w:sz w:val="20"/>
                <w:highlight w:val="yellow"/>
              </w:rPr>
            </w:pPr>
            <w:r w:rsidRPr="00894F36">
              <w:rPr>
                <w:rFonts w:ascii="Arial" w:hAnsi="Arial" w:cs="Arial"/>
                <w:sz w:val="20"/>
              </w:rPr>
              <w:t>The PBAC noted that reliable equi-effective doses could not be estimated from the CS002 trial as the trial did not adequately demonstrate non-inferiority of HP-hMG and follitropin alfa. Notwithstanding this, the PBAC considered the equi-effective dose ratio proposed in the minor resubmission of 1:1.14 was not adequately supported as it was based on the analysis of the per-protocol population. Based on the analysis of the intention-to-treat population the equi-effective dose ratio was noted to be higher (1:1.32 to 1:1.46).</w:t>
            </w:r>
          </w:p>
        </w:tc>
      </w:tr>
      <w:tr w:rsidR="005109A7" w:rsidRPr="00443075" w:rsidTr="00F463A6">
        <w:trPr>
          <w:trHeight w:val="433"/>
        </w:trPr>
        <w:tc>
          <w:tcPr>
            <w:tcW w:w="2363" w:type="dxa"/>
            <w:vMerge/>
          </w:tcPr>
          <w:p w:rsidR="005109A7" w:rsidRPr="00CA0C65" w:rsidRDefault="005109A7" w:rsidP="007F36D7">
            <w:pPr>
              <w:rPr>
                <w:rFonts w:ascii="Arial" w:hAnsi="Arial" w:cs="Arial"/>
                <w:sz w:val="20"/>
              </w:rPr>
            </w:pPr>
          </w:p>
        </w:tc>
        <w:tc>
          <w:tcPr>
            <w:tcW w:w="2315" w:type="dxa"/>
            <w:vMerge/>
            <w:shd w:val="clear" w:color="auto" w:fill="auto"/>
          </w:tcPr>
          <w:p w:rsidR="005109A7" w:rsidRPr="00576EBC" w:rsidRDefault="005109A7" w:rsidP="007F36D7">
            <w:pPr>
              <w:rPr>
                <w:rFonts w:ascii="Arial" w:hAnsi="Arial" w:cs="Arial"/>
                <w:sz w:val="20"/>
              </w:rPr>
            </w:pPr>
          </w:p>
        </w:tc>
        <w:tc>
          <w:tcPr>
            <w:tcW w:w="2126" w:type="dxa"/>
            <w:vMerge/>
            <w:shd w:val="clear" w:color="auto" w:fill="auto"/>
          </w:tcPr>
          <w:p w:rsidR="005109A7" w:rsidRPr="00576EBC" w:rsidRDefault="005109A7" w:rsidP="007F36D7">
            <w:pPr>
              <w:rPr>
                <w:rFonts w:ascii="Arial" w:hAnsi="Arial" w:cs="Arial"/>
                <w:sz w:val="20"/>
              </w:rPr>
            </w:pPr>
          </w:p>
        </w:tc>
        <w:tc>
          <w:tcPr>
            <w:tcW w:w="3544" w:type="dxa"/>
          </w:tcPr>
          <w:p w:rsidR="005109A7" w:rsidRPr="00576EBC" w:rsidRDefault="00B024DE" w:rsidP="00DE6CD6">
            <w:pPr>
              <w:pStyle w:val="ListBullet"/>
            </w:pPr>
            <w:r w:rsidRPr="00576EBC">
              <w:t>Sponsor comment:</w:t>
            </w:r>
          </w:p>
        </w:tc>
        <w:tc>
          <w:tcPr>
            <w:tcW w:w="5339" w:type="dxa"/>
          </w:tcPr>
          <w:p w:rsidR="005109A7" w:rsidRPr="00443075" w:rsidRDefault="00576EBC" w:rsidP="007F36D7">
            <w:pPr>
              <w:spacing w:line="276" w:lineRule="auto"/>
              <w:rPr>
                <w:rFonts w:ascii="Arial" w:hAnsi="Arial" w:cs="Arial"/>
                <w:sz w:val="20"/>
                <w:highlight w:val="yellow"/>
              </w:rPr>
            </w:pPr>
            <w:r w:rsidRPr="00576EBC">
              <w:rPr>
                <w:rFonts w:ascii="Arial" w:hAnsi="Arial" w:cs="Arial"/>
                <w:sz w:val="20"/>
              </w:rPr>
              <w:t>Ferring is disappointed with this PBAC decision however we will continue to work with physicians, patients and the PBAC to find a way to make ovulation induction with MENOPUR available on the PBS as a treatment option for patients with anovulatory infertility.</w:t>
            </w:r>
          </w:p>
        </w:tc>
      </w:tr>
      <w:tr w:rsidR="006A4400" w:rsidRPr="00443075" w:rsidTr="00F463A6">
        <w:trPr>
          <w:trHeight w:val="488"/>
        </w:trPr>
        <w:tc>
          <w:tcPr>
            <w:tcW w:w="2363" w:type="dxa"/>
            <w:vMerge w:val="restart"/>
          </w:tcPr>
          <w:p w:rsidR="006A4400" w:rsidRPr="004A4A6D" w:rsidRDefault="006A4400" w:rsidP="004A4A6D">
            <w:pPr>
              <w:keepNext/>
              <w:spacing w:line="276" w:lineRule="auto"/>
              <w:rPr>
                <w:rFonts w:ascii="Arial" w:hAnsi="Arial" w:cs="Arial"/>
                <w:sz w:val="20"/>
              </w:rPr>
            </w:pPr>
            <w:r w:rsidRPr="004A4A6D">
              <w:rPr>
                <w:rFonts w:ascii="Arial" w:hAnsi="Arial" w:cs="Arial"/>
                <w:sz w:val="20"/>
              </w:rPr>
              <w:lastRenderedPageBreak/>
              <w:t>IBRUTINIB</w:t>
            </w:r>
          </w:p>
          <w:p w:rsidR="006A4400" w:rsidRPr="004A4A6D" w:rsidRDefault="006A4400" w:rsidP="004A4A6D">
            <w:pPr>
              <w:keepNext/>
              <w:spacing w:line="276" w:lineRule="auto"/>
              <w:rPr>
                <w:rFonts w:ascii="Arial" w:hAnsi="Arial" w:cs="Arial"/>
                <w:sz w:val="20"/>
              </w:rPr>
            </w:pPr>
          </w:p>
          <w:p w:rsidR="006A4400" w:rsidRPr="004A4A6D" w:rsidRDefault="006A4400" w:rsidP="004A4A6D">
            <w:pPr>
              <w:keepNext/>
              <w:spacing w:line="276" w:lineRule="auto"/>
              <w:rPr>
                <w:rFonts w:ascii="Arial" w:hAnsi="Arial" w:cs="Arial"/>
                <w:sz w:val="20"/>
              </w:rPr>
            </w:pPr>
            <w:r w:rsidRPr="004A4A6D">
              <w:rPr>
                <w:rFonts w:ascii="Arial" w:hAnsi="Arial" w:cs="Arial"/>
                <w:sz w:val="20"/>
              </w:rPr>
              <w:t>Capsule 140 mg</w:t>
            </w:r>
          </w:p>
          <w:p w:rsidR="006A4400" w:rsidRPr="004A4A6D" w:rsidRDefault="006A4400" w:rsidP="004A4A6D">
            <w:pPr>
              <w:keepNext/>
              <w:spacing w:line="276" w:lineRule="auto"/>
              <w:rPr>
                <w:rFonts w:ascii="Arial" w:hAnsi="Arial" w:cs="Arial"/>
                <w:sz w:val="20"/>
              </w:rPr>
            </w:pPr>
          </w:p>
          <w:p w:rsidR="006A4400" w:rsidRPr="004A4A6D" w:rsidRDefault="006A4400" w:rsidP="004A4A6D">
            <w:pPr>
              <w:keepNext/>
              <w:spacing w:line="276" w:lineRule="auto"/>
              <w:rPr>
                <w:rFonts w:ascii="Arial" w:hAnsi="Arial" w:cs="Arial"/>
                <w:sz w:val="20"/>
              </w:rPr>
            </w:pPr>
            <w:r w:rsidRPr="004A4A6D">
              <w:rPr>
                <w:rFonts w:ascii="Arial" w:hAnsi="Arial" w:cs="Arial"/>
                <w:sz w:val="20"/>
              </w:rPr>
              <w:t>Imbruvica®</w:t>
            </w:r>
          </w:p>
          <w:p w:rsidR="006A4400" w:rsidRPr="004A4A6D" w:rsidRDefault="006A4400" w:rsidP="004A4A6D">
            <w:pPr>
              <w:keepNext/>
              <w:spacing w:line="276" w:lineRule="auto"/>
              <w:rPr>
                <w:rFonts w:ascii="Arial" w:hAnsi="Arial" w:cs="Arial"/>
                <w:sz w:val="20"/>
              </w:rPr>
            </w:pPr>
          </w:p>
          <w:p w:rsidR="006A4400" w:rsidRDefault="006A4400" w:rsidP="004A4A6D">
            <w:pPr>
              <w:keepNext/>
              <w:spacing w:line="276" w:lineRule="auto"/>
              <w:rPr>
                <w:rFonts w:ascii="Arial" w:hAnsi="Arial" w:cs="Arial"/>
                <w:sz w:val="20"/>
              </w:rPr>
            </w:pPr>
            <w:r w:rsidRPr="004A4A6D">
              <w:rPr>
                <w:rFonts w:ascii="Arial" w:hAnsi="Arial" w:cs="Arial"/>
                <w:sz w:val="20"/>
              </w:rPr>
              <w:t>Janssen-Cilag Pty Ltd</w:t>
            </w:r>
          </w:p>
          <w:p w:rsidR="00D029DF" w:rsidRDefault="00D029DF" w:rsidP="004A4A6D">
            <w:pPr>
              <w:keepNext/>
              <w:spacing w:line="276" w:lineRule="auto"/>
              <w:rPr>
                <w:rFonts w:ascii="Arial" w:hAnsi="Arial" w:cs="Arial"/>
                <w:sz w:val="20"/>
              </w:rPr>
            </w:pPr>
          </w:p>
          <w:p w:rsidR="00D029DF" w:rsidRDefault="00D029DF" w:rsidP="004A4A6D">
            <w:pPr>
              <w:keepNext/>
              <w:spacing w:line="276" w:lineRule="auto"/>
              <w:rPr>
                <w:rFonts w:ascii="Arial" w:hAnsi="Arial" w:cs="Arial"/>
                <w:sz w:val="20"/>
              </w:rPr>
            </w:pPr>
            <w:r>
              <w:rPr>
                <w:rFonts w:ascii="Arial" w:hAnsi="Arial" w:cs="Arial"/>
                <w:sz w:val="20"/>
              </w:rPr>
              <w:t>New listing</w:t>
            </w:r>
          </w:p>
          <w:p w:rsidR="00D029DF" w:rsidRDefault="00D029DF" w:rsidP="004A4A6D">
            <w:pPr>
              <w:keepNext/>
              <w:spacing w:line="276" w:lineRule="auto"/>
              <w:rPr>
                <w:rFonts w:ascii="Arial" w:hAnsi="Arial" w:cs="Arial"/>
                <w:sz w:val="20"/>
              </w:rPr>
            </w:pPr>
          </w:p>
          <w:p w:rsidR="00D029DF" w:rsidRPr="00CA0C65" w:rsidRDefault="00D029DF" w:rsidP="004A4A6D">
            <w:pPr>
              <w:keepNext/>
              <w:spacing w:line="276" w:lineRule="auto"/>
              <w:rPr>
                <w:rFonts w:ascii="Arial" w:hAnsi="Arial" w:cs="Arial"/>
                <w:sz w:val="20"/>
              </w:rPr>
            </w:pPr>
            <w:r>
              <w:rPr>
                <w:rFonts w:ascii="Arial" w:hAnsi="Arial" w:cs="Arial"/>
                <w:sz w:val="20"/>
              </w:rPr>
              <w:t>(Minor submission)</w:t>
            </w:r>
          </w:p>
          <w:p w:rsidR="006A4400" w:rsidRPr="00CA0C65" w:rsidRDefault="006A4400" w:rsidP="007F36D7">
            <w:pPr>
              <w:keepNext/>
              <w:spacing w:line="276" w:lineRule="auto"/>
              <w:rPr>
                <w:rFonts w:ascii="Arial" w:hAnsi="Arial" w:cs="Arial"/>
                <w:sz w:val="20"/>
                <w:highlight w:val="yellow"/>
              </w:rPr>
            </w:pPr>
          </w:p>
        </w:tc>
        <w:tc>
          <w:tcPr>
            <w:tcW w:w="2315" w:type="dxa"/>
            <w:vMerge w:val="restart"/>
            <w:shd w:val="clear" w:color="auto" w:fill="auto"/>
          </w:tcPr>
          <w:p w:rsidR="006A4400" w:rsidRPr="00CA0C65" w:rsidRDefault="006A4400" w:rsidP="00AC3F9F">
            <w:pPr>
              <w:rPr>
                <w:rFonts w:ascii="Arial" w:hAnsi="Arial" w:cs="Arial"/>
                <w:sz w:val="20"/>
              </w:rPr>
            </w:pPr>
            <w:r>
              <w:rPr>
                <w:rFonts w:ascii="Arial" w:hAnsi="Arial" w:cs="Arial"/>
                <w:sz w:val="20"/>
              </w:rPr>
              <w:t>Ibrutinib is indicated for the treatment of patients with chronic lymphocytic leukaemia (CLL) or small lymphocytic lymphoma</w:t>
            </w:r>
            <w:r w:rsidR="00AC3F9F">
              <w:rPr>
                <w:rFonts w:ascii="Arial" w:hAnsi="Arial" w:cs="Arial"/>
                <w:sz w:val="20"/>
              </w:rPr>
              <w:t xml:space="preserve"> (SLL)</w:t>
            </w:r>
            <w:r>
              <w:rPr>
                <w:rFonts w:ascii="Arial" w:hAnsi="Arial" w:cs="Arial"/>
                <w:sz w:val="20"/>
              </w:rPr>
              <w:t xml:space="preserve"> in patients who have received at least one prior therapy, or as first line in </w:t>
            </w:r>
            <w:r w:rsidR="00DC4717">
              <w:rPr>
                <w:rFonts w:ascii="Arial" w:hAnsi="Arial" w:cs="Arial"/>
                <w:sz w:val="20"/>
              </w:rPr>
              <w:t xml:space="preserve">CLL </w:t>
            </w:r>
            <w:r>
              <w:rPr>
                <w:rFonts w:ascii="Arial" w:hAnsi="Arial" w:cs="Arial"/>
                <w:sz w:val="20"/>
              </w:rPr>
              <w:t>patients with 17p deletion; and mantle cell lymphoma (MCL) in patients who have received at least one prior therapy.</w:t>
            </w:r>
          </w:p>
        </w:tc>
        <w:tc>
          <w:tcPr>
            <w:tcW w:w="2126" w:type="dxa"/>
            <w:vMerge w:val="restart"/>
            <w:shd w:val="clear" w:color="auto" w:fill="auto"/>
          </w:tcPr>
          <w:p w:rsidR="006A4400" w:rsidRPr="004571A9" w:rsidRDefault="006A4400" w:rsidP="00BA6888">
            <w:pPr>
              <w:rPr>
                <w:rFonts w:ascii="Arial" w:hAnsi="Arial" w:cs="Arial"/>
                <w:color w:val="000000"/>
                <w:sz w:val="20"/>
              </w:rPr>
            </w:pPr>
            <w:r>
              <w:rPr>
                <w:rFonts w:ascii="Arial" w:hAnsi="Arial" w:cs="Arial"/>
                <w:color w:val="000000"/>
                <w:sz w:val="20"/>
              </w:rPr>
              <w:t>Ibrutinib is not currently</w:t>
            </w:r>
            <w:r w:rsidR="00BA6888">
              <w:rPr>
                <w:rFonts w:ascii="Arial" w:hAnsi="Arial" w:cs="Arial"/>
                <w:color w:val="000000"/>
                <w:sz w:val="20"/>
              </w:rPr>
              <w:t xml:space="preserve"> PBS</w:t>
            </w:r>
            <w:r>
              <w:rPr>
                <w:rFonts w:ascii="Arial" w:hAnsi="Arial" w:cs="Arial"/>
                <w:color w:val="000000"/>
                <w:sz w:val="20"/>
              </w:rPr>
              <w:t xml:space="preserve"> listed.</w:t>
            </w:r>
          </w:p>
        </w:tc>
        <w:tc>
          <w:tcPr>
            <w:tcW w:w="3544" w:type="dxa"/>
          </w:tcPr>
          <w:p w:rsidR="006A4400" w:rsidRPr="00443075" w:rsidRDefault="006A4400" w:rsidP="00256CB9">
            <w:pPr>
              <w:keepNext/>
              <w:spacing w:line="276" w:lineRule="auto"/>
              <w:rPr>
                <w:rFonts w:ascii="Arial" w:hAnsi="Arial" w:cs="Arial"/>
                <w:color w:val="000000"/>
                <w:sz w:val="20"/>
              </w:rPr>
            </w:pPr>
            <w:r w:rsidRPr="00F516E0">
              <w:rPr>
                <w:rFonts w:ascii="Arial" w:hAnsi="Arial" w:cs="Arial"/>
                <w:color w:val="000000"/>
                <w:sz w:val="20"/>
              </w:rPr>
              <w:t xml:space="preserve">Re-submission to request Authority Required (STREAMLINED) listing for the treatment of relapsed or refractory </w:t>
            </w:r>
            <w:r w:rsidR="00256CB9">
              <w:rPr>
                <w:rFonts w:ascii="Arial" w:hAnsi="Arial" w:cs="Arial"/>
                <w:color w:val="000000"/>
                <w:sz w:val="20"/>
              </w:rPr>
              <w:t>CLL</w:t>
            </w:r>
            <w:r w:rsidRPr="00F516E0">
              <w:rPr>
                <w:rFonts w:ascii="Arial" w:hAnsi="Arial" w:cs="Arial"/>
                <w:color w:val="000000"/>
                <w:sz w:val="20"/>
              </w:rPr>
              <w:t xml:space="preserve"> and relapsed or refractory </w:t>
            </w:r>
            <w:r w:rsidR="00256CB9">
              <w:rPr>
                <w:rFonts w:ascii="Arial" w:hAnsi="Arial" w:cs="Arial"/>
                <w:color w:val="000000"/>
                <w:sz w:val="20"/>
              </w:rPr>
              <w:t>SLL</w:t>
            </w:r>
            <w:r w:rsidRPr="00F516E0">
              <w:rPr>
                <w:rFonts w:ascii="Arial" w:hAnsi="Arial" w:cs="Arial"/>
                <w:color w:val="000000"/>
                <w:sz w:val="20"/>
              </w:rPr>
              <w:t>.</w:t>
            </w:r>
          </w:p>
        </w:tc>
        <w:tc>
          <w:tcPr>
            <w:tcW w:w="5339" w:type="dxa"/>
          </w:tcPr>
          <w:p w:rsidR="006E12A3" w:rsidRPr="001B57DB" w:rsidRDefault="006E12A3" w:rsidP="001B57DB">
            <w:pPr>
              <w:rPr>
                <w:rFonts w:ascii="Arial" w:hAnsi="Arial" w:cs="Arial"/>
                <w:color w:val="000000"/>
                <w:sz w:val="20"/>
              </w:rPr>
            </w:pPr>
            <w:r w:rsidRPr="006E12A3">
              <w:rPr>
                <w:rFonts w:ascii="Arial" w:hAnsi="Arial" w:cs="Arial"/>
                <w:color w:val="000000"/>
                <w:sz w:val="20"/>
              </w:rPr>
              <w:t>The PBAC did not recommend the listing of ibrutinib for the treatment of relapsed or refractory chronic lymphocytic leukaemia (CLL) or small lymphocytic lymphoma (SLL)</w:t>
            </w:r>
            <w:r w:rsidR="0029065B">
              <w:rPr>
                <w:rFonts w:ascii="Arial" w:hAnsi="Arial" w:cs="Arial"/>
                <w:color w:val="000000"/>
                <w:sz w:val="20"/>
              </w:rPr>
              <w:t>.</w:t>
            </w:r>
            <w:r w:rsidRPr="006E12A3">
              <w:rPr>
                <w:rFonts w:ascii="Arial" w:hAnsi="Arial" w:cs="Arial"/>
                <w:color w:val="000000"/>
                <w:sz w:val="20"/>
              </w:rPr>
              <w:t xml:space="preserve"> </w:t>
            </w:r>
            <w:r w:rsidR="0029065B">
              <w:rPr>
                <w:rFonts w:ascii="Arial" w:hAnsi="Arial" w:cs="Arial"/>
                <w:color w:val="000000"/>
                <w:sz w:val="20"/>
              </w:rPr>
              <w:t>A</w:t>
            </w:r>
            <w:r w:rsidRPr="006E12A3">
              <w:rPr>
                <w:rFonts w:ascii="Arial" w:hAnsi="Arial" w:cs="Arial"/>
                <w:color w:val="000000"/>
                <w:sz w:val="20"/>
              </w:rPr>
              <w:t xml:space="preserve">lthough the new submission proposed a reduction in the total expenditure caps for ibrutinib compared to the previous submission, and although that reduction would </w:t>
            </w:r>
            <w:r w:rsidR="00AF3D81">
              <w:rPr>
                <w:rFonts w:ascii="Arial" w:hAnsi="Arial" w:cs="Arial"/>
                <w:color w:val="000000"/>
                <w:sz w:val="20"/>
              </w:rPr>
              <w:t xml:space="preserve">effectively </w:t>
            </w:r>
            <w:r w:rsidRPr="006E12A3">
              <w:rPr>
                <w:rFonts w:ascii="Arial" w:hAnsi="Arial" w:cs="Arial"/>
                <w:color w:val="000000"/>
                <w:sz w:val="20"/>
              </w:rPr>
              <w:t>reduce the incremental cost per quality adjusted life year (QALY) gained</w:t>
            </w:r>
            <w:r w:rsidR="0029065B">
              <w:rPr>
                <w:rFonts w:ascii="Arial" w:hAnsi="Arial" w:cs="Arial"/>
                <w:color w:val="000000"/>
                <w:sz w:val="20"/>
              </w:rPr>
              <w:t>, the PBAC considered that,</w:t>
            </w:r>
            <w:r w:rsidRPr="006E12A3">
              <w:rPr>
                <w:rFonts w:ascii="Arial" w:hAnsi="Arial" w:cs="Arial"/>
                <w:color w:val="000000"/>
                <w:sz w:val="20"/>
              </w:rPr>
              <w:t xml:space="preserve"> in the event that usage </w:t>
            </w:r>
            <w:r w:rsidR="00AF3D81">
              <w:rPr>
                <w:rFonts w:ascii="Arial" w:hAnsi="Arial" w:cs="Arial"/>
                <w:color w:val="000000"/>
                <w:sz w:val="20"/>
              </w:rPr>
              <w:t>exceeded</w:t>
            </w:r>
            <w:r w:rsidR="00AF3D81" w:rsidRPr="006E12A3">
              <w:rPr>
                <w:rFonts w:ascii="Arial" w:hAnsi="Arial" w:cs="Arial"/>
                <w:color w:val="000000"/>
                <w:sz w:val="20"/>
              </w:rPr>
              <w:t xml:space="preserve"> </w:t>
            </w:r>
            <w:r w:rsidRPr="006E12A3">
              <w:rPr>
                <w:rFonts w:ascii="Arial" w:hAnsi="Arial" w:cs="Arial"/>
                <w:color w:val="000000"/>
                <w:sz w:val="20"/>
              </w:rPr>
              <w:t>the level of the new caps, the cost-effectiveness of treatment remained unacceptably high and uncertain</w:t>
            </w:r>
            <w:r w:rsidR="00211D3A">
              <w:rPr>
                <w:rFonts w:ascii="Arial" w:hAnsi="Arial" w:cs="Arial"/>
                <w:color w:val="000000"/>
                <w:sz w:val="20"/>
              </w:rPr>
              <w:t>.</w:t>
            </w:r>
            <w:r w:rsidRPr="006E12A3">
              <w:rPr>
                <w:rFonts w:ascii="Arial" w:hAnsi="Arial" w:cs="Arial"/>
                <w:color w:val="000000"/>
                <w:sz w:val="20"/>
              </w:rPr>
              <w:t xml:space="preserve"> </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Pr="00443075" w:rsidRDefault="006A4400" w:rsidP="00DE6CD6">
            <w:pPr>
              <w:pStyle w:val="ListBullet"/>
            </w:pPr>
            <w:r>
              <w:t>Comparator:</w:t>
            </w:r>
            <w:r w:rsidR="0040515C">
              <w:t xml:space="preserve">  </w:t>
            </w:r>
            <w:r w:rsidR="0040515C" w:rsidRPr="0040515C">
              <w:t>Rituximab plus chlorambucil</w:t>
            </w:r>
          </w:p>
        </w:tc>
        <w:tc>
          <w:tcPr>
            <w:tcW w:w="5339" w:type="dxa"/>
          </w:tcPr>
          <w:p w:rsidR="006A4400" w:rsidRPr="00443075" w:rsidRDefault="0040515C" w:rsidP="007F36D7">
            <w:pPr>
              <w:spacing w:line="276" w:lineRule="auto"/>
              <w:rPr>
                <w:rFonts w:ascii="Arial" w:hAnsi="Arial" w:cs="Arial"/>
                <w:sz w:val="20"/>
                <w:highlight w:val="yellow"/>
              </w:rPr>
            </w:pPr>
            <w:r w:rsidRPr="0040515C">
              <w:rPr>
                <w:rFonts w:ascii="Arial" w:hAnsi="Arial" w:cs="Arial"/>
                <w:sz w:val="20"/>
              </w:rPr>
              <w:t>Accepted</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Clinical Claim:</w:t>
            </w:r>
            <w:r w:rsidR="0040515C">
              <w:t xml:space="preserve">  </w:t>
            </w:r>
            <w:r w:rsidR="0040515C" w:rsidRPr="0040515C">
              <w:t>superior efficacy profile compared to ofatumumab (and by extension chlorambucil plus rituximab, the main comparator) and a different but acceptable safety and tolerability profile.</w:t>
            </w:r>
          </w:p>
        </w:tc>
        <w:tc>
          <w:tcPr>
            <w:tcW w:w="5339" w:type="dxa"/>
          </w:tcPr>
          <w:p w:rsidR="006A4400" w:rsidRPr="00443075" w:rsidRDefault="0040515C" w:rsidP="006B4334">
            <w:pPr>
              <w:spacing w:line="276" w:lineRule="auto"/>
              <w:rPr>
                <w:rFonts w:ascii="Arial" w:hAnsi="Arial" w:cs="Arial"/>
                <w:sz w:val="20"/>
                <w:highlight w:val="yellow"/>
              </w:rPr>
            </w:pPr>
            <w:r w:rsidRPr="0040515C">
              <w:rPr>
                <w:rFonts w:ascii="Arial" w:hAnsi="Arial" w:cs="Arial"/>
                <w:sz w:val="20"/>
              </w:rPr>
              <w:t>The PBAC recalled its previous clinical advice that ibrutinib is an effective treatment for CLL and SLL based on the results of the RESONATE trial as monotherapy</w:t>
            </w:r>
            <w:r w:rsidR="001B57DB">
              <w:rPr>
                <w:rFonts w:ascii="Arial" w:hAnsi="Arial" w:cs="Arial"/>
                <w:sz w:val="20"/>
              </w:rPr>
              <w:t xml:space="preserve"> for patients who meet certain criteria</w:t>
            </w:r>
            <w:r>
              <w:rPr>
                <w:rFonts w:ascii="Arial" w:hAnsi="Arial" w:cs="Arial"/>
                <w:sz w:val="20"/>
              </w:rPr>
              <w:t>.</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Economic Claim:</w:t>
            </w:r>
            <w:r w:rsidR="0040515C">
              <w:t xml:space="preserve"> </w:t>
            </w:r>
            <w:r w:rsidR="0040515C" w:rsidRPr="0040515C">
              <w:t>Cost-utility analysis</w:t>
            </w:r>
            <w:r w:rsidR="0040515C">
              <w:t xml:space="preserve"> of ibrutinib verses </w:t>
            </w:r>
            <w:r w:rsidR="0040515C" w:rsidRPr="0040515C">
              <w:t>rituximab plus chlorambucil</w:t>
            </w:r>
            <w:r w:rsidR="00214A2F">
              <w:t>.</w:t>
            </w:r>
          </w:p>
        </w:tc>
        <w:tc>
          <w:tcPr>
            <w:tcW w:w="5339" w:type="dxa"/>
          </w:tcPr>
          <w:p w:rsidR="006A4400" w:rsidRPr="00443075" w:rsidRDefault="00211D3A" w:rsidP="00AF3D81">
            <w:pPr>
              <w:spacing w:line="276" w:lineRule="auto"/>
              <w:rPr>
                <w:rFonts w:ascii="Arial" w:hAnsi="Arial" w:cs="Arial"/>
                <w:sz w:val="20"/>
                <w:highlight w:val="yellow"/>
              </w:rPr>
            </w:pPr>
            <w:r>
              <w:rPr>
                <w:rFonts w:ascii="Arial" w:hAnsi="Arial" w:cs="Arial"/>
                <w:color w:val="000000"/>
                <w:sz w:val="20"/>
              </w:rPr>
              <w:t xml:space="preserve">The PBAC considered that at </w:t>
            </w:r>
            <w:r w:rsidRPr="006E12A3">
              <w:rPr>
                <w:rFonts w:ascii="Arial" w:hAnsi="Arial" w:cs="Arial"/>
                <w:color w:val="000000"/>
                <w:sz w:val="20"/>
              </w:rPr>
              <w:t xml:space="preserve">the </w:t>
            </w:r>
            <w:r w:rsidR="00AF3D81">
              <w:rPr>
                <w:rFonts w:ascii="Arial" w:hAnsi="Arial" w:cs="Arial"/>
                <w:color w:val="000000"/>
                <w:sz w:val="20"/>
              </w:rPr>
              <w:t xml:space="preserve">effective </w:t>
            </w:r>
            <w:r w:rsidRPr="006E12A3">
              <w:rPr>
                <w:rFonts w:ascii="Arial" w:hAnsi="Arial" w:cs="Arial"/>
                <w:color w:val="000000"/>
                <w:sz w:val="20"/>
              </w:rPr>
              <w:t xml:space="preserve">incremental cost per QALY gained </w:t>
            </w:r>
            <w:r w:rsidR="00AF3D81">
              <w:rPr>
                <w:rFonts w:ascii="Arial" w:hAnsi="Arial" w:cs="Arial"/>
                <w:color w:val="000000"/>
                <w:sz w:val="20"/>
              </w:rPr>
              <w:t>with</w:t>
            </w:r>
            <w:r w:rsidR="00AF3D81" w:rsidRPr="006E12A3">
              <w:rPr>
                <w:rFonts w:ascii="Arial" w:hAnsi="Arial" w:cs="Arial"/>
                <w:color w:val="000000"/>
                <w:sz w:val="20"/>
              </w:rPr>
              <w:t xml:space="preserve"> </w:t>
            </w:r>
            <w:r w:rsidRPr="006E12A3">
              <w:rPr>
                <w:rFonts w:ascii="Arial" w:hAnsi="Arial" w:cs="Arial"/>
                <w:color w:val="000000"/>
                <w:sz w:val="20"/>
              </w:rPr>
              <w:t xml:space="preserve">the </w:t>
            </w:r>
            <w:r w:rsidR="00AF3D81">
              <w:rPr>
                <w:rFonts w:ascii="Arial" w:hAnsi="Arial" w:cs="Arial"/>
                <w:color w:val="000000"/>
                <w:sz w:val="20"/>
              </w:rPr>
              <w:t>proposed expenditure</w:t>
            </w:r>
            <w:r w:rsidR="00AF3D81" w:rsidRPr="006E12A3">
              <w:rPr>
                <w:rFonts w:ascii="Arial" w:hAnsi="Arial" w:cs="Arial"/>
                <w:color w:val="000000"/>
                <w:sz w:val="20"/>
              </w:rPr>
              <w:t xml:space="preserve"> </w:t>
            </w:r>
            <w:r w:rsidR="0029065B">
              <w:rPr>
                <w:rFonts w:ascii="Arial" w:hAnsi="Arial" w:cs="Arial"/>
                <w:color w:val="000000"/>
                <w:sz w:val="20"/>
              </w:rPr>
              <w:t>caps</w:t>
            </w:r>
            <w:r w:rsidRPr="006E12A3">
              <w:rPr>
                <w:rFonts w:ascii="Arial" w:hAnsi="Arial" w:cs="Arial"/>
                <w:color w:val="000000"/>
                <w:sz w:val="20"/>
              </w:rPr>
              <w:t xml:space="preserve"> the cost-effectiveness of treatment remained unacceptably high and uncertain. Additionally, the PBAC remained of the view that, at a total net cost to the PBS of more than $100 million over the first 5 years of listing ibrutinib, there would be a significant opportunity cost to the Commonwealth.</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B024DE" w:rsidP="00DE6CD6">
            <w:pPr>
              <w:pStyle w:val="ListBullet"/>
            </w:pPr>
            <w:r w:rsidRPr="00BF3003">
              <w:t>Sponsor comment:</w:t>
            </w:r>
          </w:p>
        </w:tc>
        <w:tc>
          <w:tcPr>
            <w:tcW w:w="5339" w:type="dxa"/>
          </w:tcPr>
          <w:p w:rsidR="00BF3003" w:rsidRPr="00BF3003" w:rsidRDefault="00BF3003" w:rsidP="00BF3003">
            <w:pPr>
              <w:spacing w:line="276" w:lineRule="auto"/>
              <w:rPr>
                <w:rFonts w:ascii="Arial" w:hAnsi="Arial" w:cs="Arial"/>
                <w:sz w:val="20"/>
              </w:rPr>
            </w:pPr>
            <w:r w:rsidRPr="00BF3003">
              <w:rPr>
                <w:rFonts w:ascii="Arial" w:hAnsi="Arial" w:cs="Arial"/>
                <w:sz w:val="20"/>
              </w:rPr>
              <w:t xml:space="preserve">Janssen is disappointed that the submission was rejected. We remain concerned that the multiple conservative assumptions required by the PBAC underestimates the benefit and value of ibrutinib. The requirements of the PBAC for a truncated time horizon with the additional requirement of convergence, the </w:t>
            </w:r>
            <w:r w:rsidRPr="00BF3003">
              <w:rPr>
                <w:rFonts w:ascii="Arial" w:hAnsi="Arial" w:cs="Arial"/>
                <w:sz w:val="20"/>
              </w:rPr>
              <w:lastRenderedPageBreak/>
              <w:t>exclusion o</w:t>
            </w:r>
            <w:r>
              <w:rPr>
                <w:rFonts w:ascii="Arial" w:hAnsi="Arial" w:cs="Arial"/>
                <w:sz w:val="20"/>
              </w:rPr>
              <w:t>f adjustment for cross-over and</w:t>
            </w:r>
            <w:r w:rsidRPr="00BF3003">
              <w:rPr>
                <w:rFonts w:ascii="Arial" w:hAnsi="Arial" w:cs="Arial"/>
                <w:sz w:val="20"/>
              </w:rPr>
              <w:t xml:space="preserve"> the adjustment of the comparator arm contrast significantly with comparabl</w:t>
            </w:r>
            <w:r w:rsidR="006B4334">
              <w:rPr>
                <w:rFonts w:ascii="Arial" w:hAnsi="Arial" w:cs="Arial"/>
                <w:sz w:val="20"/>
              </w:rPr>
              <w:t>e HTA agencies including NICE.</w:t>
            </w:r>
          </w:p>
          <w:p w:rsidR="00BF3003" w:rsidRPr="00BF3003" w:rsidRDefault="00BF3003" w:rsidP="00BF3003">
            <w:pPr>
              <w:spacing w:line="276" w:lineRule="auto"/>
              <w:rPr>
                <w:rFonts w:ascii="Arial" w:hAnsi="Arial" w:cs="Arial"/>
                <w:sz w:val="20"/>
              </w:rPr>
            </w:pPr>
          </w:p>
          <w:p w:rsidR="006A4400" w:rsidRPr="00443075" w:rsidRDefault="00BF3003" w:rsidP="00BF3003">
            <w:pPr>
              <w:spacing w:line="276" w:lineRule="auto"/>
              <w:rPr>
                <w:rFonts w:ascii="Arial" w:hAnsi="Arial" w:cs="Arial"/>
                <w:sz w:val="20"/>
                <w:highlight w:val="yellow"/>
              </w:rPr>
            </w:pPr>
            <w:r w:rsidRPr="00BF3003">
              <w:rPr>
                <w:rFonts w:ascii="Arial" w:hAnsi="Arial" w:cs="Arial"/>
                <w:sz w:val="20"/>
              </w:rPr>
              <w:t>Janssen maintains that ibrutinib is a cost-effective treatment at the proposed price and under the terms of the proposed RSA provided budget certainty to the Commonwealth. Janssen are engaging with the PBAC to work towards a resolution.</w:t>
            </w:r>
          </w:p>
        </w:tc>
      </w:tr>
      <w:tr w:rsidR="006A4400" w:rsidRPr="00443075" w:rsidTr="0029065B">
        <w:trPr>
          <w:trHeight w:val="488"/>
        </w:trPr>
        <w:tc>
          <w:tcPr>
            <w:tcW w:w="2363" w:type="dxa"/>
            <w:vMerge w:val="restart"/>
          </w:tcPr>
          <w:p w:rsidR="006A4400" w:rsidRPr="004A4A6D" w:rsidRDefault="006A4400" w:rsidP="0029065B">
            <w:pPr>
              <w:spacing w:line="276" w:lineRule="auto"/>
              <w:rPr>
                <w:rFonts w:ascii="Arial" w:hAnsi="Arial" w:cs="Arial"/>
                <w:sz w:val="20"/>
              </w:rPr>
            </w:pPr>
            <w:r w:rsidRPr="004A4A6D">
              <w:rPr>
                <w:rFonts w:ascii="Arial" w:hAnsi="Arial" w:cs="Arial"/>
                <w:sz w:val="20"/>
              </w:rPr>
              <w:lastRenderedPageBreak/>
              <w:t>LANREOTIDE</w:t>
            </w:r>
          </w:p>
          <w:p w:rsidR="006A4400" w:rsidRPr="004A4A6D" w:rsidRDefault="006A4400" w:rsidP="0029065B">
            <w:pPr>
              <w:spacing w:line="276" w:lineRule="auto"/>
              <w:rPr>
                <w:rFonts w:ascii="Arial" w:hAnsi="Arial" w:cs="Arial"/>
                <w:sz w:val="20"/>
              </w:rPr>
            </w:pPr>
          </w:p>
          <w:p w:rsidR="006A4400" w:rsidRPr="004A4A6D" w:rsidRDefault="006A4400" w:rsidP="0029065B">
            <w:pPr>
              <w:spacing w:line="276" w:lineRule="auto"/>
              <w:rPr>
                <w:rFonts w:ascii="Arial" w:hAnsi="Arial" w:cs="Arial"/>
                <w:sz w:val="20"/>
              </w:rPr>
            </w:pPr>
            <w:r w:rsidRPr="004A4A6D">
              <w:rPr>
                <w:rFonts w:ascii="Arial" w:hAnsi="Arial" w:cs="Arial"/>
                <w:sz w:val="20"/>
              </w:rPr>
              <w:t xml:space="preserve">Injection 60 mg (as acetate) in single dose pre-filled syringe </w:t>
            </w:r>
          </w:p>
          <w:p w:rsidR="006A4400" w:rsidRPr="004A4A6D" w:rsidRDefault="006A4400" w:rsidP="0029065B">
            <w:pPr>
              <w:spacing w:line="276" w:lineRule="auto"/>
              <w:rPr>
                <w:rFonts w:ascii="Arial" w:hAnsi="Arial" w:cs="Arial"/>
                <w:sz w:val="20"/>
              </w:rPr>
            </w:pPr>
            <w:r w:rsidRPr="004A4A6D">
              <w:rPr>
                <w:rFonts w:ascii="Arial" w:hAnsi="Arial" w:cs="Arial"/>
                <w:sz w:val="20"/>
              </w:rPr>
              <w:t xml:space="preserve">Injection 90 mg (as acetate) in single dose pre-filled syringe </w:t>
            </w:r>
          </w:p>
          <w:p w:rsidR="006A4400" w:rsidRPr="004A4A6D" w:rsidRDefault="006A4400" w:rsidP="0029065B">
            <w:pPr>
              <w:spacing w:line="276" w:lineRule="auto"/>
              <w:rPr>
                <w:rFonts w:ascii="Arial" w:hAnsi="Arial" w:cs="Arial"/>
                <w:sz w:val="20"/>
              </w:rPr>
            </w:pPr>
            <w:r w:rsidRPr="004A4A6D">
              <w:rPr>
                <w:rFonts w:ascii="Arial" w:hAnsi="Arial" w:cs="Arial"/>
                <w:sz w:val="20"/>
              </w:rPr>
              <w:t>Injection 120 mg (as acetate) in single dose pre-filled syringe</w:t>
            </w:r>
          </w:p>
          <w:p w:rsidR="006A4400" w:rsidRPr="004A4A6D" w:rsidRDefault="006A4400" w:rsidP="0029065B">
            <w:pPr>
              <w:spacing w:line="276" w:lineRule="auto"/>
              <w:rPr>
                <w:rFonts w:ascii="Arial" w:hAnsi="Arial" w:cs="Arial"/>
                <w:sz w:val="20"/>
              </w:rPr>
            </w:pPr>
          </w:p>
          <w:p w:rsidR="006A4400" w:rsidRPr="004A4A6D" w:rsidRDefault="006A4400" w:rsidP="0029065B">
            <w:pPr>
              <w:spacing w:line="276" w:lineRule="auto"/>
              <w:rPr>
                <w:rFonts w:ascii="Arial" w:hAnsi="Arial" w:cs="Arial"/>
                <w:sz w:val="20"/>
              </w:rPr>
            </w:pPr>
            <w:r w:rsidRPr="004A4A6D">
              <w:rPr>
                <w:rFonts w:ascii="Arial" w:hAnsi="Arial" w:cs="Arial"/>
                <w:sz w:val="20"/>
              </w:rPr>
              <w:t>Somatuline®  Autogel®</w:t>
            </w:r>
          </w:p>
          <w:p w:rsidR="006A4400" w:rsidRPr="004A4A6D" w:rsidRDefault="006A4400" w:rsidP="0029065B">
            <w:pPr>
              <w:spacing w:line="276" w:lineRule="auto"/>
              <w:rPr>
                <w:rFonts w:ascii="Arial" w:hAnsi="Arial" w:cs="Arial"/>
                <w:sz w:val="20"/>
              </w:rPr>
            </w:pPr>
          </w:p>
          <w:p w:rsidR="006A4400" w:rsidRPr="00CA0C65" w:rsidRDefault="006A4400" w:rsidP="0029065B">
            <w:pPr>
              <w:spacing w:line="276" w:lineRule="auto"/>
              <w:rPr>
                <w:rFonts w:ascii="Arial" w:hAnsi="Arial" w:cs="Arial"/>
                <w:sz w:val="20"/>
              </w:rPr>
            </w:pPr>
            <w:r w:rsidRPr="004A4A6D">
              <w:rPr>
                <w:rFonts w:ascii="Arial" w:hAnsi="Arial" w:cs="Arial"/>
                <w:sz w:val="20"/>
              </w:rPr>
              <w:t>Ipsen Pty Ltd</w:t>
            </w:r>
          </w:p>
          <w:p w:rsidR="006A4400" w:rsidRDefault="006A4400" w:rsidP="0029065B">
            <w:pPr>
              <w:spacing w:line="276" w:lineRule="auto"/>
              <w:rPr>
                <w:rFonts w:ascii="Arial" w:hAnsi="Arial" w:cs="Arial"/>
                <w:sz w:val="20"/>
                <w:highlight w:val="yellow"/>
              </w:rPr>
            </w:pPr>
          </w:p>
          <w:p w:rsidR="00D029DF" w:rsidRPr="00D029DF" w:rsidRDefault="00D029DF" w:rsidP="0029065B">
            <w:pPr>
              <w:spacing w:line="276" w:lineRule="auto"/>
              <w:rPr>
                <w:rFonts w:ascii="Arial" w:hAnsi="Arial" w:cs="Arial"/>
                <w:sz w:val="20"/>
              </w:rPr>
            </w:pPr>
            <w:r w:rsidRPr="00D029DF">
              <w:rPr>
                <w:rFonts w:ascii="Arial" w:hAnsi="Arial" w:cs="Arial"/>
                <w:sz w:val="20"/>
              </w:rPr>
              <w:t>Change to listing</w:t>
            </w:r>
          </w:p>
          <w:p w:rsidR="00D029DF" w:rsidRPr="00D029DF" w:rsidRDefault="00D029DF" w:rsidP="0029065B">
            <w:pPr>
              <w:spacing w:line="276" w:lineRule="auto"/>
              <w:rPr>
                <w:rFonts w:ascii="Arial" w:hAnsi="Arial" w:cs="Arial"/>
                <w:sz w:val="20"/>
              </w:rPr>
            </w:pPr>
          </w:p>
          <w:p w:rsidR="00D029DF" w:rsidRPr="00CA0C65" w:rsidRDefault="00D029DF" w:rsidP="0029065B">
            <w:pPr>
              <w:spacing w:line="276" w:lineRule="auto"/>
              <w:rPr>
                <w:rFonts w:ascii="Arial" w:hAnsi="Arial" w:cs="Arial"/>
                <w:sz w:val="20"/>
                <w:highlight w:val="yellow"/>
              </w:rPr>
            </w:pPr>
            <w:r w:rsidRPr="00D029DF">
              <w:rPr>
                <w:rFonts w:ascii="Arial" w:hAnsi="Arial" w:cs="Arial"/>
                <w:sz w:val="20"/>
              </w:rPr>
              <w:t>(Major Submission)</w:t>
            </w:r>
          </w:p>
        </w:tc>
        <w:tc>
          <w:tcPr>
            <w:tcW w:w="2315" w:type="dxa"/>
            <w:vMerge w:val="restart"/>
            <w:shd w:val="clear" w:color="auto" w:fill="auto"/>
          </w:tcPr>
          <w:p w:rsidR="006A4400" w:rsidRPr="00CA0C65" w:rsidRDefault="00AC3F9F" w:rsidP="0029065B">
            <w:pPr>
              <w:rPr>
                <w:rFonts w:ascii="Arial" w:hAnsi="Arial" w:cs="Arial"/>
                <w:sz w:val="20"/>
              </w:rPr>
            </w:pPr>
            <w:r>
              <w:rPr>
                <w:rFonts w:ascii="Arial" w:hAnsi="Arial" w:cs="Arial"/>
                <w:sz w:val="20"/>
              </w:rPr>
              <w:t>Lanreotide</w:t>
            </w:r>
            <w:r w:rsidR="006A4400">
              <w:rPr>
                <w:rFonts w:ascii="Arial" w:hAnsi="Arial" w:cs="Arial"/>
                <w:sz w:val="20"/>
              </w:rPr>
              <w:t xml:space="preserve"> is indicated for the treatment of acromegaly when circulating levels of growth hormone and IGF-1 remain abnormal after surgery and/or radiotherapy or in patients who are dopamine agonist treatment refractory; symptoms of carcinoid syndrome associated with carcinoid tumours; and gastroentero-pancreated neuroendocrine tumours (GEP-NETs) in adult patients with unresectable locally advanced or metastatic disease.</w:t>
            </w:r>
          </w:p>
        </w:tc>
        <w:tc>
          <w:tcPr>
            <w:tcW w:w="2126" w:type="dxa"/>
            <w:vMerge w:val="restart"/>
            <w:shd w:val="clear" w:color="auto" w:fill="auto"/>
          </w:tcPr>
          <w:p w:rsidR="006A4400" w:rsidRPr="004571A9" w:rsidRDefault="006A4400" w:rsidP="0029065B">
            <w:pPr>
              <w:rPr>
                <w:rFonts w:ascii="Arial" w:hAnsi="Arial" w:cs="Arial"/>
                <w:color w:val="000000"/>
                <w:sz w:val="20"/>
              </w:rPr>
            </w:pPr>
            <w:r>
              <w:rPr>
                <w:rFonts w:ascii="Arial" w:hAnsi="Arial" w:cs="Arial"/>
                <w:color w:val="000000"/>
                <w:sz w:val="20"/>
              </w:rPr>
              <w:t>Lanreotide is currently PBS listed for the treatment of acromegaly and functional carcinoid tumour.</w:t>
            </w:r>
          </w:p>
        </w:tc>
        <w:tc>
          <w:tcPr>
            <w:tcW w:w="3544" w:type="dxa"/>
          </w:tcPr>
          <w:p w:rsidR="006A4400" w:rsidRPr="00443075" w:rsidRDefault="006A4400" w:rsidP="0029065B">
            <w:pPr>
              <w:spacing w:line="276" w:lineRule="auto"/>
              <w:rPr>
                <w:rFonts w:ascii="Arial" w:hAnsi="Arial" w:cs="Arial"/>
                <w:color w:val="000000"/>
                <w:sz w:val="20"/>
              </w:rPr>
            </w:pPr>
            <w:r w:rsidRPr="00F516E0">
              <w:rPr>
                <w:rFonts w:ascii="Arial" w:hAnsi="Arial" w:cs="Arial"/>
                <w:color w:val="000000"/>
                <w:sz w:val="20"/>
              </w:rPr>
              <w:t xml:space="preserve">Resubmission to request a Section 100 (Highly Specialised Drugs Program) Authority Required (STREAMLINED) listing for the treatment of non-functional </w:t>
            </w:r>
            <w:r w:rsidRPr="004A4A6D">
              <w:rPr>
                <w:rFonts w:ascii="Arial" w:hAnsi="Arial" w:cs="Arial"/>
                <w:color w:val="000000"/>
                <w:sz w:val="20"/>
              </w:rPr>
              <w:t>GEP</w:t>
            </w:r>
            <w:r w:rsidR="00256CB9">
              <w:rPr>
                <w:rFonts w:ascii="Arial" w:hAnsi="Arial" w:cs="Arial"/>
                <w:color w:val="000000"/>
                <w:sz w:val="20"/>
              </w:rPr>
              <w:noBreakHyphen/>
            </w:r>
            <w:r w:rsidRPr="004A4A6D">
              <w:rPr>
                <w:rFonts w:ascii="Arial" w:hAnsi="Arial" w:cs="Arial"/>
                <w:color w:val="000000"/>
                <w:sz w:val="20"/>
              </w:rPr>
              <w:t>NETs</w:t>
            </w:r>
            <w:r>
              <w:rPr>
                <w:rFonts w:ascii="Arial" w:hAnsi="Arial" w:cs="Arial"/>
                <w:color w:val="000000"/>
                <w:sz w:val="20"/>
              </w:rPr>
              <w:t xml:space="preserve"> </w:t>
            </w:r>
            <w:r w:rsidRPr="00F516E0">
              <w:rPr>
                <w:rFonts w:ascii="Arial" w:hAnsi="Arial" w:cs="Arial"/>
                <w:color w:val="000000"/>
                <w:sz w:val="20"/>
              </w:rPr>
              <w:t>in adult patients with unresectable locally advanced or metastatic disease.</w:t>
            </w:r>
            <w:r>
              <w:rPr>
                <w:rFonts w:ascii="Arial" w:hAnsi="Arial" w:cs="Arial"/>
                <w:color w:val="000000"/>
                <w:sz w:val="20"/>
              </w:rPr>
              <w:t xml:space="preserve"> </w:t>
            </w:r>
          </w:p>
        </w:tc>
        <w:tc>
          <w:tcPr>
            <w:tcW w:w="5339" w:type="dxa"/>
          </w:tcPr>
          <w:p w:rsidR="00563865" w:rsidRPr="00563865" w:rsidRDefault="00563865" w:rsidP="0029065B">
            <w:pPr>
              <w:widowControl w:val="0"/>
              <w:jc w:val="both"/>
              <w:rPr>
                <w:rFonts w:ascii="Arial" w:hAnsi="Arial" w:cs="Arial"/>
                <w:color w:val="000000"/>
                <w:sz w:val="20"/>
              </w:rPr>
            </w:pPr>
            <w:r w:rsidRPr="00563865">
              <w:rPr>
                <w:rFonts w:ascii="Arial" w:hAnsi="Arial" w:cs="Arial"/>
                <w:color w:val="000000"/>
                <w:sz w:val="20"/>
              </w:rPr>
              <w:t xml:space="preserve">The PBAC did not recommend the listing of lanreotide for the treatment of </w:t>
            </w:r>
            <w:r w:rsidR="004D312F">
              <w:rPr>
                <w:rFonts w:ascii="Arial" w:hAnsi="Arial" w:cs="Arial"/>
                <w:color w:val="000000"/>
                <w:sz w:val="20"/>
              </w:rPr>
              <w:t xml:space="preserve">non-functional </w:t>
            </w:r>
            <w:r w:rsidRPr="00563865">
              <w:rPr>
                <w:rFonts w:ascii="Arial" w:hAnsi="Arial" w:cs="Arial"/>
                <w:color w:val="000000"/>
                <w:sz w:val="20"/>
              </w:rPr>
              <w:t xml:space="preserve">GEP NETs on the basis of unfavourable and uncertain cost-effectiveness at the price proposed by the sponsor. </w:t>
            </w:r>
          </w:p>
          <w:p w:rsidR="00563865" w:rsidRPr="00563865" w:rsidRDefault="00563865" w:rsidP="0029065B">
            <w:pPr>
              <w:widowControl w:val="0"/>
              <w:jc w:val="both"/>
              <w:rPr>
                <w:rFonts w:ascii="Arial" w:hAnsi="Arial" w:cs="Arial"/>
                <w:color w:val="000000"/>
                <w:sz w:val="20"/>
              </w:rPr>
            </w:pPr>
          </w:p>
          <w:p w:rsidR="00563865" w:rsidRPr="00563865" w:rsidRDefault="00563865" w:rsidP="0029065B">
            <w:pPr>
              <w:widowControl w:val="0"/>
              <w:jc w:val="both"/>
              <w:rPr>
                <w:rFonts w:ascii="Arial" w:hAnsi="Arial" w:cs="Arial"/>
                <w:color w:val="000000"/>
                <w:sz w:val="20"/>
              </w:rPr>
            </w:pPr>
            <w:r w:rsidRPr="00563865">
              <w:rPr>
                <w:rFonts w:ascii="Arial" w:hAnsi="Arial" w:cs="Arial"/>
                <w:color w:val="000000"/>
                <w:sz w:val="20"/>
              </w:rPr>
              <w:t>The PBAC acknowledged and welcomed the many consumer comments received from people living with non-functional GEP-NETs and the input from the Unicorn Foundation. In addition, representatives of the PBAC met with the Unicorn Foundation prior to the PBAC meeting to discuss the clinical place, benefits and side effects of lanreotide for the requested patient population. The Committee recognised the strong support for subsidised access to lanreotide for this condition.</w:t>
            </w:r>
          </w:p>
          <w:p w:rsidR="00563865" w:rsidRPr="00563865" w:rsidRDefault="00563865" w:rsidP="0029065B">
            <w:pPr>
              <w:widowControl w:val="0"/>
              <w:jc w:val="both"/>
              <w:rPr>
                <w:rFonts w:ascii="Arial" w:hAnsi="Arial" w:cs="Arial"/>
                <w:color w:val="000000"/>
                <w:sz w:val="20"/>
              </w:rPr>
            </w:pPr>
          </w:p>
          <w:p w:rsidR="00563865" w:rsidRPr="00563865" w:rsidRDefault="00563865" w:rsidP="0029065B">
            <w:pPr>
              <w:widowControl w:val="0"/>
              <w:jc w:val="both"/>
              <w:rPr>
                <w:rFonts w:ascii="Arial" w:hAnsi="Arial" w:cs="Arial"/>
                <w:color w:val="000000"/>
                <w:sz w:val="20"/>
              </w:rPr>
            </w:pPr>
            <w:r w:rsidRPr="00563865">
              <w:rPr>
                <w:rFonts w:ascii="Arial" w:hAnsi="Arial" w:cs="Arial"/>
                <w:color w:val="000000"/>
                <w:sz w:val="20"/>
              </w:rPr>
              <w:t>The PBAC recalled that in November 2015 it considered that the requested res</w:t>
            </w:r>
            <w:r w:rsidR="004D312F">
              <w:rPr>
                <w:rFonts w:ascii="Arial" w:hAnsi="Arial" w:cs="Arial"/>
                <w:color w:val="000000"/>
                <w:sz w:val="20"/>
              </w:rPr>
              <w:t>triction for lanreotide for non</w:t>
            </w:r>
            <w:r w:rsidR="004D312F">
              <w:rPr>
                <w:rFonts w:ascii="Arial" w:hAnsi="Arial" w:cs="Arial"/>
                <w:color w:val="000000"/>
                <w:sz w:val="20"/>
              </w:rPr>
              <w:noBreakHyphen/>
            </w:r>
            <w:r w:rsidRPr="00563865">
              <w:rPr>
                <w:rFonts w:ascii="Arial" w:hAnsi="Arial" w:cs="Arial"/>
                <w:color w:val="000000"/>
                <w:sz w:val="20"/>
              </w:rPr>
              <w:t>functional GEP-NETs should be tightened and include criteria to identify patients who would be more likely to benefit from active treatment (i.e. unsuitable for watchful waiting). The PBAC considered that there was a clinical place for lanreotide in a small, w</w:t>
            </w:r>
            <w:r w:rsidR="0029065B">
              <w:rPr>
                <w:rFonts w:ascii="Arial" w:hAnsi="Arial" w:cs="Arial"/>
                <w:color w:val="000000"/>
                <w:sz w:val="20"/>
              </w:rPr>
              <w:t>ell selected patient population. H</w:t>
            </w:r>
            <w:r w:rsidRPr="00563865">
              <w:rPr>
                <w:rFonts w:ascii="Arial" w:hAnsi="Arial" w:cs="Arial"/>
                <w:color w:val="000000"/>
                <w:sz w:val="20"/>
              </w:rPr>
              <w:t xml:space="preserve">owever, the PBAC considered that the restriction proposed in the resubmission did not clearly identify this population. The PBAC noted that it </w:t>
            </w:r>
            <w:r w:rsidRPr="00563865">
              <w:rPr>
                <w:rFonts w:ascii="Arial" w:hAnsi="Arial" w:cs="Arial"/>
                <w:color w:val="000000"/>
                <w:sz w:val="20"/>
              </w:rPr>
              <w:lastRenderedPageBreak/>
              <w:t>was not possible to identify patients most suitable for treatment with lanreotide for non</w:t>
            </w:r>
            <w:r w:rsidRPr="00563865">
              <w:rPr>
                <w:rFonts w:ascii="Arial" w:hAnsi="Arial" w:cs="Arial"/>
                <w:color w:val="000000"/>
                <w:sz w:val="20"/>
              </w:rPr>
              <w:noBreakHyphen/>
              <w:t>functional GEP</w:t>
            </w:r>
            <w:r w:rsidRPr="00563865">
              <w:rPr>
                <w:rFonts w:ascii="Arial" w:hAnsi="Arial" w:cs="Arial"/>
                <w:color w:val="000000"/>
                <w:sz w:val="20"/>
              </w:rPr>
              <w:noBreakHyphen/>
              <w:t>NETs based on biomarkers or symptoms and that PBS restrictions are not intended to guide clinical practice. Accordingly, the PBAC considered it may be more appropriate to leave the judgement of suitability for active treatment to clinicians.</w:t>
            </w:r>
          </w:p>
          <w:p w:rsidR="006A4400" w:rsidRPr="00563865" w:rsidRDefault="006A4400" w:rsidP="0029065B">
            <w:pPr>
              <w:spacing w:line="276" w:lineRule="auto"/>
              <w:rPr>
                <w:rFonts w:ascii="Arial" w:hAnsi="Arial" w:cs="Arial"/>
                <w:color w:val="000000"/>
                <w:sz w:val="20"/>
              </w:rPr>
            </w:pPr>
          </w:p>
        </w:tc>
      </w:tr>
      <w:tr w:rsidR="006A4400" w:rsidRPr="00443075" w:rsidTr="0029065B">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Pr="00443075" w:rsidRDefault="006A4400" w:rsidP="00DE6CD6">
            <w:pPr>
              <w:pStyle w:val="ListBullet"/>
            </w:pPr>
            <w:r>
              <w:t>Comparator:</w:t>
            </w:r>
            <w:r w:rsidR="00563865">
              <w:t xml:space="preserve">  Watchful waiting/</w:t>
            </w:r>
            <w:r w:rsidR="004D312F">
              <w:t xml:space="preserve"> </w:t>
            </w:r>
            <w:r w:rsidR="00563865">
              <w:t>placebo</w:t>
            </w:r>
          </w:p>
        </w:tc>
        <w:tc>
          <w:tcPr>
            <w:tcW w:w="5339" w:type="dxa"/>
          </w:tcPr>
          <w:p w:rsidR="006A4400" w:rsidRPr="00563865" w:rsidRDefault="00563865" w:rsidP="00DE6CD6">
            <w:pPr>
              <w:pStyle w:val="ListBullet"/>
            </w:pPr>
            <w:r w:rsidRPr="00563865">
              <w:t>Accepted</w:t>
            </w:r>
            <w:r>
              <w:t>.</w:t>
            </w:r>
          </w:p>
        </w:tc>
      </w:tr>
      <w:tr w:rsidR="006A4400" w:rsidRPr="00443075" w:rsidTr="0029065B">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Clinical Claim:</w:t>
            </w:r>
            <w:r w:rsidR="00563865">
              <w:t xml:space="preserve"> Superior efficacy in progression free survival </w:t>
            </w:r>
            <w:r w:rsidR="0029065B">
              <w:t xml:space="preserve">(PFS) </w:t>
            </w:r>
            <w:r w:rsidR="00563865">
              <w:t>and non-inferior or inferior safety for lanreotide compared with placebo.</w:t>
            </w:r>
          </w:p>
        </w:tc>
        <w:tc>
          <w:tcPr>
            <w:tcW w:w="5339" w:type="dxa"/>
          </w:tcPr>
          <w:p w:rsidR="00563865" w:rsidRPr="00563865" w:rsidRDefault="00563865" w:rsidP="00563865">
            <w:pPr>
              <w:widowControl w:val="0"/>
              <w:jc w:val="both"/>
              <w:rPr>
                <w:rFonts w:ascii="Arial" w:hAnsi="Arial" w:cs="Arial"/>
                <w:snapToGrid w:val="0"/>
                <w:sz w:val="20"/>
                <w:lang w:eastAsia="en-US"/>
              </w:rPr>
            </w:pPr>
            <w:r w:rsidRPr="00563865">
              <w:rPr>
                <w:rFonts w:ascii="Arial" w:hAnsi="Arial" w:cs="Arial"/>
                <w:snapToGrid w:val="0"/>
                <w:sz w:val="20"/>
                <w:lang w:eastAsia="en-US"/>
              </w:rPr>
              <w:t>The PBAC considered the efficacy of lanreotide to be superior in relation to progression free survival (hazard ratio 0.47, 95% CI 0.30, 0.73) but that the clinical significance of the PFS results remained uncertain, as radiologic progression may not necessarily be accompanied by a change in symptoms. The PBAC recalled that the clinical data from the CLARINET trial did not support a difference in overall survival between treatment arms and noted the resubmission was no longer claiming a survival advantage.</w:t>
            </w:r>
          </w:p>
          <w:p w:rsidR="00563865" w:rsidRPr="00563865" w:rsidRDefault="00563865" w:rsidP="00563865">
            <w:pPr>
              <w:widowControl w:val="0"/>
              <w:jc w:val="both"/>
              <w:rPr>
                <w:rFonts w:ascii="Arial" w:hAnsi="Arial" w:cs="Arial"/>
                <w:snapToGrid w:val="0"/>
                <w:sz w:val="20"/>
                <w:lang w:eastAsia="en-US"/>
              </w:rPr>
            </w:pPr>
          </w:p>
          <w:p w:rsidR="00563865" w:rsidRPr="00563865" w:rsidRDefault="00563865" w:rsidP="00563865">
            <w:pPr>
              <w:jc w:val="both"/>
              <w:rPr>
                <w:rFonts w:ascii="Arial" w:hAnsi="Arial" w:cs="Arial"/>
                <w:snapToGrid w:val="0"/>
                <w:sz w:val="20"/>
                <w:lang w:eastAsia="en-US"/>
              </w:rPr>
            </w:pPr>
            <w:r w:rsidRPr="00563865">
              <w:rPr>
                <w:rFonts w:ascii="Arial" w:hAnsi="Arial" w:cs="Arial"/>
                <w:snapToGrid w:val="0"/>
                <w:sz w:val="20"/>
                <w:lang w:eastAsia="en-US"/>
              </w:rPr>
              <w:t>The PBAC considered lanreotide to be inferior compared with placebo in terms of safety. The PBAC noted that on the basis of the direct evidence presented in the resubmission, every 100 patients treatment with lanreotide, compared with placebo (for watchful waiting) resulted in approximately:</w:t>
            </w:r>
          </w:p>
          <w:p w:rsidR="00563865" w:rsidRPr="00563865" w:rsidRDefault="00563865" w:rsidP="004D312F">
            <w:pPr>
              <w:widowControl w:val="0"/>
              <w:numPr>
                <w:ilvl w:val="0"/>
                <w:numId w:val="14"/>
              </w:numPr>
              <w:ind w:left="317" w:hanging="283"/>
              <w:contextualSpacing/>
              <w:jc w:val="both"/>
              <w:rPr>
                <w:rFonts w:ascii="Arial" w:hAnsi="Arial" w:cs="Arial"/>
                <w:snapToGrid w:val="0"/>
                <w:sz w:val="20"/>
                <w:lang w:eastAsia="en-US"/>
              </w:rPr>
            </w:pPr>
            <w:r w:rsidRPr="00563865">
              <w:rPr>
                <w:rFonts w:ascii="Arial" w:hAnsi="Arial" w:cs="Arial"/>
                <w:snapToGrid w:val="0"/>
                <w:sz w:val="20"/>
                <w:lang w:eastAsia="en-US"/>
              </w:rPr>
              <w:t>17 additional patients experiencing gastrointestinal disorders;</w:t>
            </w:r>
          </w:p>
          <w:p w:rsidR="00563865" w:rsidRPr="00563865" w:rsidRDefault="00563865" w:rsidP="004D312F">
            <w:pPr>
              <w:widowControl w:val="0"/>
              <w:numPr>
                <w:ilvl w:val="0"/>
                <w:numId w:val="14"/>
              </w:numPr>
              <w:ind w:left="317" w:hanging="283"/>
              <w:contextualSpacing/>
              <w:jc w:val="both"/>
              <w:rPr>
                <w:rFonts w:ascii="Arial" w:hAnsi="Arial" w:cs="Arial"/>
                <w:snapToGrid w:val="0"/>
                <w:sz w:val="20"/>
                <w:lang w:eastAsia="en-US"/>
              </w:rPr>
            </w:pPr>
            <w:r w:rsidRPr="00563865">
              <w:rPr>
                <w:rFonts w:ascii="Arial" w:hAnsi="Arial" w:cs="Arial"/>
                <w:snapToGrid w:val="0"/>
                <w:sz w:val="20"/>
                <w:lang w:eastAsia="en-US"/>
              </w:rPr>
              <w:t>7 patients experiencing injection site pain; and</w:t>
            </w:r>
          </w:p>
          <w:p w:rsidR="00563865" w:rsidRPr="00563865" w:rsidRDefault="00563865" w:rsidP="004D312F">
            <w:pPr>
              <w:widowControl w:val="0"/>
              <w:numPr>
                <w:ilvl w:val="0"/>
                <w:numId w:val="14"/>
              </w:numPr>
              <w:ind w:left="317" w:hanging="283"/>
              <w:contextualSpacing/>
              <w:jc w:val="both"/>
              <w:rPr>
                <w:rFonts w:ascii="Arial" w:hAnsi="Arial" w:cs="Arial"/>
                <w:snapToGrid w:val="0"/>
                <w:sz w:val="20"/>
                <w:lang w:eastAsia="en-US"/>
              </w:rPr>
            </w:pPr>
            <w:r w:rsidRPr="00563865">
              <w:rPr>
                <w:rFonts w:ascii="Arial" w:hAnsi="Arial" w:cs="Arial"/>
                <w:snapToGrid w:val="0"/>
                <w:sz w:val="20"/>
                <w:lang w:eastAsia="en-US"/>
              </w:rPr>
              <w:t>12 additional patients experiencing cholelithiasis (gallstones).</w:t>
            </w:r>
          </w:p>
          <w:p w:rsidR="00563865" w:rsidRPr="00563865" w:rsidRDefault="00563865" w:rsidP="00563865">
            <w:pPr>
              <w:widowControl w:val="0"/>
              <w:jc w:val="both"/>
              <w:rPr>
                <w:rFonts w:ascii="Arial" w:hAnsi="Arial" w:cs="Arial"/>
                <w:snapToGrid w:val="0"/>
                <w:sz w:val="20"/>
                <w:lang w:eastAsia="en-US"/>
              </w:rPr>
            </w:pPr>
          </w:p>
          <w:p w:rsidR="006A4400" w:rsidRPr="004D312F" w:rsidRDefault="00563865" w:rsidP="004D312F">
            <w:pPr>
              <w:widowControl w:val="0"/>
              <w:jc w:val="both"/>
              <w:rPr>
                <w:rFonts w:ascii="Arial" w:hAnsi="Arial" w:cs="Arial"/>
                <w:snapToGrid w:val="0"/>
                <w:sz w:val="20"/>
                <w:lang w:eastAsia="en-US"/>
              </w:rPr>
            </w:pPr>
            <w:r w:rsidRPr="00563865">
              <w:rPr>
                <w:rFonts w:ascii="Arial" w:hAnsi="Arial" w:cs="Arial"/>
                <w:snapToGrid w:val="0"/>
                <w:sz w:val="20"/>
                <w:lang w:eastAsia="en-US"/>
              </w:rPr>
              <w:t>Overall, the PBAC considered that there was likely to be a clinically meaningful, anti</w:t>
            </w:r>
            <w:r w:rsidRPr="00563865">
              <w:rPr>
                <w:rFonts w:ascii="Arial" w:hAnsi="Arial" w:cs="Arial"/>
                <w:snapToGrid w:val="0"/>
                <w:sz w:val="20"/>
                <w:lang w:eastAsia="en-US"/>
              </w:rPr>
              <w:noBreakHyphen/>
              <w:t xml:space="preserve">proliferative benefit </w:t>
            </w:r>
            <w:r w:rsidRPr="00563865">
              <w:rPr>
                <w:rFonts w:ascii="Arial" w:hAnsi="Arial" w:cs="Arial"/>
                <w:snapToGrid w:val="0"/>
                <w:sz w:val="20"/>
                <w:lang w:eastAsia="en-US"/>
              </w:rPr>
              <w:lastRenderedPageBreak/>
              <w:t>associated with treatment with lanreotide, which would outweigh the potential adverse events, for a small, well selected group of patients. However, the PBAC considered that not all patients with non</w:t>
            </w:r>
            <w:r w:rsidRPr="00563865">
              <w:rPr>
                <w:rFonts w:ascii="Arial" w:hAnsi="Arial" w:cs="Arial"/>
                <w:snapToGrid w:val="0"/>
                <w:sz w:val="20"/>
                <w:lang w:eastAsia="en-US"/>
              </w:rPr>
              <w:noBreakHyphen/>
              <w:t>functional GEP</w:t>
            </w:r>
            <w:r w:rsidRPr="00563865">
              <w:rPr>
                <w:rFonts w:ascii="Arial" w:hAnsi="Arial" w:cs="Arial"/>
                <w:snapToGrid w:val="0"/>
                <w:sz w:val="20"/>
                <w:lang w:eastAsia="en-US"/>
              </w:rPr>
              <w:noBreakHyphen/>
              <w:t>NETs would benefit from active treatment, and noted that there are no biomarkers which reliably identify those patients in whom the benefits outweigh the risks.</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Pr="00EB4EFA" w:rsidRDefault="006A4400" w:rsidP="00DE6CD6">
            <w:pPr>
              <w:pStyle w:val="ListBullet"/>
            </w:pPr>
            <w:r w:rsidRPr="00EB4EFA">
              <w:t>Economic Claim:</w:t>
            </w:r>
            <w:r w:rsidR="00563865" w:rsidRPr="00EB4EFA">
              <w:t xml:space="preserve"> Cost-utility analysis of lanreotide versus watchful waiting (placebo)</w:t>
            </w:r>
          </w:p>
        </w:tc>
        <w:tc>
          <w:tcPr>
            <w:tcW w:w="5339" w:type="dxa"/>
          </w:tcPr>
          <w:p w:rsidR="00563865" w:rsidRPr="00563865" w:rsidRDefault="00563865" w:rsidP="00563865">
            <w:pPr>
              <w:widowControl w:val="0"/>
              <w:jc w:val="both"/>
              <w:rPr>
                <w:rFonts w:ascii="Arial" w:hAnsi="Arial" w:cs="Arial"/>
                <w:snapToGrid w:val="0"/>
                <w:sz w:val="20"/>
                <w:lang w:eastAsia="en-US"/>
              </w:rPr>
            </w:pPr>
            <w:r w:rsidRPr="00563865">
              <w:rPr>
                <w:rFonts w:ascii="Arial" w:hAnsi="Arial" w:cs="Arial"/>
                <w:snapToGrid w:val="0"/>
                <w:sz w:val="20"/>
                <w:lang w:eastAsia="en-US"/>
              </w:rPr>
              <w:t xml:space="preserve">The PBAC considered the assumption </w:t>
            </w:r>
            <w:r w:rsidR="0029065B">
              <w:rPr>
                <w:rFonts w:ascii="Arial" w:hAnsi="Arial" w:cs="Arial"/>
                <w:snapToGrid w:val="0"/>
                <w:sz w:val="20"/>
                <w:lang w:eastAsia="en-US"/>
              </w:rPr>
              <w:t>that all patients receive</w:t>
            </w:r>
            <w:r w:rsidRPr="00563865">
              <w:rPr>
                <w:rFonts w:ascii="Arial" w:hAnsi="Arial" w:cs="Arial"/>
                <w:snapToGrid w:val="0"/>
                <w:sz w:val="20"/>
                <w:lang w:eastAsia="en-US"/>
              </w:rPr>
              <w:t xml:space="preserve"> lanreotide post-progression in the economic model was inappropriate given that the requested restriction for lanreotide would allow post-progression treatment which is otherwise not PBS-subsidised for </w:t>
            </w:r>
            <w:r w:rsidR="004D312F">
              <w:rPr>
                <w:rFonts w:ascii="Arial" w:hAnsi="Arial" w:cs="Arial"/>
                <w:snapToGrid w:val="0"/>
                <w:sz w:val="20"/>
                <w:lang w:eastAsia="en-US"/>
              </w:rPr>
              <w:t xml:space="preserve">patients with </w:t>
            </w:r>
            <w:r w:rsidRPr="00563865">
              <w:rPr>
                <w:rFonts w:ascii="Arial" w:hAnsi="Arial" w:cs="Arial"/>
                <w:snapToGrid w:val="0"/>
                <w:sz w:val="20"/>
                <w:lang w:eastAsia="en-US"/>
              </w:rPr>
              <w:t xml:space="preserve">non-functional GEP-NETs. </w:t>
            </w:r>
          </w:p>
          <w:p w:rsidR="00563865" w:rsidRPr="00563865" w:rsidRDefault="00563865" w:rsidP="00563865">
            <w:pPr>
              <w:widowControl w:val="0"/>
              <w:jc w:val="both"/>
              <w:rPr>
                <w:rFonts w:ascii="Arial" w:hAnsi="Arial" w:cs="Arial"/>
                <w:snapToGrid w:val="0"/>
                <w:sz w:val="20"/>
                <w:lang w:eastAsia="en-US"/>
              </w:rPr>
            </w:pPr>
          </w:p>
          <w:p w:rsidR="006A4400" w:rsidRPr="00563865" w:rsidRDefault="00563865" w:rsidP="00370F0A">
            <w:pPr>
              <w:widowControl w:val="0"/>
              <w:jc w:val="both"/>
              <w:rPr>
                <w:rFonts w:ascii="Arial" w:hAnsi="Arial" w:cs="Arial"/>
                <w:snapToGrid w:val="0"/>
                <w:sz w:val="22"/>
                <w:lang w:eastAsia="en-US"/>
              </w:rPr>
            </w:pPr>
            <w:r w:rsidRPr="00563865">
              <w:rPr>
                <w:rFonts w:ascii="Arial" w:hAnsi="Arial" w:cs="Arial"/>
                <w:snapToGrid w:val="0"/>
                <w:sz w:val="20"/>
                <w:lang w:eastAsia="en-US"/>
              </w:rPr>
              <w:t>Notwithstanding the concerns with the clinical significance of the gain in PFS and post-progression use of lanreotide, the PBAC considered that the base case incremental cost effectiveness ratio of $75,000-$105,000 per quality adjusted life year gained was not sufficiently cost-effective to justify a recommendation for listing</w:t>
            </w:r>
            <w:r w:rsidRPr="00563865">
              <w:rPr>
                <w:rFonts w:ascii="Arial" w:hAnsi="Arial" w:cs="Arial"/>
                <w:snapToGrid w:val="0"/>
                <w:sz w:val="22"/>
                <w:lang w:eastAsia="en-US"/>
              </w:rPr>
              <w:t>.</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Pr="00EB4EFA" w:rsidRDefault="00A26A48" w:rsidP="00DE6CD6">
            <w:pPr>
              <w:pStyle w:val="ListBullet"/>
            </w:pPr>
            <w:r w:rsidRPr="00EB4EFA">
              <w:t>Sponsor comment</w:t>
            </w:r>
            <w:r w:rsidR="006A4400" w:rsidRPr="00EB4EFA">
              <w:t>:</w:t>
            </w:r>
          </w:p>
        </w:tc>
        <w:tc>
          <w:tcPr>
            <w:tcW w:w="5339" w:type="dxa"/>
          </w:tcPr>
          <w:p w:rsidR="006A4400" w:rsidRPr="00443075" w:rsidRDefault="00EB4EFA" w:rsidP="007F36D7">
            <w:pPr>
              <w:spacing w:line="276" w:lineRule="auto"/>
              <w:rPr>
                <w:rFonts w:ascii="Arial" w:hAnsi="Arial" w:cs="Arial"/>
                <w:sz w:val="20"/>
                <w:highlight w:val="yellow"/>
              </w:rPr>
            </w:pPr>
            <w:r w:rsidRPr="00EB4EFA">
              <w:rPr>
                <w:rFonts w:ascii="Arial" w:hAnsi="Arial" w:cs="Arial"/>
                <w:sz w:val="20"/>
              </w:rPr>
              <w:t>Whilst Ipsen is disappointed with the decision, we remain committed to working with PBAC to ensure this important indication is made available to Australian patients with GEP</w:t>
            </w:r>
            <w:r w:rsidR="00A37DDA">
              <w:rPr>
                <w:rFonts w:ascii="Arial" w:hAnsi="Arial" w:cs="Arial"/>
                <w:sz w:val="20"/>
              </w:rPr>
              <w:t>-</w:t>
            </w:r>
            <w:r w:rsidRPr="00EB4EFA">
              <w:rPr>
                <w:rFonts w:ascii="Arial" w:hAnsi="Arial" w:cs="Arial"/>
                <w:sz w:val="20"/>
              </w:rPr>
              <w:t>NETs.</w:t>
            </w:r>
          </w:p>
        </w:tc>
      </w:tr>
      <w:tr w:rsidR="006A4400" w:rsidRPr="00443075" w:rsidTr="00F463A6">
        <w:trPr>
          <w:trHeight w:val="488"/>
        </w:trPr>
        <w:tc>
          <w:tcPr>
            <w:tcW w:w="2363" w:type="dxa"/>
            <w:vMerge w:val="restart"/>
          </w:tcPr>
          <w:p w:rsidR="006A4400" w:rsidRPr="004A4A6D" w:rsidRDefault="006A4400" w:rsidP="004A4A6D">
            <w:pPr>
              <w:keepNext/>
              <w:spacing w:line="276" w:lineRule="auto"/>
              <w:rPr>
                <w:rFonts w:ascii="Arial" w:hAnsi="Arial" w:cs="Arial"/>
                <w:sz w:val="20"/>
              </w:rPr>
            </w:pPr>
            <w:r w:rsidRPr="004A4A6D">
              <w:rPr>
                <w:rFonts w:ascii="Arial" w:hAnsi="Arial" w:cs="Arial"/>
                <w:sz w:val="20"/>
              </w:rPr>
              <w:lastRenderedPageBreak/>
              <w:t>LUMACAFTOR with IVACAFTOR</w:t>
            </w:r>
          </w:p>
          <w:p w:rsidR="006A4400" w:rsidRPr="004A4A6D" w:rsidRDefault="006A4400" w:rsidP="004A4A6D">
            <w:pPr>
              <w:keepNext/>
              <w:spacing w:line="276" w:lineRule="auto"/>
              <w:rPr>
                <w:rFonts w:ascii="Arial" w:hAnsi="Arial" w:cs="Arial"/>
                <w:sz w:val="20"/>
              </w:rPr>
            </w:pPr>
          </w:p>
          <w:p w:rsidR="006A4400" w:rsidRPr="004A4A6D" w:rsidRDefault="006A4400" w:rsidP="004A4A6D">
            <w:pPr>
              <w:keepNext/>
              <w:spacing w:line="276" w:lineRule="auto"/>
              <w:rPr>
                <w:rFonts w:ascii="Arial" w:hAnsi="Arial" w:cs="Arial"/>
                <w:sz w:val="20"/>
              </w:rPr>
            </w:pPr>
            <w:r w:rsidRPr="004A4A6D">
              <w:rPr>
                <w:rFonts w:ascii="Arial" w:hAnsi="Arial" w:cs="Arial"/>
                <w:sz w:val="20"/>
              </w:rPr>
              <w:t>Tablet containing lumacaftor 200 mg with ivacaftor 125 mg</w:t>
            </w:r>
          </w:p>
          <w:p w:rsidR="006A4400" w:rsidRPr="004A4A6D" w:rsidRDefault="006A4400" w:rsidP="004A4A6D">
            <w:pPr>
              <w:keepNext/>
              <w:spacing w:line="276" w:lineRule="auto"/>
              <w:rPr>
                <w:rFonts w:ascii="Arial" w:hAnsi="Arial" w:cs="Arial"/>
                <w:sz w:val="20"/>
              </w:rPr>
            </w:pPr>
          </w:p>
          <w:p w:rsidR="006A4400" w:rsidRPr="004A4A6D" w:rsidRDefault="006A4400" w:rsidP="004A4A6D">
            <w:pPr>
              <w:keepNext/>
              <w:spacing w:line="276" w:lineRule="auto"/>
              <w:rPr>
                <w:rFonts w:ascii="Arial" w:hAnsi="Arial" w:cs="Arial"/>
                <w:sz w:val="20"/>
              </w:rPr>
            </w:pPr>
            <w:r w:rsidRPr="004A4A6D">
              <w:rPr>
                <w:rFonts w:ascii="Arial" w:hAnsi="Arial" w:cs="Arial"/>
                <w:sz w:val="20"/>
              </w:rPr>
              <w:t>Orkambi®</w:t>
            </w:r>
          </w:p>
          <w:p w:rsidR="006A4400" w:rsidRPr="004A4A6D" w:rsidRDefault="006A4400" w:rsidP="004A4A6D">
            <w:pPr>
              <w:keepNext/>
              <w:spacing w:line="276" w:lineRule="auto"/>
              <w:rPr>
                <w:rFonts w:ascii="Arial" w:hAnsi="Arial" w:cs="Arial"/>
                <w:sz w:val="20"/>
              </w:rPr>
            </w:pPr>
          </w:p>
          <w:p w:rsidR="006A4400" w:rsidRPr="00CA0C65" w:rsidRDefault="006A4400" w:rsidP="004A4A6D">
            <w:pPr>
              <w:keepNext/>
              <w:spacing w:line="276" w:lineRule="auto"/>
              <w:rPr>
                <w:rFonts w:ascii="Arial" w:hAnsi="Arial" w:cs="Arial"/>
                <w:sz w:val="20"/>
              </w:rPr>
            </w:pPr>
            <w:r w:rsidRPr="004A4A6D">
              <w:rPr>
                <w:rFonts w:ascii="Arial" w:hAnsi="Arial" w:cs="Arial"/>
                <w:sz w:val="20"/>
              </w:rPr>
              <w:t>Vertex Pharmaceuticals (Australia) Pty Ltd</w:t>
            </w:r>
          </w:p>
          <w:p w:rsidR="006A4400" w:rsidRDefault="006A4400" w:rsidP="007F36D7">
            <w:pPr>
              <w:keepNext/>
              <w:spacing w:line="276" w:lineRule="auto"/>
              <w:rPr>
                <w:rFonts w:ascii="Arial" w:hAnsi="Arial" w:cs="Arial"/>
                <w:sz w:val="20"/>
                <w:highlight w:val="yellow"/>
              </w:rPr>
            </w:pPr>
          </w:p>
          <w:p w:rsidR="00D029DF" w:rsidRPr="00D029DF" w:rsidRDefault="00D029DF" w:rsidP="00D029DF">
            <w:pPr>
              <w:keepNext/>
              <w:spacing w:line="276" w:lineRule="auto"/>
              <w:rPr>
                <w:rFonts w:ascii="Arial" w:hAnsi="Arial" w:cs="Arial"/>
                <w:sz w:val="20"/>
              </w:rPr>
            </w:pPr>
            <w:r w:rsidRPr="00D029DF">
              <w:rPr>
                <w:rFonts w:ascii="Arial" w:hAnsi="Arial" w:cs="Arial"/>
                <w:sz w:val="20"/>
              </w:rPr>
              <w:t>New listing</w:t>
            </w:r>
          </w:p>
          <w:p w:rsidR="00D029DF" w:rsidRPr="00D029DF" w:rsidRDefault="00D029DF" w:rsidP="00D029DF">
            <w:pPr>
              <w:keepNext/>
              <w:spacing w:line="276" w:lineRule="auto"/>
              <w:rPr>
                <w:rFonts w:ascii="Arial" w:hAnsi="Arial" w:cs="Arial"/>
                <w:sz w:val="20"/>
              </w:rPr>
            </w:pPr>
          </w:p>
          <w:p w:rsidR="00D029DF" w:rsidRPr="00CA0C65" w:rsidRDefault="00D029DF" w:rsidP="00D029DF">
            <w:pPr>
              <w:keepNext/>
              <w:spacing w:line="276" w:lineRule="auto"/>
              <w:rPr>
                <w:rFonts w:ascii="Arial" w:hAnsi="Arial" w:cs="Arial"/>
                <w:sz w:val="20"/>
                <w:highlight w:val="yellow"/>
              </w:rPr>
            </w:pPr>
            <w:r w:rsidRPr="00D029DF">
              <w:rPr>
                <w:rFonts w:ascii="Arial" w:hAnsi="Arial" w:cs="Arial"/>
                <w:sz w:val="20"/>
              </w:rPr>
              <w:t>(Minor Submission)</w:t>
            </w:r>
          </w:p>
        </w:tc>
        <w:tc>
          <w:tcPr>
            <w:tcW w:w="2315" w:type="dxa"/>
            <w:vMerge w:val="restart"/>
            <w:shd w:val="clear" w:color="auto" w:fill="auto"/>
          </w:tcPr>
          <w:p w:rsidR="006A4400" w:rsidRPr="00CA0C65" w:rsidRDefault="006A4400" w:rsidP="007F36D7">
            <w:pPr>
              <w:rPr>
                <w:rFonts w:ascii="Arial" w:hAnsi="Arial" w:cs="Arial"/>
                <w:sz w:val="20"/>
              </w:rPr>
            </w:pPr>
            <w:r>
              <w:rPr>
                <w:rFonts w:ascii="Arial" w:hAnsi="Arial" w:cs="Arial"/>
                <w:sz w:val="20"/>
              </w:rPr>
              <w:t xml:space="preserve">Lumacaftor with ivacaftor is indicated for the treatment of cystic fibrosis in patients age 12 years or older who are homozygous for the </w:t>
            </w:r>
            <w:r w:rsidRPr="00256CB9">
              <w:rPr>
                <w:rFonts w:ascii="Arial" w:hAnsi="Arial" w:cs="Arial"/>
                <w:sz w:val="20"/>
              </w:rPr>
              <w:t xml:space="preserve">F508del </w:t>
            </w:r>
            <w:r w:rsidRPr="00262778">
              <w:rPr>
                <w:rFonts w:ascii="Arial" w:hAnsi="Arial" w:cs="Arial"/>
                <w:sz w:val="20"/>
              </w:rPr>
              <w:t xml:space="preserve">mutation in the </w:t>
            </w:r>
            <w:r w:rsidR="002D46EB" w:rsidRPr="002D46EB">
              <w:rPr>
                <w:rFonts w:ascii="Arial" w:hAnsi="Arial" w:cs="Arial"/>
                <w:sz w:val="20"/>
              </w:rPr>
              <w:t xml:space="preserve">cystic fibrosis transmembrane regulator </w:t>
            </w:r>
            <w:r w:rsidR="002D46EB">
              <w:rPr>
                <w:rFonts w:ascii="Arial" w:hAnsi="Arial" w:cs="Arial"/>
                <w:sz w:val="20"/>
              </w:rPr>
              <w:t>(</w:t>
            </w:r>
            <w:r w:rsidRPr="005B5972">
              <w:rPr>
                <w:rFonts w:ascii="Arial" w:hAnsi="Arial" w:cs="Arial"/>
                <w:sz w:val="20"/>
              </w:rPr>
              <w:t>CFTR</w:t>
            </w:r>
            <w:r w:rsidR="002D46EB">
              <w:rPr>
                <w:rFonts w:ascii="Arial" w:hAnsi="Arial" w:cs="Arial"/>
                <w:sz w:val="20"/>
              </w:rPr>
              <w:t>)</w:t>
            </w:r>
            <w:r w:rsidRPr="005B5972">
              <w:rPr>
                <w:rFonts w:ascii="Arial" w:hAnsi="Arial" w:cs="Arial"/>
                <w:sz w:val="20"/>
              </w:rPr>
              <w:t xml:space="preserve"> gene.</w:t>
            </w:r>
          </w:p>
        </w:tc>
        <w:tc>
          <w:tcPr>
            <w:tcW w:w="2126" w:type="dxa"/>
            <w:vMerge w:val="restart"/>
            <w:shd w:val="clear" w:color="auto" w:fill="auto"/>
          </w:tcPr>
          <w:p w:rsidR="006A4400" w:rsidRPr="004571A9" w:rsidRDefault="006A4400" w:rsidP="007F36D7">
            <w:pPr>
              <w:rPr>
                <w:rFonts w:ascii="Arial" w:hAnsi="Arial" w:cs="Arial"/>
                <w:color w:val="000000"/>
                <w:sz w:val="20"/>
              </w:rPr>
            </w:pPr>
            <w:r>
              <w:rPr>
                <w:rFonts w:ascii="Arial" w:hAnsi="Arial" w:cs="Arial"/>
                <w:color w:val="000000"/>
                <w:sz w:val="20"/>
              </w:rPr>
              <w:t>Lumacaftor with ivacaftor is not currently listed on the PBS.</w:t>
            </w:r>
          </w:p>
        </w:tc>
        <w:tc>
          <w:tcPr>
            <w:tcW w:w="3544" w:type="dxa"/>
          </w:tcPr>
          <w:p w:rsidR="006A4400" w:rsidRPr="00443075" w:rsidRDefault="006A4400" w:rsidP="007F36D7">
            <w:pPr>
              <w:keepNext/>
              <w:spacing w:line="276" w:lineRule="auto"/>
              <w:rPr>
                <w:rFonts w:ascii="Arial" w:hAnsi="Arial" w:cs="Arial"/>
                <w:color w:val="000000"/>
                <w:sz w:val="20"/>
              </w:rPr>
            </w:pPr>
            <w:r w:rsidRPr="00F516E0">
              <w:rPr>
                <w:rFonts w:ascii="Arial" w:hAnsi="Arial" w:cs="Arial"/>
                <w:color w:val="000000"/>
                <w:sz w:val="20"/>
              </w:rPr>
              <w:t>Resubmission to request a Section 100 (Highly Specialised Drugs Program) Authority Required listing for the treatment of cystic fibrosis in patients aged 12 years and older who are homozygous for the F508del mutation in the CFTR gene.</w:t>
            </w:r>
          </w:p>
        </w:tc>
        <w:tc>
          <w:tcPr>
            <w:tcW w:w="5339" w:type="dxa"/>
          </w:tcPr>
          <w:p w:rsidR="00F44F29" w:rsidRPr="00F44F29" w:rsidRDefault="00F44F29" w:rsidP="00F44F29">
            <w:pPr>
              <w:keepNext/>
              <w:spacing w:line="276" w:lineRule="auto"/>
              <w:rPr>
                <w:rFonts w:ascii="Arial" w:hAnsi="Arial" w:cs="Arial"/>
                <w:sz w:val="20"/>
              </w:rPr>
            </w:pPr>
            <w:r w:rsidRPr="00F44F29">
              <w:rPr>
                <w:rFonts w:ascii="Arial" w:hAnsi="Arial" w:cs="Arial"/>
                <w:sz w:val="20"/>
              </w:rPr>
              <w:t>Lumacaftor with ivacaftor was not recommended by the PBAC on the basis of unfavourable and uncertain cost-effectiveness at the requested price. The PBAC noted that the resubmission did not address the issues previously identified in its consideration of the March 2016 submission. The PBAC particularly noted the continuing uncertainty regarding long-term benefits of treatment on lung</w:t>
            </w:r>
            <w:r w:rsidR="002D46EB">
              <w:rPr>
                <w:rFonts w:ascii="Arial" w:hAnsi="Arial" w:cs="Arial"/>
                <w:sz w:val="20"/>
              </w:rPr>
              <w:t xml:space="preserve"> function and overall survival.</w:t>
            </w:r>
          </w:p>
          <w:p w:rsidR="00F44F29" w:rsidRPr="00F44F29" w:rsidRDefault="00F44F29" w:rsidP="00F44F29">
            <w:pPr>
              <w:keepNext/>
              <w:spacing w:line="276" w:lineRule="auto"/>
              <w:rPr>
                <w:rFonts w:ascii="Arial" w:hAnsi="Arial" w:cs="Arial"/>
                <w:sz w:val="20"/>
              </w:rPr>
            </w:pPr>
          </w:p>
          <w:p w:rsidR="006A4400" w:rsidRPr="00443075" w:rsidRDefault="00F44F29" w:rsidP="00F44F29">
            <w:pPr>
              <w:keepNext/>
              <w:spacing w:line="276" w:lineRule="auto"/>
              <w:rPr>
                <w:rFonts w:ascii="Arial" w:hAnsi="Arial" w:cs="Arial"/>
                <w:sz w:val="20"/>
              </w:rPr>
            </w:pPr>
            <w:r w:rsidRPr="00F44F29">
              <w:rPr>
                <w:rFonts w:ascii="Arial" w:hAnsi="Arial" w:cs="Arial"/>
                <w:sz w:val="20"/>
              </w:rPr>
              <w:t>The PBAC noted that the estimated net cost of lumacaftor/ivacaftor to government was more than $100 million in each of the first five years of listing.</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9A0D3A" w:rsidRPr="009A0D3A" w:rsidRDefault="006A4400" w:rsidP="009A0D3A">
            <w:pPr>
              <w:spacing w:line="276" w:lineRule="auto"/>
              <w:rPr>
                <w:rFonts w:ascii="Arial" w:hAnsi="Arial" w:cs="Arial"/>
                <w:sz w:val="20"/>
              </w:rPr>
            </w:pPr>
            <w:r w:rsidRPr="009A0D3A">
              <w:rPr>
                <w:rFonts w:ascii="Arial" w:hAnsi="Arial" w:cs="Arial"/>
                <w:sz w:val="20"/>
              </w:rPr>
              <w:t>Comparator:</w:t>
            </w:r>
            <w:r w:rsidR="009A0D3A" w:rsidRPr="009A0D3A">
              <w:rPr>
                <w:rFonts w:ascii="Arial" w:hAnsi="Arial" w:cs="Arial"/>
                <w:sz w:val="20"/>
              </w:rPr>
              <w:t xml:space="preserve"> Best supportive care</w:t>
            </w:r>
          </w:p>
          <w:p w:rsidR="006A4400" w:rsidRPr="00443075" w:rsidRDefault="006A4400" w:rsidP="00DE6CD6">
            <w:pPr>
              <w:pStyle w:val="ListBullet"/>
            </w:pPr>
          </w:p>
        </w:tc>
        <w:tc>
          <w:tcPr>
            <w:tcW w:w="5339" w:type="dxa"/>
          </w:tcPr>
          <w:p w:rsidR="00F44F29" w:rsidRPr="00443075" w:rsidRDefault="00362BDA" w:rsidP="007F36D7">
            <w:pPr>
              <w:spacing w:line="276" w:lineRule="auto"/>
              <w:rPr>
                <w:rFonts w:ascii="Arial" w:hAnsi="Arial" w:cs="Arial"/>
                <w:sz w:val="20"/>
                <w:highlight w:val="yellow"/>
              </w:rPr>
            </w:pPr>
            <w:r>
              <w:rPr>
                <w:rFonts w:ascii="Arial" w:hAnsi="Arial" w:cs="Arial"/>
                <w:sz w:val="20"/>
              </w:rPr>
              <w:t>Accepted</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Clinical Claim:</w:t>
            </w:r>
            <w:r w:rsidR="009A0D3A">
              <w:t xml:space="preserve"> </w:t>
            </w:r>
            <w:r w:rsidR="009A0D3A" w:rsidRPr="009A0D3A">
              <w:t>Superior comparative effectiveness, in terms of improvements in lung function</w:t>
            </w:r>
            <w:r w:rsidR="00154744">
              <w:t>,</w:t>
            </w:r>
            <w:r w:rsidR="009A0D3A" w:rsidRPr="009A0D3A">
              <w:t xml:space="preserve"> as measured by ppFEV1, rate of pulmonary exacerbations and nutritional status, and that these outcomes are associated prolongation of life.</w:t>
            </w:r>
          </w:p>
        </w:tc>
        <w:tc>
          <w:tcPr>
            <w:tcW w:w="5339" w:type="dxa"/>
          </w:tcPr>
          <w:p w:rsidR="006A4400" w:rsidRPr="00443075" w:rsidRDefault="00F44F29" w:rsidP="00F44F29">
            <w:pPr>
              <w:spacing w:line="276" w:lineRule="auto"/>
              <w:rPr>
                <w:rFonts w:ascii="Arial" w:hAnsi="Arial" w:cs="Arial"/>
                <w:sz w:val="20"/>
                <w:highlight w:val="yellow"/>
              </w:rPr>
            </w:pPr>
            <w:r w:rsidRPr="00F44F29">
              <w:rPr>
                <w:rFonts w:ascii="Arial" w:hAnsi="Arial" w:cs="Arial"/>
                <w:sz w:val="20"/>
              </w:rPr>
              <w:t>In March 2016, “the PBAC noted the improvement in exacerbations, weight gain, BMI, the hospitalisation rate and antibiotic use associated with treatment with lumacaftor/ivacaftor in the short term but considered that the impact of ivacaftor with lumacaftor on improvements in long-term lung function and survival was uncertain”. In addition, “the PBAC considered that the claim of equivalent comparative safety was reasonable in the short term but noted the long term safety of lumacaftor/ivacaftor is unknown.” The minor resubmission did not address these concerns.</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Economic Claim:</w:t>
            </w:r>
            <w:r w:rsidR="009A0D3A">
              <w:t xml:space="preserve"> </w:t>
            </w:r>
            <w:r w:rsidR="009A0D3A" w:rsidRPr="009A0D3A">
              <w:t>Cost-utility analysis compared with best supportive care.</w:t>
            </w:r>
          </w:p>
        </w:tc>
        <w:tc>
          <w:tcPr>
            <w:tcW w:w="5339" w:type="dxa"/>
          </w:tcPr>
          <w:p w:rsidR="006A4400" w:rsidRPr="00443075" w:rsidRDefault="00F44F29" w:rsidP="00154744">
            <w:pPr>
              <w:spacing w:line="276" w:lineRule="auto"/>
              <w:rPr>
                <w:rFonts w:ascii="Arial" w:hAnsi="Arial" w:cs="Arial"/>
                <w:sz w:val="20"/>
                <w:highlight w:val="yellow"/>
              </w:rPr>
            </w:pPr>
            <w:r w:rsidRPr="00F44F29">
              <w:rPr>
                <w:rFonts w:ascii="Arial" w:hAnsi="Arial" w:cs="Arial"/>
                <w:sz w:val="20"/>
              </w:rPr>
              <w:t>The PB</w:t>
            </w:r>
            <w:r w:rsidR="00154744">
              <w:rPr>
                <w:rFonts w:ascii="Arial" w:hAnsi="Arial" w:cs="Arial"/>
                <w:sz w:val="20"/>
              </w:rPr>
              <w:t xml:space="preserve">AC considered that the incremental cost per quality adjusted life year gained of more than </w:t>
            </w:r>
            <w:r w:rsidRPr="00F44F29">
              <w:rPr>
                <w:rFonts w:ascii="Arial" w:hAnsi="Arial" w:cs="Arial"/>
                <w:sz w:val="20"/>
              </w:rPr>
              <w:t>$200,000 was unacceptably high and likely underestimated.</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A26A48" w:rsidP="00DE6CD6">
            <w:pPr>
              <w:pStyle w:val="ListBullet"/>
            </w:pPr>
            <w:r w:rsidRPr="004B62AC">
              <w:t>Sponsor comment</w:t>
            </w:r>
            <w:r w:rsidR="006A4400" w:rsidRPr="004B62AC">
              <w:t>:</w:t>
            </w:r>
          </w:p>
        </w:tc>
        <w:tc>
          <w:tcPr>
            <w:tcW w:w="5339" w:type="dxa"/>
          </w:tcPr>
          <w:p w:rsidR="006A4400" w:rsidRPr="00443075" w:rsidRDefault="004B62AC" w:rsidP="007F36D7">
            <w:pPr>
              <w:spacing w:line="276" w:lineRule="auto"/>
              <w:rPr>
                <w:rFonts w:ascii="Arial" w:hAnsi="Arial" w:cs="Arial"/>
                <w:sz w:val="20"/>
                <w:highlight w:val="yellow"/>
              </w:rPr>
            </w:pPr>
            <w:r w:rsidRPr="004B62AC">
              <w:rPr>
                <w:rFonts w:ascii="Arial" w:hAnsi="Arial" w:cs="Arial"/>
                <w:sz w:val="20"/>
              </w:rPr>
              <w:t>The sponsor had no comment.</w:t>
            </w:r>
          </w:p>
        </w:tc>
      </w:tr>
      <w:tr w:rsidR="006A4400" w:rsidRPr="00443075" w:rsidTr="00F463A6">
        <w:trPr>
          <w:trHeight w:val="488"/>
        </w:trPr>
        <w:tc>
          <w:tcPr>
            <w:tcW w:w="2363" w:type="dxa"/>
            <w:vMerge w:val="restart"/>
          </w:tcPr>
          <w:p w:rsidR="006A4400" w:rsidRPr="00AD5A47" w:rsidRDefault="006A4400" w:rsidP="004A4A6D">
            <w:pPr>
              <w:keepNext/>
              <w:spacing w:line="276" w:lineRule="auto"/>
              <w:rPr>
                <w:rFonts w:ascii="Arial" w:hAnsi="Arial" w:cs="Arial"/>
                <w:sz w:val="20"/>
              </w:rPr>
            </w:pPr>
            <w:r w:rsidRPr="00AD5A47">
              <w:rPr>
                <w:rFonts w:ascii="Arial" w:hAnsi="Arial" w:cs="Arial"/>
                <w:sz w:val="20"/>
              </w:rPr>
              <w:lastRenderedPageBreak/>
              <w:t>NIVOLUMAB</w:t>
            </w:r>
          </w:p>
          <w:p w:rsidR="006A4400" w:rsidRPr="00AD5A47" w:rsidRDefault="006A4400" w:rsidP="004A4A6D">
            <w:pPr>
              <w:keepNext/>
              <w:spacing w:line="276" w:lineRule="auto"/>
              <w:rPr>
                <w:rFonts w:ascii="Arial" w:hAnsi="Arial" w:cs="Arial"/>
                <w:sz w:val="20"/>
              </w:rPr>
            </w:pPr>
          </w:p>
          <w:p w:rsidR="006A4400" w:rsidRPr="00AD5A47" w:rsidRDefault="006A4400" w:rsidP="004A4A6D">
            <w:pPr>
              <w:keepNext/>
              <w:spacing w:line="276" w:lineRule="auto"/>
              <w:rPr>
                <w:rFonts w:ascii="Arial" w:hAnsi="Arial" w:cs="Arial"/>
                <w:sz w:val="20"/>
              </w:rPr>
            </w:pPr>
            <w:r w:rsidRPr="00AD5A47">
              <w:rPr>
                <w:rFonts w:ascii="Arial" w:hAnsi="Arial" w:cs="Arial"/>
                <w:sz w:val="20"/>
              </w:rPr>
              <w:t xml:space="preserve">Injection concentrate for I.V. infusion 40 mg in 4 mL </w:t>
            </w:r>
          </w:p>
          <w:p w:rsidR="006A4400" w:rsidRPr="00AD5A47" w:rsidRDefault="006A4400" w:rsidP="004A4A6D">
            <w:pPr>
              <w:keepNext/>
              <w:spacing w:line="276" w:lineRule="auto"/>
              <w:rPr>
                <w:rFonts w:ascii="Arial" w:hAnsi="Arial" w:cs="Arial"/>
                <w:sz w:val="20"/>
              </w:rPr>
            </w:pPr>
            <w:r w:rsidRPr="00AD5A47">
              <w:rPr>
                <w:rFonts w:ascii="Arial" w:hAnsi="Arial" w:cs="Arial"/>
                <w:sz w:val="20"/>
              </w:rPr>
              <w:t>Injection concentrate for I.V. infusion 100 mg in 10 mL</w:t>
            </w:r>
          </w:p>
          <w:p w:rsidR="006A4400" w:rsidRPr="00AD5A47" w:rsidRDefault="006A4400" w:rsidP="004A4A6D">
            <w:pPr>
              <w:keepNext/>
              <w:spacing w:line="276" w:lineRule="auto"/>
              <w:rPr>
                <w:rFonts w:ascii="Arial" w:hAnsi="Arial" w:cs="Arial"/>
                <w:sz w:val="20"/>
              </w:rPr>
            </w:pPr>
          </w:p>
          <w:p w:rsidR="006A4400" w:rsidRPr="00AD5A47" w:rsidRDefault="006A4400" w:rsidP="004A4A6D">
            <w:pPr>
              <w:keepNext/>
              <w:spacing w:line="276" w:lineRule="auto"/>
              <w:rPr>
                <w:rFonts w:ascii="Arial" w:hAnsi="Arial" w:cs="Arial"/>
                <w:sz w:val="20"/>
              </w:rPr>
            </w:pPr>
            <w:r w:rsidRPr="00AD5A47">
              <w:rPr>
                <w:rFonts w:ascii="Arial" w:hAnsi="Arial" w:cs="Arial"/>
                <w:sz w:val="20"/>
              </w:rPr>
              <w:t>Opdivo®</w:t>
            </w:r>
          </w:p>
          <w:p w:rsidR="006A4400" w:rsidRPr="00AD5A47" w:rsidRDefault="006A4400" w:rsidP="004A4A6D">
            <w:pPr>
              <w:keepNext/>
              <w:spacing w:line="276" w:lineRule="auto"/>
              <w:rPr>
                <w:rFonts w:ascii="Arial" w:hAnsi="Arial" w:cs="Arial"/>
                <w:sz w:val="20"/>
              </w:rPr>
            </w:pPr>
          </w:p>
          <w:p w:rsidR="006A4400" w:rsidRPr="00AD5A47" w:rsidRDefault="006A4400" w:rsidP="004A4A6D">
            <w:pPr>
              <w:keepNext/>
              <w:spacing w:line="276" w:lineRule="auto"/>
              <w:rPr>
                <w:rFonts w:ascii="Arial" w:hAnsi="Arial" w:cs="Arial"/>
                <w:sz w:val="20"/>
              </w:rPr>
            </w:pPr>
            <w:r w:rsidRPr="00AD5A47">
              <w:rPr>
                <w:rFonts w:ascii="Arial" w:hAnsi="Arial" w:cs="Arial"/>
                <w:sz w:val="20"/>
              </w:rPr>
              <w:t>Bristol-Myers Squibb Australia Pty Ltd</w:t>
            </w:r>
          </w:p>
          <w:p w:rsidR="00D029DF" w:rsidRPr="00AD5A47" w:rsidRDefault="00D029DF" w:rsidP="004A4A6D">
            <w:pPr>
              <w:keepNext/>
              <w:spacing w:line="276" w:lineRule="auto"/>
              <w:rPr>
                <w:rFonts w:ascii="Arial" w:hAnsi="Arial" w:cs="Arial"/>
                <w:sz w:val="20"/>
              </w:rPr>
            </w:pPr>
          </w:p>
          <w:p w:rsidR="00D029DF" w:rsidRPr="00AD5A47" w:rsidRDefault="00D029DF" w:rsidP="00D029DF">
            <w:pPr>
              <w:keepNext/>
              <w:spacing w:line="276" w:lineRule="auto"/>
              <w:rPr>
                <w:rFonts w:ascii="Arial" w:hAnsi="Arial" w:cs="Arial"/>
                <w:sz w:val="20"/>
              </w:rPr>
            </w:pPr>
            <w:r w:rsidRPr="00AD5A47">
              <w:rPr>
                <w:rFonts w:ascii="Arial" w:hAnsi="Arial" w:cs="Arial"/>
                <w:sz w:val="20"/>
              </w:rPr>
              <w:t>New listing</w:t>
            </w:r>
          </w:p>
          <w:p w:rsidR="00D029DF" w:rsidRPr="00AD5A47" w:rsidRDefault="00D029DF" w:rsidP="00D029DF">
            <w:pPr>
              <w:keepNext/>
              <w:spacing w:line="276" w:lineRule="auto"/>
              <w:rPr>
                <w:rFonts w:ascii="Arial" w:hAnsi="Arial" w:cs="Arial"/>
                <w:sz w:val="20"/>
              </w:rPr>
            </w:pPr>
          </w:p>
          <w:p w:rsidR="00D029DF" w:rsidRPr="00AD5A47" w:rsidRDefault="00D029DF" w:rsidP="00D029DF">
            <w:pPr>
              <w:keepNext/>
              <w:spacing w:line="276" w:lineRule="auto"/>
              <w:rPr>
                <w:rFonts w:ascii="Arial" w:hAnsi="Arial" w:cs="Arial"/>
                <w:sz w:val="20"/>
              </w:rPr>
            </w:pPr>
            <w:r w:rsidRPr="00AD5A47">
              <w:rPr>
                <w:rFonts w:ascii="Arial" w:hAnsi="Arial" w:cs="Arial"/>
                <w:sz w:val="20"/>
              </w:rPr>
              <w:t>(Minor Submission)</w:t>
            </w:r>
          </w:p>
          <w:p w:rsidR="006A4400" w:rsidRPr="00AD5A47" w:rsidRDefault="006A4400" w:rsidP="007F36D7">
            <w:pPr>
              <w:keepNext/>
              <w:spacing w:line="276" w:lineRule="auto"/>
              <w:rPr>
                <w:rFonts w:ascii="Arial" w:hAnsi="Arial" w:cs="Arial"/>
                <w:sz w:val="20"/>
              </w:rPr>
            </w:pPr>
          </w:p>
        </w:tc>
        <w:tc>
          <w:tcPr>
            <w:tcW w:w="2315" w:type="dxa"/>
            <w:vMerge w:val="restart"/>
            <w:shd w:val="clear" w:color="auto" w:fill="auto"/>
          </w:tcPr>
          <w:p w:rsidR="006A4400" w:rsidRPr="00AD5A47" w:rsidRDefault="006A4400" w:rsidP="0062723D">
            <w:pPr>
              <w:rPr>
                <w:rFonts w:ascii="Arial" w:hAnsi="Arial" w:cs="Arial"/>
                <w:sz w:val="20"/>
              </w:rPr>
            </w:pPr>
            <w:r w:rsidRPr="00AD5A47">
              <w:rPr>
                <w:rFonts w:ascii="Arial" w:hAnsi="Arial" w:cs="Arial"/>
                <w:sz w:val="20"/>
              </w:rPr>
              <w:t>Nivolumab is indicated for the treatment of patients with unresectable (Stage III) or metastatic (Stage IV) melanoma</w:t>
            </w:r>
            <w:r w:rsidR="0062723D" w:rsidRPr="00AD5A47">
              <w:rPr>
                <w:rFonts w:ascii="Arial" w:hAnsi="Arial" w:cs="Arial"/>
                <w:sz w:val="20"/>
              </w:rPr>
              <w:t xml:space="preserve"> </w:t>
            </w:r>
            <w:r w:rsidRPr="00AD5A47">
              <w:rPr>
                <w:rFonts w:ascii="Arial" w:hAnsi="Arial" w:cs="Arial"/>
                <w:sz w:val="20"/>
              </w:rPr>
              <w:t>and locally advanced or metastatic squamous or non-squamous non-small cell lung cancer with progression on or after prior chemotherapy.</w:t>
            </w:r>
            <w:r w:rsidR="0062723D" w:rsidRPr="00AD5A47">
              <w:rPr>
                <w:rFonts w:ascii="Arial" w:hAnsi="Arial" w:cs="Arial"/>
                <w:sz w:val="20"/>
              </w:rPr>
              <w:t xml:space="preserve"> Nivolumab in combinati</w:t>
            </w:r>
            <w:r w:rsidR="00AD3100" w:rsidRPr="00AD5A47">
              <w:rPr>
                <w:rFonts w:ascii="Arial" w:hAnsi="Arial" w:cs="Arial"/>
                <w:sz w:val="20"/>
              </w:rPr>
              <w:t>on with ipilumimab is indicated for the</w:t>
            </w:r>
            <w:r w:rsidR="0062723D" w:rsidRPr="00AD5A47">
              <w:rPr>
                <w:rFonts w:ascii="Arial" w:hAnsi="Arial" w:cs="Arial"/>
                <w:sz w:val="20"/>
              </w:rPr>
              <w:t xml:space="preserve"> treatment of patients with</w:t>
            </w:r>
            <w:r w:rsidR="00AD3100" w:rsidRPr="00AD5A47">
              <w:rPr>
                <w:rFonts w:ascii="Arial" w:hAnsi="Arial" w:cs="Arial"/>
                <w:sz w:val="20"/>
              </w:rPr>
              <w:t xml:space="preserve"> </w:t>
            </w:r>
            <w:r w:rsidR="0062723D" w:rsidRPr="00AD5A47">
              <w:rPr>
                <w:rFonts w:ascii="Arial" w:hAnsi="Arial" w:cs="Arial"/>
                <w:sz w:val="20"/>
              </w:rPr>
              <w:t>metastatic (Stage IV) melanoma with M1c disease or elevated lactic dehydrogenase (LDH).</w:t>
            </w:r>
          </w:p>
        </w:tc>
        <w:tc>
          <w:tcPr>
            <w:tcW w:w="2126" w:type="dxa"/>
            <w:vMerge w:val="restart"/>
            <w:shd w:val="clear" w:color="auto" w:fill="auto"/>
          </w:tcPr>
          <w:p w:rsidR="006A4400" w:rsidRPr="00555124" w:rsidRDefault="006A4400" w:rsidP="007F36D7">
            <w:pPr>
              <w:rPr>
                <w:rFonts w:ascii="Arial" w:hAnsi="Arial" w:cs="Arial"/>
                <w:color w:val="000000"/>
                <w:sz w:val="20"/>
              </w:rPr>
            </w:pPr>
            <w:r w:rsidRPr="00555124">
              <w:rPr>
                <w:rFonts w:ascii="Arial" w:hAnsi="Arial" w:cs="Arial"/>
                <w:color w:val="000000"/>
                <w:sz w:val="20"/>
              </w:rPr>
              <w:t>Nivolumab is currently PBS listed for the treatment of unresectable Stage III or IV malignant melanoma.</w:t>
            </w:r>
          </w:p>
        </w:tc>
        <w:tc>
          <w:tcPr>
            <w:tcW w:w="3544" w:type="dxa"/>
          </w:tcPr>
          <w:p w:rsidR="006A4400" w:rsidRPr="00555124" w:rsidRDefault="006A4400" w:rsidP="004A4A6D">
            <w:pPr>
              <w:keepNext/>
              <w:spacing w:line="276" w:lineRule="auto"/>
              <w:rPr>
                <w:rFonts w:ascii="Arial" w:hAnsi="Arial" w:cs="Arial"/>
                <w:color w:val="000000"/>
                <w:sz w:val="20"/>
              </w:rPr>
            </w:pPr>
            <w:r w:rsidRPr="00555124">
              <w:rPr>
                <w:rFonts w:ascii="Arial" w:hAnsi="Arial" w:cs="Arial"/>
                <w:color w:val="000000"/>
                <w:sz w:val="20"/>
              </w:rPr>
              <w:t>Resubmission to request a Section 100 (Efficient Funding of Chemotherapy) Authority Required (STREAMLINED) listing for second-line clear cell variant renal cell carcinoma</w:t>
            </w:r>
            <w:r w:rsidR="00EA0063" w:rsidRPr="00555124">
              <w:rPr>
                <w:rFonts w:ascii="Arial" w:hAnsi="Arial" w:cs="Arial"/>
                <w:color w:val="000000"/>
                <w:sz w:val="20"/>
              </w:rPr>
              <w:t xml:space="preserve"> (RCC)</w:t>
            </w:r>
            <w:r w:rsidRPr="00555124">
              <w:rPr>
                <w:rFonts w:ascii="Arial" w:hAnsi="Arial" w:cs="Arial"/>
                <w:color w:val="000000"/>
                <w:sz w:val="20"/>
              </w:rPr>
              <w:t>.</w:t>
            </w:r>
          </w:p>
        </w:tc>
        <w:tc>
          <w:tcPr>
            <w:tcW w:w="5339" w:type="dxa"/>
          </w:tcPr>
          <w:p w:rsidR="002A7BA8" w:rsidRPr="00AD5A47" w:rsidRDefault="002A7BA8" w:rsidP="002A7BA8">
            <w:pPr>
              <w:jc w:val="both"/>
              <w:rPr>
                <w:rFonts w:ascii="Arial" w:hAnsi="Arial" w:cs="Arial"/>
                <w:color w:val="000000"/>
                <w:sz w:val="20"/>
              </w:rPr>
            </w:pPr>
            <w:r w:rsidRPr="00AD5A47">
              <w:rPr>
                <w:rFonts w:ascii="Arial" w:hAnsi="Arial" w:cs="Arial"/>
                <w:color w:val="000000"/>
                <w:sz w:val="20"/>
              </w:rPr>
              <w:t>The PBAC did not recommend the listing of nivolumab for the treatment of advanced or metastatic clear cell variant RCC on grounds of unfavourable and uncertain cost-effectiveness. The PBAC considered that the benefit of treatment with nivolumab was unc</w:t>
            </w:r>
            <w:r w:rsidR="00555124">
              <w:rPr>
                <w:rFonts w:ascii="Arial" w:hAnsi="Arial" w:cs="Arial"/>
                <w:color w:val="000000"/>
                <w:sz w:val="20"/>
              </w:rPr>
              <w:t xml:space="preserve">ertain and likely overestimated </w:t>
            </w:r>
            <w:r w:rsidRPr="00AD5A47">
              <w:rPr>
                <w:rFonts w:ascii="Arial" w:hAnsi="Arial" w:cs="Arial"/>
                <w:color w:val="000000"/>
                <w:sz w:val="20"/>
              </w:rPr>
              <w:t>and that the proposed risk shar</w:t>
            </w:r>
            <w:r w:rsidR="00EA0063" w:rsidRPr="00AD5A47">
              <w:rPr>
                <w:rFonts w:ascii="Arial" w:hAnsi="Arial" w:cs="Arial"/>
                <w:color w:val="000000"/>
                <w:sz w:val="20"/>
              </w:rPr>
              <w:t>ing</w:t>
            </w:r>
            <w:r w:rsidRPr="00AD5A47">
              <w:rPr>
                <w:rFonts w:ascii="Arial" w:hAnsi="Arial" w:cs="Arial"/>
                <w:color w:val="000000"/>
                <w:sz w:val="20"/>
              </w:rPr>
              <w:t xml:space="preserve"> arrangement would not address this uncertainty.</w:t>
            </w:r>
          </w:p>
          <w:p w:rsidR="006A4400" w:rsidRPr="00AD5A47" w:rsidRDefault="006A4400" w:rsidP="002A7BA8">
            <w:pPr>
              <w:rPr>
                <w:rFonts w:ascii="Arial" w:hAnsi="Arial" w:cs="Arial"/>
                <w:sz w:val="20"/>
              </w:rPr>
            </w:pPr>
          </w:p>
        </w:tc>
      </w:tr>
      <w:tr w:rsidR="006A4400" w:rsidRPr="00443075" w:rsidTr="00F463A6">
        <w:trPr>
          <w:trHeight w:val="433"/>
        </w:trPr>
        <w:tc>
          <w:tcPr>
            <w:tcW w:w="2363" w:type="dxa"/>
            <w:vMerge/>
          </w:tcPr>
          <w:p w:rsidR="006A4400" w:rsidRPr="00F86553" w:rsidRDefault="006A4400" w:rsidP="007F36D7">
            <w:pPr>
              <w:rPr>
                <w:rFonts w:ascii="Arial" w:hAnsi="Arial" w:cs="Arial"/>
                <w:sz w:val="20"/>
              </w:rPr>
            </w:pPr>
          </w:p>
        </w:tc>
        <w:tc>
          <w:tcPr>
            <w:tcW w:w="2315" w:type="dxa"/>
            <w:vMerge/>
            <w:shd w:val="clear" w:color="auto" w:fill="auto"/>
          </w:tcPr>
          <w:p w:rsidR="006A4400" w:rsidRPr="00F86553" w:rsidRDefault="006A4400" w:rsidP="007F36D7">
            <w:pPr>
              <w:rPr>
                <w:rFonts w:ascii="Arial" w:hAnsi="Arial" w:cs="Arial"/>
                <w:sz w:val="20"/>
              </w:rPr>
            </w:pPr>
          </w:p>
        </w:tc>
        <w:tc>
          <w:tcPr>
            <w:tcW w:w="2126" w:type="dxa"/>
            <w:vMerge/>
            <w:shd w:val="clear" w:color="auto" w:fill="auto"/>
          </w:tcPr>
          <w:p w:rsidR="006A4400" w:rsidRPr="00555124" w:rsidRDefault="006A4400" w:rsidP="007F36D7">
            <w:pPr>
              <w:rPr>
                <w:rFonts w:ascii="Arial" w:hAnsi="Arial" w:cs="Arial"/>
                <w:sz w:val="20"/>
              </w:rPr>
            </w:pPr>
          </w:p>
        </w:tc>
        <w:tc>
          <w:tcPr>
            <w:tcW w:w="3544" w:type="dxa"/>
          </w:tcPr>
          <w:p w:rsidR="006A4400" w:rsidRPr="00555124" w:rsidRDefault="006A4400" w:rsidP="00DE6CD6">
            <w:pPr>
              <w:pStyle w:val="ListBullet"/>
            </w:pPr>
            <w:r w:rsidRPr="00555124">
              <w:t>Comparator:</w:t>
            </w:r>
            <w:r w:rsidR="00854AC5" w:rsidRPr="00555124">
              <w:t xml:space="preserve"> everolimus</w:t>
            </w:r>
          </w:p>
        </w:tc>
        <w:tc>
          <w:tcPr>
            <w:tcW w:w="5339" w:type="dxa"/>
          </w:tcPr>
          <w:p w:rsidR="006A4400" w:rsidRPr="00F86553" w:rsidRDefault="00854AC5" w:rsidP="007F36D7">
            <w:pPr>
              <w:spacing w:line="276" w:lineRule="auto"/>
              <w:rPr>
                <w:rFonts w:ascii="Arial" w:hAnsi="Arial" w:cs="Arial"/>
                <w:sz w:val="20"/>
              </w:rPr>
            </w:pPr>
            <w:r w:rsidRPr="00F86553">
              <w:rPr>
                <w:rFonts w:ascii="Arial" w:hAnsi="Arial" w:cs="Arial"/>
                <w:sz w:val="20"/>
              </w:rPr>
              <w:t>Accepted</w:t>
            </w:r>
          </w:p>
        </w:tc>
      </w:tr>
      <w:tr w:rsidR="006A4400" w:rsidRPr="00443075" w:rsidTr="00F463A6">
        <w:trPr>
          <w:trHeight w:val="433"/>
        </w:trPr>
        <w:tc>
          <w:tcPr>
            <w:tcW w:w="2363" w:type="dxa"/>
            <w:vMerge/>
          </w:tcPr>
          <w:p w:rsidR="006A4400" w:rsidRPr="00F86553" w:rsidRDefault="006A4400" w:rsidP="007F36D7">
            <w:pPr>
              <w:rPr>
                <w:rFonts w:ascii="Arial" w:hAnsi="Arial" w:cs="Arial"/>
                <w:sz w:val="20"/>
              </w:rPr>
            </w:pPr>
          </w:p>
        </w:tc>
        <w:tc>
          <w:tcPr>
            <w:tcW w:w="2315" w:type="dxa"/>
            <w:vMerge/>
            <w:shd w:val="clear" w:color="auto" w:fill="auto"/>
          </w:tcPr>
          <w:p w:rsidR="006A4400" w:rsidRPr="00F86553" w:rsidRDefault="006A4400" w:rsidP="007F36D7">
            <w:pPr>
              <w:rPr>
                <w:rFonts w:ascii="Arial" w:hAnsi="Arial" w:cs="Arial"/>
                <w:sz w:val="20"/>
              </w:rPr>
            </w:pPr>
          </w:p>
        </w:tc>
        <w:tc>
          <w:tcPr>
            <w:tcW w:w="2126" w:type="dxa"/>
            <w:vMerge/>
            <w:shd w:val="clear" w:color="auto" w:fill="auto"/>
          </w:tcPr>
          <w:p w:rsidR="006A4400" w:rsidRPr="00555124" w:rsidRDefault="006A4400" w:rsidP="007F36D7">
            <w:pPr>
              <w:rPr>
                <w:rFonts w:ascii="Arial" w:hAnsi="Arial" w:cs="Arial"/>
                <w:sz w:val="20"/>
              </w:rPr>
            </w:pPr>
          </w:p>
        </w:tc>
        <w:tc>
          <w:tcPr>
            <w:tcW w:w="3544" w:type="dxa"/>
          </w:tcPr>
          <w:p w:rsidR="006A4400" w:rsidRPr="00555124" w:rsidRDefault="006A4400" w:rsidP="00DE6CD6">
            <w:pPr>
              <w:pStyle w:val="ListBullet"/>
            </w:pPr>
            <w:r w:rsidRPr="00555124">
              <w:t>Clinical Claim:</w:t>
            </w:r>
            <w:r w:rsidR="00854AC5" w:rsidRPr="00555124">
              <w:t xml:space="preserve"> nivolumab as superior in terms of comparative efficacy and favourable in terms of comparative safety to everolimus</w:t>
            </w:r>
          </w:p>
        </w:tc>
        <w:tc>
          <w:tcPr>
            <w:tcW w:w="5339" w:type="dxa"/>
          </w:tcPr>
          <w:p w:rsidR="006A4400" w:rsidRPr="00AD5A47" w:rsidRDefault="00F86553" w:rsidP="00EA0063">
            <w:pPr>
              <w:spacing w:line="276" w:lineRule="auto"/>
              <w:jc w:val="both"/>
              <w:rPr>
                <w:rFonts w:ascii="Arial" w:hAnsi="Arial" w:cs="Arial"/>
                <w:sz w:val="20"/>
              </w:rPr>
            </w:pPr>
            <w:r w:rsidRPr="00F86553">
              <w:rPr>
                <w:rFonts w:ascii="Arial" w:hAnsi="Arial" w:cs="Arial"/>
                <w:sz w:val="20"/>
              </w:rPr>
              <w:t>The PBAC was satisfied that nivolumab provides, for some patients no increase in toxicity and an improvement in overall survival over everolimus however, the size of this improvement was uncertain.</w:t>
            </w:r>
          </w:p>
        </w:tc>
      </w:tr>
      <w:tr w:rsidR="006A4400" w:rsidRPr="00443075" w:rsidTr="00F463A6">
        <w:trPr>
          <w:trHeight w:val="433"/>
        </w:trPr>
        <w:tc>
          <w:tcPr>
            <w:tcW w:w="2363" w:type="dxa"/>
            <w:vMerge/>
          </w:tcPr>
          <w:p w:rsidR="006A4400" w:rsidRPr="00F86553" w:rsidRDefault="006A4400" w:rsidP="007F36D7">
            <w:pPr>
              <w:rPr>
                <w:rFonts w:ascii="Arial" w:hAnsi="Arial" w:cs="Arial"/>
                <w:sz w:val="20"/>
              </w:rPr>
            </w:pPr>
          </w:p>
        </w:tc>
        <w:tc>
          <w:tcPr>
            <w:tcW w:w="2315" w:type="dxa"/>
            <w:vMerge/>
            <w:shd w:val="clear" w:color="auto" w:fill="auto"/>
          </w:tcPr>
          <w:p w:rsidR="006A4400" w:rsidRPr="00F86553" w:rsidRDefault="006A4400" w:rsidP="007F36D7">
            <w:pPr>
              <w:rPr>
                <w:rFonts w:ascii="Arial" w:hAnsi="Arial" w:cs="Arial"/>
                <w:sz w:val="20"/>
              </w:rPr>
            </w:pPr>
          </w:p>
        </w:tc>
        <w:tc>
          <w:tcPr>
            <w:tcW w:w="2126" w:type="dxa"/>
            <w:vMerge/>
            <w:shd w:val="clear" w:color="auto" w:fill="auto"/>
          </w:tcPr>
          <w:p w:rsidR="006A4400" w:rsidRPr="00555124" w:rsidRDefault="006A4400" w:rsidP="007F36D7">
            <w:pPr>
              <w:rPr>
                <w:rFonts w:ascii="Arial" w:hAnsi="Arial" w:cs="Arial"/>
                <w:sz w:val="20"/>
              </w:rPr>
            </w:pPr>
          </w:p>
        </w:tc>
        <w:tc>
          <w:tcPr>
            <w:tcW w:w="3544" w:type="dxa"/>
          </w:tcPr>
          <w:p w:rsidR="006A4400" w:rsidRPr="00555124" w:rsidRDefault="006A4400" w:rsidP="00DE6CD6">
            <w:pPr>
              <w:pStyle w:val="ListBullet"/>
            </w:pPr>
            <w:r w:rsidRPr="00555124">
              <w:t>Economic Claim:</w:t>
            </w:r>
            <w:r w:rsidR="00854AC5" w:rsidRPr="00555124">
              <w:t xml:space="preserve"> cost utility analysis of nivolumab compared to everolimus</w:t>
            </w:r>
          </w:p>
        </w:tc>
        <w:tc>
          <w:tcPr>
            <w:tcW w:w="5339" w:type="dxa"/>
          </w:tcPr>
          <w:p w:rsidR="006A4400" w:rsidRPr="00AD5A47" w:rsidRDefault="00A77CD0" w:rsidP="00AD5A47">
            <w:pPr>
              <w:spacing w:line="276" w:lineRule="auto"/>
              <w:jc w:val="both"/>
              <w:rPr>
                <w:rFonts w:ascii="Arial" w:hAnsi="Arial" w:cs="Arial"/>
                <w:color w:val="000000"/>
                <w:sz w:val="20"/>
              </w:rPr>
            </w:pPr>
            <w:r w:rsidRPr="00AD5A47">
              <w:rPr>
                <w:rFonts w:ascii="Arial" w:hAnsi="Arial" w:cs="Arial"/>
                <w:color w:val="000000"/>
                <w:sz w:val="20"/>
              </w:rPr>
              <w:t xml:space="preserve">The PBAC </w:t>
            </w:r>
            <w:r w:rsidR="00AD5A47" w:rsidRPr="00AD5A47">
              <w:rPr>
                <w:rFonts w:ascii="Arial" w:hAnsi="Arial" w:cs="Arial"/>
                <w:color w:val="000000"/>
                <w:sz w:val="20"/>
              </w:rPr>
              <w:t xml:space="preserve">noted that the minor resubmission addressed some, but not all of its recommendations for a respecified base case for the economic model. The PBAC </w:t>
            </w:r>
            <w:r w:rsidRPr="00AD5A47">
              <w:rPr>
                <w:rFonts w:ascii="Arial" w:hAnsi="Arial" w:cs="Arial"/>
                <w:color w:val="000000"/>
                <w:sz w:val="20"/>
              </w:rPr>
              <w:t>considered that the assumptions and inputs to the model used to recalculate the incremental cost per quality adjusted life year gained introduced too many uncertainties to be considered reliable.</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555124" w:rsidRDefault="006A4400" w:rsidP="007F36D7">
            <w:pPr>
              <w:rPr>
                <w:rFonts w:ascii="Arial" w:hAnsi="Arial" w:cs="Arial"/>
                <w:sz w:val="20"/>
              </w:rPr>
            </w:pPr>
          </w:p>
        </w:tc>
        <w:tc>
          <w:tcPr>
            <w:tcW w:w="3544" w:type="dxa"/>
          </w:tcPr>
          <w:p w:rsidR="006A4400" w:rsidRPr="00555124" w:rsidRDefault="00A26A48" w:rsidP="00DE6CD6">
            <w:pPr>
              <w:pStyle w:val="ListBullet"/>
            </w:pPr>
            <w:r w:rsidRPr="00555124">
              <w:t>Sponsor comment</w:t>
            </w:r>
            <w:r w:rsidR="006A4400" w:rsidRPr="00555124">
              <w:t>:</w:t>
            </w:r>
          </w:p>
        </w:tc>
        <w:tc>
          <w:tcPr>
            <w:tcW w:w="5339" w:type="dxa"/>
          </w:tcPr>
          <w:p w:rsidR="006A4400" w:rsidRPr="00443075" w:rsidRDefault="00555124" w:rsidP="007F36D7">
            <w:pPr>
              <w:spacing w:line="276" w:lineRule="auto"/>
              <w:rPr>
                <w:rFonts w:ascii="Arial" w:hAnsi="Arial" w:cs="Arial"/>
                <w:sz w:val="20"/>
                <w:highlight w:val="yellow"/>
              </w:rPr>
            </w:pPr>
            <w:r w:rsidRPr="00555124">
              <w:rPr>
                <w:rFonts w:ascii="Arial" w:hAnsi="Arial" w:cs="Arial"/>
                <w:sz w:val="20"/>
              </w:rPr>
              <w:t>The sponsor remains committed to working with the PBAC to ensure nivolumab is available to Australian patients for the treatment of RCC via the PBS in the earliest possible timeframe.</w:t>
            </w:r>
          </w:p>
        </w:tc>
      </w:tr>
      <w:tr w:rsidR="006A4400" w:rsidRPr="00443075" w:rsidTr="00F463A6">
        <w:trPr>
          <w:trHeight w:val="488"/>
        </w:trPr>
        <w:tc>
          <w:tcPr>
            <w:tcW w:w="2363" w:type="dxa"/>
            <w:vMerge w:val="restart"/>
          </w:tcPr>
          <w:p w:rsidR="006A4400" w:rsidRPr="004A4A6D" w:rsidRDefault="006A4400" w:rsidP="004A4A6D">
            <w:pPr>
              <w:keepNext/>
              <w:spacing w:line="276" w:lineRule="auto"/>
              <w:rPr>
                <w:rFonts w:ascii="Arial" w:hAnsi="Arial" w:cs="Arial"/>
                <w:sz w:val="20"/>
              </w:rPr>
            </w:pPr>
            <w:r w:rsidRPr="004A4A6D">
              <w:rPr>
                <w:rFonts w:ascii="Arial" w:hAnsi="Arial" w:cs="Arial"/>
                <w:sz w:val="20"/>
              </w:rPr>
              <w:lastRenderedPageBreak/>
              <w:t>PEMBROLIZUMAB</w:t>
            </w:r>
          </w:p>
          <w:p w:rsidR="006A4400" w:rsidRPr="004A4A6D" w:rsidRDefault="006A4400" w:rsidP="004A4A6D">
            <w:pPr>
              <w:keepNext/>
              <w:spacing w:line="276" w:lineRule="auto"/>
              <w:rPr>
                <w:rFonts w:ascii="Arial" w:hAnsi="Arial" w:cs="Arial"/>
                <w:sz w:val="20"/>
              </w:rPr>
            </w:pPr>
          </w:p>
          <w:p w:rsidR="006A4400" w:rsidRPr="004A4A6D" w:rsidRDefault="006A4400" w:rsidP="004A4A6D">
            <w:pPr>
              <w:keepNext/>
              <w:spacing w:line="276" w:lineRule="auto"/>
              <w:rPr>
                <w:rFonts w:ascii="Arial" w:hAnsi="Arial" w:cs="Arial"/>
                <w:sz w:val="20"/>
              </w:rPr>
            </w:pPr>
            <w:r w:rsidRPr="004A4A6D">
              <w:rPr>
                <w:rFonts w:ascii="Arial" w:hAnsi="Arial" w:cs="Arial"/>
                <w:sz w:val="20"/>
              </w:rPr>
              <w:t xml:space="preserve">Powder for injection </w:t>
            </w:r>
            <w:r w:rsidR="000035F1">
              <w:rPr>
                <w:rFonts w:ascii="Arial" w:hAnsi="Arial" w:cs="Arial"/>
                <w:sz w:val="20"/>
              </w:rPr>
              <w:t>50</w:t>
            </w:r>
            <w:r w:rsidRPr="004A4A6D">
              <w:rPr>
                <w:rFonts w:ascii="Arial" w:hAnsi="Arial" w:cs="Arial"/>
                <w:sz w:val="20"/>
              </w:rPr>
              <w:t xml:space="preserve"> mg</w:t>
            </w:r>
          </w:p>
          <w:p w:rsidR="006A4400" w:rsidRPr="004A4A6D" w:rsidRDefault="006A4400" w:rsidP="004A4A6D">
            <w:pPr>
              <w:keepNext/>
              <w:spacing w:line="276" w:lineRule="auto"/>
              <w:rPr>
                <w:rFonts w:ascii="Arial" w:hAnsi="Arial" w:cs="Arial"/>
                <w:sz w:val="20"/>
              </w:rPr>
            </w:pPr>
          </w:p>
          <w:p w:rsidR="006A4400" w:rsidRPr="004A4A6D" w:rsidRDefault="006A4400" w:rsidP="004A4A6D">
            <w:pPr>
              <w:keepNext/>
              <w:spacing w:line="276" w:lineRule="auto"/>
              <w:rPr>
                <w:rFonts w:ascii="Arial" w:hAnsi="Arial" w:cs="Arial"/>
                <w:sz w:val="20"/>
              </w:rPr>
            </w:pPr>
            <w:r w:rsidRPr="004A4A6D">
              <w:rPr>
                <w:rFonts w:ascii="Arial" w:hAnsi="Arial" w:cs="Arial"/>
                <w:sz w:val="20"/>
              </w:rPr>
              <w:t>Keytruda®</w:t>
            </w:r>
          </w:p>
          <w:p w:rsidR="006A4400" w:rsidRPr="004A4A6D" w:rsidRDefault="006A4400" w:rsidP="004A4A6D">
            <w:pPr>
              <w:keepNext/>
              <w:spacing w:line="276" w:lineRule="auto"/>
              <w:rPr>
                <w:rFonts w:ascii="Arial" w:hAnsi="Arial" w:cs="Arial"/>
                <w:sz w:val="20"/>
              </w:rPr>
            </w:pPr>
          </w:p>
          <w:p w:rsidR="006A4400" w:rsidRPr="00CA0C65" w:rsidRDefault="006A4400" w:rsidP="004A4A6D">
            <w:pPr>
              <w:keepNext/>
              <w:spacing w:line="276" w:lineRule="auto"/>
              <w:rPr>
                <w:rFonts w:ascii="Arial" w:hAnsi="Arial" w:cs="Arial"/>
                <w:sz w:val="20"/>
              </w:rPr>
            </w:pPr>
            <w:r w:rsidRPr="004A4A6D">
              <w:rPr>
                <w:rFonts w:ascii="Arial" w:hAnsi="Arial" w:cs="Arial"/>
                <w:sz w:val="20"/>
              </w:rPr>
              <w:t>Merck Sharp &amp; Dohme (Australia) Pty Ltd</w:t>
            </w:r>
          </w:p>
          <w:p w:rsidR="006A4400" w:rsidRDefault="006A4400" w:rsidP="007F36D7">
            <w:pPr>
              <w:keepNext/>
              <w:spacing w:line="276" w:lineRule="auto"/>
              <w:rPr>
                <w:rFonts w:ascii="Arial" w:hAnsi="Arial" w:cs="Arial"/>
                <w:sz w:val="20"/>
                <w:highlight w:val="yellow"/>
              </w:rPr>
            </w:pPr>
          </w:p>
          <w:p w:rsidR="00D029DF" w:rsidRPr="00D029DF" w:rsidRDefault="00D029DF" w:rsidP="00D029DF">
            <w:pPr>
              <w:keepNext/>
              <w:spacing w:line="276" w:lineRule="auto"/>
              <w:rPr>
                <w:rFonts w:ascii="Arial" w:hAnsi="Arial" w:cs="Arial"/>
                <w:sz w:val="20"/>
              </w:rPr>
            </w:pPr>
            <w:r w:rsidRPr="00D029DF">
              <w:rPr>
                <w:rFonts w:ascii="Arial" w:hAnsi="Arial" w:cs="Arial"/>
                <w:sz w:val="20"/>
              </w:rPr>
              <w:t>Change to listing</w:t>
            </w:r>
          </w:p>
          <w:p w:rsidR="00D029DF" w:rsidRPr="00D029DF" w:rsidRDefault="00D029DF" w:rsidP="00D029DF">
            <w:pPr>
              <w:keepNext/>
              <w:spacing w:line="276" w:lineRule="auto"/>
              <w:rPr>
                <w:rFonts w:ascii="Arial" w:hAnsi="Arial" w:cs="Arial"/>
                <w:sz w:val="20"/>
              </w:rPr>
            </w:pPr>
          </w:p>
          <w:p w:rsidR="00D029DF" w:rsidRPr="00CA0C65" w:rsidRDefault="00D029DF" w:rsidP="00D029DF">
            <w:pPr>
              <w:keepNext/>
              <w:spacing w:line="276" w:lineRule="auto"/>
              <w:rPr>
                <w:rFonts w:ascii="Arial" w:hAnsi="Arial" w:cs="Arial"/>
                <w:sz w:val="20"/>
                <w:highlight w:val="yellow"/>
              </w:rPr>
            </w:pPr>
            <w:r w:rsidRPr="00D029DF">
              <w:rPr>
                <w:rFonts w:ascii="Arial" w:hAnsi="Arial" w:cs="Arial"/>
                <w:sz w:val="20"/>
              </w:rPr>
              <w:t>(Major Submission)</w:t>
            </w:r>
          </w:p>
        </w:tc>
        <w:tc>
          <w:tcPr>
            <w:tcW w:w="2315" w:type="dxa"/>
            <w:vMerge w:val="restart"/>
            <w:shd w:val="clear" w:color="auto" w:fill="auto"/>
          </w:tcPr>
          <w:p w:rsidR="006A4400" w:rsidRPr="00CA0C65" w:rsidRDefault="006A4400" w:rsidP="00AD3100">
            <w:pPr>
              <w:rPr>
                <w:rFonts w:ascii="Arial" w:hAnsi="Arial" w:cs="Arial"/>
                <w:sz w:val="20"/>
              </w:rPr>
            </w:pPr>
            <w:r>
              <w:rPr>
                <w:rFonts w:ascii="Arial" w:hAnsi="Arial" w:cs="Arial"/>
                <w:sz w:val="20"/>
              </w:rPr>
              <w:t>Pembrolizumab is indicated for the treatment of unresectable or metastatic melanoma in adults.</w:t>
            </w:r>
          </w:p>
        </w:tc>
        <w:tc>
          <w:tcPr>
            <w:tcW w:w="2126" w:type="dxa"/>
            <w:vMerge w:val="restart"/>
            <w:shd w:val="clear" w:color="auto" w:fill="auto"/>
          </w:tcPr>
          <w:p w:rsidR="006A4400" w:rsidRPr="004571A9" w:rsidRDefault="006A4400" w:rsidP="007F36D7">
            <w:pPr>
              <w:rPr>
                <w:rFonts w:ascii="Arial" w:hAnsi="Arial" w:cs="Arial"/>
                <w:color w:val="000000"/>
                <w:sz w:val="20"/>
              </w:rPr>
            </w:pPr>
            <w:r>
              <w:rPr>
                <w:rFonts w:ascii="Arial" w:hAnsi="Arial" w:cs="Arial"/>
                <w:color w:val="000000"/>
                <w:sz w:val="20"/>
              </w:rPr>
              <w:t>Pembrolizumab is currently PBS listed for the treatment of unresectable Stage III or Stage IV malignant melanoma.</w:t>
            </w:r>
          </w:p>
        </w:tc>
        <w:tc>
          <w:tcPr>
            <w:tcW w:w="3544" w:type="dxa"/>
          </w:tcPr>
          <w:p w:rsidR="006A4400" w:rsidRPr="00443075" w:rsidRDefault="009C41B4" w:rsidP="007F36D7">
            <w:pPr>
              <w:keepNext/>
              <w:spacing w:line="276" w:lineRule="auto"/>
              <w:rPr>
                <w:rFonts w:ascii="Arial" w:hAnsi="Arial" w:cs="Arial"/>
                <w:color w:val="000000"/>
                <w:sz w:val="20"/>
              </w:rPr>
            </w:pPr>
            <w:r w:rsidRPr="009C41B4">
              <w:rPr>
                <w:rFonts w:ascii="Arial" w:hAnsi="Arial" w:cs="Arial"/>
                <w:color w:val="000000"/>
                <w:sz w:val="20"/>
              </w:rPr>
              <w:t>Resubmission to seek PBAC reconsideration of the cost-effectiveness of pembrolizumab for the treatment of unresectable stage III or stage IV metastatic melanoma.</w:t>
            </w:r>
          </w:p>
        </w:tc>
        <w:tc>
          <w:tcPr>
            <w:tcW w:w="5339" w:type="dxa"/>
          </w:tcPr>
          <w:p w:rsidR="006A4400" w:rsidRPr="00443075" w:rsidRDefault="004B4158" w:rsidP="0029065B">
            <w:pPr>
              <w:keepNext/>
              <w:spacing w:line="276" w:lineRule="auto"/>
              <w:rPr>
                <w:rFonts w:ascii="Arial" w:hAnsi="Arial" w:cs="Arial"/>
                <w:sz w:val="20"/>
              </w:rPr>
            </w:pPr>
            <w:r w:rsidRPr="004B4158">
              <w:rPr>
                <w:rFonts w:ascii="Arial" w:hAnsi="Arial" w:cs="Arial"/>
                <w:sz w:val="20"/>
              </w:rPr>
              <w:t>The PBAC decided not to recommend that the circumstances of the PBS listing of pembrolizumab for the treatment of unresectable Stage III or Stage IV metastatic melanoma be changed following the Managed Entry Scheme. The PBAC considered that the requested changes to the cost-effectiveness of pembrolizumab and the associated risk sharing arrangement caps contained in the Deed of Agreement were not justified</w:t>
            </w:r>
            <w:r w:rsidR="0029065B">
              <w:rPr>
                <w:rFonts w:ascii="Arial" w:hAnsi="Arial" w:cs="Arial"/>
                <w:sz w:val="20"/>
              </w:rPr>
              <w:t>, noting</w:t>
            </w:r>
            <w:r w:rsidRPr="004B4158">
              <w:rPr>
                <w:rFonts w:ascii="Arial" w:hAnsi="Arial" w:cs="Arial"/>
                <w:sz w:val="20"/>
              </w:rPr>
              <w:t xml:space="preserve"> the primary basis for previously rejecting the increased cost per patient had not changed since the previous submission, and the numbers of eligible patients each year were likely to be overestimated.</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Pr="00443075" w:rsidRDefault="006A4400" w:rsidP="00DE6CD6">
            <w:pPr>
              <w:pStyle w:val="ListBullet"/>
            </w:pPr>
            <w:r>
              <w:t>Comparator:</w:t>
            </w:r>
            <w:r w:rsidR="00832216">
              <w:t xml:space="preserve"> </w:t>
            </w:r>
            <w:r w:rsidR="00832216" w:rsidRPr="00832216">
              <w:t>ipilimumab</w:t>
            </w:r>
          </w:p>
        </w:tc>
        <w:tc>
          <w:tcPr>
            <w:tcW w:w="5339" w:type="dxa"/>
          </w:tcPr>
          <w:p w:rsidR="006A4400" w:rsidRPr="00443075" w:rsidRDefault="004B4158" w:rsidP="007F36D7">
            <w:pPr>
              <w:spacing w:line="276" w:lineRule="auto"/>
              <w:rPr>
                <w:rFonts w:ascii="Arial" w:hAnsi="Arial" w:cs="Arial"/>
                <w:sz w:val="20"/>
                <w:highlight w:val="yellow"/>
              </w:rPr>
            </w:pPr>
            <w:r w:rsidRPr="004B4158">
              <w:rPr>
                <w:rFonts w:ascii="Arial" w:hAnsi="Arial" w:cs="Arial"/>
                <w:sz w:val="20"/>
              </w:rPr>
              <w:t>Since the Deed of Agreement, nivolumab has been PBS-listed for the treatment of unresectable Stage III or Stage IV metastatic melanoma on the basis that nivolumab is non-inferior to pembrolizumab and therefore is an appropriate comparator.</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Clinical Claim:</w:t>
            </w:r>
            <w:r w:rsidR="00832216">
              <w:t xml:space="preserve"> </w:t>
            </w:r>
            <w:r w:rsidR="00832216" w:rsidRPr="00832216">
              <w:t>pembrolizumab as superior in terms of comparative effectiveness and comparative safety over ipilimumab</w:t>
            </w:r>
          </w:p>
        </w:tc>
        <w:tc>
          <w:tcPr>
            <w:tcW w:w="5339" w:type="dxa"/>
          </w:tcPr>
          <w:p w:rsidR="006A4400" w:rsidRPr="00443075" w:rsidRDefault="004B4158" w:rsidP="007F36D7">
            <w:pPr>
              <w:spacing w:line="276" w:lineRule="auto"/>
              <w:rPr>
                <w:rFonts w:ascii="Arial" w:hAnsi="Arial" w:cs="Arial"/>
                <w:sz w:val="20"/>
                <w:highlight w:val="yellow"/>
              </w:rPr>
            </w:pPr>
            <w:r w:rsidRPr="004B4158">
              <w:rPr>
                <w:rFonts w:ascii="Arial" w:hAnsi="Arial" w:cs="Arial"/>
                <w:sz w:val="20"/>
              </w:rPr>
              <w:t>The submission did not contain evidence of greater effectiveness or safety of pembrolizumab compared with nivolumab and as such could not justify a change in the circumstances of the PBS listing of pembrolizumab.</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6A4400" w:rsidP="00DE6CD6">
            <w:pPr>
              <w:pStyle w:val="ListBullet"/>
            </w:pPr>
            <w:r>
              <w:t>Economic Claim:</w:t>
            </w:r>
            <w:r w:rsidR="00832216">
              <w:t xml:space="preserve"> </w:t>
            </w:r>
            <w:r w:rsidR="00832216" w:rsidRPr="00832216">
              <w:t>cost-utility analysis presenting two scenarios; a ‘Deed compliant scenario’ and a ‘Realistic scenario’ which is a multivariate sensitivity analysis of the ‘Deed compliant scenario’.</w:t>
            </w:r>
          </w:p>
        </w:tc>
        <w:tc>
          <w:tcPr>
            <w:tcW w:w="5339" w:type="dxa"/>
          </w:tcPr>
          <w:p w:rsidR="0029065B" w:rsidRDefault="004B4158" w:rsidP="0029065B">
            <w:pPr>
              <w:spacing w:line="276" w:lineRule="auto"/>
              <w:rPr>
                <w:rFonts w:ascii="Arial" w:hAnsi="Arial" w:cs="Arial"/>
                <w:sz w:val="20"/>
              </w:rPr>
            </w:pPr>
            <w:r w:rsidRPr="004B4158">
              <w:rPr>
                <w:rFonts w:ascii="Arial" w:hAnsi="Arial" w:cs="Arial"/>
                <w:sz w:val="20"/>
              </w:rPr>
              <w:t>The PBAC noted that, as nivolumab is listed on the PBS on the basis of the recommendation</w:t>
            </w:r>
            <w:r w:rsidR="0029065B">
              <w:rPr>
                <w:rFonts w:ascii="Arial" w:hAnsi="Arial" w:cs="Arial"/>
                <w:sz w:val="20"/>
              </w:rPr>
              <w:t xml:space="preserve"> set out below</w:t>
            </w:r>
            <w:r w:rsidRPr="004B4158">
              <w:rPr>
                <w:rFonts w:ascii="Arial" w:hAnsi="Arial" w:cs="Arial"/>
                <w:sz w:val="20"/>
              </w:rPr>
              <w:t>, the cost per patient of pembrolizumab is linked to the cost per patient of nivolumab, which would remain consistent with the initial cost per patient condi</w:t>
            </w:r>
            <w:r w:rsidR="0029065B">
              <w:rPr>
                <w:rFonts w:ascii="Arial" w:hAnsi="Arial" w:cs="Arial"/>
                <w:sz w:val="20"/>
              </w:rPr>
              <w:t>tions of the pembrolizumab MES:</w:t>
            </w:r>
            <w:r w:rsidRPr="004B4158">
              <w:rPr>
                <w:rFonts w:ascii="Arial" w:hAnsi="Arial" w:cs="Arial"/>
                <w:sz w:val="20"/>
              </w:rPr>
              <w:t xml:space="preserve"> </w:t>
            </w:r>
          </w:p>
          <w:p w:rsidR="0029065B" w:rsidRDefault="0029065B" w:rsidP="0029065B">
            <w:pPr>
              <w:spacing w:line="276" w:lineRule="auto"/>
              <w:rPr>
                <w:rFonts w:ascii="Arial" w:hAnsi="Arial" w:cs="Arial"/>
                <w:sz w:val="20"/>
              </w:rPr>
            </w:pPr>
          </w:p>
          <w:p w:rsidR="006A4400" w:rsidRPr="00443075" w:rsidRDefault="004B4158" w:rsidP="0029065B">
            <w:pPr>
              <w:spacing w:line="276" w:lineRule="auto"/>
              <w:rPr>
                <w:rFonts w:ascii="Arial" w:hAnsi="Arial" w:cs="Arial"/>
                <w:sz w:val="20"/>
                <w:highlight w:val="yellow"/>
              </w:rPr>
            </w:pPr>
            <w:r w:rsidRPr="004B4158">
              <w:rPr>
                <w:rFonts w:ascii="Arial" w:hAnsi="Arial" w:cs="Arial"/>
                <w:sz w:val="20"/>
              </w:rPr>
              <w:t xml:space="preserve">“The PBAC recommended that the pricing of nivolumab upon PBS listing be determined only with reference to the initial pricing conditions of the pembrolizumab MES. Any </w:t>
            </w:r>
            <w:r w:rsidRPr="004B4158">
              <w:rPr>
                <w:rFonts w:ascii="Arial" w:hAnsi="Arial" w:cs="Arial"/>
                <w:sz w:val="20"/>
              </w:rPr>
              <w:lastRenderedPageBreak/>
              <w:t>future pricing adjustment that may be sought for pembrolizumab as part of the conditions of the pembrolizumab MES would not apply to nivolumab, thus providing the Commonwealth certainty of the nivolumab pricing.  Future applications to prove cost effectiveness of nivolumab over pembrolizumab may be made at any time by the sponsor, if warranted by future clinical trial data” (paragraph 7.6, Nivolumab PSD November 2015 PBAC meeting).</w:t>
            </w:r>
          </w:p>
        </w:tc>
      </w:tr>
      <w:tr w:rsidR="006A4400" w:rsidRPr="00443075" w:rsidTr="00F463A6">
        <w:trPr>
          <w:trHeight w:val="433"/>
        </w:trPr>
        <w:tc>
          <w:tcPr>
            <w:tcW w:w="2363" w:type="dxa"/>
            <w:vMerge/>
          </w:tcPr>
          <w:p w:rsidR="006A4400" w:rsidRPr="00CA0C65" w:rsidRDefault="006A4400" w:rsidP="007F36D7">
            <w:pPr>
              <w:rPr>
                <w:rFonts w:ascii="Arial" w:hAnsi="Arial" w:cs="Arial"/>
                <w:sz w:val="20"/>
              </w:rPr>
            </w:pPr>
          </w:p>
        </w:tc>
        <w:tc>
          <w:tcPr>
            <w:tcW w:w="2315" w:type="dxa"/>
            <w:vMerge/>
            <w:shd w:val="clear" w:color="auto" w:fill="auto"/>
          </w:tcPr>
          <w:p w:rsidR="006A4400" w:rsidRPr="00CA0C65" w:rsidRDefault="006A4400" w:rsidP="007F36D7">
            <w:pPr>
              <w:rPr>
                <w:rFonts w:ascii="Arial" w:hAnsi="Arial" w:cs="Arial"/>
                <w:sz w:val="20"/>
              </w:rPr>
            </w:pPr>
          </w:p>
        </w:tc>
        <w:tc>
          <w:tcPr>
            <w:tcW w:w="2126" w:type="dxa"/>
            <w:vMerge/>
            <w:shd w:val="clear" w:color="auto" w:fill="auto"/>
          </w:tcPr>
          <w:p w:rsidR="006A4400" w:rsidRPr="00CA0C65" w:rsidRDefault="006A4400" w:rsidP="007F36D7">
            <w:pPr>
              <w:rPr>
                <w:rFonts w:ascii="Arial" w:hAnsi="Arial" w:cs="Arial"/>
                <w:sz w:val="20"/>
              </w:rPr>
            </w:pPr>
          </w:p>
        </w:tc>
        <w:tc>
          <w:tcPr>
            <w:tcW w:w="3544" w:type="dxa"/>
          </w:tcPr>
          <w:p w:rsidR="006A4400" w:rsidRDefault="00A26A48" w:rsidP="00DE6CD6">
            <w:pPr>
              <w:pStyle w:val="ListBullet"/>
            </w:pPr>
            <w:r w:rsidRPr="000035F1">
              <w:t>Sponsor comment</w:t>
            </w:r>
            <w:r w:rsidR="006A4400" w:rsidRPr="000035F1">
              <w:t>:</w:t>
            </w:r>
          </w:p>
        </w:tc>
        <w:tc>
          <w:tcPr>
            <w:tcW w:w="5339" w:type="dxa"/>
          </w:tcPr>
          <w:p w:rsidR="006A4400" w:rsidRPr="00443075" w:rsidRDefault="004B62AC" w:rsidP="007F36D7">
            <w:pPr>
              <w:spacing w:line="276" w:lineRule="auto"/>
              <w:rPr>
                <w:rFonts w:ascii="Arial" w:hAnsi="Arial" w:cs="Arial"/>
                <w:sz w:val="20"/>
                <w:highlight w:val="yellow"/>
              </w:rPr>
            </w:pPr>
            <w:r>
              <w:rPr>
                <w:rFonts w:ascii="Arial" w:hAnsi="Arial" w:cs="Arial"/>
                <w:sz w:val="20"/>
              </w:rPr>
              <w:t>MSD is</w:t>
            </w:r>
            <w:r w:rsidR="002C17FB" w:rsidRPr="002C17FB">
              <w:rPr>
                <w:rFonts w:ascii="Arial" w:hAnsi="Arial" w:cs="Arial"/>
                <w:sz w:val="20"/>
              </w:rPr>
              <w:t xml:space="preserve"> disappointed that th</w:t>
            </w:r>
            <w:r w:rsidR="002C17FB">
              <w:rPr>
                <w:rFonts w:ascii="Arial" w:hAnsi="Arial" w:cs="Arial"/>
                <w:sz w:val="20"/>
              </w:rPr>
              <w:t xml:space="preserve">e superiority of pembrolizumab </w:t>
            </w:r>
            <w:r w:rsidR="002C17FB" w:rsidRPr="002C17FB">
              <w:rPr>
                <w:rFonts w:ascii="Arial" w:hAnsi="Arial" w:cs="Arial"/>
                <w:sz w:val="20"/>
              </w:rPr>
              <w:t>vs. ipilimumab hasn't been reflected</w:t>
            </w:r>
            <w:r w:rsidR="002C17FB">
              <w:rPr>
                <w:rFonts w:ascii="Arial" w:hAnsi="Arial" w:cs="Arial"/>
                <w:sz w:val="20"/>
              </w:rPr>
              <w:t>.</w:t>
            </w:r>
          </w:p>
        </w:tc>
      </w:tr>
    </w:tbl>
    <w:p w:rsidR="0078027D" w:rsidRDefault="0078027D" w:rsidP="002A7FDE">
      <w:pPr>
        <w:pStyle w:val="Title"/>
        <w:jc w:val="left"/>
      </w:pPr>
    </w:p>
    <w:p w:rsidR="00456326" w:rsidRPr="0010394D" w:rsidRDefault="00456326" w:rsidP="002A7FDE">
      <w:pPr>
        <w:pStyle w:val="Title"/>
        <w:jc w:val="left"/>
      </w:pPr>
    </w:p>
    <w:sectPr w:rsidR="00456326" w:rsidRPr="0010394D" w:rsidSect="000805C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19" w:rsidRDefault="007E1819">
      <w:r>
        <w:separator/>
      </w:r>
    </w:p>
  </w:endnote>
  <w:endnote w:type="continuationSeparator" w:id="0">
    <w:p w:rsidR="007E1819" w:rsidRDefault="007E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0E" w:rsidRDefault="00E74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8658B">
      <w:rPr>
        <w:rFonts w:ascii="Arial" w:hAnsi="Arial" w:cs="Arial"/>
        <w:noProof/>
        <w:sz w:val="22"/>
      </w:rPr>
      <w:t>12</w:t>
    </w:r>
    <w:r w:rsidRPr="000805C6">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8658B">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19" w:rsidRDefault="007E1819">
      <w:r>
        <w:separator/>
      </w:r>
    </w:p>
  </w:footnote>
  <w:footnote w:type="continuationSeparator" w:id="0">
    <w:p w:rsidR="007E1819" w:rsidRDefault="007E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0E" w:rsidRDefault="00E74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4A4A6D" w:rsidP="000805C6">
    <w:pPr>
      <w:pStyle w:val="Header"/>
      <w:jc w:val="center"/>
      <w:rPr>
        <w:rFonts w:ascii="Arial" w:hAnsi="Arial" w:cs="Arial"/>
        <w:b/>
        <w:sz w:val="20"/>
      </w:rPr>
    </w:pPr>
    <w:r>
      <w:rPr>
        <w:rFonts w:ascii="Arial" w:hAnsi="Arial" w:cs="Arial"/>
        <w:b/>
        <w:sz w:val="20"/>
      </w:rPr>
      <w:t>NOVEMBER</w:t>
    </w:r>
    <w:r w:rsidR="00E142F4">
      <w:rPr>
        <w:rFonts w:ascii="Arial" w:hAnsi="Arial" w:cs="Arial"/>
        <w:b/>
        <w:sz w:val="20"/>
      </w:rPr>
      <w:t xml:space="preserve"> 2016</w:t>
    </w:r>
    <w:r w:rsidR="000805C6">
      <w:rPr>
        <w:rFonts w:ascii="Arial" w:hAnsi="Arial" w:cs="Arial"/>
        <w:b/>
        <w:sz w:val="20"/>
      </w:rPr>
      <w:t xml:space="preserve"> PBAC OUTCOMES – SUBSEQUENT</w:t>
    </w:r>
    <w:r w:rsidR="000805C6"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E7460E" w:rsidP="00613975">
    <w:pPr>
      <w:pStyle w:val="Header"/>
      <w:jc w:val="center"/>
      <w:rPr>
        <w:rFonts w:ascii="Arial" w:hAnsi="Arial" w:cs="Arial"/>
        <w:b/>
        <w:sz w:val="20"/>
      </w:rPr>
    </w:pPr>
    <w:r>
      <w:rPr>
        <w:rFonts w:ascii="Arial" w:hAnsi="Arial" w:cs="Arial"/>
        <w:b/>
        <w:sz w:val="20"/>
      </w:rPr>
      <w:t>NOVEMBER</w:t>
    </w:r>
    <w:r w:rsidR="003415EE">
      <w:rPr>
        <w:rFonts w:ascii="Arial" w:hAnsi="Arial" w:cs="Arial"/>
        <w:b/>
        <w:sz w:val="20"/>
      </w:rPr>
      <w:t xml:space="preserve"> 2016</w:t>
    </w:r>
    <w:r w:rsidR="00A24F2E" w:rsidRPr="00A24F2E">
      <w:rPr>
        <w:rFonts w:ascii="Arial" w:hAnsi="Arial" w:cs="Arial"/>
        <w:b/>
        <w:sz w:val="20"/>
      </w:rPr>
      <w:t xml:space="preserve">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DA22082"/>
    <w:multiLevelType w:val="hybridMultilevel"/>
    <w:tmpl w:val="B7D2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2B62F7"/>
    <w:multiLevelType w:val="hybridMultilevel"/>
    <w:tmpl w:val="DBA0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2">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E317988"/>
    <w:multiLevelType w:val="hybridMultilevel"/>
    <w:tmpl w:val="4A52BBC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0"/>
  </w:num>
  <w:num w:numId="2">
    <w:abstractNumId w:val="11"/>
  </w:num>
  <w:num w:numId="3">
    <w:abstractNumId w:val="10"/>
  </w:num>
  <w:num w:numId="4">
    <w:abstractNumId w:val="7"/>
  </w:num>
  <w:num w:numId="5">
    <w:abstractNumId w:val="2"/>
  </w:num>
  <w:num w:numId="6">
    <w:abstractNumId w:val="12"/>
  </w:num>
  <w:num w:numId="7">
    <w:abstractNumId w:val="5"/>
  </w:num>
  <w:num w:numId="8">
    <w:abstractNumId w:val="3"/>
  </w:num>
  <w:num w:numId="9">
    <w:abstractNumId w:val="1"/>
  </w:num>
  <w:num w:numId="10">
    <w:abstractNumId w:val="6"/>
  </w:num>
  <w:num w:numId="11">
    <w:abstractNumId w:val="4"/>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035F1"/>
    <w:rsid w:val="0001162E"/>
    <w:rsid w:val="00014389"/>
    <w:rsid w:val="00016ABD"/>
    <w:rsid w:val="000243A9"/>
    <w:rsid w:val="00024634"/>
    <w:rsid w:val="00024F1C"/>
    <w:rsid w:val="00030555"/>
    <w:rsid w:val="00031E49"/>
    <w:rsid w:val="00046D30"/>
    <w:rsid w:val="00047427"/>
    <w:rsid w:val="00052C94"/>
    <w:rsid w:val="00060D90"/>
    <w:rsid w:val="000632B7"/>
    <w:rsid w:val="00063F01"/>
    <w:rsid w:val="000703F3"/>
    <w:rsid w:val="00070A0B"/>
    <w:rsid w:val="000805C6"/>
    <w:rsid w:val="0008658B"/>
    <w:rsid w:val="0009305C"/>
    <w:rsid w:val="000B4313"/>
    <w:rsid w:val="000B6738"/>
    <w:rsid w:val="000D0539"/>
    <w:rsid w:val="000D1304"/>
    <w:rsid w:val="000D3717"/>
    <w:rsid w:val="000E406F"/>
    <w:rsid w:val="000E52C4"/>
    <w:rsid w:val="0010394D"/>
    <w:rsid w:val="001047FA"/>
    <w:rsid w:val="00120488"/>
    <w:rsid w:val="00144E78"/>
    <w:rsid w:val="001472AE"/>
    <w:rsid w:val="00154744"/>
    <w:rsid w:val="00170906"/>
    <w:rsid w:val="00170915"/>
    <w:rsid w:val="001810B2"/>
    <w:rsid w:val="001B57DB"/>
    <w:rsid w:val="001B6053"/>
    <w:rsid w:val="001C0908"/>
    <w:rsid w:val="001D38D0"/>
    <w:rsid w:val="001D688E"/>
    <w:rsid w:val="001D7065"/>
    <w:rsid w:val="001F5344"/>
    <w:rsid w:val="002007BA"/>
    <w:rsid w:val="00204DB4"/>
    <w:rsid w:val="002075FB"/>
    <w:rsid w:val="00211D3A"/>
    <w:rsid w:val="00213E0E"/>
    <w:rsid w:val="00214A2F"/>
    <w:rsid w:val="00220228"/>
    <w:rsid w:val="00220C3F"/>
    <w:rsid w:val="00223C4D"/>
    <w:rsid w:val="00237031"/>
    <w:rsid w:val="002404C3"/>
    <w:rsid w:val="00241E9E"/>
    <w:rsid w:val="002440EA"/>
    <w:rsid w:val="002460D4"/>
    <w:rsid w:val="00255313"/>
    <w:rsid w:val="00256ACE"/>
    <w:rsid w:val="00256CB9"/>
    <w:rsid w:val="00262778"/>
    <w:rsid w:val="002743B5"/>
    <w:rsid w:val="002861D6"/>
    <w:rsid w:val="00287BC5"/>
    <w:rsid w:val="0029065B"/>
    <w:rsid w:val="002A0EAF"/>
    <w:rsid w:val="002A1CF2"/>
    <w:rsid w:val="002A42C5"/>
    <w:rsid w:val="002A46E6"/>
    <w:rsid w:val="002A5152"/>
    <w:rsid w:val="002A7BA8"/>
    <w:rsid w:val="002A7FDE"/>
    <w:rsid w:val="002B2BEC"/>
    <w:rsid w:val="002B4B7A"/>
    <w:rsid w:val="002C17FB"/>
    <w:rsid w:val="002D0EA8"/>
    <w:rsid w:val="002D4410"/>
    <w:rsid w:val="002D46EB"/>
    <w:rsid w:val="002E5B33"/>
    <w:rsid w:val="002F0F71"/>
    <w:rsid w:val="002F2D05"/>
    <w:rsid w:val="002F5086"/>
    <w:rsid w:val="002F62A6"/>
    <w:rsid w:val="00302B1F"/>
    <w:rsid w:val="00303527"/>
    <w:rsid w:val="00304964"/>
    <w:rsid w:val="00305656"/>
    <w:rsid w:val="00312E87"/>
    <w:rsid w:val="00320F76"/>
    <w:rsid w:val="00322CA5"/>
    <w:rsid w:val="003273DE"/>
    <w:rsid w:val="003335F7"/>
    <w:rsid w:val="00337EC3"/>
    <w:rsid w:val="003415EE"/>
    <w:rsid w:val="003419C9"/>
    <w:rsid w:val="00346A18"/>
    <w:rsid w:val="00347546"/>
    <w:rsid w:val="00362BDA"/>
    <w:rsid w:val="00364CA6"/>
    <w:rsid w:val="00367CA3"/>
    <w:rsid w:val="00370F0A"/>
    <w:rsid w:val="00374EA8"/>
    <w:rsid w:val="0039594A"/>
    <w:rsid w:val="0039641E"/>
    <w:rsid w:val="003B6CFA"/>
    <w:rsid w:val="003B704B"/>
    <w:rsid w:val="003C3492"/>
    <w:rsid w:val="003C7B73"/>
    <w:rsid w:val="003E2DEC"/>
    <w:rsid w:val="003E3C69"/>
    <w:rsid w:val="003E5395"/>
    <w:rsid w:val="003E5ACC"/>
    <w:rsid w:val="003F12A1"/>
    <w:rsid w:val="003F65A9"/>
    <w:rsid w:val="003F7763"/>
    <w:rsid w:val="0040515C"/>
    <w:rsid w:val="004074CD"/>
    <w:rsid w:val="00416C9D"/>
    <w:rsid w:val="0043706A"/>
    <w:rsid w:val="00446F57"/>
    <w:rsid w:val="0044777F"/>
    <w:rsid w:val="00456326"/>
    <w:rsid w:val="00457FC8"/>
    <w:rsid w:val="00467522"/>
    <w:rsid w:val="00475539"/>
    <w:rsid w:val="00477C5E"/>
    <w:rsid w:val="004874F1"/>
    <w:rsid w:val="0049673E"/>
    <w:rsid w:val="004968F4"/>
    <w:rsid w:val="004A4A6D"/>
    <w:rsid w:val="004A7506"/>
    <w:rsid w:val="004A76AD"/>
    <w:rsid w:val="004B2379"/>
    <w:rsid w:val="004B4158"/>
    <w:rsid w:val="004B62AC"/>
    <w:rsid w:val="004C071C"/>
    <w:rsid w:val="004C0A09"/>
    <w:rsid w:val="004C0F09"/>
    <w:rsid w:val="004C3700"/>
    <w:rsid w:val="004C4C2B"/>
    <w:rsid w:val="004D08BF"/>
    <w:rsid w:val="004D2DFC"/>
    <w:rsid w:val="004D312F"/>
    <w:rsid w:val="004E2729"/>
    <w:rsid w:val="004E4BB3"/>
    <w:rsid w:val="004E58AE"/>
    <w:rsid w:val="004E61E5"/>
    <w:rsid w:val="004E7F92"/>
    <w:rsid w:val="004F22AF"/>
    <w:rsid w:val="004F53A2"/>
    <w:rsid w:val="005060C3"/>
    <w:rsid w:val="005109A7"/>
    <w:rsid w:val="005156A1"/>
    <w:rsid w:val="005226E3"/>
    <w:rsid w:val="00524927"/>
    <w:rsid w:val="005334F6"/>
    <w:rsid w:val="00533EC6"/>
    <w:rsid w:val="00551121"/>
    <w:rsid w:val="00555124"/>
    <w:rsid w:val="00556A91"/>
    <w:rsid w:val="0056006F"/>
    <w:rsid w:val="00563865"/>
    <w:rsid w:val="00565922"/>
    <w:rsid w:val="00575B97"/>
    <w:rsid w:val="00576EBC"/>
    <w:rsid w:val="00583A1F"/>
    <w:rsid w:val="00590408"/>
    <w:rsid w:val="00591511"/>
    <w:rsid w:val="005A05DC"/>
    <w:rsid w:val="005A4700"/>
    <w:rsid w:val="005B1359"/>
    <w:rsid w:val="005B23D4"/>
    <w:rsid w:val="005B5972"/>
    <w:rsid w:val="005C51C0"/>
    <w:rsid w:val="005C529C"/>
    <w:rsid w:val="005C583B"/>
    <w:rsid w:val="005D0350"/>
    <w:rsid w:val="005E6126"/>
    <w:rsid w:val="005F6AD6"/>
    <w:rsid w:val="00606B1D"/>
    <w:rsid w:val="00613975"/>
    <w:rsid w:val="0062060A"/>
    <w:rsid w:val="006227C5"/>
    <w:rsid w:val="0062723D"/>
    <w:rsid w:val="00636B27"/>
    <w:rsid w:val="006378CF"/>
    <w:rsid w:val="00642545"/>
    <w:rsid w:val="00655D5C"/>
    <w:rsid w:val="00667A4C"/>
    <w:rsid w:val="00670168"/>
    <w:rsid w:val="006706AA"/>
    <w:rsid w:val="00674FEC"/>
    <w:rsid w:val="00680915"/>
    <w:rsid w:val="00695D28"/>
    <w:rsid w:val="006A4400"/>
    <w:rsid w:val="006A4BE8"/>
    <w:rsid w:val="006A724A"/>
    <w:rsid w:val="006A772E"/>
    <w:rsid w:val="006B41E1"/>
    <w:rsid w:val="006B4334"/>
    <w:rsid w:val="006C196C"/>
    <w:rsid w:val="006C1CD8"/>
    <w:rsid w:val="006C6E12"/>
    <w:rsid w:val="006E0C7B"/>
    <w:rsid w:val="006E12A3"/>
    <w:rsid w:val="006F3F91"/>
    <w:rsid w:val="006F40D1"/>
    <w:rsid w:val="00704ABF"/>
    <w:rsid w:val="00704E74"/>
    <w:rsid w:val="00720097"/>
    <w:rsid w:val="00735D52"/>
    <w:rsid w:val="00743998"/>
    <w:rsid w:val="00743DF4"/>
    <w:rsid w:val="00751128"/>
    <w:rsid w:val="0075364D"/>
    <w:rsid w:val="007572F6"/>
    <w:rsid w:val="007605AB"/>
    <w:rsid w:val="0076473F"/>
    <w:rsid w:val="00770B47"/>
    <w:rsid w:val="0078027D"/>
    <w:rsid w:val="007840FF"/>
    <w:rsid w:val="00784382"/>
    <w:rsid w:val="0079164A"/>
    <w:rsid w:val="007A16E6"/>
    <w:rsid w:val="007A29FA"/>
    <w:rsid w:val="007A361E"/>
    <w:rsid w:val="007B0843"/>
    <w:rsid w:val="007B64C3"/>
    <w:rsid w:val="007B66BB"/>
    <w:rsid w:val="007C0EDE"/>
    <w:rsid w:val="007C250E"/>
    <w:rsid w:val="007C274A"/>
    <w:rsid w:val="007D085A"/>
    <w:rsid w:val="007E1819"/>
    <w:rsid w:val="0080031A"/>
    <w:rsid w:val="0080046E"/>
    <w:rsid w:val="008040C8"/>
    <w:rsid w:val="008068F2"/>
    <w:rsid w:val="00815D6B"/>
    <w:rsid w:val="0081702A"/>
    <w:rsid w:val="00821E75"/>
    <w:rsid w:val="00825130"/>
    <w:rsid w:val="00826000"/>
    <w:rsid w:val="00832216"/>
    <w:rsid w:val="00837A9E"/>
    <w:rsid w:val="00842F8C"/>
    <w:rsid w:val="00850073"/>
    <w:rsid w:val="00854AC5"/>
    <w:rsid w:val="0086299E"/>
    <w:rsid w:val="0086603E"/>
    <w:rsid w:val="00894F36"/>
    <w:rsid w:val="008A5929"/>
    <w:rsid w:val="008B0E22"/>
    <w:rsid w:val="008B7160"/>
    <w:rsid w:val="008C185A"/>
    <w:rsid w:val="008C6E23"/>
    <w:rsid w:val="008D676E"/>
    <w:rsid w:val="008D72BA"/>
    <w:rsid w:val="008E0965"/>
    <w:rsid w:val="008E3CC3"/>
    <w:rsid w:val="009044AF"/>
    <w:rsid w:val="00907AA6"/>
    <w:rsid w:val="009224BE"/>
    <w:rsid w:val="00924932"/>
    <w:rsid w:val="00925326"/>
    <w:rsid w:val="00934AD5"/>
    <w:rsid w:val="00947987"/>
    <w:rsid w:val="00957F9F"/>
    <w:rsid w:val="00972B1B"/>
    <w:rsid w:val="0098248A"/>
    <w:rsid w:val="00991AFC"/>
    <w:rsid w:val="009A0D3A"/>
    <w:rsid w:val="009B2F04"/>
    <w:rsid w:val="009B49D2"/>
    <w:rsid w:val="009B5D59"/>
    <w:rsid w:val="009B6E95"/>
    <w:rsid w:val="009B735A"/>
    <w:rsid w:val="009B7CBE"/>
    <w:rsid w:val="009C41B4"/>
    <w:rsid w:val="009C52D8"/>
    <w:rsid w:val="009C73A4"/>
    <w:rsid w:val="009C7FD0"/>
    <w:rsid w:val="009D0A99"/>
    <w:rsid w:val="009D1D30"/>
    <w:rsid w:val="009D77B4"/>
    <w:rsid w:val="009E0523"/>
    <w:rsid w:val="009E0D55"/>
    <w:rsid w:val="009E299C"/>
    <w:rsid w:val="009E61F3"/>
    <w:rsid w:val="009E6539"/>
    <w:rsid w:val="009F0ED6"/>
    <w:rsid w:val="009F382A"/>
    <w:rsid w:val="009F42BE"/>
    <w:rsid w:val="009F5E7E"/>
    <w:rsid w:val="00A02424"/>
    <w:rsid w:val="00A07C14"/>
    <w:rsid w:val="00A24F2E"/>
    <w:rsid w:val="00A26805"/>
    <w:rsid w:val="00A26A48"/>
    <w:rsid w:val="00A37DDA"/>
    <w:rsid w:val="00A42D88"/>
    <w:rsid w:val="00A544A3"/>
    <w:rsid w:val="00A55002"/>
    <w:rsid w:val="00A56ED7"/>
    <w:rsid w:val="00A62091"/>
    <w:rsid w:val="00A62D7E"/>
    <w:rsid w:val="00A706C5"/>
    <w:rsid w:val="00A74BD3"/>
    <w:rsid w:val="00A77CD0"/>
    <w:rsid w:val="00A86069"/>
    <w:rsid w:val="00A90F44"/>
    <w:rsid w:val="00A913CA"/>
    <w:rsid w:val="00AB52CD"/>
    <w:rsid w:val="00AC3F9F"/>
    <w:rsid w:val="00AD0FCA"/>
    <w:rsid w:val="00AD3100"/>
    <w:rsid w:val="00AD3357"/>
    <w:rsid w:val="00AD362D"/>
    <w:rsid w:val="00AD5A47"/>
    <w:rsid w:val="00AE346B"/>
    <w:rsid w:val="00AE3F52"/>
    <w:rsid w:val="00AF3D81"/>
    <w:rsid w:val="00AF4A3C"/>
    <w:rsid w:val="00B01F7E"/>
    <w:rsid w:val="00B024DE"/>
    <w:rsid w:val="00B10521"/>
    <w:rsid w:val="00B26FF7"/>
    <w:rsid w:val="00B42918"/>
    <w:rsid w:val="00B43E46"/>
    <w:rsid w:val="00B44CA8"/>
    <w:rsid w:val="00B51C7E"/>
    <w:rsid w:val="00B77A97"/>
    <w:rsid w:val="00B80FE3"/>
    <w:rsid w:val="00B915BE"/>
    <w:rsid w:val="00BA619E"/>
    <w:rsid w:val="00BA6888"/>
    <w:rsid w:val="00BC0474"/>
    <w:rsid w:val="00BC1FB7"/>
    <w:rsid w:val="00BC55C3"/>
    <w:rsid w:val="00BD024C"/>
    <w:rsid w:val="00BD520B"/>
    <w:rsid w:val="00BD6EBF"/>
    <w:rsid w:val="00BE0C87"/>
    <w:rsid w:val="00BE58B8"/>
    <w:rsid w:val="00BE7D88"/>
    <w:rsid w:val="00BF3003"/>
    <w:rsid w:val="00BF7AF4"/>
    <w:rsid w:val="00C110F0"/>
    <w:rsid w:val="00C1519A"/>
    <w:rsid w:val="00C17C65"/>
    <w:rsid w:val="00C23FA7"/>
    <w:rsid w:val="00C2561B"/>
    <w:rsid w:val="00C26A1C"/>
    <w:rsid w:val="00C333D1"/>
    <w:rsid w:val="00C355A7"/>
    <w:rsid w:val="00C4326C"/>
    <w:rsid w:val="00C44762"/>
    <w:rsid w:val="00C454EF"/>
    <w:rsid w:val="00C45D98"/>
    <w:rsid w:val="00C464A5"/>
    <w:rsid w:val="00C9315F"/>
    <w:rsid w:val="00C93FA9"/>
    <w:rsid w:val="00C9450F"/>
    <w:rsid w:val="00C94D2C"/>
    <w:rsid w:val="00CA0C65"/>
    <w:rsid w:val="00CA2B5C"/>
    <w:rsid w:val="00CB0656"/>
    <w:rsid w:val="00CB799A"/>
    <w:rsid w:val="00CC001D"/>
    <w:rsid w:val="00CC1FC5"/>
    <w:rsid w:val="00CD1F11"/>
    <w:rsid w:val="00CD3345"/>
    <w:rsid w:val="00CD6E96"/>
    <w:rsid w:val="00CE3D26"/>
    <w:rsid w:val="00CE40E2"/>
    <w:rsid w:val="00D029DF"/>
    <w:rsid w:val="00D06895"/>
    <w:rsid w:val="00D230A2"/>
    <w:rsid w:val="00D3127D"/>
    <w:rsid w:val="00D4718F"/>
    <w:rsid w:val="00D5330C"/>
    <w:rsid w:val="00D61EB6"/>
    <w:rsid w:val="00D641C2"/>
    <w:rsid w:val="00D65DDC"/>
    <w:rsid w:val="00D85166"/>
    <w:rsid w:val="00D905C6"/>
    <w:rsid w:val="00D938F5"/>
    <w:rsid w:val="00DA0C7A"/>
    <w:rsid w:val="00DB0BAD"/>
    <w:rsid w:val="00DB3394"/>
    <w:rsid w:val="00DB589E"/>
    <w:rsid w:val="00DB63C7"/>
    <w:rsid w:val="00DC4717"/>
    <w:rsid w:val="00DD5B1D"/>
    <w:rsid w:val="00DD66E2"/>
    <w:rsid w:val="00DE6421"/>
    <w:rsid w:val="00DE6C5F"/>
    <w:rsid w:val="00DE6CD6"/>
    <w:rsid w:val="00DF4007"/>
    <w:rsid w:val="00DF703C"/>
    <w:rsid w:val="00E01074"/>
    <w:rsid w:val="00E142F4"/>
    <w:rsid w:val="00E16367"/>
    <w:rsid w:val="00E224FF"/>
    <w:rsid w:val="00E239BA"/>
    <w:rsid w:val="00E331E0"/>
    <w:rsid w:val="00E47E9A"/>
    <w:rsid w:val="00E508BC"/>
    <w:rsid w:val="00E60ACD"/>
    <w:rsid w:val="00E65D7A"/>
    <w:rsid w:val="00E663DC"/>
    <w:rsid w:val="00E7460E"/>
    <w:rsid w:val="00E7686D"/>
    <w:rsid w:val="00E77CA2"/>
    <w:rsid w:val="00E77EAA"/>
    <w:rsid w:val="00E86609"/>
    <w:rsid w:val="00E8771F"/>
    <w:rsid w:val="00E9797D"/>
    <w:rsid w:val="00EA0063"/>
    <w:rsid w:val="00EA02A3"/>
    <w:rsid w:val="00EA6994"/>
    <w:rsid w:val="00EB4EFA"/>
    <w:rsid w:val="00EE1E65"/>
    <w:rsid w:val="00EE5442"/>
    <w:rsid w:val="00EF026E"/>
    <w:rsid w:val="00F16DF9"/>
    <w:rsid w:val="00F20487"/>
    <w:rsid w:val="00F215D2"/>
    <w:rsid w:val="00F23F38"/>
    <w:rsid w:val="00F25545"/>
    <w:rsid w:val="00F301A5"/>
    <w:rsid w:val="00F40665"/>
    <w:rsid w:val="00F43732"/>
    <w:rsid w:val="00F44F29"/>
    <w:rsid w:val="00F463A6"/>
    <w:rsid w:val="00F516E0"/>
    <w:rsid w:val="00F52E0A"/>
    <w:rsid w:val="00F600FE"/>
    <w:rsid w:val="00F63AFD"/>
    <w:rsid w:val="00F63E90"/>
    <w:rsid w:val="00F70567"/>
    <w:rsid w:val="00F72B54"/>
    <w:rsid w:val="00F75206"/>
    <w:rsid w:val="00F82673"/>
    <w:rsid w:val="00F83FA8"/>
    <w:rsid w:val="00F86553"/>
    <w:rsid w:val="00F924D9"/>
    <w:rsid w:val="00F95A15"/>
    <w:rsid w:val="00FC2645"/>
    <w:rsid w:val="00FC346B"/>
    <w:rsid w:val="00FC4900"/>
    <w:rsid w:val="00FD2735"/>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DE6CD6"/>
    <w:pPr>
      <w:jc w:val="both"/>
    </w:pPr>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BulletPoints"/>
    <w:basedOn w:val="Normal"/>
    <w:link w:val="ListParagraphChar"/>
    <w:uiPriority w:val="34"/>
    <w:qFormat/>
    <w:rsid w:val="001810B2"/>
    <w:pPr>
      <w:ind w:left="720"/>
      <w:contextualSpacing/>
    </w:pPr>
    <w:rPr>
      <w:szCs w:val="24"/>
    </w:rPr>
  </w:style>
  <w:style w:type="character" w:customStyle="1" w:styleId="ListParagraphChar">
    <w:name w:val="List Paragraph Char"/>
    <w:aliases w:val="BulletPoints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 w:type="paragraph" w:customStyle="1" w:styleId="Char">
    <w:name w:val="Char"/>
    <w:basedOn w:val="Normal"/>
    <w:rsid w:val="00456326"/>
    <w:pPr>
      <w:spacing w:after="160" w:line="240" w:lineRule="exact"/>
    </w:pPr>
    <w:rPr>
      <w:rFonts w:ascii="Verdana" w:eastAsia="MS Mincho" w:hAnsi="Verdana" w:cs="Verdana"/>
      <w:sz w:val="20"/>
      <w:lang w:val="en-US" w:eastAsia="en-US"/>
    </w:rPr>
  </w:style>
  <w:style w:type="paragraph" w:customStyle="1" w:styleId="PBACHeading1">
    <w:name w:val="PBAC Heading 1"/>
    <w:basedOn w:val="ListParagraph"/>
    <w:qFormat/>
    <w:rsid w:val="00EA0063"/>
    <w:pPr>
      <w:ind w:hanging="720"/>
      <w:jc w:val="both"/>
      <w:outlineLvl w:val="0"/>
    </w:pPr>
    <w:rPr>
      <w:rFonts w:ascii="Arial" w:hAnsi="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DE6CD6"/>
    <w:pPr>
      <w:jc w:val="both"/>
    </w:pPr>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BulletPoints"/>
    <w:basedOn w:val="Normal"/>
    <w:link w:val="ListParagraphChar"/>
    <w:uiPriority w:val="34"/>
    <w:qFormat/>
    <w:rsid w:val="001810B2"/>
    <w:pPr>
      <w:ind w:left="720"/>
      <w:contextualSpacing/>
    </w:pPr>
    <w:rPr>
      <w:szCs w:val="24"/>
    </w:rPr>
  </w:style>
  <w:style w:type="character" w:customStyle="1" w:styleId="ListParagraphChar">
    <w:name w:val="List Paragraph Char"/>
    <w:aliases w:val="BulletPoints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 w:type="paragraph" w:customStyle="1" w:styleId="Char">
    <w:name w:val="Char"/>
    <w:basedOn w:val="Normal"/>
    <w:rsid w:val="00456326"/>
    <w:pPr>
      <w:spacing w:after="160" w:line="240" w:lineRule="exact"/>
    </w:pPr>
    <w:rPr>
      <w:rFonts w:ascii="Verdana" w:eastAsia="MS Mincho" w:hAnsi="Verdana" w:cs="Verdana"/>
      <w:sz w:val="20"/>
      <w:lang w:val="en-US" w:eastAsia="en-US"/>
    </w:rPr>
  </w:style>
  <w:style w:type="paragraph" w:customStyle="1" w:styleId="PBACHeading1">
    <w:name w:val="PBAC Heading 1"/>
    <w:basedOn w:val="ListParagraph"/>
    <w:qFormat/>
    <w:rsid w:val="00EA0063"/>
    <w:pPr>
      <w:ind w:hanging="720"/>
      <w:jc w:val="both"/>
      <w:outlineLvl w:val="0"/>
    </w:pPr>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08667299">
      <w:bodyDiv w:val="1"/>
      <w:marLeft w:val="0"/>
      <w:marRight w:val="0"/>
      <w:marTop w:val="0"/>
      <w:marBottom w:val="0"/>
      <w:divBdr>
        <w:top w:val="none" w:sz="0" w:space="0" w:color="auto"/>
        <w:left w:val="none" w:sz="0" w:space="0" w:color="auto"/>
        <w:bottom w:val="none" w:sz="0" w:space="0" w:color="auto"/>
        <w:right w:val="none" w:sz="0" w:space="0" w:color="auto"/>
      </w:divBdr>
    </w:div>
    <w:div w:id="325475497">
      <w:bodyDiv w:val="1"/>
      <w:marLeft w:val="0"/>
      <w:marRight w:val="0"/>
      <w:marTop w:val="0"/>
      <w:marBottom w:val="0"/>
      <w:divBdr>
        <w:top w:val="none" w:sz="0" w:space="0" w:color="auto"/>
        <w:left w:val="none" w:sz="0" w:space="0" w:color="auto"/>
        <w:bottom w:val="none" w:sz="0" w:space="0" w:color="auto"/>
        <w:right w:val="none" w:sz="0" w:space="0" w:color="auto"/>
      </w:divBdr>
    </w:div>
    <w:div w:id="331688189">
      <w:bodyDiv w:val="1"/>
      <w:marLeft w:val="0"/>
      <w:marRight w:val="0"/>
      <w:marTop w:val="0"/>
      <w:marBottom w:val="0"/>
      <w:divBdr>
        <w:top w:val="none" w:sz="0" w:space="0" w:color="auto"/>
        <w:left w:val="none" w:sz="0" w:space="0" w:color="auto"/>
        <w:bottom w:val="none" w:sz="0" w:space="0" w:color="auto"/>
        <w:right w:val="none" w:sz="0" w:space="0" w:color="auto"/>
      </w:divBdr>
    </w:div>
    <w:div w:id="348407466">
      <w:bodyDiv w:val="1"/>
      <w:marLeft w:val="0"/>
      <w:marRight w:val="0"/>
      <w:marTop w:val="0"/>
      <w:marBottom w:val="0"/>
      <w:divBdr>
        <w:top w:val="none" w:sz="0" w:space="0" w:color="auto"/>
        <w:left w:val="none" w:sz="0" w:space="0" w:color="auto"/>
        <w:bottom w:val="none" w:sz="0" w:space="0" w:color="auto"/>
        <w:right w:val="none" w:sz="0" w:space="0" w:color="auto"/>
      </w:divBdr>
    </w:div>
    <w:div w:id="432212811">
      <w:bodyDiv w:val="1"/>
      <w:marLeft w:val="0"/>
      <w:marRight w:val="0"/>
      <w:marTop w:val="0"/>
      <w:marBottom w:val="0"/>
      <w:divBdr>
        <w:top w:val="none" w:sz="0" w:space="0" w:color="auto"/>
        <w:left w:val="none" w:sz="0" w:space="0" w:color="auto"/>
        <w:bottom w:val="none" w:sz="0" w:space="0" w:color="auto"/>
        <w:right w:val="none" w:sz="0" w:space="0" w:color="auto"/>
      </w:divBdr>
    </w:div>
    <w:div w:id="475494489">
      <w:bodyDiv w:val="1"/>
      <w:marLeft w:val="0"/>
      <w:marRight w:val="0"/>
      <w:marTop w:val="0"/>
      <w:marBottom w:val="0"/>
      <w:divBdr>
        <w:top w:val="none" w:sz="0" w:space="0" w:color="auto"/>
        <w:left w:val="none" w:sz="0" w:space="0" w:color="auto"/>
        <w:bottom w:val="none" w:sz="0" w:space="0" w:color="auto"/>
        <w:right w:val="none" w:sz="0" w:space="0" w:color="auto"/>
      </w:divBdr>
    </w:div>
    <w:div w:id="491800400">
      <w:bodyDiv w:val="1"/>
      <w:marLeft w:val="0"/>
      <w:marRight w:val="0"/>
      <w:marTop w:val="0"/>
      <w:marBottom w:val="0"/>
      <w:divBdr>
        <w:top w:val="none" w:sz="0" w:space="0" w:color="auto"/>
        <w:left w:val="none" w:sz="0" w:space="0" w:color="auto"/>
        <w:bottom w:val="none" w:sz="0" w:space="0" w:color="auto"/>
        <w:right w:val="none" w:sz="0" w:space="0" w:color="auto"/>
      </w:divBdr>
    </w:div>
    <w:div w:id="548079702">
      <w:bodyDiv w:val="1"/>
      <w:marLeft w:val="0"/>
      <w:marRight w:val="0"/>
      <w:marTop w:val="0"/>
      <w:marBottom w:val="0"/>
      <w:divBdr>
        <w:top w:val="none" w:sz="0" w:space="0" w:color="auto"/>
        <w:left w:val="none" w:sz="0" w:space="0" w:color="auto"/>
        <w:bottom w:val="none" w:sz="0" w:space="0" w:color="auto"/>
        <w:right w:val="none" w:sz="0" w:space="0" w:color="auto"/>
      </w:divBdr>
    </w:div>
    <w:div w:id="555508712">
      <w:bodyDiv w:val="1"/>
      <w:marLeft w:val="0"/>
      <w:marRight w:val="0"/>
      <w:marTop w:val="0"/>
      <w:marBottom w:val="0"/>
      <w:divBdr>
        <w:top w:val="none" w:sz="0" w:space="0" w:color="auto"/>
        <w:left w:val="none" w:sz="0" w:space="0" w:color="auto"/>
        <w:bottom w:val="none" w:sz="0" w:space="0" w:color="auto"/>
        <w:right w:val="none" w:sz="0" w:space="0" w:color="auto"/>
      </w:divBdr>
    </w:div>
    <w:div w:id="589899303">
      <w:bodyDiv w:val="1"/>
      <w:marLeft w:val="0"/>
      <w:marRight w:val="0"/>
      <w:marTop w:val="0"/>
      <w:marBottom w:val="0"/>
      <w:divBdr>
        <w:top w:val="none" w:sz="0" w:space="0" w:color="auto"/>
        <w:left w:val="none" w:sz="0" w:space="0" w:color="auto"/>
        <w:bottom w:val="none" w:sz="0" w:space="0" w:color="auto"/>
        <w:right w:val="none" w:sz="0" w:space="0" w:color="auto"/>
      </w:divBdr>
    </w:div>
    <w:div w:id="661280636">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60031263">
      <w:bodyDiv w:val="1"/>
      <w:marLeft w:val="0"/>
      <w:marRight w:val="0"/>
      <w:marTop w:val="0"/>
      <w:marBottom w:val="0"/>
      <w:divBdr>
        <w:top w:val="none" w:sz="0" w:space="0" w:color="auto"/>
        <w:left w:val="none" w:sz="0" w:space="0" w:color="auto"/>
        <w:bottom w:val="none" w:sz="0" w:space="0" w:color="auto"/>
        <w:right w:val="none" w:sz="0" w:space="0" w:color="auto"/>
      </w:divBdr>
    </w:div>
    <w:div w:id="8344136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90952650">
      <w:bodyDiv w:val="1"/>
      <w:marLeft w:val="0"/>
      <w:marRight w:val="0"/>
      <w:marTop w:val="0"/>
      <w:marBottom w:val="0"/>
      <w:divBdr>
        <w:top w:val="none" w:sz="0" w:space="0" w:color="auto"/>
        <w:left w:val="none" w:sz="0" w:space="0" w:color="auto"/>
        <w:bottom w:val="none" w:sz="0" w:space="0" w:color="auto"/>
        <w:right w:val="none" w:sz="0" w:space="0" w:color="auto"/>
      </w:divBdr>
    </w:div>
    <w:div w:id="1267271626">
      <w:bodyDiv w:val="1"/>
      <w:marLeft w:val="0"/>
      <w:marRight w:val="0"/>
      <w:marTop w:val="0"/>
      <w:marBottom w:val="0"/>
      <w:divBdr>
        <w:top w:val="none" w:sz="0" w:space="0" w:color="auto"/>
        <w:left w:val="none" w:sz="0" w:space="0" w:color="auto"/>
        <w:bottom w:val="none" w:sz="0" w:space="0" w:color="auto"/>
        <w:right w:val="none" w:sz="0" w:space="0" w:color="auto"/>
      </w:divBdr>
    </w:div>
    <w:div w:id="1284770776">
      <w:bodyDiv w:val="1"/>
      <w:marLeft w:val="0"/>
      <w:marRight w:val="0"/>
      <w:marTop w:val="0"/>
      <w:marBottom w:val="0"/>
      <w:divBdr>
        <w:top w:val="none" w:sz="0" w:space="0" w:color="auto"/>
        <w:left w:val="none" w:sz="0" w:space="0" w:color="auto"/>
        <w:bottom w:val="none" w:sz="0" w:space="0" w:color="auto"/>
        <w:right w:val="none" w:sz="0" w:space="0" w:color="auto"/>
      </w:divBdr>
    </w:div>
    <w:div w:id="1326009800">
      <w:bodyDiv w:val="1"/>
      <w:marLeft w:val="0"/>
      <w:marRight w:val="0"/>
      <w:marTop w:val="0"/>
      <w:marBottom w:val="0"/>
      <w:divBdr>
        <w:top w:val="none" w:sz="0" w:space="0" w:color="auto"/>
        <w:left w:val="none" w:sz="0" w:space="0" w:color="auto"/>
        <w:bottom w:val="none" w:sz="0" w:space="0" w:color="auto"/>
        <w:right w:val="none" w:sz="0" w:space="0" w:color="auto"/>
      </w:divBdr>
    </w:div>
    <w:div w:id="1506898300">
      <w:bodyDiv w:val="1"/>
      <w:marLeft w:val="0"/>
      <w:marRight w:val="0"/>
      <w:marTop w:val="0"/>
      <w:marBottom w:val="0"/>
      <w:divBdr>
        <w:top w:val="none" w:sz="0" w:space="0" w:color="auto"/>
        <w:left w:val="none" w:sz="0" w:space="0" w:color="auto"/>
        <w:bottom w:val="none" w:sz="0" w:space="0" w:color="auto"/>
        <w:right w:val="none" w:sz="0" w:space="0" w:color="auto"/>
      </w:divBdr>
    </w:div>
    <w:div w:id="1544752983">
      <w:bodyDiv w:val="1"/>
      <w:marLeft w:val="0"/>
      <w:marRight w:val="0"/>
      <w:marTop w:val="0"/>
      <w:marBottom w:val="0"/>
      <w:divBdr>
        <w:top w:val="none" w:sz="0" w:space="0" w:color="auto"/>
        <w:left w:val="none" w:sz="0" w:space="0" w:color="auto"/>
        <w:bottom w:val="none" w:sz="0" w:space="0" w:color="auto"/>
        <w:right w:val="none" w:sz="0" w:space="0" w:color="auto"/>
      </w:divBdr>
    </w:div>
    <w:div w:id="1617520807">
      <w:bodyDiv w:val="1"/>
      <w:marLeft w:val="0"/>
      <w:marRight w:val="0"/>
      <w:marTop w:val="0"/>
      <w:marBottom w:val="0"/>
      <w:divBdr>
        <w:top w:val="none" w:sz="0" w:space="0" w:color="auto"/>
        <w:left w:val="none" w:sz="0" w:space="0" w:color="auto"/>
        <w:bottom w:val="none" w:sz="0" w:space="0" w:color="auto"/>
        <w:right w:val="none" w:sz="0" w:space="0" w:color="auto"/>
      </w:divBdr>
    </w:div>
    <w:div w:id="1673096798">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6192">
      <w:bodyDiv w:val="1"/>
      <w:marLeft w:val="0"/>
      <w:marRight w:val="0"/>
      <w:marTop w:val="0"/>
      <w:marBottom w:val="0"/>
      <w:divBdr>
        <w:top w:val="none" w:sz="0" w:space="0" w:color="auto"/>
        <w:left w:val="none" w:sz="0" w:space="0" w:color="auto"/>
        <w:bottom w:val="none" w:sz="0" w:space="0" w:color="auto"/>
        <w:right w:val="none" w:sz="0" w:space="0" w:color="auto"/>
      </w:divBdr>
    </w:div>
    <w:div w:id="1758016744">
      <w:bodyDiv w:val="1"/>
      <w:marLeft w:val="0"/>
      <w:marRight w:val="0"/>
      <w:marTop w:val="0"/>
      <w:marBottom w:val="0"/>
      <w:divBdr>
        <w:top w:val="none" w:sz="0" w:space="0" w:color="auto"/>
        <w:left w:val="none" w:sz="0" w:space="0" w:color="auto"/>
        <w:bottom w:val="none" w:sz="0" w:space="0" w:color="auto"/>
        <w:right w:val="none" w:sz="0" w:space="0" w:color="auto"/>
      </w:divBdr>
    </w:div>
    <w:div w:id="1768185379">
      <w:bodyDiv w:val="1"/>
      <w:marLeft w:val="0"/>
      <w:marRight w:val="0"/>
      <w:marTop w:val="0"/>
      <w:marBottom w:val="0"/>
      <w:divBdr>
        <w:top w:val="none" w:sz="0" w:space="0" w:color="auto"/>
        <w:left w:val="none" w:sz="0" w:space="0" w:color="auto"/>
        <w:bottom w:val="none" w:sz="0" w:space="0" w:color="auto"/>
        <w:right w:val="none" w:sz="0" w:space="0" w:color="auto"/>
      </w:divBdr>
    </w:div>
    <w:div w:id="1807162365">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1958945650">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9597681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3490</Words>
  <Characters>20604</Characters>
  <Application>Microsoft Office Word</Application>
  <DocSecurity>0</DocSecurity>
  <Lines>171</Lines>
  <Paragraphs>48</Paragraphs>
  <ScaleCrop>false</ScaleCrop>
  <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2016-12-15T01:14:00Z</dcterms:created>
  <dcterms:modified xsi:type="dcterms:W3CDTF">2016-12-15T01:14:00Z</dcterms:modified>
</cp:coreProperties>
</file>