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rsidR="00D7136A" w:rsidRPr="00EB6E0E" w:rsidRDefault="00D7136A" w:rsidP="00D7136A">
      <w:pPr>
        <w:jc w:val="both"/>
        <w:rPr>
          <w:rFonts w:ascii="Arial" w:hAnsi="Arial"/>
          <w:b/>
          <w:sz w:val="28"/>
          <w:szCs w:val="20"/>
          <w:lang w:val="en-AU" w:eastAsia="en-AU"/>
        </w:rPr>
      </w:pPr>
    </w:p>
    <w:p w:rsidR="00D7136A" w:rsidRPr="00397836" w:rsidRDefault="00D7136A" w:rsidP="00D7136A">
      <w:pPr>
        <w:contextualSpacing/>
        <w:jc w:val="both"/>
        <w:rPr>
          <w:rFonts w:ascii="Arial" w:hAnsi="Arial" w:cs="Arial"/>
          <w:color w:val="A6A6A6"/>
          <w:sz w:val="22"/>
          <w:lang w:val="en-AU" w:eastAsia="en-AU"/>
        </w:rPr>
      </w:pPr>
      <w:r w:rsidRPr="00A31269">
        <w:rPr>
          <w:rFonts w:ascii="Arial" w:hAnsi="Arial" w:cs="Arial"/>
          <w:sz w:val="22"/>
          <w:lang w:val="en-AU" w:eastAsia="en-AU"/>
        </w:rPr>
        <w:t xml:space="preserve">The PBAC noted utilisation reports with associated stakeholder responses from the </w:t>
      </w:r>
      <w:r w:rsidR="00A31269" w:rsidRPr="00A31269">
        <w:rPr>
          <w:rFonts w:ascii="Arial" w:hAnsi="Arial" w:cs="Arial"/>
          <w:sz w:val="22"/>
          <w:lang w:val="en-AU" w:eastAsia="en-AU"/>
        </w:rPr>
        <w:t xml:space="preserve">February 2017 Drug Utilisation Sub-Committee (DUSC) </w:t>
      </w:r>
      <w:r w:rsidRPr="00A31269">
        <w:rPr>
          <w:rFonts w:ascii="Arial" w:hAnsi="Arial" w:cs="Arial"/>
          <w:sz w:val="22"/>
          <w:lang w:val="en-AU" w:eastAsia="en-AU"/>
        </w:rPr>
        <w:t>meeting, which were provided in Item</w:t>
      </w:r>
      <w:r w:rsidR="00A31269" w:rsidRPr="00A31269">
        <w:rPr>
          <w:rFonts w:ascii="Arial" w:hAnsi="Arial" w:cs="Arial"/>
          <w:sz w:val="22"/>
          <w:lang w:val="en-AU" w:eastAsia="en-AU"/>
        </w:rPr>
        <w:t>s 10.0</w:t>
      </w:r>
      <w:r w:rsidRPr="00A31269">
        <w:rPr>
          <w:rFonts w:ascii="Arial" w:hAnsi="Arial" w:cs="Arial"/>
          <w:sz w:val="22"/>
          <w:lang w:val="en-AU" w:eastAsia="en-AU"/>
        </w:rPr>
        <w:t>3</w:t>
      </w:r>
      <w:r w:rsidR="00A31269" w:rsidRPr="00A31269">
        <w:rPr>
          <w:rFonts w:ascii="Arial" w:hAnsi="Arial" w:cs="Arial"/>
          <w:sz w:val="22"/>
          <w:lang w:val="en-AU" w:eastAsia="en-AU"/>
        </w:rPr>
        <w:t xml:space="preserve"> to 10.08</w:t>
      </w:r>
      <w:r w:rsidRPr="00A31269">
        <w:rPr>
          <w:rFonts w:ascii="Arial" w:hAnsi="Arial" w:cs="Arial"/>
          <w:sz w:val="22"/>
          <w:lang w:val="en-AU" w:eastAsia="en-AU"/>
        </w:rPr>
        <w:t xml:space="preserve"> of the PBAC Agenda. </w:t>
      </w:r>
      <w:r w:rsidR="00A31269" w:rsidRPr="00A31269">
        <w:rPr>
          <w:rFonts w:ascii="Arial" w:hAnsi="Arial" w:cs="Arial"/>
          <w:sz w:val="22"/>
          <w:lang w:val="en-AU" w:eastAsia="en-AU"/>
        </w:rPr>
        <w:t xml:space="preserve">DUSC minutes relating to these items were provided to the PBAC. The February 2017 DUSC outcome statement </w:t>
      </w:r>
      <w:r w:rsidR="00A31269" w:rsidRPr="00A31269">
        <w:rPr>
          <w:rFonts w:ascii="Arial" w:hAnsi="Arial" w:cs="Arial"/>
          <w:snapToGrid w:val="0"/>
          <w:sz w:val="22"/>
          <w:szCs w:val="22"/>
          <w:lang w:val="en-AU"/>
        </w:rPr>
        <w:t xml:space="preserve">is </w:t>
      </w:r>
      <w:hyperlink r:id="rId8" w:history="1">
        <w:r w:rsidR="00A31269" w:rsidRPr="00A31269">
          <w:rPr>
            <w:rFonts w:ascii="Arial" w:hAnsi="Arial" w:cs="Arial"/>
            <w:snapToGrid w:val="0"/>
            <w:color w:val="0000FF" w:themeColor="hyperlink"/>
            <w:sz w:val="22"/>
            <w:szCs w:val="22"/>
            <w:u w:val="single"/>
            <w:lang w:val="en-AU"/>
          </w:rPr>
          <w:t xml:space="preserve">available </w:t>
        </w:r>
        <w:r w:rsidR="00A31269" w:rsidRPr="00A31269">
          <w:rPr>
            <w:rFonts w:ascii="Arial" w:hAnsi="Arial" w:cs="Arial"/>
            <w:snapToGrid w:val="0"/>
            <w:color w:val="0000FF" w:themeColor="hyperlink"/>
            <w:sz w:val="22"/>
            <w:u w:val="single"/>
            <w:lang w:val="en-AU"/>
          </w:rPr>
          <w:t>here</w:t>
        </w:r>
      </w:hyperlink>
      <w:bookmarkStart w:id="0" w:name="_GoBack"/>
      <w:bookmarkEnd w:id="0"/>
      <w:r w:rsidR="00A31269" w:rsidRPr="00EB38E2">
        <w:rPr>
          <w:rFonts w:ascii="Arial" w:hAnsi="Arial" w:cs="Arial"/>
          <w:sz w:val="22"/>
          <w:lang w:val="en-AU" w:eastAsia="en-AU"/>
        </w:rPr>
        <w:t>.</w:t>
      </w:r>
    </w:p>
    <w:p w:rsidR="00D7136A" w:rsidRPr="00397836" w:rsidRDefault="00D7136A" w:rsidP="00D7136A">
      <w:pPr>
        <w:contextualSpacing/>
        <w:jc w:val="both"/>
        <w:rPr>
          <w:rFonts w:ascii="Arial" w:hAnsi="Arial" w:cs="Arial"/>
          <w:color w:val="A6A6A6"/>
          <w:sz w:val="22"/>
          <w:lang w:val="en-AU" w:eastAsia="en-AU"/>
        </w:rPr>
      </w:pPr>
    </w:p>
    <w:p w:rsidR="00D7136A" w:rsidRPr="00A31269" w:rsidRDefault="00A31269" w:rsidP="00D7136A">
      <w:pPr>
        <w:pStyle w:val="DepartmentalHeading2"/>
        <w:spacing w:before="0" w:after="0"/>
        <w:jc w:val="both"/>
        <w:rPr>
          <w:rFonts w:cs="Arial"/>
          <w:sz w:val="22"/>
          <w:szCs w:val="24"/>
        </w:rPr>
      </w:pPr>
      <w:proofErr w:type="spellStart"/>
      <w:r w:rsidRPr="00A31269">
        <w:rPr>
          <w:rFonts w:cs="Arial"/>
          <w:sz w:val="22"/>
          <w:szCs w:val="24"/>
        </w:rPr>
        <w:t>Imatinib</w:t>
      </w:r>
      <w:proofErr w:type="spellEnd"/>
      <w:r>
        <w:rPr>
          <w:rFonts w:cs="Arial"/>
          <w:sz w:val="22"/>
          <w:szCs w:val="24"/>
        </w:rPr>
        <w:t xml:space="preserve"> for gastrointestinal stromal tumour</w:t>
      </w:r>
    </w:p>
    <w:p w:rsidR="00A31269" w:rsidRPr="00A31269" w:rsidRDefault="00A31269" w:rsidP="00A31269">
      <w:pPr>
        <w:contextualSpacing/>
        <w:jc w:val="both"/>
        <w:rPr>
          <w:rFonts w:ascii="Arial" w:hAnsi="Arial" w:cs="Arial"/>
          <w:sz w:val="22"/>
          <w:lang w:val="en-AU" w:eastAsia="en-AU"/>
        </w:rPr>
      </w:pPr>
      <w:r w:rsidRPr="00A31269">
        <w:rPr>
          <w:rFonts w:ascii="Arial" w:hAnsi="Arial" w:cs="Arial"/>
          <w:sz w:val="22"/>
          <w:lang w:val="en-AU" w:eastAsia="en-AU"/>
        </w:rPr>
        <w:t>This report</w:t>
      </w:r>
      <w:r w:rsidRPr="00A31269">
        <w:rPr>
          <w:rFonts w:ascii="Arial" w:hAnsi="Arial"/>
          <w:bCs/>
          <w:sz w:val="22"/>
          <w:lang w:val="en-AU" w:eastAsia="en-AU"/>
        </w:rPr>
        <w:t xml:space="preserve"> </w:t>
      </w:r>
      <w:r w:rsidRPr="00A31269">
        <w:rPr>
          <w:rFonts w:ascii="Arial" w:hAnsi="Arial" w:cs="Arial"/>
          <w:bCs/>
          <w:sz w:val="22"/>
          <w:lang w:val="en-AU" w:eastAsia="en-AU"/>
        </w:rPr>
        <w:t xml:space="preserve">compared the predicted versus actual use of </w:t>
      </w:r>
      <w:proofErr w:type="spellStart"/>
      <w:r w:rsidRPr="00A31269">
        <w:rPr>
          <w:rFonts w:ascii="Arial" w:hAnsi="Arial" w:cs="Arial"/>
          <w:bCs/>
          <w:sz w:val="22"/>
          <w:lang w:val="en-AU" w:eastAsia="en-AU"/>
        </w:rPr>
        <w:t>imatinib</w:t>
      </w:r>
      <w:proofErr w:type="spellEnd"/>
      <w:r w:rsidRPr="00A31269">
        <w:rPr>
          <w:rFonts w:ascii="Arial" w:hAnsi="Arial" w:cs="Arial"/>
          <w:bCs/>
          <w:sz w:val="22"/>
          <w:lang w:val="en-AU" w:eastAsia="en-AU"/>
        </w:rPr>
        <w:t xml:space="preserve"> for adjuvant treatment of gastrointestinal stromal tumour (GIST) after the listing was extended to allow an increase in its total treatment duration from 12 months to 36 months.</w:t>
      </w:r>
      <w:r w:rsidRPr="00A31269">
        <w:rPr>
          <w:rFonts w:ascii="Arial" w:hAnsi="Arial" w:cs="Arial"/>
          <w:sz w:val="22"/>
          <w:lang w:val="en-AU" w:eastAsia="en-AU"/>
        </w:rPr>
        <w:t xml:space="preserve"> </w:t>
      </w:r>
    </w:p>
    <w:p w:rsidR="00A31269" w:rsidRDefault="00A31269" w:rsidP="00D7136A">
      <w:pPr>
        <w:contextualSpacing/>
        <w:jc w:val="both"/>
        <w:rPr>
          <w:rFonts w:ascii="Arial" w:hAnsi="Arial" w:cs="Arial"/>
          <w:color w:val="A6A6A6"/>
          <w:sz w:val="22"/>
          <w:lang w:val="en-AU" w:eastAsia="en-AU"/>
        </w:rPr>
      </w:pPr>
    </w:p>
    <w:p w:rsidR="00A31269" w:rsidRDefault="00A31269" w:rsidP="00A31269">
      <w:pPr>
        <w:contextualSpacing/>
        <w:jc w:val="both"/>
        <w:rPr>
          <w:rFonts w:ascii="Arial" w:hAnsi="Arial" w:cs="Arial"/>
          <w:color w:val="A6A6A6"/>
          <w:sz w:val="22"/>
          <w:lang w:val="en-AU" w:eastAsia="en-AU"/>
        </w:rPr>
      </w:pPr>
      <w:r w:rsidRPr="003172AB">
        <w:rPr>
          <w:rFonts w:ascii="Arial" w:hAnsi="Arial" w:cs="Arial"/>
          <w:sz w:val="22"/>
          <w:lang w:val="en-AU" w:eastAsia="en-AU"/>
        </w:rPr>
        <w:t>In the first two years from the extension to the l</w:t>
      </w:r>
      <w:r w:rsidR="003172AB" w:rsidRPr="003172AB">
        <w:rPr>
          <w:rFonts w:ascii="Arial" w:hAnsi="Arial" w:cs="Arial"/>
          <w:sz w:val="22"/>
          <w:lang w:val="en-AU" w:eastAsia="en-AU"/>
        </w:rPr>
        <w:t xml:space="preserve">isting, </w:t>
      </w:r>
      <w:r w:rsidRPr="003172AB">
        <w:rPr>
          <w:rFonts w:ascii="Arial" w:hAnsi="Arial" w:cs="Arial"/>
          <w:sz w:val="22"/>
          <w:lang w:val="en-AU" w:eastAsia="en-AU"/>
        </w:rPr>
        <w:t xml:space="preserve">449 patients were supplied </w:t>
      </w:r>
      <w:proofErr w:type="spellStart"/>
      <w:r w:rsidRPr="003172AB">
        <w:rPr>
          <w:rFonts w:ascii="Arial" w:hAnsi="Arial" w:cs="Arial"/>
          <w:sz w:val="22"/>
          <w:lang w:val="en-AU" w:eastAsia="en-AU"/>
        </w:rPr>
        <w:t>imatinib</w:t>
      </w:r>
      <w:proofErr w:type="spellEnd"/>
      <w:r w:rsidRPr="003172AB">
        <w:rPr>
          <w:rFonts w:ascii="Arial" w:hAnsi="Arial" w:cs="Arial"/>
          <w:sz w:val="22"/>
          <w:lang w:val="en-AU" w:eastAsia="en-AU"/>
        </w:rPr>
        <w:t xml:space="preserve"> for the adjuvant treatment of GIST. This was similar to the number of patients estimated by the submission.</w:t>
      </w:r>
      <w:r w:rsidR="003172AB" w:rsidRPr="003172AB">
        <w:rPr>
          <w:rFonts w:ascii="Arial" w:hAnsi="Arial" w:cs="Arial"/>
          <w:sz w:val="22"/>
          <w:lang w:val="en-AU" w:eastAsia="en-AU"/>
        </w:rPr>
        <w:t xml:space="preserve"> </w:t>
      </w:r>
      <w:r w:rsidRPr="003172AB">
        <w:rPr>
          <w:rFonts w:ascii="Arial" w:hAnsi="Arial" w:cs="Arial"/>
          <w:sz w:val="22"/>
          <w:lang w:val="en-AU" w:eastAsia="en-AU"/>
        </w:rPr>
        <w:t xml:space="preserve">The total net expenditure was higher than expected, likely due to the higher than predicted average daily dose. </w:t>
      </w:r>
    </w:p>
    <w:p w:rsidR="00A31269" w:rsidRPr="00A31269" w:rsidRDefault="00A31269" w:rsidP="00A31269">
      <w:pPr>
        <w:contextualSpacing/>
        <w:jc w:val="both"/>
        <w:rPr>
          <w:rFonts w:ascii="Arial" w:hAnsi="Arial" w:cs="Arial"/>
          <w:color w:val="A6A6A6"/>
          <w:sz w:val="22"/>
          <w:lang w:val="en-AU" w:eastAsia="en-AU"/>
        </w:rPr>
      </w:pPr>
    </w:p>
    <w:p w:rsidR="00A31269" w:rsidRPr="003172AB" w:rsidRDefault="00A31269" w:rsidP="00A31269">
      <w:pPr>
        <w:contextualSpacing/>
        <w:rPr>
          <w:rFonts w:ascii="Arial" w:hAnsi="Arial" w:cs="Arial"/>
          <w:i/>
          <w:sz w:val="22"/>
          <w:lang w:val="en-AU" w:eastAsia="en-AU"/>
        </w:rPr>
      </w:pPr>
      <w:r w:rsidRPr="003172AB">
        <w:rPr>
          <w:rFonts w:ascii="Arial" w:hAnsi="Arial" w:cs="Arial"/>
          <w:i/>
          <w:sz w:val="22"/>
          <w:lang w:val="en-AU" w:eastAsia="en-AU"/>
        </w:rPr>
        <w:t>Outcome</w:t>
      </w:r>
    </w:p>
    <w:p w:rsidR="00A31269" w:rsidRDefault="00A31269" w:rsidP="00A31269">
      <w:pPr>
        <w:contextualSpacing/>
        <w:jc w:val="both"/>
        <w:rPr>
          <w:rFonts w:ascii="Arial" w:hAnsi="Arial" w:cs="Arial"/>
          <w:sz w:val="22"/>
          <w:lang w:val="en-AU" w:eastAsia="en-AU"/>
        </w:rPr>
      </w:pPr>
      <w:r w:rsidRPr="003172AB">
        <w:rPr>
          <w:rFonts w:ascii="Arial" w:hAnsi="Arial" w:cs="Arial"/>
          <w:sz w:val="22"/>
          <w:lang w:val="en-AU" w:eastAsia="en-AU"/>
        </w:rPr>
        <w:t xml:space="preserve">The PBAC considered that the higher than average daily dose implied that some use of </w:t>
      </w:r>
      <w:proofErr w:type="spellStart"/>
      <w:r w:rsidRPr="003172AB">
        <w:rPr>
          <w:rFonts w:ascii="Arial" w:hAnsi="Arial" w:cs="Arial"/>
          <w:sz w:val="22"/>
          <w:lang w:val="en-AU" w:eastAsia="en-AU"/>
        </w:rPr>
        <w:t>imatinib</w:t>
      </w:r>
      <w:proofErr w:type="spellEnd"/>
      <w:r w:rsidRPr="003172AB">
        <w:rPr>
          <w:rFonts w:ascii="Arial" w:hAnsi="Arial" w:cs="Arial"/>
          <w:sz w:val="22"/>
          <w:lang w:val="en-AU" w:eastAsia="en-AU"/>
        </w:rPr>
        <w:t xml:space="preserve"> in the adjuvant GIST setting might not have been assessed as cost-effective. However, it is possible that </w:t>
      </w:r>
      <w:r w:rsidR="00F514E4">
        <w:rPr>
          <w:rFonts w:ascii="Arial" w:hAnsi="Arial" w:cs="Arial"/>
          <w:sz w:val="22"/>
          <w:lang w:val="en-AU" w:eastAsia="en-AU"/>
        </w:rPr>
        <w:t xml:space="preserve">some </w:t>
      </w:r>
      <w:r w:rsidRPr="003172AB">
        <w:rPr>
          <w:rFonts w:ascii="Arial" w:hAnsi="Arial" w:cs="Arial"/>
          <w:sz w:val="22"/>
          <w:lang w:val="en-AU" w:eastAsia="en-AU"/>
        </w:rPr>
        <w:t>patients could</w:t>
      </w:r>
      <w:r w:rsidR="00F514E4">
        <w:rPr>
          <w:rFonts w:ascii="Arial" w:hAnsi="Arial" w:cs="Arial"/>
          <w:sz w:val="22"/>
          <w:lang w:val="en-AU" w:eastAsia="en-AU"/>
        </w:rPr>
        <w:t xml:space="preserve"> be incorrectly classified under the authority code for adjuvant treatment when their disease has progressed such that a higher dose may be appropriate. </w:t>
      </w:r>
      <w:r w:rsidRPr="003172AB">
        <w:rPr>
          <w:rFonts w:ascii="Arial" w:hAnsi="Arial" w:cs="Arial"/>
          <w:sz w:val="22"/>
          <w:lang w:val="en-AU" w:eastAsia="en-AU"/>
        </w:rPr>
        <w:t xml:space="preserve">The PBAC noted that the data are too premature to examine if the extension to the listing of </w:t>
      </w:r>
      <w:proofErr w:type="spellStart"/>
      <w:r w:rsidRPr="003172AB">
        <w:rPr>
          <w:rFonts w:ascii="Arial" w:hAnsi="Arial" w:cs="Arial"/>
          <w:sz w:val="22"/>
          <w:lang w:val="en-AU" w:eastAsia="en-AU"/>
        </w:rPr>
        <w:t>imatinib</w:t>
      </w:r>
      <w:proofErr w:type="spellEnd"/>
      <w:r w:rsidRPr="003172AB">
        <w:rPr>
          <w:rFonts w:ascii="Arial" w:hAnsi="Arial" w:cs="Arial"/>
          <w:sz w:val="22"/>
          <w:lang w:val="en-AU" w:eastAsia="en-AU"/>
        </w:rPr>
        <w:t xml:space="preserve"> reduced the use of </w:t>
      </w:r>
      <w:proofErr w:type="spellStart"/>
      <w:r w:rsidRPr="003172AB">
        <w:rPr>
          <w:rFonts w:ascii="Arial" w:hAnsi="Arial" w:cs="Arial"/>
          <w:sz w:val="22"/>
          <w:lang w:val="en-AU" w:eastAsia="en-AU"/>
        </w:rPr>
        <w:t>imatinib</w:t>
      </w:r>
      <w:proofErr w:type="spellEnd"/>
      <w:r w:rsidRPr="003172AB">
        <w:rPr>
          <w:rFonts w:ascii="Arial" w:hAnsi="Arial" w:cs="Arial"/>
          <w:sz w:val="22"/>
          <w:lang w:val="en-AU" w:eastAsia="en-AU"/>
        </w:rPr>
        <w:t xml:space="preserve"> or </w:t>
      </w:r>
      <w:proofErr w:type="spellStart"/>
      <w:r w:rsidRPr="003172AB">
        <w:rPr>
          <w:rFonts w:ascii="Arial" w:hAnsi="Arial" w:cs="Arial"/>
          <w:sz w:val="22"/>
          <w:lang w:val="en-AU" w:eastAsia="en-AU"/>
        </w:rPr>
        <w:t>sunitinib</w:t>
      </w:r>
      <w:proofErr w:type="spellEnd"/>
      <w:r w:rsidRPr="003172AB">
        <w:rPr>
          <w:rFonts w:ascii="Arial" w:hAnsi="Arial" w:cs="Arial"/>
          <w:sz w:val="22"/>
          <w:lang w:val="en-AU" w:eastAsia="en-AU"/>
        </w:rPr>
        <w:t xml:space="preserve"> in the metastatic treatment setting. </w:t>
      </w:r>
    </w:p>
    <w:p w:rsidR="00F514E4" w:rsidRPr="003172AB" w:rsidRDefault="00F514E4" w:rsidP="00A31269">
      <w:pPr>
        <w:contextualSpacing/>
        <w:jc w:val="both"/>
        <w:rPr>
          <w:rFonts w:ascii="Arial" w:hAnsi="Arial" w:cs="Arial"/>
          <w:sz w:val="22"/>
          <w:lang w:val="en-AU" w:eastAsia="en-AU"/>
        </w:rPr>
      </w:pPr>
    </w:p>
    <w:p w:rsidR="00D7136A" w:rsidRPr="00A31269" w:rsidRDefault="00A31269" w:rsidP="00D7136A">
      <w:pPr>
        <w:pStyle w:val="DepartmentalHeading2"/>
        <w:spacing w:before="0" w:after="0"/>
        <w:jc w:val="both"/>
        <w:rPr>
          <w:rFonts w:cs="Arial"/>
          <w:sz w:val="22"/>
          <w:szCs w:val="24"/>
        </w:rPr>
      </w:pPr>
      <w:proofErr w:type="spellStart"/>
      <w:r w:rsidRPr="00A31269">
        <w:rPr>
          <w:rFonts w:cs="Arial"/>
          <w:sz w:val="22"/>
          <w:szCs w:val="24"/>
        </w:rPr>
        <w:t>Everolimus</w:t>
      </w:r>
      <w:proofErr w:type="spellEnd"/>
      <w:r w:rsidRPr="00A31269">
        <w:rPr>
          <w:rFonts w:cs="Arial"/>
          <w:sz w:val="22"/>
          <w:szCs w:val="24"/>
        </w:rPr>
        <w:t xml:space="preserve"> for breast cancer</w:t>
      </w:r>
    </w:p>
    <w:p w:rsidR="00F514E4" w:rsidRPr="00F514E4" w:rsidRDefault="00F514E4" w:rsidP="00D7136A">
      <w:pPr>
        <w:jc w:val="both"/>
        <w:rPr>
          <w:rFonts w:ascii="Arial" w:hAnsi="Arial" w:cs="Arial"/>
          <w:bCs/>
          <w:sz w:val="22"/>
          <w:lang w:val="en-AU" w:eastAsia="en-AU"/>
        </w:rPr>
      </w:pPr>
      <w:r w:rsidRPr="00F514E4">
        <w:rPr>
          <w:rFonts w:ascii="Arial" w:hAnsi="Arial" w:cs="Arial"/>
          <w:bCs/>
          <w:sz w:val="22"/>
          <w:lang w:val="en-AU" w:eastAsia="en-AU"/>
        </w:rPr>
        <w:t xml:space="preserve">This report examined use of </w:t>
      </w:r>
      <w:proofErr w:type="spellStart"/>
      <w:r w:rsidRPr="00F514E4">
        <w:rPr>
          <w:rFonts w:ascii="Arial" w:hAnsi="Arial" w:cs="Arial"/>
          <w:bCs/>
          <w:sz w:val="22"/>
          <w:lang w:val="en-AU" w:eastAsia="en-AU"/>
        </w:rPr>
        <w:t>everolimus</w:t>
      </w:r>
      <w:proofErr w:type="spellEnd"/>
      <w:r w:rsidRPr="00F514E4">
        <w:rPr>
          <w:rFonts w:ascii="Arial" w:hAnsi="Arial" w:cs="Arial"/>
          <w:bCs/>
          <w:sz w:val="22"/>
          <w:lang w:val="en-AU" w:eastAsia="en-AU"/>
        </w:rPr>
        <w:t xml:space="preserve"> for metastatic breast cancer in the 24 months since its listing for this indication on 1 June 2014. </w:t>
      </w:r>
    </w:p>
    <w:p w:rsidR="00F514E4" w:rsidRDefault="00F514E4" w:rsidP="00D7136A">
      <w:pPr>
        <w:jc w:val="both"/>
        <w:rPr>
          <w:rFonts w:ascii="Arial" w:hAnsi="Arial" w:cs="Arial"/>
          <w:bCs/>
          <w:color w:val="A6A6A6"/>
          <w:sz w:val="22"/>
          <w:lang w:val="en-AU" w:eastAsia="en-AU"/>
        </w:rPr>
      </w:pPr>
    </w:p>
    <w:p w:rsidR="008A4311" w:rsidRPr="008A4311" w:rsidRDefault="008A4311" w:rsidP="00D7136A">
      <w:pPr>
        <w:jc w:val="both"/>
        <w:rPr>
          <w:rFonts w:ascii="Arial" w:hAnsi="Arial" w:cs="Arial"/>
          <w:bCs/>
          <w:i/>
          <w:sz w:val="22"/>
          <w:lang w:val="en-AU" w:eastAsia="en-AU"/>
        </w:rPr>
      </w:pPr>
      <w:r w:rsidRPr="008A4311">
        <w:rPr>
          <w:rFonts w:ascii="Arial" w:hAnsi="Arial" w:cs="Arial"/>
          <w:bCs/>
          <w:i/>
          <w:sz w:val="22"/>
          <w:lang w:val="en-AU" w:eastAsia="en-AU"/>
        </w:rPr>
        <w:t>Outcome</w:t>
      </w:r>
    </w:p>
    <w:p w:rsidR="008A4311" w:rsidRPr="008A4311" w:rsidRDefault="008A4311" w:rsidP="008A4311">
      <w:pPr>
        <w:jc w:val="both"/>
        <w:rPr>
          <w:rFonts w:ascii="Arial" w:hAnsi="Arial" w:cs="Arial"/>
          <w:bCs/>
          <w:sz w:val="22"/>
          <w:lang w:val="en-AU" w:eastAsia="en-AU"/>
        </w:rPr>
      </w:pPr>
      <w:r w:rsidRPr="008A4311">
        <w:rPr>
          <w:rFonts w:ascii="Arial" w:hAnsi="Arial" w:cs="Arial"/>
          <w:bCs/>
          <w:sz w:val="22"/>
          <w:lang w:val="en-AU" w:eastAsia="en-AU"/>
        </w:rPr>
        <w:t xml:space="preserve">The PBAC noted that there were substantially fewer patients and prescriptions than expected. The PBAC also noted that patients were on treatment for a shorter time than expected and the proportion of people on the higher strength (10 mg) has reduced over time. The PBAC considered that this might be due to adverse effects. The PBAC recalled the community support for the PBS listing of </w:t>
      </w:r>
      <w:proofErr w:type="spellStart"/>
      <w:r w:rsidRPr="008A4311">
        <w:rPr>
          <w:rFonts w:ascii="Arial" w:hAnsi="Arial" w:cs="Arial"/>
          <w:bCs/>
          <w:sz w:val="22"/>
          <w:lang w:val="en-AU" w:eastAsia="en-AU"/>
        </w:rPr>
        <w:t>everolimus</w:t>
      </w:r>
      <w:proofErr w:type="spellEnd"/>
      <w:r w:rsidRPr="008A4311">
        <w:rPr>
          <w:rFonts w:ascii="Arial" w:hAnsi="Arial" w:cs="Arial"/>
          <w:bCs/>
          <w:sz w:val="22"/>
          <w:lang w:val="en-AU" w:eastAsia="en-AU"/>
        </w:rPr>
        <w:t xml:space="preserve"> for metastatic breast cancer and considered that this has not been matched by its use in practice. </w:t>
      </w:r>
    </w:p>
    <w:p w:rsidR="00D7136A" w:rsidRPr="00397836" w:rsidRDefault="00D7136A" w:rsidP="00D7136A">
      <w:pPr>
        <w:jc w:val="both"/>
        <w:rPr>
          <w:rFonts w:ascii="Arial" w:hAnsi="Arial" w:cs="Arial"/>
          <w:color w:val="A6A6A6"/>
          <w:sz w:val="22"/>
          <w:lang w:val="en-AU" w:eastAsia="en-AU"/>
        </w:rPr>
      </w:pPr>
    </w:p>
    <w:p w:rsidR="00A31269" w:rsidRPr="00A31269" w:rsidRDefault="00A31269" w:rsidP="00A31269">
      <w:pPr>
        <w:pStyle w:val="DepartmentalHeading2"/>
        <w:spacing w:before="0" w:after="0"/>
        <w:jc w:val="both"/>
        <w:rPr>
          <w:rFonts w:cs="Arial"/>
          <w:sz w:val="22"/>
          <w:szCs w:val="24"/>
        </w:rPr>
      </w:pPr>
      <w:proofErr w:type="spellStart"/>
      <w:r w:rsidRPr="00A31269">
        <w:rPr>
          <w:rFonts w:cs="Arial"/>
          <w:sz w:val="22"/>
          <w:szCs w:val="24"/>
        </w:rPr>
        <w:t>Everolimus</w:t>
      </w:r>
      <w:proofErr w:type="spellEnd"/>
      <w:r w:rsidRPr="00A31269">
        <w:rPr>
          <w:rFonts w:cs="Arial"/>
          <w:sz w:val="22"/>
          <w:szCs w:val="24"/>
        </w:rPr>
        <w:t xml:space="preserve"> for </w:t>
      </w:r>
      <w:r>
        <w:rPr>
          <w:rFonts w:cs="Arial"/>
          <w:sz w:val="22"/>
          <w:szCs w:val="24"/>
        </w:rPr>
        <w:t>tuberous sclerosis</w:t>
      </w:r>
    </w:p>
    <w:p w:rsidR="00641F0C" w:rsidRPr="00641F0C" w:rsidRDefault="00641F0C" w:rsidP="00641F0C">
      <w:pPr>
        <w:jc w:val="both"/>
        <w:rPr>
          <w:rFonts w:ascii="Arial" w:hAnsi="Arial" w:cs="Arial"/>
          <w:sz w:val="22"/>
          <w:lang w:val="en-AU" w:eastAsia="en-AU"/>
        </w:rPr>
      </w:pPr>
      <w:r w:rsidRPr="00641F0C">
        <w:rPr>
          <w:rFonts w:ascii="Arial" w:hAnsi="Arial" w:cs="Arial"/>
          <w:sz w:val="22"/>
          <w:lang w:val="en-AU" w:eastAsia="en-AU"/>
        </w:rPr>
        <w:t xml:space="preserve">This report considered the use of </w:t>
      </w:r>
      <w:proofErr w:type="spellStart"/>
      <w:r w:rsidRPr="00641F0C">
        <w:rPr>
          <w:rFonts w:ascii="Arial" w:hAnsi="Arial" w:cs="Arial"/>
          <w:sz w:val="22"/>
          <w:lang w:val="en-AU" w:eastAsia="en-AU"/>
        </w:rPr>
        <w:t>everolimus</w:t>
      </w:r>
      <w:proofErr w:type="spellEnd"/>
      <w:r w:rsidRPr="00641F0C">
        <w:rPr>
          <w:rFonts w:ascii="Arial" w:hAnsi="Arial" w:cs="Arial"/>
          <w:sz w:val="22"/>
          <w:lang w:val="en-AU" w:eastAsia="en-AU"/>
        </w:rPr>
        <w:t xml:space="preserve"> for tuberous sclerosis complex (TSC) in the 24 months since its listing for this indication on 1 December 2013. </w:t>
      </w:r>
    </w:p>
    <w:p w:rsidR="00641F0C" w:rsidRPr="00641F0C" w:rsidRDefault="00641F0C" w:rsidP="00641F0C">
      <w:pPr>
        <w:jc w:val="both"/>
        <w:rPr>
          <w:rFonts w:ascii="Arial" w:hAnsi="Arial" w:cs="Arial"/>
          <w:color w:val="A6A6A6"/>
          <w:sz w:val="22"/>
          <w:lang w:val="en-AU" w:eastAsia="en-AU"/>
        </w:rPr>
      </w:pPr>
    </w:p>
    <w:p w:rsidR="008A4311" w:rsidRPr="00641F0C" w:rsidRDefault="008A4311" w:rsidP="00641F0C">
      <w:pPr>
        <w:jc w:val="both"/>
        <w:rPr>
          <w:rFonts w:ascii="Arial" w:hAnsi="Arial" w:cs="Arial"/>
          <w:sz w:val="22"/>
          <w:lang w:val="en-AU" w:eastAsia="en-AU"/>
        </w:rPr>
      </w:pPr>
      <w:r w:rsidRPr="00641F0C">
        <w:rPr>
          <w:rFonts w:ascii="Arial" w:hAnsi="Arial" w:cs="Arial"/>
          <w:sz w:val="22"/>
          <w:lang w:val="en-AU" w:eastAsia="en-AU"/>
        </w:rPr>
        <w:t xml:space="preserve">Since 1 December 2013, 322 patients were supplied </w:t>
      </w:r>
      <w:proofErr w:type="spellStart"/>
      <w:r w:rsidRPr="00641F0C">
        <w:rPr>
          <w:rFonts w:ascii="Arial" w:hAnsi="Arial" w:cs="Arial"/>
          <w:sz w:val="22"/>
          <w:lang w:val="en-AU" w:eastAsia="en-AU"/>
        </w:rPr>
        <w:t>everolimus</w:t>
      </w:r>
      <w:proofErr w:type="spellEnd"/>
      <w:r w:rsidRPr="00641F0C">
        <w:rPr>
          <w:rFonts w:ascii="Arial" w:hAnsi="Arial" w:cs="Arial"/>
          <w:sz w:val="22"/>
          <w:lang w:val="en-AU" w:eastAsia="en-AU"/>
        </w:rPr>
        <w:t xml:space="preserve"> for tuberous sclerosis complex (TSC). The lower doses (2.5 mg a</w:t>
      </w:r>
      <w:r w:rsidR="00641F0C" w:rsidRPr="00641F0C">
        <w:rPr>
          <w:rFonts w:ascii="Arial" w:hAnsi="Arial" w:cs="Arial"/>
          <w:sz w:val="22"/>
          <w:lang w:val="en-AU" w:eastAsia="en-AU"/>
        </w:rPr>
        <w:t xml:space="preserve">nd 5 mg) </w:t>
      </w:r>
      <w:r w:rsidR="00641F0C">
        <w:rPr>
          <w:rFonts w:ascii="Arial" w:hAnsi="Arial" w:cs="Arial"/>
          <w:sz w:val="22"/>
          <w:lang w:val="en-AU" w:eastAsia="en-AU"/>
        </w:rPr>
        <w:t>were used</w:t>
      </w:r>
      <w:r w:rsidR="00641F0C" w:rsidRPr="00641F0C">
        <w:rPr>
          <w:rFonts w:ascii="Arial" w:hAnsi="Arial" w:cs="Arial"/>
          <w:sz w:val="22"/>
          <w:lang w:val="en-AU" w:eastAsia="en-AU"/>
        </w:rPr>
        <w:t xml:space="preserve"> more than expected. </w:t>
      </w:r>
      <w:r w:rsidRPr="00641F0C">
        <w:rPr>
          <w:rFonts w:ascii="Arial" w:hAnsi="Arial" w:cs="Arial"/>
          <w:sz w:val="22"/>
          <w:lang w:val="en-AU" w:eastAsia="en-AU"/>
        </w:rPr>
        <w:t xml:space="preserve">The treated population declined over time. </w:t>
      </w:r>
    </w:p>
    <w:p w:rsidR="008A4311" w:rsidRDefault="008A4311" w:rsidP="008A4311">
      <w:pPr>
        <w:contextualSpacing/>
        <w:jc w:val="both"/>
        <w:rPr>
          <w:rFonts w:ascii="Arial" w:hAnsi="Arial" w:cs="Arial"/>
          <w:color w:val="A6A6A6"/>
          <w:sz w:val="22"/>
          <w:lang w:val="en-AU" w:eastAsia="en-AU"/>
        </w:rPr>
      </w:pPr>
    </w:p>
    <w:p w:rsidR="00641F0C" w:rsidRPr="00641F0C" w:rsidRDefault="00641F0C" w:rsidP="008A4311">
      <w:pPr>
        <w:contextualSpacing/>
        <w:jc w:val="both"/>
        <w:rPr>
          <w:rFonts w:ascii="Arial" w:hAnsi="Arial" w:cs="Arial"/>
          <w:i/>
          <w:sz w:val="22"/>
          <w:lang w:val="en-AU" w:eastAsia="en-AU"/>
        </w:rPr>
      </w:pPr>
      <w:r w:rsidRPr="00641F0C">
        <w:rPr>
          <w:rFonts w:ascii="Arial" w:hAnsi="Arial" w:cs="Arial"/>
          <w:i/>
          <w:sz w:val="22"/>
          <w:lang w:val="en-AU" w:eastAsia="en-AU"/>
        </w:rPr>
        <w:t>Outcome</w:t>
      </w:r>
    </w:p>
    <w:p w:rsidR="008A4311" w:rsidRPr="008A4311" w:rsidRDefault="008A4311" w:rsidP="008A4311">
      <w:pPr>
        <w:contextualSpacing/>
        <w:jc w:val="both"/>
        <w:rPr>
          <w:rFonts w:ascii="Arial" w:hAnsi="Arial" w:cs="Arial"/>
          <w:color w:val="A6A6A6"/>
          <w:sz w:val="22"/>
          <w:lang w:val="en-AU" w:eastAsia="en-AU"/>
        </w:rPr>
      </w:pPr>
      <w:r w:rsidRPr="00641F0C">
        <w:rPr>
          <w:rFonts w:ascii="Arial" w:hAnsi="Arial" w:cs="Arial"/>
          <w:sz w:val="22"/>
          <w:lang w:val="en-AU" w:eastAsia="en-AU"/>
        </w:rPr>
        <w:t xml:space="preserve">The PBAC agreed with the DUSC that the declining treated population may be due to use of </w:t>
      </w:r>
      <w:proofErr w:type="spellStart"/>
      <w:r w:rsidRPr="00641F0C">
        <w:rPr>
          <w:rFonts w:ascii="Arial" w:hAnsi="Arial" w:cs="Arial"/>
          <w:sz w:val="22"/>
          <w:lang w:val="en-AU" w:eastAsia="en-AU"/>
        </w:rPr>
        <w:t>everolimus</w:t>
      </w:r>
      <w:proofErr w:type="spellEnd"/>
      <w:r w:rsidRPr="00641F0C">
        <w:rPr>
          <w:rFonts w:ascii="Arial" w:hAnsi="Arial" w:cs="Arial"/>
          <w:sz w:val="22"/>
          <w:lang w:val="en-AU" w:eastAsia="en-AU"/>
        </w:rPr>
        <w:t xml:space="preserve"> prior to resection for short durations, a reduction in patients’ tumour size and improved tumour-related symptoms, and the poor tolerability of </w:t>
      </w:r>
      <w:proofErr w:type="spellStart"/>
      <w:r w:rsidRPr="00641F0C">
        <w:rPr>
          <w:rFonts w:ascii="Arial" w:hAnsi="Arial" w:cs="Arial"/>
          <w:sz w:val="22"/>
          <w:lang w:val="en-AU" w:eastAsia="en-AU"/>
        </w:rPr>
        <w:t>everolimus</w:t>
      </w:r>
      <w:proofErr w:type="spellEnd"/>
      <w:r w:rsidRPr="00641F0C">
        <w:rPr>
          <w:rFonts w:ascii="Arial" w:hAnsi="Arial" w:cs="Arial"/>
          <w:sz w:val="22"/>
          <w:lang w:val="en-AU" w:eastAsia="en-AU"/>
        </w:rPr>
        <w:t xml:space="preserve">. The PBAC </w:t>
      </w:r>
      <w:r w:rsidR="000A2CDC" w:rsidRPr="00641F0C">
        <w:rPr>
          <w:rFonts w:ascii="Arial" w:hAnsi="Arial" w:cs="Arial"/>
          <w:sz w:val="22"/>
          <w:lang w:val="en-AU" w:eastAsia="en-AU"/>
        </w:rPr>
        <w:t xml:space="preserve">thanked Tuberous Sclerosis Australia </w:t>
      </w:r>
      <w:r w:rsidR="000A2CDC">
        <w:rPr>
          <w:rFonts w:ascii="Arial" w:hAnsi="Arial" w:cs="Arial"/>
          <w:sz w:val="22"/>
          <w:lang w:val="en-AU" w:eastAsia="en-AU"/>
        </w:rPr>
        <w:t>for their</w:t>
      </w:r>
      <w:r w:rsidRPr="00641F0C">
        <w:rPr>
          <w:rFonts w:ascii="Arial" w:hAnsi="Arial" w:cs="Arial"/>
          <w:sz w:val="22"/>
          <w:lang w:val="en-AU" w:eastAsia="en-AU"/>
        </w:rPr>
        <w:t xml:space="preserve"> consumer comment.</w:t>
      </w:r>
      <w:r w:rsidR="00641F0C" w:rsidRPr="00641F0C">
        <w:rPr>
          <w:rFonts w:ascii="Arial" w:hAnsi="Arial" w:cs="Arial"/>
          <w:sz w:val="22"/>
          <w:lang w:val="en-AU" w:eastAsia="en-AU"/>
        </w:rPr>
        <w:t xml:space="preserve"> </w:t>
      </w:r>
    </w:p>
    <w:p w:rsidR="00464DA0" w:rsidRPr="00397836" w:rsidRDefault="00464DA0" w:rsidP="00D7136A">
      <w:pPr>
        <w:contextualSpacing/>
        <w:jc w:val="both"/>
        <w:rPr>
          <w:rFonts w:ascii="Arial" w:hAnsi="Arial" w:cs="Arial"/>
          <w:noProof/>
          <w:color w:val="A6A6A6"/>
          <w:sz w:val="22"/>
          <w:lang w:val="en-AU" w:eastAsia="en-AU"/>
        </w:rPr>
      </w:pPr>
    </w:p>
    <w:p w:rsidR="00D7136A" w:rsidRPr="00A31269" w:rsidRDefault="00A31269" w:rsidP="00D7136A">
      <w:pPr>
        <w:contextualSpacing/>
        <w:jc w:val="both"/>
        <w:rPr>
          <w:rFonts w:ascii="Arial" w:hAnsi="Arial" w:cs="Arial"/>
          <w:b/>
          <w:sz w:val="22"/>
          <w:lang w:val="en-AU" w:eastAsia="en-AU"/>
        </w:rPr>
      </w:pPr>
      <w:r w:rsidRPr="00A31269">
        <w:rPr>
          <w:rFonts w:ascii="Arial" w:hAnsi="Arial" w:cs="Arial"/>
          <w:b/>
          <w:sz w:val="22"/>
          <w:lang w:val="en-AU" w:eastAsia="en-AU"/>
        </w:rPr>
        <w:t xml:space="preserve">Ferric </w:t>
      </w:r>
      <w:proofErr w:type="spellStart"/>
      <w:r w:rsidRPr="00A31269">
        <w:rPr>
          <w:rFonts w:ascii="Arial" w:hAnsi="Arial" w:cs="Arial"/>
          <w:b/>
          <w:sz w:val="22"/>
          <w:lang w:val="en-AU" w:eastAsia="en-AU"/>
        </w:rPr>
        <w:t>carboxymaltose</w:t>
      </w:r>
      <w:proofErr w:type="spellEnd"/>
      <w:r w:rsidRPr="00A31269">
        <w:rPr>
          <w:rFonts w:ascii="Arial" w:hAnsi="Arial" w:cs="Arial"/>
          <w:b/>
          <w:sz w:val="22"/>
          <w:lang w:val="en-AU" w:eastAsia="en-AU"/>
        </w:rPr>
        <w:t xml:space="preserve"> for iron deficiency anaemia</w:t>
      </w:r>
    </w:p>
    <w:p w:rsidR="00CB56CD" w:rsidRDefault="00CB56CD" w:rsidP="00D7136A">
      <w:pPr>
        <w:contextualSpacing/>
        <w:jc w:val="both"/>
        <w:rPr>
          <w:rFonts w:ascii="Arial" w:hAnsi="Arial" w:cs="Arial"/>
          <w:sz w:val="22"/>
          <w:lang w:val="en-AU" w:eastAsia="en-AU"/>
        </w:rPr>
      </w:pPr>
      <w:r w:rsidRPr="00CB56CD">
        <w:rPr>
          <w:rFonts w:ascii="Arial" w:hAnsi="Arial" w:cs="Arial"/>
          <w:sz w:val="22"/>
          <w:lang w:val="en-AU" w:eastAsia="en-AU"/>
        </w:rPr>
        <w:t xml:space="preserve">This report compared the predicted versus actual use of ferric </w:t>
      </w:r>
      <w:proofErr w:type="spellStart"/>
      <w:r w:rsidRPr="00CB56CD">
        <w:rPr>
          <w:rFonts w:ascii="Arial" w:hAnsi="Arial" w:cs="Arial"/>
          <w:sz w:val="22"/>
          <w:lang w:val="en-AU" w:eastAsia="en-AU"/>
        </w:rPr>
        <w:t>carboxymaltose</w:t>
      </w:r>
      <w:proofErr w:type="spellEnd"/>
      <w:r w:rsidRPr="00CB56CD">
        <w:rPr>
          <w:rFonts w:ascii="Arial" w:hAnsi="Arial" w:cs="Arial"/>
          <w:sz w:val="22"/>
          <w:lang w:val="en-AU" w:eastAsia="en-AU"/>
        </w:rPr>
        <w:t xml:space="preserve"> (FCM) in the first 24 months since its PBS listing on 1 June 2014. </w:t>
      </w:r>
      <w:r w:rsidR="00A9331B" w:rsidRPr="00251848">
        <w:rPr>
          <w:rFonts w:ascii="Arial" w:hAnsi="Arial" w:cs="Arial"/>
          <w:sz w:val="22"/>
          <w:lang w:val="en-AU" w:eastAsia="en-AU"/>
        </w:rPr>
        <w:t>The use of FCM has been substantially higher than predicted.</w:t>
      </w:r>
    </w:p>
    <w:p w:rsidR="00CB56CD" w:rsidRDefault="00CB56CD" w:rsidP="00D7136A">
      <w:pPr>
        <w:contextualSpacing/>
        <w:jc w:val="both"/>
        <w:rPr>
          <w:rFonts w:ascii="Arial" w:hAnsi="Arial" w:cs="Arial"/>
          <w:sz w:val="22"/>
          <w:lang w:val="en-AU" w:eastAsia="en-AU"/>
        </w:rPr>
      </w:pPr>
    </w:p>
    <w:p w:rsidR="00BC3BE5" w:rsidRPr="00BC3BE5" w:rsidRDefault="00BC3BE5" w:rsidP="00BC3BE5">
      <w:pPr>
        <w:contextualSpacing/>
        <w:jc w:val="both"/>
        <w:rPr>
          <w:rFonts w:ascii="Arial" w:hAnsi="Arial" w:cs="Arial"/>
          <w:i/>
          <w:sz w:val="22"/>
          <w:lang w:val="en-AU" w:eastAsia="en-AU"/>
        </w:rPr>
      </w:pPr>
      <w:r w:rsidRPr="00BC3BE5">
        <w:rPr>
          <w:rFonts w:ascii="Arial" w:hAnsi="Arial" w:cs="Arial"/>
          <w:i/>
          <w:sz w:val="22"/>
          <w:lang w:val="en-AU" w:eastAsia="en-AU"/>
        </w:rPr>
        <w:t>Outcome</w:t>
      </w:r>
    </w:p>
    <w:p w:rsidR="006A2EB2" w:rsidRDefault="00BC3BE5" w:rsidP="00D7136A">
      <w:pPr>
        <w:contextualSpacing/>
        <w:jc w:val="both"/>
        <w:rPr>
          <w:rFonts w:ascii="Arial" w:hAnsi="Arial" w:cs="Arial"/>
          <w:sz w:val="22"/>
          <w:lang w:val="en-AU" w:eastAsia="en-AU"/>
        </w:rPr>
      </w:pPr>
      <w:r w:rsidRPr="00BC3BE5">
        <w:rPr>
          <w:rFonts w:ascii="Arial" w:hAnsi="Arial" w:cs="Arial"/>
          <w:sz w:val="22"/>
          <w:lang w:val="en-AU" w:eastAsia="en-AU"/>
        </w:rPr>
        <w:t xml:space="preserve">The PBAC noted that FCM received higher market share than anticipated but its listing also led to substantial growth in the injectable iron market. The PBAC noted that available data are currently insufficient to assess the extent of any shift from oral iron to FCM on the basis of preference, but considered that use in this setting has not been assessed for cost-effectiveness. The PBAC also noted that </w:t>
      </w:r>
      <w:r w:rsidR="00095F78" w:rsidRPr="00095F78">
        <w:rPr>
          <w:rFonts w:ascii="Arial" w:hAnsi="Arial" w:cs="Arial"/>
          <w:sz w:val="22"/>
          <w:lang w:val="en-AU" w:eastAsia="en-AU"/>
        </w:rPr>
        <w:t xml:space="preserve">management of iron levels prior to surgery has been promoted </w:t>
      </w:r>
      <w:r w:rsidRPr="00BC3BE5">
        <w:rPr>
          <w:rFonts w:ascii="Arial" w:hAnsi="Arial" w:cs="Arial"/>
          <w:sz w:val="22"/>
          <w:lang w:val="en-AU" w:eastAsia="en-AU"/>
        </w:rPr>
        <w:t xml:space="preserve">to reduce the use of blood transfusions. </w:t>
      </w:r>
      <w:r>
        <w:rPr>
          <w:rFonts w:ascii="Arial" w:hAnsi="Arial" w:cs="Arial"/>
          <w:sz w:val="22"/>
          <w:lang w:val="en-AU" w:eastAsia="en-AU"/>
        </w:rPr>
        <w:t>T</w:t>
      </w:r>
      <w:r w:rsidRPr="00BC3BE5">
        <w:rPr>
          <w:rFonts w:ascii="Arial" w:hAnsi="Arial" w:cs="Arial"/>
          <w:sz w:val="22"/>
          <w:lang w:val="en-AU" w:eastAsia="en-AU"/>
        </w:rPr>
        <w:t>he PBAC considered that use in the dialysis population does not seem to be a concern at present and could be reassessed in any subsequent review.</w:t>
      </w:r>
      <w:r>
        <w:rPr>
          <w:rFonts w:ascii="Arial" w:hAnsi="Arial" w:cs="Arial"/>
          <w:sz w:val="22"/>
          <w:lang w:val="en-AU" w:eastAsia="en-AU"/>
        </w:rPr>
        <w:t xml:space="preserve"> </w:t>
      </w:r>
      <w:r w:rsidRPr="00BC3BE5">
        <w:rPr>
          <w:rFonts w:ascii="Arial" w:hAnsi="Arial" w:cs="Arial"/>
          <w:sz w:val="22"/>
          <w:lang w:val="en-AU" w:eastAsia="en-AU"/>
        </w:rPr>
        <w:t>The PBAC considered that variation in the use of FCM across Australia may reflect educational activities and infusion programs or clinics in those areas with more use.</w:t>
      </w:r>
    </w:p>
    <w:p w:rsidR="00D7136A" w:rsidRPr="00397836" w:rsidRDefault="006A2EB2" w:rsidP="00D7136A">
      <w:pPr>
        <w:contextualSpacing/>
        <w:jc w:val="both"/>
        <w:rPr>
          <w:rFonts w:ascii="Arial" w:hAnsi="Arial" w:cs="Arial"/>
          <w:color w:val="A6A6A6"/>
          <w:sz w:val="22"/>
          <w:lang w:val="en-AU" w:eastAsia="en-AU"/>
        </w:rPr>
      </w:pPr>
      <w:r w:rsidRPr="00397836">
        <w:rPr>
          <w:rFonts w:ascii="Arial" w:hAnsi="Arial" w:cs="Arial"/>
          <w:color w:val="A6A6A6"/>
          <w:sz w:val="22"/>
          <w:lang w:val="en-AU" w:eastAsia="en-AU"/>
        </w:rPr>
        <w:t xml:space="preserve"> </w:t>
      </w:r>
    </w:p>
    <w:p w:rsidR="00D7136A" w:rsidRPr="00397836" w:rsidRDefault="00A31269" w:rsidP="00D7136A">
      <w:pPr>
        <w:pStyle w:val="DepartmentalHeading2"/>
        <w:spacing w:before="0" w:after="0"/>
        <w:jc w:val="both"/>
        <w:rPr>
          <w:rFonts w:cs="Arial"/>
          <w:color w:val="A6A6A6"/>
          <w:sz w:val="22"/>
          <w:szCs w:val="24"/>
        </w:rPr>
      </w:pPr>
      <w:r w:rsidRPr="00A31269">
        <w:rPr>
          <w:rFonts w:cs="Arial"/>
          <w:sz w:val="22"/>
          <w:szCs w:val="24"/>
        </w:rPr>
        <w:t>Tyrosine kinase inhibitors for non-small cell lung cancer</w:t>
      </w:r>
    </w:p>
    <w:p w:rsidR="00A70179" w:rsidRPr="00A70179" w:rsidRDefault="00A70179" w:rsidP="00A70179">
      <w:pPr>
        <w:autoSpaceDE w:val="0"/>
        <w:autoSpaceDN w:val="0"/>
        <w:adjustRightInd w:val="0"/>
        <w:jc w:val="both"/>
        <w:rPr>
          <w:rFonts w:ascii="Arial" w:hAnsi="Arial" w:cs="Arial"/>
          <w:bCs/>
          <w:sz w:val="22"/>
          <w:lang w:val="en-AU" w:eastAsia="en-AU"/>
        </w:rPr>
      </w:pPr>
      <w:r w:rsidRPr="00A70179">
        <w:rPr>
          <w:rFonts w:ascii="Arial" w:hAnsi="Arial" w:cs="Arial"/>
          <w:sz w:val="22"/>
          <w:lang w:val="en-AU" w:eastAsia="en-AU"/>
        </w:rPr>
        <w:t>This report compared</w:t>
      </w:r>
      <w:r w:rsidRPr="00A70179">
        <w:rPr>
          <w:rFonts w:ascii="Arial" w:hAnsi="Arial" w:cs="Arial"/>
          <w:bCs/>
          <w:sz w:val="22"/>
          <w:lang w:val="en-AU" w:eastAsia="en-AU"/>
        </w:rPr>
        <w:t xml:space="preserve"> the predicted and actual use of the tyrosine kinase inhibitors (TKIs), </w:t>
      </w:r>
      <w:proofErr w:type="spellStart"/>
      <w:r w:rsidRPr="00A70179">
        <w:rPr>
          <w:rFonts w:ascii="Arial" w:hAnsi="Arial" w:cs="Arial"/>
          <w:bCs/>
          <w:sz w:val="22"/>
          <w:lang w:val="en-AU" w:eastAsia="en-AU"/>
        </w:rPr>
        <w:t>erlotinib</w:t>
      </w:r>
      <w:proofErr w:type="spellEnd"/>
      <w:r w:rsidRPr="00A70179">
        <w:rPr>
          <w:rFonts w:ascii="Arial" w:hAnsi="Arial" w:cs="Arial"/>
          <w:bCs/>
          <w:sz w:val="22"/>
          <w:lang w:val="en-AU" w:eastAsia="en-AU"/>
        </w:rPr>
        <w:t xml:space="preserve"> and </w:t>
      </w:r>
      <w:proofErr w:type="spellStart"/>
      <w:r w:rsidRPr="00A70179">
        <w:rPr>
          <w:rFonts w:ascii="Arial" w:hAnsi="Arial" w:cs="Arial"/>
          <w:bCs/>
          <w:sz w:val="22"/>
          <w:lang w:val="en-AU" w:eastAsia="en-AU"/>
        </w:rPr>
        <w:t>gefitinib</w:t>
      </w:r>
      <w:proofErr w:type="spellEnd"/>
      <w:r w:rsidRPr="00A70179">
        <w:rPr>
          <w:rFonts w:ascii="Arial" w:hAnsi="Arial" w:cs="Arial"/>
          <w:bCs/>
          <w:sz w:val="22"/>
          <w:lang w:val="en-AU" w:eastAsia="en-AU"/>
        </w:rPr>
        <w:t>, for the treatment of Stage IIIB (locally advanced) or Stage IV (metastatic) non-small cell lung cancer (NSCLC).</w:t>
      </w:r>
    </w:p>
    <w:p w:rsidR="00D7136A" w:rsidRPr="00397836" w:rsidRDefault="00D7136A" w:rsidP="00D7136A">
      <w:pPr>
        <w:autoSpaceDE w:val="0"/>
        <w:autoSpaceDN w:val="0"/>
        <w:adjustRightInd w:val="0"/>
        <w:jc w:val="both"/>
        <w:rPr>
          <w:rFonts w:ascii="Arial" w:hAnsi="Arial" w:cs="Arial"/>
          <w:color w:val="A6A6A6"/>
          <w:sz w:val="22"/>
          <w:lang w:val="en-AU" w:eastAsia="en-AU"/>
        </w:rPr>
      </w:pPr>
    </w:p>
    <w:p w:rsidR="00A70179" w:rsidRPr="00A70179" w:rsidRDefault="00A70179" w:rsidP="00A70179">
      <w:pPr>
        <w:autoSpaceDE w:val="0"/>
        <w:autoSpaceDN w:val="0"/>
        <w:adjustRightInd w:val="0"/>
        <w:jc w:val="both"/>
        <w:rPr>
          <w:rFonts w:ascii="Arial" w:hAnsi="Arial" w:cs="Arial"/>
          <w:sz w:val="22"/>
          <w:lang w:val="en-AU" w:eastAsia="en-AU"/>
        </w:rPr>
      </w:pPr>
      <w:r w:rsidRPr="00A70179">
        <w:rPr>
          <w:rFonts w:ascii="Arial" w:hAnsi="Arial" w:cs="Arial"/>
          <w:bCs/>
          <w:sz w:val="22"/>
          <w:lang w:val="en-AU" w:eastAsia="en-AU"/>
        </w:rPr>
        <w:t>The number of people receiving first line TKIs was similar to expected in 2014 and lower than expected in 2015. Median time on treatment for first-line use was similar to predicted.</w:t>
      </w:r>
    </w:p>
    <w:p w:rsidR="00A70179" w:rsidRDefault="00A70179" w:rsidP="00A70179">
      <w:pPr>
        <w:autoSpaceDE w:val="0"/>
        <w:autoSpaceDN w:val="0"/>
        <w:adjustRightInd w:val="0"/>
        <w:jc w:val="both"/>
        <w:rPr>
          <w:rFonts w:ascii="Arial" w:hAnsi="Arial" w:cs="Arial"/>
          <w:color w:val="A6A6A6"/>
          <w:sz w:val="22"/>
          <w:lang w:val="en-AU" w:eastAsia="en-AU"/>
        </w:rPr>
      </w:pPr>
    </w:p>
    <w:p w:rsidR="00A70179" w:rsidRPr="00A70179" w:rsidRDefault="00A70179" w:rsidP="00A70179">
      <w:pPr>
        <w:autoSpaceDE w:val="0"/>
        <w:autoSpaceDN w:val="0"/>
        <w:adjustRightInd w:val="0"/>
        <w:jc w:val="both"/>
        <w:rPr>
          <w:rFonts w:ascii="Arial" w:hAnsi="Arial" w:cs="Arial"/>
          <w:i/>
          <w:sz w:val="22"/>
          <w:lang w:val="en-AU" w:eastAsia="en-AU"/>
        </w:rPr>
      </w:pPr>
      <w:r w:rsidRPr="00A70179">
        <w:rPr>
          <w:rFonts w:ascii="Arial" w:hAnsi="Arial" w:cs="Arial"/>
          <w:i/>
          <w:sz w:val="22"/>
          <w:lang w:val="en-AU" w:eastAsia="en-AU"/>
        </w:rPr>
        <w:t>Outcome</w:t>
      </w:r>
    </w:p>
    <w:p w:rsidR="00F628C7" w:rsidRPr="00A70179" w:rsidRDefault="00A70179" w:rsidP="00F628C7">
      <w:pPr>
        <w:spacing w:before="120" w:after="120"/>
        <w:jc w:val="both"/>
        <w:rPr>
          <w:rFonts w:ascii="Arial" w:hAnsi="Arial" w:cs="Arial"/>
          <w:sz w:val="22"/>
          <w:lang w:val="en-AU" w:eastAsia="en-AU"/>
        </w:rPr>
      </w:pPr>
      <w:r w:rsidRPr="00A70179">
        <w:rPr>
          <w:rFonts w:ascii="Arial" w:hAnsi="Arial" w:cs="Arial"/>
          <w:sz w:val="22"/>
          <w:lang w:val="en-AU" w:eastAsia="en-AU"/>
        </w:rPr>
        <w:t xml:space="preserve">The PBAC noted that fewer patients are accessing these medicines than anticipated, and noted that it is not possible to tell from the data whether this </w:t>
      </w:r>
      <w:r w:rsidR="009E7E00">
        <w:rPr>
          <w:rFonts w:ascii="Arial" w:hAnsi="Arial" w:cs="Arial"/>
          <w:sz w:val="22"/>
          <w:lang w:val="en-AU" w:eastAsia="en-AU"/>
        </w:rPr>
        <w:t>was due to an overestimate of the number of patients at the time of the submission,</w:t>
      </w:r>
      <w:r w:rsidRPr="00A70179">
        <w:rPr>
          <w:rFonts w:ascii="Arial" w:hAnsi="Arial" w:cs="Arial"/>
          <w:sz w:val="22"/>
          <w:lang w:val="en-AU" w:eastAsia="en-AU"/>
        </w:rPr>
        <w:t xml:space="preserve"> an access issue or patient choice. </w:t>
      </w:r>
      <w:r w:rsidR="00F628C7" w:rsidRPr="00A70179">
        <w:rPr>
          <w:rFonts w:ascii="Arial" w:hAnsi="Arial" w:cs="Arial"/>
          <w:sz w:val="22"/>
          <w:lang w:val="en-AU" w:eastAsia="en-AU"/>
        </w:rPr>
        <w:t xml:space="preserve">The PBAC noted that a small proportion of patients received </w:t>
      </w:r>
      <w:proofErr w:type="gramStart"/>
      <w:r w:rsidR="00F628C7" w:rsidRPr="00A70179">
        <w:rPr>
          <w:rFonts w:ascii="Arial" w:hAnsi="Arial" w:cs="Arial"/>
          <w:sz w:val="22"/>
          <w:lang w:val="en-AU" w:eastAsia="en-AU"/>
        </w:rPr>
        <w:t>chemotherapy</w:t>
      </w:r>
      <w:proofErr w:type="gramEnd"/>
      <w:r w:rsidR="00F628C7" w:rsidRPr="00A70179">
        <w:rPr>
          <w:rFonts w:ascii="Arial" w:hAnsi="Arial" w:cs="Arial"/>
          <w:sz w:val="22"/>
          <w:lang w:val="en-AU" w:eastAsia="en-AU"/>
        </w:rPr>
        <w:t xml:space="preserve"> between supplies of their TKI, which implies some use is outside the PBS restriction. </w:t>
      </w:r>
    </w:p>
    <w:p w:rsidR="00A70179" w:rsidRPr="00A70179" w:rsidRDefault="00A70179" w:rsidP="00A70179">
      <w:pPr>
        <w:autoSpaceDE w:val="0"/>
        <w:autoSpaceDN w:val="0"/>
        <w:adjustRightInd w:val="0"/>
        <w:jc w:val="both"/>
        <w:rPr>
          <w:rFonts w:ascii="Arial" w:hAnsi="Arial" w:cs="Arial"/>
          <w:color w:val="A6A6A6"/>
          <w:sz w:val="22"/>
          <w:lang w:val="en-AU" w:eastAsia="en-AU"/>
        </w:rPr>
      </w:pPr>
    </w:p>
    <w:p w:rsidR="00D7136A" w:rsidRPr="00A31269" w:rsidRDefault="00A31269" w:rsidP="00D7136A">
      <w:pPr>
        <w:pStyle w:val="DepartmentalHeading2"/>
        <w:spacing w:before="0" w:after="0"/>
        <w:jc w:val="both"/>
        <w:rPr>
          <w:rFonts w:cs="Arial"/>
          <w:sz w:val="22"/>
          <w:szCs w:val="24"/>
        </w:rPr>
      </w:pPr>
      <w:r w:rsidRPr="00A31269">
        <w:rPr>
          <w:rFonts w:cs="Arial"/>
          <w:sz w:val="22"/>
          <w:szCs w:val="24"/>
        </w:rPr>
        <w:t xml:space="preserve">Diabetes </w:t>
      </w:r>
    </w:p>
    <w:p w:rsidR="00F628C7" w:rsidRDefault="00F628C7" w:rsidP="00F628C7">
      <w:pPr>
        <w:jc w:val="both"/>
        <w:rPr>
          <w:rFonts w:ascii="Arial" w:hAnsi="Arial" w:cs="Arial"/>
          <w:sz w:val="22"/>
          <w:lang w:val="en-AU" w:eastAsia="en-AU"/>
        </w:rPr>
      </w:pPr>
      <w:r w:rsidRPr="00F628C7">
        <w:rPr>
          <w:rFonts w:ascii="Arial" w:hAnsi="Arial" w:cs="Arial"/>
          <w:sz w:val="22"/>
          <w:lang w:val="en-AU" w:eastAsia="en-AU"/>
        </w:rPr>
        <w:t xml:space="preserve">This report considered the use of PBS medicines for the treatment of diabetes. </w:t>
      </w:r>
    </w:p>
    <w:p w:rsidR="00F628C7" w:rsidRDefault="00F628C7" w:rsidP="00F628C7">
      <w:pPr>
        <w:jc w:val="both"/>
        <w:rPr>
          <w:rFonts w:ascii="Arial" w:hAnsi="Arial" w:cs="Arial"/>
          <w:sz w:val="22"/>
          <w:lang w:val="en-AU" w:eastAsia="en-AU"/>
        </w:rPr>
      </w:pPr>
    </w:p>
    <w:p w:rsidR="00F628C7" w:rsidRPr="00F628C7" w:rsidRDefault="00F628C7" w:rsidP="00F628C7">
      <w:pPr>
        <w:jc w:val="both"/>
        <w:rPr>
          <w:rFonts w:ascii="Arial" w:hAnsi="Arial" w:cs="Arial"/>
          <w:sz w:val="22"/>
          <w:lang w:val="en-AU" w:eastAsia="en-AU"/>
        </w:rPr>
      </w:pPr>
      <w:r w:rsidRPr="00F628C7">
        <w:rPr>
          <w:rFonts w:ascii="Arial" w:hAnsi="Arial" w:cs="Arial"/>
          <w:sz w:val="22"/>
          <w:lang w:val="en-AU" w:eastAsia="en-AU"/>
        </w:rPr>
        <w:t xml:space="preserve">The use of diabetes medicines continues to grow. DUSC considered the high use of metformin monotherapy reflects its place in guidelines as first line therapy. The use </w:t>
      </w:r>
      <w:r w:rsidRPr="00F628C7">
        <w:rPr>
          <w:rFonts w:ascii="Arial" w:hAnsi="Arial" w:cs="Arial"/>
          <w:sz w:val="22"/>
          <w:lang w:val="en-AU" w:eastAsia="en-AU"/>
        </w:rPr>
        <w:lastRenderedPageBreak/>
        <w:t xml:space="preserve">of </w:t>
      </w:r>
      <w:r w:rsidR="004E76AE" w:rsidRPr="004E76AE">
        <w:rPr>
          <w:rFonts w:ascii="Arial" w:hAnsi="Arial" w:cs="Arial"/>
          <w:sz w:val="22"/>
          <w:lang w:val="en-AU" w:eastAsia="en-AU"/>
        </w:rPr>
        <w:t>sodium-glucose co-tran</w:t>
      </w:r>
      <w:r w:rsidR="004E76AE">
        <w:rPr>
          <w:rFonts w:ascii="Arial" w:hAnsi="Arial" w:cs="Arial"/>
          <w:sz w:val="22"/>
          <w:lang w:val="en-AU" w:eastAsia="en-AU"/>
        </w:rPr>
        <w:t>sporter 2 inhibitors (</w:t>
      </w:r>
      <w:proofErr w:type="spellStart"/>
      <w:r w:rsidR="004E76AE">
        <w:rPr>
          <w:rFonts w:ascii="Arial" w:hAnsi="Arial" w:cs="Arial"/>
          <w:sz w:val="22"/>
          <w:lang w:val="en-AU" w:eastAsia="en-AU"/>
        </w:rPr>
        <w:t>flozins</w:t>
      </w:r>
      <w:proofErr w:type="spellEnd"/>
      <w:r w:rsidR="004E76AE">
        <w:rPr>
          <w:rFonts w:ascii="Arial" w:hAnsi="Arial" w:cs="Arial"/>
          <w:sz w:val="22"/>
          <w:lang w:val="en-AU" w:eastAsia="en-AU"/>
        </w:rPr>
        <w:t>)</w:t>
      </w:r>
      <w:r w:rsidRPr="00F628C7">
        <w:rPr>
          <w:rFonts w:ascii="Arial" w:hAnsi="Arial" w:cs="Arial"/>
          <w:sz w:val="22"/>
          <w:lang w:val="en-AU" w:eastAsia="en-AU"/>
        </w:rPr>
        <w:t xml:space="preserve"> and </w:t>
      </w:r>
      <w:proofErr w:type="spellStart"/>
      <w:r w:rsidR="004E76AE" w:rsidRPr="004E76AE">
        <w:rPr>
          <w:rFonts w:ascii="Arial" w:hAnsi="Arial" w:cs="Arial"/>
          <w:sz w:val="22"/>
          <w:lang w:val="en-AU" w:eastAsia="en-AU"/>
        </w:rPr>
        <w:t>dipeptidyl</w:t>
      </w:r>
      <w:proofErr w:type="spellEnd"/>
      <w:r w:rsidR="004E76AE" w:rsidRPr="004E76AE">
        <w:rPr>
          <w:rFonts w:ascii="Arial" w:hAnsi="Arial" w:cs="Arial"/>
          <w:sz w:val="22"/>
          <w:lang w:val="en-AU" w:eastAsia="en-AU"/>
        </w:rPr>
        <w:t xml:space="preserve"> peptidase 4 inhibitors (</w:t>
      </w:r>
      <w:proofErr w:type="spellStart"/>
      <w:r w:rsidR="004E76AE" w:rsidRPr="004E76AE">
        <w:rPr>
          <w:rFonts w:ascii="Arial" w:hAnsi="Arial" w:cs="Arial"/>
          <w:sz w:val="22"/>
          <w:lang w:val="en-AU" w:eastAsia="en-AU"/>
        </w:rPr>
        <w:t>gliptins</w:t>
      </w:r>
      <w:proofErr w:type="spellEnd"/>
      <w:r w:rsidR="004E76AE" w:rsidRPr="004E76AE">
        <w:rPr>
          <w:rFonts w:ascii="Arial" w:hAnsi="Arial" w:cs="Arial"/>
          <w:sz w:val="22"/>
          <w:lang w:val="en-AU" w:eastAsia="en-AU"/>
        </w:rPr>
        <w:t>)</w:t>
      </w:r>
      <w:r w:rsidRPr="00F628C7">
        <w:rPr>
          <w:rFonts w:ascii="Arial" w:hAnsi="Arial" w:cs="Arial"/>
          <w:sz w:val="22"/>
          <w:lang w:val="en-AU" w:eastAsia="en-AU"/>
        </w:rPr>
        <w:t xml:space="preserve"> are increasing. </w:t>
      </w:r>
    </w:p>
    <w:p w:rsidR="00F628C7" w:rsidRPr="00F628C7" w:rsidRDefault="00F628C7" w:rsidP="00D7136A">
      <w:pPr>
        <w:jc w:val="both"/>
        <w:rPr>
          <w:rFonts w:ascii="Arial" w:hAnsi="Arial" w:cs="Arial"/>
          <w:sz w:val="22"/>
          <w:lang w:val="en-AU" w:eastAsia="en-AU"/>
        </w:rPr>
      </w:pPr>
    </w:p>
    <w:p w:rsidR="00F628C7" w:rsidRPr="00F628C7" w:rsidRDefault="00F628C7" w:rsidP="00F628C7">
      <w:pPr>
        <w:jc w:val="both"/>
        <w:rPr>
          <w:rFonts w:ascii="Arial" w:hAnsi="Arial" w:cs="Arial"/>
          <w:i/>
          <w:sz w:val="22"/>
          <w:lang w:val="en-AU" w:eastAsia="en-AU"/>
        </w:rPr>
      </w:pPr>
      <w:r w:rsidRPr="00F628C7">
        <w:rPr>
          <w:rFonts w:ascii="Arial" w:hAnsi="Arial" w:cs="Arial"/>
          <w:i/>
          <w:sz w:val="22"/>
          <w:lang w:val="en-AU" w:eastAsia="en-AU"/>
        </w:rPr>
        <w:t>Outcome</w:t>
      </w:r>
    </w:p>
    <w:p w:rsidR="004E76AE" w:rsidRDefault="00F628C7" w:rsidP="00F628C7">
      <w:pPr>
        <w:jc w:val="both"/>
        <w:rPr>
          <w:rFonts w:ascii="Arial" w:hAnsi="Arial" w:cs="Arial"/>
          <w:sz w:val="22"/>
          <w:lang w:val="en-AU" w:eastAsia="en-AU"/>
        </w:rPr>
      </w:pPr>
      <w:r w:rsidRPr="00F628C7">
        <w:rPr>
          <w:rFonts w:ascii="Arial" w:hAnsi="Arial" w:cs="Arial"/>
          <w:sz w:val="22"/>
          <w:lang w:val="en-AU" w:eastAsia="en-AU"/>
        </w:rPr>
        <w:t xml:space="preserve">The PBAC noted that most use of diabetes medicines is within the PBS restrictions. However, the PBAC reiterated the DUSC’s concern about use outside of restrictions, such as apparent use of </w:t>
      </w:r>
      <w:proofErr w:type="spellStart"/>
      <w:r w:rsidRPr="00F628C7">
        <w:rPr>
          <w:rFonts w:ascii="Arial" w:hAnsi="Arial" w:cs="Arial"/>
          <w:sz w:val="22"/>
          <w:lang w:val="en-AU" w:eastAsia="en-AU"/>
        </w:rPr>
        <w:t>flozins</w:t>
      </w:r>
      <w:proofErr w:type="spellEnd"/>
      <w:r w:rsidRPr="00F628C7">
        <w:rPr>
          <w:rFonts w:ascii="Arial" w:hAnsi="Arial" w:cs="Arial"/>
          <w:sz w:val="22"/>
          <w:lang w:val="en-AU" w:eastAsia="en-AU"/>
        </w:rPr>
        <w:t xml:space="preserve">, </w:t>
      </w:r>
      <w:proofErr w:type="spellStart"/>
      <w:r w:rsidRPr="00F628C7">
        <w:rPr>
          <w:rFonts w:ascii="Arial" w:hAnsi="Arial" w:cs="Arial"/>
          <w:sz w:val="22"/>
          <w:lang w:val="en-AU" w:eastAsia="en-AU"/>
        </w:rPr>
        <w:t>gliptins</w:t>
      </w:r>
      <w:proofErr w:type="spellEnd"/>
      <w:r w:rsidRPr="00F628C7">
        <w:rPr>
          <w:rFonts w:ascii="Arial" w:hAnsi="Arial" w:cs="Arial"/>
          <w:sz w:val="22"/>
          <w:lang w:val="en-AU" w:eastAsia="en-AU"/>
        </w:rPr>
        <w:t xml:space="preserve"> or </w:t>
      </w:r>
      <w:proofErr w:type="spellStart"/>
      <w:r w:rsidRPr="00F628C7">
        <w:rPr>
          <w:rFonts w:ascii="Arial" w:hAnsi="Arial" w:cs="Arial"/>
          <w:sz w:val="22"/>
          <w:lang w:val="en-AU" w:eastAsia="en-AU"/>
        </w:rPr>
        <w:t>exenatide</w:t>
      </w:r>
      <w:proofErr w:type="spellEnd"/>
      <w:r w:rsidRPr="00F628C7">
        <w:rPr>
          <w:rFonts w:ascii="Arial" w:hAnsi="Arial" w:cs="Arial"/>
          <w:sz w:val="22"/>
          <w:lang w:val="en-AU" w:eastAsia="en-AU"/>
        </w:rPr>
        <w:t xml:space="preserve"> as monotherapy and regimens containing combinations of </w:t>
      </w:r>
      <w:proofErr w:type="spellStart"/>
      <w:r w:rsidRPr="00F628C7">
        <w:rPr>
          <w:rFonts w:ascii="Arial" w:hAnsi="Arial" w:cs="Arial"/>
          <w:sz w:val="22"/>
          <w:lang w:val="en-AU" w:eastAsia="en-AU"/>
        </w:rPr>
        <w:t>flozins</w:t>
      </w:r>
      <w:proofErr w:type="spellEnd"/>
      <w:r w:rsidRPr="00F628C7">
        <w:rPr>
          <w:rFonts w:ascii="Arial" w:hAnsi="Arial" w:cs="Arial"/>
          <w:sz w:val="22"/>
          <w:lang w:val="en-AU" w:eastAsia="en-AU"/>
        </w:rPr>
        <w:t xml:space="preserve">, </w:t>
      </w:r>
      <w:proofErr w:type="spellStart"/>
      <w:r w:rsidRPr="00F628C7">
        <w:rPr>
          <w:rFonts w:ascii="Arial" w:hAnsi="Arial" w:cs="Arial"/>
          <w:sz w:val="22"/>
          <w:lang w:val="en-AU" w:eastAsia="en-AU"/>
        </w:rPr>
        <w:t>gliptins</w:t>
      </w:r>
      <w:proofErr w:type="spellEnd"/>
      <w:r w:rsidRPr="00F628C7">
        <w:rPr>
          <w:rFonts w:ascii="Arial" w:hAnsi="Arial" w:cs="Arial"/>
          <w:sz w:val="22"/>
          <w:lang w:val="en-AU" w:eastAsia="en-AU"/>
        </w:rPr>
        <w:t xml:space="preserve"> or </w:t>
      </w:r>
      <w:proofErr w:type="spellStart"/>
      <w:r w:rsidRPr="00F628C7">
        <w:rPr>
          <w:rFonts w:ascii="Arial" w:hAnsi="Arial" w:cs="Arial"/>
          <w:sz w:val="22"/>
          <w:lang w:val="en-AU" w:eastAsia="en-AU"/>
        </w:rPr>
        <w:t>exenatide</w:t>
      </w:r>
      <w:proofErr w:type="spellEnd"/>
      <w:r w:rsidRPr="00F628C7">
        <w:rPr>
          <w:rFonts w:ascii="Arial" w:hAnsi="Arial" w:cs="Arial"/>
          <w:sz w:val="22"/>
          <w:lang w:val="en-AU" w:eastAsia="en-AU"/>
        </w:rPr>
        <w:t>. The PBAC agreed that while there may be a clinical place or need for these regimens in practice, such use has not been assessed by the PBAC as cost-effective and is not subsidised through the PBS.</w:t>
      </w:r>
      <w:r w:rsidR="004E76AE">
        <w:rPr>
          <w:rFonts w:ascii="Arial" w:hAnsi="Arial" w:cs="Arial"/>
          <w:sz w:val="22"/>
          <w:lang w:val="en-AU" w:eastAsia="en-AU"/>
        </w:rPr>
        <w:t xml:space="preserve"> </w:t>
      </w:r>
    </w:p>
    <w:p w:rsidR="004E76AE" w:rsidRDefault="004E76AE" w:rsidP="00F628C7">
      <w:pPr>
        <w:jc w:val="both"/>
        <w:rPr>
          <w:rFonts w:ascii="Arial" w:hAnsi="Arial" w:cs="Arial"/>
          <w:sz w:val="22"/>
          <w:lang w:val="en-AU" w:eastAsia="en-AU"/>
        </w:rPr>
      </w:pPr>
    </w:p>
    <w:p w:rsidR="00565336" w:rsidRPr="00565336" w:rsidRDefault="00F628C7" w:rsidP="00565336">
      <w:pPr>
        <w:jc w:val="both"/>
        <w:rPr>
          <w:rFonts w:ascii="Arial" w:hAnsi="Arial" w:cs="Arial"/>
          <w:sz w:val="22"/>
          <w:lang w:val="en-AU" w:eastAsia="en-AU"/>
        </w:rPr>
      </w:pPr>
      <w:r w:rsidRPr="004E76AE">
        <w:rPr>
          <w:rFonts w:ascii="Arial" w:hAnsi="Arial" w:cs="Arial"/>
          <w:sz w:val="22"/>
          <w:lang w:val="en-AU" w:eastAsia="en-AU"/>
        </w:rPr>
        <w:t xml:space="preserve">The PBAC noted concerns raised </w:t>
      </w:r>
      <w:r w:rsidR="004E76AE" w:rsidRPr="004E76AE">
        <w:rPr>
          <w:rFonts w:ascii="Arial" w:hAnsi="Arial" w:cs="Arial"/>
          <w:sz w:val="22"/>
          <w:lang w:val="en-AU" w:eastAsia="en-AU"/>
        </w:rPr>
        <w:t xml:space="preserve">by the DUSC and stakeholders </w:t>
      </w:r>
      <w:r w:rsidRPr="004E76AE">
        <w:rPr>
          <w:rFonts w:ascii="Arial" w:hAnsi="Arial" w:cs="Arial"/>
          <w:sz w:val="22"/>
          <w:lang w:val="en-AU" w:eastAsia="en-AU"/>
        </w:rPr>
        <w:t>regarding the complexity of the PBS restr</w:t>
      </w:r>
      <w:r w:rsidR="004E76AE" w:rsidRPr="004E76AE">
        <w:rPr>
          <w:rFonts w:ascii="Arial" w:hAnsi="Arial" w:cs="Arial"/>
          <w:sz w:val="22"/>
          <w:lang w:val="en-AU" w:eastAsia="en-AU"/>
        </w:rPr>
        <w:t xml:space="preserve">ictions for diabetes medicines. </w:t>
      </w:r>
      <w:r w:rsidR="00565336" w:rsidRPr="00565336">
        <w:rPr>
          <w:rFonts w:ascii="Arial" w:hAnsi="Arial"/>
          <w:sz w:val="22"/>
          <w:lang w:val="en-AU" w:eastAsia="en-AU"/>
        </w:rPr>
        <w:t xml:space="preserve">The PBAC considered that simplification of the restrictions warrants further investigation. It remains unclear what aspects of the current restrictions are unworkable. The PBAC also noted there may be challenges in harmonising the restrictions into a general statement, including the lack of consistency in subsidised indications within classes of diabetes medicines. </w:t>
      </w:r>
    </w:p>
    <w:p w:rsidR="004E76AE" w:rsidRDefault="004E76AE"/>
    <w:sectPr w:rsidR="004E76AE" w:rsidSect="007A2421">
      <w:headerReference w:type="default" r:id="rId9"/>
      <w:footerReference w:type="default" r:id="rId10"/>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836" w:rsidRDefault="00397836">
      <w:r>
        <w:separator/>
      </w:r>
    </w:p>
  </w:endnote>
  <w:endnote w:type="continuationSeparator" w:id="0">
    <w:p w:rsidR="00397836" w:rsidRDefault="003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4630FE" w:rsidRDefault="004630FE">
    <w:pPr>
      <w:pStyle w:val="Footer"/>
      <w:jc w:val="center"/>
      <w:rPr>
        <w:rFonts w:ascii="Arial" w:hAnsi="Arial" w:cs="Arial"/>
        <w:sz w:val="22"/>
      </w:rPr>
    </w:pPr>
  </w:p>
  <w:p w:rsidR="004630FE" w:rsidRPr="004630FE" w:rsidRDefault="004630F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2D4006">
      <w:rPr>
        <w:rFonts w:ascii="Arial" w:hAnsi="Arial" w:cs="Arial"/>
        <w:noProof/>
        <w:sz w:val="22"/>
      </w:rPr>
      <w:t>1</w:t>
    </w:r>
    <w:r w:rsidRPr="004630FE">
      <w:rPr>
        <w:rFonts w:ascii="Arial" w:hAnsi="Arial" w:cs="Arial"/>
        <w:noProof/>
        <w:sz w:val="22"/>
      </w:rPr>
      <w:fldChar w:fldCharType="end"/>
    </w:r>
  </w:p>
  <w:p w:rsidR="004630FE" w:rsidRDefault="00463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836" w:rsidRDefault="00397836">
      <w:r>
        <w:separator/>
      </w:r>
    </w:p>
  </w:footnote>
  <w:footnote w:type="continuationSeparator" w:id="0">
    <w:p w:rsidR="00397836" w:rsidRDefault="00397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FE" w:rsidRPr="00520B6E" w:rsidRDefault="00341E66" w:rsidP="004630FE">
    <w:pPr>
      <w:tabs>
        <w:tab w:val="center" w:pos="4153"/>
        <w:tab w:val="right" w:pos="8306"/>
      </w:tabs>
      <w:jc w:val="center"/>
      <w:rPr>
        <w:rFonts w:ascii="Arial" w:hAnsi="Arial" w:cs="Arial"/>
        <w:b/>
        <w:sz w:val="20"/>
      </w:rPr>
    </w:pPr>
    <w:r w:rsidRPr="00341E66">
      <w:rPr>
        <w:rFonts w:ascii="Arial" w:hAnsi="Arial" w:cs="Arial"/>
        <w:b/>
        <w:sz w:val="20"/>
      </w:rPr>
      <w:t xml:space="preserve">MARCH 2017 </w:t>
    </w:r>
    <w:r w:rsidR="004630FE" w:rsidRPr="00520B6E">
      <w:rPr>
        <w:rFonts w:ascii="Arial" w:hAnsi="Arial" w:cs="Arial"/>
        <w:b/>
        <w:sz w:val="20"/>
      </w:rPr>
      <w:t>PBAC M</w:t>
    </w:r>
    <w:r w:rsidR="004630FE">
      <w:rPr>
        <w:rFonts w:ascii="Arial" w:hAnsi="Arial" w:cs="Arial"/>
        <w:b/>
        <w:sz w:val="20"/>
      </w:rPr>
      <w:t>EETING – CONSIDERATION OF THE</w:t>
    </w:r>
    <w:r w:rsidR="004630FE" w:rsidRPr="00520B6E">
      <w:rPr>
        <w:rFonts w:ascii="Arial" w:hAnsi="Arial" w:cs="Arial"/>
        <w:b/>
        <w:sz w:val="20"/>
      </w:rPr>
      <w:t xml:space="preserve"> </w:t>
    </w:r>
    <w:r w:rsidR="004630FE">
      <w:rPr>
        <w:rFonts w:ascii="Arial" w:hAnsi="Arial" w:cs="Arial"/>
        <w:b/>
        <w:sz w:val="20"/>
      </w:rPr>
      <w:t>REPORT OF THE DRUG UTILISATION SUB</w:t>
    </w:r>
    <w:r w:rsidR="004630FE">
      <w:rPr>
        <w:rFonts w:ascii="Arial" w:hAnsi="Arial" w:cs="Arial"/>
        <w:b/>
        <w:sz w:val="20"/>
      </w:rPr>
      <w:noBreakHyphen/>
      <w:t>COMMITTEE</w:t>
    </w:r>
  </w:p>
  <w:p w:rsidR="004630FE" w:rsidRDefault="00463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6A"/>
    <w:rsid w:val="00034F16"/>
    <w:rsid w:val="0006056A"/>
    <w:rsid w:val="00095F78"/>
    <w:rsid w:val="000A2CDC"/>
    <w:rsid w:val="000B2DD0"/>
    <w:rsid w:val="001D45AF"/>
    <w:rsid w:val="00251848"/>
    <w:rsid w:val="00267A9D"/>
    <w:rsid w:val="002D4006"/>
    <w:rsid w:val="003172AB"/>
    <w:rsid w:val="00341E66"/>
    <w:rsid w:val="00397836"/>
    <w:rsid w:val="004630FE"/>
    <w:rsid w:val="00464DA0"/>
    <w:rsid w:val="004E76AE"/>
    <w:rsid w:val="00565336"/>
    <w:rsid w:val="006102C6"/>
    <w:rsid w:val="00641F0C"/>
    <w:rsid w:val="00666863"/>
    <w:rsid w:val="00677683"/>
    <w:rsid w:val="006A2EB2"/>
    <w:rsid w:val="007A2421"/>
    <w:rsid w:val="007F4E20"/>
    <w:rsid w:val="00816A6C"/>
    <w:rsid w:val="008545D1"/>
    <w:rsid w:val="008A4311"/>
    <w:rsid w:val="009E7E00"/>
    <w:rsid w:val="00A0539F"/>
    <w:rsid w:val="00A31269"/>
    <w:rsid w:val="00A70179"/>
    <w:rsid w:val="00A9331B"/>
    <w:rsid w:val="00B94AFC"/>
    <w:rsid w:val="00BC3BE5"/>
    <w:rsid w:val="00CB56CD"/>
    <w:rsid w:val="00D47451"/>
    <w:rsid w:val="00D7136A"/>
    <w:rsid w:val="00E16015"/>
    <w:rsid w:val="00E25A33"/>
    <w:rsid w:val="00EB38E2"/>
    <w:rsid w:val="00F514E4"/>
    <w:rsid w:val="00F628C7"/>
    <w:rsid w:val="00F8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uiPriority w:val="99"/>
    <w:semiHidden/>
    <w:unhideWhenUsed/>
    <w:rsid w:val="00D7136A"/>
    <w:rPr>
      <w:rFonts w:ascii="Tahoma" w:hAnsi="Tahoma" w:cs="Tahoma"/>
      <w:sz w:val="16"/>
      <w:szCs w:val="16"/>
    </w:rPr>
  </w:style>
  <w:style w:type="character" w:customStyle="1" w:styleId="BalloonTextChar">
    <w:name w:val="Balloon Text Char"/>
    <w:link w:val="BalloonText"/>
    <w:uiPriority w:val="99"/>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2017-03-27T02:50:00Z</dcterms:created>
  <dcterms:modified xsi:type="dcterms:W3CDTF">2017-04-20T04:09:00Z</dcterms:modified>
</cp:coreProperties>
</file>