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E02" w:rsidRDefault="00144E02"/>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2112"/>
        <w:gridCol w:w="3231"/>
        <w:gridCol w:w="6865"/>
      </w:tblGrid>
      <w:tr w:rsidR="00987FDA" w:rsidRPr="00F609BF" w:rsidTr="00281EE0">
        <w:trPr>
          <w:tblHeader/>
        </w:trPr>
        <w:tc>
          <w:tcPr>
            <w:tcW w:w="3101" w:type="dxa"/>
            <w:tcMar>
              <w:top w:w="28" w:type="dxa"/>
              <w:bottom w:w="28" w:type="dxa"/>
            </w:tcMar>
          </w:tcPr>
          <w:p w:rsidR="0065234B" w:rsidRDefault="00E836AC" w:rsidP="0065234B">
            <w:pPr>
              <w:widowControl w:val="0"/>
              <w:jc w:val="center"/>
              <w:rPr>
                <w:rFonts w:ascii="Arial" w:hAnsi="Arial" w:cs="Arial"/>
                <w:b/>
              </w:rPr>
            </w:pPr>
            <w:r w:rsidRPr="0010394D">
              <w:rPr>
                <w:rFonts w:ascii="Arial" w:hAnsi="Arial" w:cs="Arial"/>
                <w:b/>
              </w:rPr>
              <w:t>DRUG NAME, FORM(S), STRENGTH(S)</w:t>
            </w:r>
            <w:r>
              <w:rPr>
                <w:rFonts w:ascii="Arial" w:hAnsi="Arial" w:cs="Arial"/>
                <w:b/>
              </w:rPr>
              <w:t>,</w:t>
            </w:r>
            <w:r w:rsidRPr="0010394D">
              <w:rPr>
                <w:rFonts w:ascii="Arial" w:hAnsi="Arial" w:cs="Arial"/>
                <w:b/>
              </w:rPr>
              <w:t xml:space="preserve"> SPONSOR</w:t>
            </w:r>
            <w:r>
              <w:rPr>
                <w:rFonts w:ascii="Arial" w:hAnsi="Arial" w:cs="Arial"/>
                <w:b/>
              </w:rPr>
              <w:t>, TYPE OF SUBMISSION</w:t>
            </w:r>
          </w:p>
          <w:p w:rsidR="00E836AC" w:rsidRPr="00F609BF" w:rsidRDefault="00E836AC" w:rsidP="0065234B">
            <w:pPr>
              <w:widowControl w:val="0"/>
              <w:jc w:val="center"/>
              <w:rPr>
                <w:rFonts w:ascii="Arial" w:hAnsi="Arial" w:cs="Arial"/>
                <w:b/>
              </w:rPr>
            </w:pPr>
          </w:p>
        </w:tc>
        <w:tc>
          <w:tcPr>
            <w:tcW w:w="2112" w:type="dxa"/>
            <w:tcMar>
              <w:top w:w="28" w:type="dxa"/>
              <w:bottom w:w="28" w:type="dxa"/>
            </w:tcMar>
          </w:tcPr>
          <w:p w:rsidR="00987FDA" w:rsidRPr="00F609BF" w:rsidRDefault="00E836AC" w:rsidP="0065234B">
            <w:pPr>
              <w:widowControl w:val="0"/>
              <w:jc w:val="center"/>
              <w:rPr>
                <w:rFonts w:ascii="Arial" w:hAnsi="Arial" w:cs="Arial"/>
                <w:b/>
                <w:snapToGrid w:val="0"/>
                <w:lang w:eastAsia="en-US"/>
              </w:rPr>
            </w:pPr>
            <w:r w:rsidRPr="00F609BF">
              <w:rPr>
                <w:rFonts w:ascii="Arial" w:hAnsi="Arial" w:cs="Arial"/>
                <w:b/>
                <w:snapToGrid w:val="0"/>
                <w:lang w:eastAsia="en-US"/>
              </w:rPr>
              <w:t>DRUG TYPE AND USE</w:t>
            </w:r>
          </w:p>
          <w:p w:rsidR="00987FDA" w:rsidRPr="00F609BF" w:rsidRDefault="00987FDA" w:rsidP="0065234B">
            <w:pPr>
              <w:widowControl w:val="0"/>
              <w:jc w:val="center"/>
              <w:rPr>
                <w:rFonts w:ascii="Arial" w:hAnsi="Arial" w:cs="Arial"/>
                <w:b/>
                <w:snapToGrid w:val="0"/>
                <w:lang w:eastAsia="en-US"/>
              </w:rPr>
            </w:pPr>
          </w:p>
        </w:tc>
        <w:tc>
          <w:tcPr>
            <w:tcW w:w="3231" w:type="dxa"/>
            <w:tcMar>
              <w:top w:w="28" w:type="dxa"/>
              <w:bottom w:w="28" w:type="dxa"/>
            </w:tcMar>
          </w:tcPr>
          <w:p w:rsidR="00987FDA" w:rsidRDefault="00E836AC" w:rsidP="0065234B">
            <w:pPr>
              <w:widowControl w:val="0"/>
              <w:jc w:val="center"/>
              <w:rPr>
                <w:rFonts w:ascii="Arial" w:hAnsi="Arial" w:cs="Arial"/>
                <w:b/>
                <w:snapToGrid w:val="0"/>
                <w:lang w:eastAsia="en-US"/>
              </w:rPr>
            </w:pPr>
            <w:r w:rsidRPr="00F609BF">
              <w:rPr>
                <w:rFonts w:ascii="Arial" w:hAnsi="Arial" w:cs="Arial"/>
                <w:b/>
                <w:snapToGrid w:val="0"/>
                <w:lang w:eastAsia="en-US"/>
              </w:rPr>
              <w:t>LISTING REQUESTED BY SPONSOR / PURPOSE OF SUBMISSION</w:t>
            </w:r>
          </w:p>
          <w:p w:rsidR="00E836AC" w:rsidRPr="00F609BF" w:rsidRDefault="00E836AC" w:rsidP="0065234B">
            <w:pPr>
              <w:widowControl w:val="0"/>
              <w:jc w:val="center"/>
              <w:rPr>
                <w:rFonts w:ascii="Arial" w:hAnsi="Arial" w:cs="Arial"/>
                <w:b/>
                <w:snapToGrid w:val="0"/>
                <w:lang w:eastAsia="en-US"/>
              </w:rPr>
            </w:pPr>
          </w:p>
        </w:tc>
        <w:tc>
          <w:tcPr>
            <w:tcW w:w="6865" w:type="dxa"/>
          </w:tcPr>
          <w:p w:rsidR="00987FDA" w:rsidRPr="00F609BF" w:rsidRDefault="00E836AC" w:rsidP="00E836AC">
            <w:pPr>
              <w:pStyle w:val="Header"/>
              <w:jc w:val="center"/>
              <w:rPr>
                <w:rFonts w:ascii="Arial" w:hAnsi="Arial" w:cs="Arial"/>
                <w:b/>
                <w:snapToGrid w:val="0"/>
                <w:lang w:eastAsia="en-US"/>
              </w:rPr>
            </w:pPr>
            <w:r w:rsidRPr="00F609BF">
              <w:rPr>
                <w:rFonts w:ascii="Arial" w:hAnsi="Arial" w:cs="Arial"/>
                <w:b/>
                <w:snapToGrid w:val="0"/>
                <w:lang w:eastAsia="en-US"/>
              </w:rPr>
              <w:t xml:space="preserve">PBAC </w:t>
            </w:r>
            <w:r>
              <w:rPr>
                <w:rFonts w:ascii="Arial" w:hAnsi="Arial" w:cs="Arial"/>
                <w:b/>
                <w:snapToGrid w:val="0"/>
                <w:lang w:eastAsia="en-US"/>
              </w:rPr>
              <w:t>OUTCOME</w:t>
            </w:r>
          </w:p>
        </w:tc>
      </w:tr>
      <w:tr w:rsidR="002F1630" w:rsidRPr="00C011B4" w:rsidTr="002F1630">
        <w:trPr>
          <w:trHeight w:val="1710"/>
        </w:trPr>
        <w:tc>
          <w:tcPr>
            <w:tcW w:w="3101" w:type="dxa"/>
            <w:vMerge w:val="restart"/>
            <w:tcMar>
              <w:top w:w="28" w:type="dxa"/>
              <w:bottom w:w="28" w:type="dxa"/>
            </w:tcMar>
          </w:tcPr>
          <w:p w:rsidR="002F1630" w:rsidRDefault="002F1630" w:rsidP="000C0C54">
            <w:pPr>
              <w:rPr>
                <w:rFonts w:ascii="Arial" w:hAnsi="Arial" w:cs="Arial"/>
                <w:color w:val="000000"/>
              </w:rPr>
            </w:pPr>
            <w:r w:rsidRPr="005E151D">
              <w:rPr>
                <w:rFonts w:ascii="Arial" w:hAnsi="Arial" w:cs="Arial"/>
                <w:color w:val="000000"/>
              </w:rPr>
              <w:t>ENZALUTAMIDE</w:t>
            </w:r>
          </w:p>
          <w:p w:rsidR="002F1630" w:rsidRDefault="002F1630" w:rsidP="000C0C54">
            <w:pPr>
              <w:rPr>
                <w:rFonts w:ascii="Arial" w:hAnsi="Arial" w:cs="Arial"/>
                <w:color w:val="000000"/>
              </w:rPr>
            </w:pPr>
          </w:p>
          <w:p w:rsidR="002F1630" w:rsidRDefault="002F1630" w:rsidP="000C0C54">
            <w:pPr>
              <w:rPr>
                <w:rFonts w:ascii="Arial" w:hAnsi="Arial" w:cs="Arial"/>
                <w:color w:val="000000"/>
              </w:rPr>
            </w:pPr>
            <w:r>
              <w:rPr>
                <w:rFonts w:ascii="Arial" w:hAnsi="Arial" w:cs="Arial"/>
                <w:color w:val="000000"/>
              </w:rPr>
              <w:t>Capsule</w:t>
            </w:r>
            <w:r w:rsidRPr="005E151D">
              <w:rPr>
                <w:rFonts w:ascii="Arial" w:hAnsi="Arial" w:cs="Arial"/>
                <w:color w:val="000000"/>
              </w:rPr>
              <w:t xml:space="preserve"> 40 mg</w:t>
            </w:r>
          </w:p>
          <w:p w:rsidR="002F1630" w:rsidRDefault="002F1630" w:rsidP="000C0C54">
            <w:pPr>
              <w:rPr>
                <w:rFonts w:ascii="Arial" w:hAnsi="Arial" w:cs="Arial"/>
                <w:color w:val="000000"/>
              </w:rPr>
            </w:pPr>
          </w:p>
          <w:p w:rsidR="002F1630" w:rsidRDefault="002F1630" w:rsidP="000C0C54">
            <w:pPr>
              <w:rPr>
                <w:rFonts w:ascii="Arial" w:hAnsi="Arial" w:cs="Arial"/>
                <w:color w:val="000000"/>
              </w:rPr>
            </w:pPr>
            <w:proofErr w:type="spellStart"/>
            <w:r>
              <w:rPr>
                <w:rFonts w:ascii="Arial" w:hAnsi="Arial" w:cs="Arial"/>
                <w:color w:val="000000"/>
              </w:rPr>
              <w:t>Xtandi</w:t>
            </w:r>
            <w:proofErr w:type="spellEnd"/>
            <w:r>
              <w:rPr>
                <w:rFonts w:ascii="Arial" w:hAnsi="Arial" w:cs="Arial"/>
                <w:color w:val="000000"/>
              </w:rPr>
              <w:t>®</w:t>
            </w:r>
          </w:p>
          <w:p w:rsidR="002F1630" w:rsidRDefault="002F1630" w:rsidP="000C0C54">
            <w:pPr>
              <w:rPr>
                <w:rFonts w:ascii="Arial" w:hAnsi="Arial" w:cs="Arial"/>
                <w:color w:val="000000"/>
              </w:rPr>
            </w:pPr>
          </w:p>
          <w:p w:rsidR="002F1630" w:rsidRDefault="002F1630" w:rsidP="000C0C54">
            <w:pPr>
              <w:rPr>
                <w:rFonts w:ascii="Arial" w:hAnsi="Arial" w:cs="Arial"/>
                <w:color w:val="000000"/>
              </w:rPr>
            </w:pPr>
            <w:proofErr w:type="spellStart"/>
            <w:r w:rsidRPr="008C7139">
              <w:rPr>
                <w:rFonts w:ascii="Arial" w:hAnsi="Arial" w:cs="Arial"/>
                <w:color w:val="000000"/>
              </w:rPr>
              <w:t>Astellas</w:t>
            </w:r>
            <w:proofErr w:type="spellEnd"/>
            <w:r w:rsidRPr="008C7139">
              <w:rPr>
                <w:rFonts w:ascii="Arial" w:hAnsi="Arial" w:cs="Arial"/>
                <w:color w:val="000000"/>
              </w:rPr>
              <w:t xml:space="preserve"> Pharma Australia Pty Ltd</w:t>
            </w:r>
          </w:p>
          <w:p w:rsidR="007B6080" w:rsidRDefault="007B6080" w:rsidP="000C0C54">
            <w:pPr>
              <w:rPr>
                <w:rFonts w:ascii="Arial" w:hAnsi="Arial" w:cs="Arial"/>
                <w:color w:val="000000"/>
              </w:rPr>
            </w:pPr>
          </w:p>
          <w:p w:rsidR="007B6080" w:rsidRDefault="007B6080" w:rsidP="007B6080">
            <w:pPr>
              <w:rPr>
                <w:rFonts w:ascii="Arial" w:hAnsi="Arial" w:cs="Arial"/>
                <w:color w:val="000000"/>
              </w:rPr>
            </w:pPr>
            <w:r>
              <w:rPr>
                <w:rFonts w:ascii="Arial" w:hAnsi="Arial" w:cs="Arial"/>
                <w:color w:val="000000"/>
              </w:rPr>
              <w:t>Change to listing</w:t>
            </w:r>
          </w:p>
          <w:p w:rsidR="007B6080" w:rsidRDefault="007B6080" w:rsidP="007B6080">
            <w:pPr>
              <w:rPr>
                <w:rFonts w:ascii="Arial" w:hAnsi="Arial" w:cs="Arial"/>
                <w:color w:val="000000"/>
              </w:rPr>
            </w:pPr>
          </w:p>
          <w:p w:rsidR="007B6080" w:rsidRPr="00E82449" w:rsidRDefault="007B6080" w:rsidP="007B6080">
            <w:pPr>
              <w:rPr>
                <w:rFonts w:ascii="Arial" w:hAnsi="Arial" w:cs="Arial"/>
                <w:color w:val="000000"/>
              </w:rPr>
            </w:pPr>
            <w:r w:rsidRPr="001B610C">
              <w:rPr>
                <w:rFonts w:ascii="Arial" w:hAnsi="Arial" w:cs="Arial"/>
                <w:color w:val="000000"/>
              </w:rPr>
              <w:t>(Major Submission)</w:t>
            </w:r>
          </w:p>
        </w:tc>
        <w:tc>
          <w:tcPr>
            <w:tcW w:w="2112" w:type="dxa"/>
            <w:vMerge w:val="restart"/>
          </w:tcPr>
          <w:p w:rsidR="002F1630" w:rsidRPr="00E82449" w:rsidRDefault="002F1630" w:rsidP="000C0C54">
            <w:pPr>
              <w:rPr>
                <w:rFonts w:ascii="Arial" w:hAnsi="Arial" w:cs="Arial"/>
                <w:color w:val="000000"/>
              </w:rPr>
            </w:pPr>
            <w:r w:rsidRPr="008C7139">
              <w:rPr>
                <w:rFonts w:ascii="Arial" w:hAnsi="Arial" w:cs="Arial"/>
                <w:color w:val="000000"/>
              </w:rPr>
              <w:t>Prostate cancer</w:t>
            </w:r>
          </w:p>
        </w:tc>
        <w:tc>
          <w:tcPr>
            <w:tcW w:w="3231" w:type="dxa"/>
            <w:tcMar>
              <w:top w:w="28" w:type="dxa"/>
              <w:bottom w:w="28" w:type="dxa"/>
            </w:tcMar>
          </w:tcPr>
          <w:p w:rsidR="002F1630" w:rsidRPr="00E82449" w:rsidRDefault="002F1630" w:rsidP="000C0C54">
            <w:pPr>
              <w:rPr>
                <w:rFonts w:ascii="Arial" w:hAnsi="Arial" w:cs="Arial"/>
                <w:color w:val="000000"/>
              </w:rPr>
            </w:pPr>
            <w:r w:rsidRPr="008C7139">
              <w:rPr>
                <w:rFonts w:ascii="Arial" w:hAnsi="Arial" w:cs="Arial"/>
                <w:color w:val="000000"/>
              </w:rPr>
              <w:t>Resubmission to request an Authority Required listing for the treatment of asymptomatic</w:t>
            </w:r>
            <w:r>
              <w:rPr>
                <w:rFonts w:ascii="Arial" w:hAnsi="Arial" w:cs="Arial"/>
                <w:color w:val="000000"/>
              </w:rPr>
              <w:t xml:space="preserve"> </w:t>
            </w:r>
            <w:r w:rsidRPr="008C7139">
              <w:rPr>
                <w:rFonts w:ascii="Arial" w:hAnsi="Arial" w:cs="Arial"/>
                <w:color w:val="000000"/>
              </w:rPr>
              <w:t>metastatic castration resistant prostate cancer in</w:t>
            </w:r>
            <w:r>
              <w:rPr>
                <w:rFonts w:ascii="Arial" w:hAnsi="Arial" w:cs="Arial"/>
                <w:color w:val="000000"/>
              </w:rPr>
              <w:t xml:space="preserve"> </w:t>
            </w:r>
            <w:r w:rsidRPr="008C7139">
              <w:rPr>
                <w:rFonts w:ascii="Arial" w:hAnsi="Arial" w:cs="Arial"/>
                <w:color w:val="000000"/>
              </w:rPr>
              <w:t>chemotherapy-naïve patients.</w:t>
            </w:r>
          </w:p>
        </w:tc>
        <w:tc>
          <w:tcPr>
            <w:tcW w:w="6865" w:type="dxa"/>
          </w:tcPr>
          <w:p w:rsidR="00685979" w:rsidRPr="00685979" w:rsidRDefault="00685979" w:rsidP="00685979">
            <w:pPr>
              <w:rPr>
                <w:rFonts w:ascii="Arial" w:hAnsi="Arial" w:cs="Arial"/>
              </w:rPr>
            </w:pPr>
            <w:r w:rsidRPr="00685979">
              <w:rPr>
                <w:rFonts w:ascii="Arial" w:hAnsi="Arial" w:cs="Arial"/>
              </w:rPr>
              <w:t>The PBAC deferred recommending an extended PBS listing for enzalutamide for the treatment of metastatic castrate-resistant prostate cancer (</w:t>
            </w:r>
            <w:proofErr w:type="spellStart"/>
            <w:r w:rsidRPr="00685979">
              <w:rPr>
                <w:rFonts w:ascii="Arial" w:hAnsi="Arial" w:cs="Arial"/>
              </w:rPr>
              <w:t>mCRPC</w:t>
            </w:r>
            <w:proofErr w:type="spellEnd"/>
            <w:r w:rsidRPr="00685979">
              <w:rPr>
                <w:rFonts w:ascii="Arial" w:hAnsi="Arial" w:cs="Arial"/>
              </w:rPr>
              <w:t>) prior to docetaxel, on the basis of requiring: a further price reduction to maintain an acceptable ICER, after including  in the economic model a more appropriate assumption of the duration of post-docetaxel treatments in the active surveillance arm of the model; a broadening of the proposed restriction to include symptomatic patients, given that restriction to asymptomatic patients was unworkable and inappropriate; and a review of the financial estimates to provide a basis for a meaningful risk share arrangement to manage uncertainties regarding utilisation in the pre- and post-docetaxel settings.</w:t>
            </w:r>
          </w:p>
          <w:p w:rsidR="00685979" w:rsidRPr="00685979" w:rsidRDefault="00685979" w:rsidP="00685979">
            <w:pPr>
              <w:pStyle w:val="ListParagraph"/>
              <w:rPr>
                <w:rFonts w:ascii="Arial" w:hAnsi="Arial" w:cs="Arial"/>
                <w:sz w:val="20"/>
                <w:szCs w:val="20"/>
              </w:rPr>
            </w:pPr>
          </w:p>
          <w:p w:rsidR="00685979" w:rsidRPr="00685979" w:rsidRDefault="00685979" w:rsidP="00685979">
            <w:pPr>
              <w:rPr>
                <w:rFonts w:ascii="Arial" w:hAnsi="Arial" w:cs="Arial"/>
              </w:rPr>
            </w:pPr>
            <w:r w:rsidRPr="00685979">
              <w:rPr>
                <w:rFonts w:ascii="Arial" w:hAnsi="Arial" w:cs="Arial"/>
              </w:rPr>
              <w:t xml:space="preserve">The </w:t>
            </w:r>
            <w:r w:rsidR="008D1009">
              <w:rPr>
                <w:rFonts w:ascii="Arial" w:hAnsi="Arial" w:cs="Arial"/>
              </w:rPr>
              <w:t xml:space="preserve">clinical </w:t>
            </w:r>
            <w:r w:rsidRPr="00685979">
              <w:rPr>
                <w:rFonts w:ascii="Arial" w:hAnsi="Arial" w:cs="Arial"/>
              </w:rPr>
              <w:t xml:space="preserve">trial evidence presented in the submission does not specifically provide a comparison of the current </w:t>
            </w:r>
            <w:r w:rsidR="008D1009">
              <w:rPr>
                <w:rFonts w:ascii="Arial" w:hAnsi="Arial" w:cs="Arial"/>
              </w:rPr>
              <w:t xml:space="preserve">treatment </w:t>
            </w:r>
            <w:r w:rsidRPr="00685979">
              <w:rPr>
                <w:rFonts w:ascii="Arial" w:hAnsi="Arial" w:cs="Arial"/>
              </w:rPr>
              <w:t>(i.e., enzalutamide after docetaxel) versus proposed</w:t>
            </w:r>
            <w:r w:rsidR="008D1009">
              <w:rPr>
                <w:rFonts w:ascii="Arial" w:hAnsi="Arial" w:cs="Arial"/>
              </w:rPr>
              <w:t xml:space="preserve"> treatment</w:t>
            </w:r>
            <w:r w:rsidRPr="00685979">
              <w:rPr>
                <w:rFonts w:ascii="Arial" w:hAnsi="Arial" w:cs="Arial"/>
              </w:rPr>
              <w:t xml:space="preserve"> (enzalutamide before docetaxel) </w:t>
            </w:r>
            <w:r w:rsidR="008D1009">
              <w:rPr>
                <w:rFonts w:ascii="Arial" w:hAnsi="Arial" w:cs="Arial"/>
              </w:rPr>
              <w:t>for the management of patients</w:t>
            </w:r>
            <w:r w:rsidRPr="00685979">
              <w:rPr>
                <w:rFonts w:ascii="Arial" w:hAnsi="Arial" w:cs="Arial"/>
              </w:rPr>
              <w:t xml:space="preserve">, which was of interest to the PBAC. However, on the basis of direct evidence presented by the resubmission the comparison of enzalutamide and </w:t>
            </w:r>
            <w:r w:rsidR="008D1009">
              <w:rPr>
                <w:rFonts w:ascii="Arial" w:hAnsi="Arial" w:cs="Arial"/>
              </w:rPr>
              <w:t>active surveillance</w:t>
            </w:r>
            <w:r w:rsidRPr="00685979">
              <w:rPr>
                <w:rFonts w:ascii="Arial" w:hAnsi="Arial" w:cs="Arial"/>
              </w:rPr>
              <w:t xml:space="preserve">, </w:t>
            </w:r>
            <w:r w:rsidR="008D1009">
              <w:rPr>
                <w:rFonts w:ascii="Arial" w:hAnsi="Arial" w:cs="Arial"/>
              </w:rPr>
              <w:t>(</w:t>
            </w:r>
            <w:r w:rsidRPr="00685979">
              <w:rPr>
                <w:rFonts w:ascii="Arial" w:hAnsi="Arial" w:cs="Arial"/>
              </w:rPr>
              <w:t>or ‘placebo’</w:t>
            </w:r>
            <w:r w:rsidR="008D1009">
              <w:rPr>
                <w:rFonts w:ascii="Arial" w:hAnsi="Arial" w:cs="Arial"/>
              </w:rPr>
              <w:t xml:space="preserve"> in the trial)</w:t>
            </w:r>
            <w:r w:rsidRPr="00685979">
              <w:rPr>
                <w:rFonts w:ascii="Arial" w:hAnsi="Arial" w:cs="Arial"/>
              </w:rPr>
              <w:t xml:space="preserve">, in the PREVAIL trial in asymptomatic or mildly symptomatic, chemotherapy naïve </w:t>
            </w:r>
            <w:proofErr w:type="spellStart"/>
            <w:r w:rsidRPr="00685979">
              <w:rPr>
                <w:rFonts w:ascii="Arial" w:hAnsi="Arial" w:cs="Arial"/>
              </w:rPr>
              <w:t>mCRPC</w:t>
            </w:r>
            <w:proofErr w:type="spellEnd"/>
            <w:r w:rsidRPr="00685979">
              <w:rPr>
                <w:rFonts w:ascii="Arial" w:hAnsi="Arial" w:cs="Arial"/>
              </w:rPr>
              <w:t xml:space="preserve"> patients over a maximum </w:t>
            </w:r>
            <w:r w:rsidR="008D1009">
              <w:rPr>
                <w:rFonts w:ascii="Arial" w:hAnsi="Arial" w:cs="Arial"/>
              </w:rPr>
              <w:t xml:space="preserve">treatment </w:t>
            </w:r>
            <w:r w:rsidR="004A3149">
              <w:rPr>
                <w:rFonts w:ascii="Arial" w:hAnsi="Arial" w:cs="Arial"/>
              </w:rPr>
              <w:t>duration</w:t>
            </w:r>
            <w:r w:rsidR="008D1009">
              <w:rPr>
                <w:rFonts w:ascii="Arial" w:hAnsi="Arial" w:cs="Arial"/>
              </w:rPr>
              <w:t xml:space="preserve"> </w:t>
            </w:r>
            <w:r w:rsidRPr="00685979">
              <w:rPr>
                <w:rFonts w:ascii="Arial" w:hAnsi="Arial" w:cs="Arial"/>
              </w:rPr>
              <w:t xml:space="preserve">of 31 months resulted in significant increases in </w:t>
            </w:r>
            <w:r w:rsidR="008D1009">
              <w:rPr>
                <w:rFonts w:ascii="Arial" w:hAnsi="Arial" w:cs="Arial"/>
              </w:rPr>
              <w:t>the</w:t>
            </w:r>
            <w:r w:rsidR="008D1009" w:rsidRPr="00685979">
              <w:rPr>
                <w:rFonts w:ascii="Arial" w:hAnsi="Arial" w:cs="Arial"/>
              </w:rPr>
              <w:t xml:space="preserve"> </w:t>
            </w:r>
            <w:r w:rsidRPr="00685979">
              <w:rPr>
                <w:rFonts w:ascii="Arial" w:hAnsi="Arial" w:cs="Arial"/>
              </w:rPr>
              <w:t>time:</w:t>
            </w:r>
          </w:p>
          <w:p w:rsidR="00685979" w:rsidRPr="00685979" w:rsidRDefault="00685979" w:rsidP="00685979">
            <w:pPr>
              <w:pStyle w:val="ListParagraph"/>
              <w:rPr>
                <w:rFonts w:ascii="Arial" w:hAnsi="Arial" w:cs="Arial"/>
                <w:sz w:val="20"/>
                <w:szCs w:val="20"/>
              </w:rPr>
            </w:pPr>
            <w:r w:rsidRPr="00685979">
              <w:rPr>
                <w:rFonts w:ascii="Arial" w:hAnsi="Arial" w:cs="Arial"/>
                <w:sz w:val="20"/>
                <w:szCs w:val="20"/>
              </w:rPr>
              <w:t xml:space="preserve">• before </w:t>
            </w:r>
            <w:r w:rsidR="008D1009">
              <w:rPr>
                <w:rFonts w:ascii="Arial" w:hAnsi="Arial" w:cs="Arial"/>
                <w:sz w:val="20"/>
                <w:szCs w:val="20"/>
              </w:rPr>
              <w:t>a patient was given</w:t>
            </w:r>
            <w:r w:rsidRPr="00685979">
              <w:rPr>
                <w:rFonts w:ascii="Arial" w:hAnsi="Arial" w:cs="Arial"/>
                <w:sz w:val="20"/>
                <w:szCs w:val="20"/>
              </w:rPr>
              <w:t xml:space="preserve"> cytotoxic chemotherapy (median of approximately 17.2 months)</w:t>
            </w:r>
          </w:p>
          <w:p w:rsidR="00685979" w:rsidRPr="00685979" w:rsidRDefault="00685979" w:rsidP="00685979">
            <w:pPr>
              <w:pStyle w:val="ListParagraph"/>
              <w:rPr>
                <w:rFonts w:ascii="Arial" w:hAnsi="Arial" w:cs="Arial"/>
                <w:sz w:val="20"/>
                <w:szCs w:val="20"/>
              </w:rPr>
            </w:pPr>
            <w:r w:rsidRPr="00685979">
              <w:rPr>
                <w:rFonts w:ascii="Arial" w:hAnsi="Arial" w:cs="Arial"/>
                <w:sz w:val="20"/>
                <w:szCs w:val="20"/>
              </w:rPr>
              <w:t>• before onset of cancer pain (median of approximately 5.5 months)</w:t>
            </w:r>
          </w:p>
          <w:p w:rsidR="00685979" w:rsidRPr="00685979" w:rsidRDefault="00685979" w:rsidP="00685979">
            <w:pPr>
              <w:pStyle w:val="ListParagraph"/>
              <w:rPr>
                <w:rFonts w:ascii="Arial" w:hAnsi="Arial" w:cs="Arial"/>
                <w:sz w:val="20"/>
                <w:szCs w:val="20"/>
              </w:rPr>
            </w:pPr>
            <w:r w:rsidRPr="00685979">
              <w:rPr>
                <w:rFonts w:ascii="Arial" w:hAnsi="Arial" w:cs="Arial"/>
                <w:sz w:val="20"/>
                <w:szCs w:val="20"/>
              </w:rPr>
              <w:t xml:space="preserve">• </w:t>
            </w:r>
            <w:proofErr w:type="gramStart"/>
            <w:r w:rsidRPr="00685979">
              <w:rPr>
                <w:rFonts w:ascii="Arial" w:hAnsi="Arial" w:cs="Arial"/>
                <w:sz w:val="20"/>
                <w:szCs w:val="20"/>
              </w:rPr>
              <w:t>on</w:t>
            </w:r>
            <w:proofErr w:type="gramEnd"/>
            <w:r w:rsidRPr="00685979">
              <w:rPr>
                <w:rFonts w:ascii="Arial" w:hAnsi="Arial" w:cs="Arial"/>
                <w:sz w:val="20"/>
                <w:szCs w:val="20"/>
              </w:rPr>
              <w:t xml:space="preserve"> treatment (either enzalutamide or placebo), which may be related to time to ‘disease progression’ (median of approximately 13.1 months).</w:t>
            </w:r>
          </w:p>
          <w:p w:rsidR="00685979" w:rsidRPr="00685979" w:rsidRDefault="00685979" w:rsidP="00685979">
            <w:pPr>
              <w:pStyle w:val="ListParagraph"/>
              <w:rPr>
                <w:rFonts w:ascii="Arial" w:hAnsi="Arial" w:cs="Arial"/>
                <w:sz w:val="20"/>
                <w:szCs w:val="20"/>
              </w:rPr>
            </w:pPr>
          </w:p>
          <w:p w:rsidR="002F1630" w:rsidRPr="00C011B4" w:rsidRDefault="00685979" w:rsidP="00685979">
            <w:pPr>
              <w:pStyle w:val="ListParagraph"/>
              <w:ind w:left="0"/>
              <w:rPr>
                <w:rFonts w:ascii="Arial" w:hAnsi="Arial" w:cs="Arial"/>
                <w:sz w:val="20"/>
                <w:szCs w:val="20"/>
                <w:highlight w:val="yellow"/>
              </w:rPr>
            </w:pPr>
            <w:r w:rsidRPr="00685979">
              <w:rPr>
                <w:rFonts w:ascii="Arial" w:hAnsi="Arial" w:cs="Arial"/>
                <w:sz w:val="20"/>
                <w:szCs w:val="20"/>
              </w:rPr>
              <w:t>The PBAC considered that a claim of superior comparative efficacy with respect to quality of life outcomes compared to watchful waiting was reasonable, but that the effect size was modest. The PBAC accepted the claim that enzalutamide has a manageable safety profile.</w:t>
            </w:r>
          </w:p>
        </w:tc>
      </w:tr>
      <w:tr w:rsidR="002F1630" w:rsidRPr="00C011B4" w:rsidTr="000C0C54">
        <w:trPr>
          <w:trHeight w:val="750"/>
        </w:trPr>
        <w:tc>
          <w:tcPr>
            <w:tcW w:w="3101" w:type="dxa"/>
            <w:vMerge/>
            <w:tcMar>
              <w:top w:w="28" w:type="dxa"/>
              <w:bottom w:w="28" w:type="dxa"/>
            </w:tcMar>
          </w:tcPr>
          <w:p w:rsidR="002F1630" w:rsidRPr="005E151D" w:rsidRDefault="002F1630" w:rsidP="000C0C54">
            <w:pPr>
              <w:rPr>
                <w:rFonts w:ascii="Arial" w:hAnsi="Arial" w:cs="Arial"/>
                <w:color w:val="000000"/>
              </w:rPr>
            </w:pPr>
          </w:p>
        </w:tc>
        <w:tc>
          <w:tcPr>
            <w:tcW w:w="2112" w:type="dxa"/>
            <w:vMerge/>
          </w:tcPr>
          <w:p w:rsidR="002F1630" w:rsidRPr="008C7139" w:rsidRDefault="002F1630" w:rsidP="000C0C54">
            <w:pPr>
              <w:rPr>
                <w:rFonts w:ascii="Arial" w:hAnsi="Arial" w:cs="Arial"/>
                <w:color w:val="000000"/>
              </w:rPr>
            </w:pPr>
          </w:p>
        </w:tc>
        <w:tc>
          <w:tcPr>
            <w:tcW w:w="3231" w:type="dxa"/>
            <w:tcMar>
              <w:top w:w="28" w:type="dxa"/>
              <w:bottom w:w="28" w:type="dxa"/>
            </w:tcMar>
          </w:tcPr>
          <w:p w:rsidR="002F1630" w:rsidRPr="008C7139" w:rsidRDefault="009E5E5D" w:rsidP="002F1630">
            <w:pPr>
              <w:jc w:val="right"/>
              <w:rPr>
                <w:rFonts w:ascii="Arial" w:hAnsi="Arial" w:cs="Arial"/>
                <w:color w:val="000000"/>
              </w:rPr>
            </w:pPr>
            <w:r>
              <w:rPr>
                <w:rFonts w:ascii="Arial" w:hAnsi="Arial" w:cs="Arial"/>
                <w:color w:val="000000"/>
              </w:rPr>
              <w:t>Sponsor Comment</w:t>
            </w:r>
            <w:r w:rsidR="002F1630">
              <w:rPr>
                <w:rFonts w:ascii="Arial" w:hAnsi="Arial" w:cs="Arial"/>
                <w:color w:val="000000"/>
              </w:rPr>
              <w:t>:</w:t>
            </w:r>
          </w:p>
        </w:tc>
        <w:tc>
          <w:tcPr>
            <w:tcW w:w="6865" w:type="dxa"/>
          </w:tcPr>
          <w:p w:rsidR="00096A56" w:rsidRPr="00096A56" w:rsidRDefault="00096A56" w:rsidP="00096A56">
            <w:pPr>
              <w:rPr>
                <w:rFonts w:ascii="Arial" w:eastAsia="SimSun" w:hAnsi="Arial" w:cs="Arial"/>
              </w:rPr>
            </w:pPr>
            <w:proofErr w:type="spellStart"/>
            <w:r w:rsidRPr="00096A56">
              <w:rPr>
                <w:rFonts w:ascii="Arial" w:eastAsia="SimSun" w:hAnsi="Arial" w:cs="Arial"/>
              </w:rPr>
              <w:t>Astellas</w:t>
            </w:r>
            <w:proofErr w:type="spellEnd"/>
            <w:r w:rsidRPr="00096A56">
              <w:rPr>
                <w:rFonts w:ascii="Arial" w:eastAsia="SimSun" w:hAnsi="Arial" w:cs="Arial"/>
              </w:rPr>
              <w:t xml:space="preserve"> will continue to work with the PBAC to address the points raised to improve access to enzalutamide for metastatic castration resistant prostate cancer, chemotherapy-naïve patients.</w:t>
            </w:r>
          </w:p>
          <w:p w:rsidR="002F1630" w:rsidRPr="00C011B4" w:rsidRDefault="002F1630" w:rsidP="00911E0D">
            <w:pPr>
              <w:pStyle w:val="ListParagraph"/>
              <w:ind w:left="0"/>
              <w:rPr>
                <w:rFonts w:ascii="Arial" w:hAnsi="Arial" w:cs="Arial"/>
                <w:sz w:val="20"/>
                <w:szCs w:val="20"/>
                <w:highlight w:val="yellow"/>
              </w:rPr>
            </w:pPr>
          </w:p>
        </w:tc>
      </w:tr>
      <w:tr w:rsidR="00FD2561" w:rsidRPr="00C011B4" w:rsidTr="000C0C54">
        <w:trPr>
          <w:trHeight w:val="750"/>
        </w:trPr>
        <w:tc>
          <w:tcPr>
            <w:tcW w:w="3101" w:type="dxa"/>
            <w:vMerge w:val="restart"/>
            <w:tcMar>
              <w:top w:w="28" w:type="dxa"/>
              <w:bottom w:w="28" w:type="dxa"/>
            </w:tcMar>
          </w:tcPr>
          <w:p w:rsidR="00FD2561" w:rsidRPr="00FD2561" w:rsidRDefault="00FD2561" w:rsidP="00FD2561">
            <w:pPr>
              <w:rPr>
                <w:rFonts w:ascii="Arial" w:hAnsi="Arial" w:cs="Arial"/>
                <w:caps/>
                <w:color w:val="000000"/>
              </w:rPr>
            </w:pPr>
            <w:r w:rsidRPr="00FD2561">
              <w:rPr>
                <w:rFonts w:ascii="Arial" w:hAnsi="Arial" w:cs="Arial"/>
                <w:caps/>
                <w:color w:val="000000"/>
              </w:rPr>
              <w:lastRenderedPageBreak/>
              <w:t>Goserelin</w:t>
            </w:r>
          </w:p>
          <w:p w:rsidR="00FD2561" w:rsidRDefault="00FD2561" w:rsidP="000C0C54">
            <w:pPr>
              <w:rPr>
                <w:rFonts w:ascii="Arial" w:hAnsi="Arial" w:cs="Arial"/>
                <w:color w:val="000000"/>
              </w:rPr>
            </w:pPr>
          </w:p>
          <w:p w:rsidR="00FD2561" w:rsidRDefault="00FD2561" w:rsidP="000C0C54">
            <w:pPr>
              <w:rPr>
                <w:rFonts w:ascii="Arial" w:hAnsi="Arial" w:cs="Arial"/>
                <w:color w:val="000000"/>
              </w:rPr>
            </w:pPr>
            <w:r w:rsidRPr="00FD2561">
              <w:rPr>
                <w:rFonts w:ascii="Arial" w:hAnsi="Arial" w:cs="Arial"/>
                <w:color w:val="000000"/>
              </w:rPr>
              <w:t>3.6 mg implant, 1</w:t>
            </w:r>
          </w:p>
          <w:p w:rsidR="00FD2561" w:rsidRDefault="00FD2561" w:rsidP="000C0C54">
            <w:pPr>
              <w:rPr>
                <w:rFonts w:ascii="Arial" w:hAnsi="Arial" w:cs="Arial"/>
                <w:color w:val="000000"/>
              </w:rPr>
            </w:pPr>
          </w:p>
          <w:p w:rsidR="00FD2561" w:rsidRDefault="00FD2561" w:rsidP="000C0C54">
            <w:pPr>
              <w:rPr>
                <w:rFonts w:ascii="Arial" w:hAnsi="Arial" w:cs="Arial"/>
                <w:color w:val="000000"/>
              </w:rPr>
            </w:pPr>
            <w:proofErr w:type="spellStart"/>
            <w:r w:rsidRPr="00FD2561">
              <w:rPr>
                <w:rFonts w:ascii="Arial" w:hAnsi="Arial" w:cs="Arial"/>
                <w:color w:val="000000"/>
              </w:rPr>
              <w:t>Zoladex</w:t>
            </w:r>
            <w:proofErr w:type="spellEnd"/>
            <w:r w:rsidRPr="00FD2561">
              <w:rPr>
                <w:rFonts w:ascii="Arial" w:hAnsi="Arial" w:cs="Arial"/>
                <w:color w:val="000000"/>
              </w:rPr>
              <w:t xml:space="preserve"> Implant®</w:t>
            </w:r>
          </w:p>
          <w:p w:rsidR="00041D99" w:rsidRDefault="00041D99" w:rsidP="000C0C54">
            <w:pPr>
              <w:rPr>
                <w:rFonts w:ascii="Arial" w:hAnsi="Arial" w:cs="Arial"/>
                <w:color w:val="000000"/>
              </w:rPr>
            </w:pPr>
          </w:p>
          <w:p w:rsidR="00041D99" w:rsidRPr="00041D99" w:rsidRDefault="00041D99" w:rsidP="00041D99">
            <w:pPr>
              <w:rPr>
                <w:rFonts w:ascii="Arial" w:hAnsi="Arial" w:cs="Arial"/>
                <w:color w:val="000000"/>
              </w:rPr>
            </w:pPr>
            <w:r w:rsidRPr="00041D99">
              <w:rPr>
                <w:rFonts w:ascii="Arial" w:hAnsi="Arial" w:cs="Arial"/>
                <w:color w:val="000000"/>
              </w:rPr>
              <w:t>Medical Oncology Group of</w:t>
            </w:r>
          </w:p>
          <w:p w:rsidR="00041D99" w:rsidRDefault="00041D99" w:rsidP="00041D99">
            <w:pPr>
              <w:rPr>
                <w:rFonts w:ascii="Arial" w:hAnsi="Arial" w:cs="Arial"/>
                <w:color w:val="000000"/>
              </w:rPr>
            </w:pPr>
            <w:r w:rsidRPr="00041D99">
              <w:rPr>
                <w:rFonts w:ascii="Arial" w:hAnsi="Arial" w:cs="Arial"/>
                <w:color w:val="000000"/>
              </w:rPr>
              <w:t>Australia</w:t>
            </w:r>
          </w:p>
          <w:p w:rsidR="00041D99" w:rsidRDefault="00041D99" w:rsidP="00041D99">
            <w:pPr>
              <w:rPr>
                <w:rFonts w:ascii="Arial" w:hAnsi="Arial" w:cs="Arial"/>
                <w:color w:val="000000"/>
              </w:rPr>
            </w:pPr>
          </w:p>
          <w:p w:rsidR="00041D99" w:rsidRPr="005E151D" w:rsidRDefault="00041D99" w:rsidP="00041D99">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(Minor Submission)</w:t>
            </w:r>
          </w:p>
        </w:tc>
        <w:tc>
          <w:tcPr>
            <w:tcW w:w="2112" w:type="dxa"/>
            <w:vMerge w:val="restart"/>
          </w:tcPr>
          <w:p w:rsidR="00FD2561" w:rsidRPr="008C7139" w:rsidRDefault="00FD2561" w:rsidP="000C0C54">
            <w:pPr>
              <w:rPr>
                <w:rFonts w:ascii="Arial" w:hAnsi="Arial" w:cs="Arial"/>
                <w:color w:val="000000"/>
              </w:rPr>
            </w:pPr>
            <w:r w:rsidRPr="00FD2561">
              <w:rPr>
                <w:rFonts w:ascii="Arial" w:hAnsi="Arial" w:cs="Arial"/>
                <w:color w:val="000000"/>
              </w:rPr>
              <w:t>Breast cancer</w:t>
            </w:r>
          </w:p>
        </w:tc>
        <w:tc>
          <w:tcPr>
            <w:tcW w:w="3231" w:type="dxa"/>
            <w:tcMar>
              <w:top w:w="28" w:type="dxa"/>
              <w:bottom w:w="28" w:type="dxa"/>
            </w:tcMar>
          </w:tcPr>
          <w:p w:rsidR="00A64C24" w:rsidRPr="00A64C24" w:rsidRDefault="00A64C24" w:rsidP="00A64C24">
            <w:pPr>
              <w:rPr>
                <w:rFonts w:ascii="Arial" w:hAnsi="Arial" w:cs="Arial"/>
                <w:color w:val="000000"/>
              </w:rPr>
            </w:pPr>
            <w:r w:rsidRPr="00A64C24">
              <w:rPr>
                <w:rFonts w:ascii="Arial" w:hAnsi="Arial" w:cs="Arial"/>
                <w:color w:val="000000"/>
              </w:rPr>
              <w:t>To request a Restricted</w:t>
            </w:r>
          </w:p>
          <w:p w:rsidR="00A64C24" w:rsidRPr="00A64C24" w:rsidRDefault="00A64C24" w:rsidP="00A64C24">
            <w:pPr>
              <w:rPr>
                <w:rFonts w:ascii="Arial" w:hAnsi="Arial" w:cs="Arial"/>
                <w:color w:val="000000"/>
              </w:rPr>
            </w:pPr>
            <w:r w:rsidRPr="00A64C24">
              <w:rPr>
                <w:rFonts w:ascii="Arial" w:hAnsi="Arial" w:cs="Arial"/>
                <w:color w:val="000000"/>
              </w:rPr>
              <w:t>Benefit listing for the</w:t>
            </w:r>
          </w:p>
          <w:p w:rsidR="00FD2561" w:rsidRDefault="00A64C24" w:rsidP="00A64C24">
            <w:pPr>
              <w:rPr>
                <w:rFonts w:ascii="Arial" w:hAnsi="Arial" w:cs="Arial"/>
                <w:color w:val="000000"/>
              </w:rPr>
            </w:pPr>
            <w:proofErr w:type="gramStart"/>
            <w:r w:rsidRPr="00A64C24">
              <w:rPr>
                <w:rFonts w:ascii="Arial" w:hAnsi="Arial" w:cs="Arial"/>
                <w:color w:val="000000"/>
              </w:rPr>
              <w:t>prevention</w:t>
            </w:r>
            <w:proofErr w:type="gramEnd"/>
            <w:r w:rsidRPr="00A64C24">
              <w:rPr>
                <w:rFonts w:ascii="Arial" w:hAnsi="Arial" w:cs="Arial"/>
                <w:color w:val="000000"/>
              </w:rPr>
              <w:t xml:space="preserve"> of chemotherapy</w:t>
            </w:r>
            <w:r w:rsidR="004A3149">
              <w:rPr>
                <w:rFonts w:ascii="Arial" w:hAnsi="Arial" w:cs="Arial"/>
                <w:color w:val="000000"/>
              </w:rPr>
              <w:t xml:space="preserve"> </w:t>
            </w:r>
            <w:r w:rsidRPr="00A64C24">
              <w:rPr>
                <w:rFonts w:ascii="Arial" w:hAnsi="Arial" w:cs="Arial"/>
                <w:color w:val="000000"/>
              </w:rPr>
              <w:t>induced</w:t>
            </w:r>
            <w:r w:rsidR="003F28CE">
              <w:rPr>
                <w:rFonts w:ascii="Arial" w:hAnsi="Arial" w:cs="Arial"/>
                <w:color w:val="000000"/>
              </w:rPr>
              <w:t xml:space="preserve"> </w:t>
            </w:r>
            <w:r>
              <w:rPr>
                <w:rFonts w:ascii="Arial" w:hAnsi="Arial" w:cs="Arial"/>
                <w:color w:val="000000"/>
              </w:rPr>
              <w:t xml:space="preserve">menopause in </w:t>
            </w:r>
            <w:r w:rsidRPr="00A64C24">
              <w:rPr>
                <w:rFonts w:ascii="Arial" w:hAnsi="Arial" w:cs="Arial"/>
                <w:color w:val="000000"/>
              </w:rPr>
              <w:t>breast cancer.</w:t>
            </w:r>
          </w:p>
        </w:tc>
        <w:tc>
          <w:tcPr>
            <w:tcW w:w="6865" w:type="dxa"/>
          </w:tcPr>
          <w:p w:rsidR="00192FB0" w:rsidRDefault="00DF5E67" w:rsidP="00DF5E67">
            <w:pPr>
              <w:pStyle w:val="ListParagraph"/>
              <w:ind w:left="0"/>
              <w:rPr>
                <w:rFonts w:ascii="Arial" w:hAnsi="Arial" w:cs="Arial"/>
                <w:sz w:val="20"/>
                <w:szCs w:val="20"/>
              </w:rPr>
            </w:pPr>
            <w:r w:rsidRPr="00DF5E67">
              <w:rPr>
                <w:rFonts w:ascii="Arial" w:hAnsi="Arial" w:cs="Arial"/>
                <w:sz w:val="20"/>
                <w:szCs w:val="20"/>
              </w:rPr>
              <w:t>At the November 2016 meeting, the PBAC deferred making a re</w:t>
            </w:r>
            <w:r w:rsidR="00A64C24">
              <w:rPr>
                <w:rFonts w:ascii="Arial" w:hAnsi="Arial" w:cs="Arial"/>
                <w:sz w:val="20"/>
                <w:szCs w:val="20"/>
              </w:rPr>
              <w:t>commendation regarding a change in</w:t>
            </w:r>
            <w:r w:rsidRPr="00DF5E67">
              <w:rPr>
                <w:rFonts w:ascii="Arial" w:hAnsi="Arial" w:cs="Arial"/>
                <w:sz w:val="20"/>
                <w:szCs w:val="20"/>
              </w:rPr>
              <w:t xml:space="preserve"> </w:t>
            </w:r>
            <w:r w:rsidR="00A64C24">
              <w:rPr>
                <w:rFonts w:ascii="Arial" w:hAnsi="Arial" w:cs="Arial"/>
                <w:sz w:val="20"/>
                <w:szCs w:val="20"/>
              </w:rPr>
              <w:t xml:space="preserve">the </w:t>
            </w:r>
            <w:r w:rsidRPr="00DF5E67">
              <w:rPr>
                <w:rFonts w:ascii="Arial" w:hAnsi="Arial" w:cs="Arial"/>
                <w:sz w:val="20"/>
                <w:szCs w:val="20"/>
              </w:rPr>
              <w:t xml:space="preserve">listing of </w:t>
            </w:r>
            <w:proofErr w:type="spellStart"/>
            <w:r>
              <w:rPr>
                <w:rFonts w:ascii="Arial" w:hAnsi="Arial" w:cs="Arial"/>
                <w:sz w:val="20"/>
                <w:szCs w:val="20"/>
              </w:rPr>
              <w:t>goserelin</w:t>
            </w:r>
            <w:proofErr w:type="spellEnd"/>
            <w:r>
              <w:rPr>
                <w:rFonts w:ascii="Arial" w:hAnsi="Arial" w:cs="Arial"/>
                <w:sz w:val="20"/>
                <w:szCs w:val="20"/>
              </w:rPr>
              <w:t>.</w:t>
            </w:r>
          </w:p>
          <w:p w:rsidR="00192FB0" w:rsidRDefault="00192FB0" w:rsidP="00DF5E67">
            <w:pPr>
              <w:pStyle w:val="ListParagraph"/>
              <w:ind w:left="0"/>
              <w:rPr>
                <w:rFonts w:ascii="Arial" w:hAnsi="Arial" w:cs="Arial"/>
                <w:sz w:val="20"/>
                <w:szCs w:val="20"/>
              </w:rPr>
            </w:pPr>
          </w:p>
          <w:p w:rsidR="00A64C24" w:rsidRDefault="00DF5E67" w:rsidP="00DF5E67">
            <w:pPr>
              <w:pStyle w:val="ListParagraph"/>
              <w:ind w:left="0"/>
              <w:rPr>
                <w:rFonts w:ascii="Arial" w:hAnsi="Arial" w:cs="Arial"/>
                <w:sz w:val="20"/>
                <w:szCs w:val="20"/>
              </w:rPr>
            </w:pPr>
            <w:r>
              <w:rPr>
                <w:rFonts w:ascii="Arial" w:hAnsi="Arial" w:cs="Arial"/>
                <w:sz w:val="20"/>
                <w:szCs w:val="20"/>
              </w:rPr>
              <w:t xml:space="preserve">The </w:t>
            </w:r>
            <w:r w:rsidR="006C578F" w:rsidRPr="006C578F">
              <w:rPr>
                <w:rFonts w:ascii="Arial" w:hAnsi="Arial" w:cs="Arial"/>
                <w:sz w:val="20"/>
                <w:szCs w:val="20"/>
              </w:rPr>
              <w:t xml:space="preserve">PBAC </w:t>
            </w:r>
            <w:r>
              <w:rPr>
                <w:rFonts w:ascii="Arial" w:hAnsi="Arial" w:cs="Arial"/>
                <w:sz w:val="20"/>
                <w:szCs w:val="20"/>
              </w:rPr>
              <w:t xml:space="preserve">again </w:t>
            </w:r>
            <w:r w:rsidR="006C578F" w:rsidRPr="006C578F">
              <w:rPr>
                <w:rFonts w:ascii="Arial" w:hAnsi="Arial" w:cs="Arial"/>
                <w:sz w:val="20"/>
                <w:szCs w:val="20"/>
              </w:rPr>
              <w:t xml:space="preserve">deferred the request to change the current PBS restriction for </w:t>
            </w:r>
            <w:proofErr w:type="spellStart"/>
            <w:r w:rsidR="006C578F" w:rsidRPr="006C578F">
              <w:rPr>
                <w:rFonts w:ascii="Arial" w:hAnsi="Arial" w:cs="Arial"/>
                <w:sz w:val="20"/>
                <w:szCs w:val="20"/>
              </w:rPr>
              <w:t>goserelin</w:t>
            </w:r>
            <w:proofErr w:type="spellEnd"/>
            <w:r w:rsidR="006C578F" w:rsidRPr="006C578F">
              <w:rPr>
                <w:rFonts w:ascii="Arial" w:hAnsi="Arial" w:cs="Arial"/>
                <w:sz w:val="20"/>
                <w:szCs w:val="20"/>
              </w:rPr>
              <w:t xml:space="preserve"> 3.6 mg implant to enable women with hormone receptor negative breast cancer to access this treatment to reduce chemotherapy-induced premature menopause</w:t>
            </w:r>
            <w:r w:rsidR="00A64C24">
              <w:rPr>
                <w:rFonts w:ascii="Arial" w:hAnsi="Arial" w:cs="Arial"/>
                <w:sz w:val="20"/>
                <w:szCs w:val="20"/>
              </w:rPr>
              <w:t xml:space="preserve">. </w:t>
            </w:r>
          </w:p>
          <w:p w:rsidR="00A64C24" w:rsidRDefault="00A64C24" w:rsidP="00DF5E67">
            <w:pPr>
              <w:pStyle w:val="ListParagraph"/>
              <w:ind w:left="0"/>
              <w:rPr>
                <w:rFonts w:ascii="Arial" w:hAnsi="Arial" w:cs="Arial"/>
                <w:sz w:val="20"/>
                <w:szCs w:val="20"/>
              </w:rPr>
            </w:pPr>
          </w:p>
          <w:p w:rsidR="00A64C24" w:rsidRDefault="00A64C24" w:rsidP="00DF5E67">
            <w:pPr>
              <w:pStyle w:val="ListParagraph"/>
              <w:ind w:left="0"/>
              <w:rPr>
                <w:rFonts w:ascii="Arial" w:hAnsi="Arial" w:cs="Arial"/>
                <w:sz w:val="20"/>
                <w:szCs w:val="20"/>
              </w:rPr>
            </w:pPr>
            <w:r>
              <w:rPr>
                <w:rFonts w:ascii="Arial" w:hAnsi="Arial" w:cs="Arial"/>
                <w:sz w:val="20"/>
                <w:szCs w:val="20"/>
              </w:rPr>
              <w:t>The PBAC noted that</w:t>
            </w:r>
            <w:r w:rsidRPr="00A64C24">
              <w:rPr>
                <w:rFonts w:ascii="Arial" w:hAnsi="Arial" w:cs="Arial"/>
                <w:sz w:val="20"/>
                <w:szCs w:val="20"/>
              </w:rPr>
              <w:t xml:space="preserve"> the clinical evidence indicated that </w:t>
            </w:r>
            <w:proofErr w:type="spellStart"/>
            <w:r w:rsidRPr="00A64C24">
              <w:rPr>
                <w:rFonts w:ascii="Arial" w:hAnsi="Arial" w:cs="Arial"/>
                <w:sz w:val="20"/>
                <w:szCs w:val="20"/>
              </w:rPr>
              <w:t>goserelin</w:t>
            </w:r>
            <w:proofErr w:type="spellEnd"/>
            <w:r w:rsidRPr="00A64C24">
              <w:rPr>
                <w:rFonts w:ascii="Arial" w:hAnsi="Arial" w:cs="Arial"/>
                <w:sz w:val="20"/>
                <w:szCs w:val="20"/>
              </w:rPr>
              <w:t xml:space="preserve"> was effective in reducing the risk of premature menopause in women receiving cyclophosphamide for breast cancer. By extrapolation, it was biologically plausible that </w:t>
            </w:r>
            <w:proofErr w:type="spellStart"/>
            <w:r w:rsidRPr="00A64C24">
              <w:rPr>
                <w:rFonts w:ascii="Arial" w:hAnsi="Arial" w:cs="Arial"/>
                <w:sz w:val="20"/>
                <w:szCs w:val="20"/>
              </w:rPr>
              <w:t>goserelin</w:t>
            </w:r>
            <w:proofErr w:type="spellEnd"/>
            <w:r w:rsidRPr="00A64C24">
              <w:rPr>
                <w:rFonts w:ascii="Arial" w:hAnsi="Arial" w:cs="Arial"/>
                <w:sz w:val="20"/>
                <w:szCs w:val="20"/>
              </w:rPr>
              <w:t xml:space="preserve"> would also be effective in other conditions</w:t>
            </w:r>
            <w:r w:rsidR="00643F21">
              <w:rPr>
                <w:rFonts w:ascii="Arial" w:hAnsi="Arial" w:cs="Arial"/>
                <w:sz w:val="20"/>
                <w:szCs w:val="20"/>
              </w:rPr>
              <w:t xml:space="preserve"> (not just breast cancer) being</w:t>
            </w:r>
            <w:r w:rsidRPr="00A64C24">
              <w:rPr>
                <w:rFonts w:ascii="Arial" w:hAnsi="Arial" w:cs="Arial"/>
                <w:sz w:val="20"/>
                <w:szCs w:val="20"/>
              </w:rPr>
              <w:t xml:space="preserve"> treated with alkylating agents, such as cyclophosphamide.</w:t>
            </w:r>
          </w:p>
          <w:p w:rsidR="00643F21" w:rsidRDefault="00643F21" w:rsidP="00DF5E67">
            <w:pPr>
              <w:pStyle w:val="ListParagraph"/>
              <w:ind w:left="0"/>
              <w:rPr>
                <w:rFonts w:ascii="Arial" w:hAnsi="Arial" w:cs="Arial"/>
                <w:sz w:val="20"/>
                <w:szCs w:val="20"/>
              </w:rPr>
            </w:pPr>
          </w:p>
          <w:p w:rsidR="00FD2561" w:rsidRDefault="00A64C24" w:rsidP="00DF5E67">
            <w:pPr>
              <w:pStyle w:val="ListParagraph"/>
              <w:ind w:left="0"/>
              <w:rPr>
                <w:rFonts w:ascii="Arial" w:hAnsi="Arial" w:cs="Arial"/>
                <w:sz w:val="20"/>
                <w:szCs w:val="20"/>
              </w:rPr>
            </w:pPr>
            <w:r>
              <w:rPr>
                <w:rFonts w:ascii="Arial" w:hAnsi="Arial" w:cs="Arial"/>
                <w:sz w:val="20"/>
                <w:szCs w:val="20"/>
              </w:rPr>
              <w:t>This deferral was</w:t>
            </w:r>
            <w:r w:rsidR="006C578F" w:rsidRPr="006C578F">
              <w:rPr>
                <w:rFonts w:ascii="Arial" w:hAnsi="Arial" w:cs="Arial"/>
                <w:sz w:val="20"/>
                <w:szCs w:val="20"/>
              </w:rPr>
              <w:t xml:space="preserve"> to allow for </w:t>
            </w:r>
            <w:r>
              <w:rPr>
                <w:rFonts w:ascii="Arial" w:hAnsi="Arial" w:cs="Arial"/>
                <w:sz w:val="20"/>
                <w:szCs w:val="20"/>
              </w:rPr>
              <w:t>the Department and</w:t>
            </w:r>
            <w:r w:rsidR="006C578F" w:rsidRPr="006C578F">
              <w:rPr>
                <w:rFonts w:ascii="Arial" w:hAnsi="Arial" w:cs="Arial"/>
                <w:sz w:val="20"/>
                <w:szCs w:val="20"/>
              </w:rPr>
              <w:t xml:space="preserve"> the sponsor to </w:t>
            </w:r>
            <w:r w:rsidR="004A3149">
              <w:rPr>
                <w:rFonts w:ascii="Arial" w:hAnsi="Arial" w:cs="Arial"/>
                <w:sz w:val="20"/>
                <w:szCs w:val="20"/>
              </w:rPr>
              <w:t>explore</w:t>
            </w:r>
            <w:r w:rsidR="006C578F" w:rsidRPr="006C578F">
              <w:rPr>
                <w:rFonts w:ascii="Arial" w:hAnsi="Arial" w:cs="Arial"/>
                <w:sz w:val="20"/>
                <w:szCs w:val="20"/>
              </w:rPr>
              <w:t xml:space="preserve"> </w:t>
            </w:r>
            <w:r>
              <w:rPr>
                <w:rFonts w:ascii="Arial" w:hAnsi="Arial" w:cs="Arial"/>
                <w:sz w:val="20"/>
                <w:szCs w:val="20"/>
              </w:rPr>
              <w:t>appropriate listing conditions</w:t>
            </w:r>
            <w:r w:rsidR="006C578F" w:rsidRPr="006C578F">
              <w:rPr>
                <w:rFonts w:ascii="Arial" w:hAnsi="Arial" w:cs="Arial"/>
                <w:sz w:val="20"/>
                <w:szCs w:val="20"/>
              </w:rPr>
              <w:t xml:space="preserve"> that would enable all patients undergoing therapy with alkylating agents</w:t>
            </w:r>
            <w:r w:rsidR="00643F21">
              <w:rPr>
                <w:rFonts w:ascii="Arial" w:hAnsi="Arial" w:cs="Arial"/>
                <w:sz w:val="20"/>
                <w:szCs w:val="20"/>
              </w:rPr>
              <w:t xml:space="preserve"> to potentially</w:t>
            </w:r>
            <w:r w:rsidR="006C578F" w:rsidRPr="006C578F">
              <w:rPr>
                <w:rFonts w:ascii="Arial" w:hAnsi="Arial" w:cs="Arial"/>
                <w:sz w:val="20"/>
                <w:szCs w:val="20"/>
              </w:rPr>
              <w:t xml:space="preserve"> benefit from the use of </w:t>
            </w:r>
            <w:proofErr w:type="spellStart"/>
            <w:r w:rsidR="006C578F" w:rsidRPr="006C578F">
              <w:rPr>
                <w:rFonts w:ascii="Arial" w:hAnsi="Arial" w:cs="Arial"/>
                <w:sz w:val="20"/>
                <w:szCs w:val="20"/>
              </w:rPr>
              <w:t>goserelin</w:t>
            </w:r>
            <w:proofErr w:type="spellEnd"/>
            <w:r w:rsidR="006C578F" w:rsidRPr="006C578F">
              <w:rPr>
                <w:rFonts w:ascii="Arial" w:hAnsi="Arial" w:cs="Arial"/>
                <w:sz w:val="20"/>
                <w:szCs w:val="20"/>
              </w:rPr>
              <w:t>.</w:t>
            </w:r>
          </w:p>
          <w:p w:rsidR="00041D99" w:rsidRDefault="00041D99" w:rsidP="00DF5E67">
            <w:pPr>
              <w:pStyle w:val="ListParagraph"/>
              <w:ind w:left="0"/>
              <w:rPr>
                <w:rFonts w:ascii="Arial" w:hAnsi="Arial" w:cs="Arial"/>
                <w:sz w:val="20"/>
                <w:szCs w:val="20"/>
              </w:rPr>
            </w:pPr>
          </w:p>
          <w:p w:rsidR="00041D99" w:rsidRPr="00041D99" w:rsidRDefault="00041D99" w:rsidP="00041D99">
            <w:pPr>
              <w:rPr>
                <w:rFonts w:ascii="Arial" w:hAnsi="Arial" w:cs="Arial"/>
                <w:color w:val="000000"/>
              </w:rPr>
            </w:pPr>
            <w:r w:rsidRPr="00041D99">
              <w:rPr>
                <w:rFonts w:ascii="Arial" w:hAnsi="Arial" w:cs="Arial"/>
              </w:rPr>
              <w:t xml:space="preserve">The manufacturer/supplier of </w:t>
            </w:r>
            <w:proofErr w:type="spellStart"/>
            <w:r>
              <w:rPr>
                <w:rFonts w:ascii="Arial" w:hAnsi="Arial" w:cs="Arial"/>
              </w:rPr>
              <w:t>goserelin</w:t>
            </w:r>
            <w:proofErr w:type="spellEnd"/>
            <w:r w:rsidRPr="00041D99">
              <w:rPr>
                <w:rFonts w:ascii="Arial" w:hAnsi="Arial" w:cs="Arial"/>
              </w:rPr>
              <w:t xml:space="preserve"> is </w:t>
            </w:r>
            <w:r w:rsidR="004A3149" w:rsidRPr="004A3149">
              <w:rPr>
                <w:rFonts w:ascii="Arial" w:hAnsi="Arial" w:cs="Arial"/>
                <w:color w:val="000000"/>
              </w:rPr>
              <w:t>AstraZeneca Pty Ltd</w:t>
            </w:r>
            <w:r w:rsidR="004A3149">
              <w:rPr>
                <w:rFonts w:ascii="Arial" w:hAnsi="Arial" w:cs="Arial"/>
                <w:color w:val="000000"/>
              </w:rPr>
              <w:t>.</w:t>
            </w:r>
          </w:p>
        </w:tc>
      </w:tr>
      <w:tr w:rsidR="00FD2561" w:rsidRPr="00C011B4" w:rsidTr="000C0C54">
        <w:trPr>
          <w:trHeight w:val="750"/>
        </w:trPr>
        <w:tc>
          <w:tcPr>
            <w:tcW w:w="3101" w:type="dxa"/>
            <w:vMerge/>
            <w:tcMar>
              <w:top w:w="28" w:type="dxa"/>
              <w:bottom w:w="28" w:type="dxa"/>
            </w:tcMar>
          </w:tcPr>
          <w:p w:rsidR="00FD2561" w:rsidRPr="005E151D" w:rsidRDefault="00FD2561" w:rsidP="000C0C54">
            <w:pPr>
              <w:rPr>
                <w:rFonts w:ascii="Arial" w:hAnsi="Arial" w:cs="Arial"/>
                <w:color w:val="000000"/>
              </w:rPr>
            </w:pPr>
          </w:p>
        </w:tc>
        <w:tc>
          <w:tcPr>
            <w:tcW w:w="2112" w:type="dxa"/>
            <w:vMerge/>
          </w:tcPr>
          <w:p w:rsidR="00FD2561" w:rsidRPr="008C7139" w:rsidRDefault="00FD2561" w:rsidP="000C0C54">
            <w:pPr>
              <w:rPr>
                <w:rFonts w:ascii="Arial" w:hAnsi="Arial" w:cs="Arial"/>
                <w:color w:val="000000"/>
              </w:rPr>
            </w:pPr>
          </w:p>
        </w:tc>
        <w:tc>
          <w:tcPr>
            <w:tcW w:w="3231" w:type="dxa"/>
            <w:tcMar>
              <w:top w:w="28" w:type="dxa"/>
              <w:bottom w:w="28" w:type="dxa"/>
            </w:tcMar>
          </w:tcPr>
          <w:p w:rsidR="00FD2561" w:rsidRDefault="00FD2561" w:rsidP="002F1630">
            <w:pPr>
              <w:jc w:val="right"/>
              <w:rPr>
                <w:rFonts w:ascii="Arial" w:hAnsi="Arial" w:cs="Arial"/>
                <w:color w:val="000000"/>
              </w:rPr>
            </w:pPr>
            <w:r>
              <w:rPr>
                <w:rFonts w:ascii="Arial" w:hAnsi="Arial" w:cs="Arial"/>
                <w:color w:val="000000"/>
              </w:rPr>
              <w:t>Sponsor Comment:</w:t>
            </w:r>
          </w:p>
        </w:tc>
        <w:tc>
          <w:tcPr>
            <w:tcW w:w="6865" w:type="dxa"/>
          </w:tcPr>
          <w:p w:rsidR="00FD2561" w:rsidRPr="00C011B4" w:rsidRDefault="003F68C3" w:rsidP="00911E0D">
            <w:pPr>
              <w:pStyle w:val="ListParagraph"/>
              <w:ind w:left="0"/>
              <w:rPr>
                <w:rFonts w:ascii="Arial" w:hAnsi="Arial" w:cs="Arial"/>
                <w:sz w:val="20"/>
                <w:szCs w:val="20"/>
                <w:highlight w:val="yellow"/>
              </w:rPr>
            </w:pPr>
            <w:r w:rsidRPr="003F68C3">
              <w:rPr>
                <w:rFonts w:ascii="Arial" w:eastAsia="Times New Roman" w:hAnsi="Arial" w:cs="Arial"/>
                <w:sz w:val="20"/>
                <w:szCs w:val="20"/>
              </w:rPr>
              <w:t xml:space="preserve">MOGA is disappointed with the outcome but is looking forward to working with the PBAC and AstraZeneca to ensure that breast cancer patients have access to subsidized </w:t>
            </w:r>
            <w:proofErr w:type="spellStart"/>
            <w:r w:rsidRPr="003F68C3">
              <w:rPr>
                <w:rFonts w:ascii="Arial" w:eastAsia="Times New Roman" w:hAnsi="Arial" w:cs="Arial"/>
                <w:sz w:val="20"/>
                <w:szCs w:val="20"/>
              </w:rPr>
              <w:t>Goserelin</w:t>
            </w:r>
            <w:proofErr w:type="spellEnd"/>
            <w:r w:rsidRPr="003F68C3">
              <w:rPr>
                <w:rFonts w:ascii="Arial" w:eastAsia="Times New Roman" w:hAnsi="Arial" w:cs="Arial"/>
                <w:sz w:val="20"/>
                <w:szCs w:val="20"/>
              </w:rPr>
              <w:t xml:space="preserve"> to reduce the risk of premature ovarian failure secondary to chemotherapy.</w:t>
            </w:r>
          </w:p>
        </w:tc>
      </w:tr>
      <w:tr w:rsidR="002766C1" w:rsidRPr="00C011B4" w:rsidTr="002F1630">
        <w:trPr>
          <w:trHeight w:val="1050"/>
        </w:trPr>
        <w:tc>
          <w:tcPr>
            <w:tcW w:w="3101" w:type="dxa"/>
            <w:vMerge w:val="restart"/>
            <w:tcMar>
              <w:top w:w="28" w:type="dxa"/>
              <w:bottom w:w="28" w:type="dxa"/>
            </w:tcMar>
          </w:tcPr>
          <w:p w:rsidR="002766C1" w:rsidRDefault="002766C1" w:rsidP="00D4193F">
            <w:pPr>
              <w:rPr>
                <w:rFonts w:ascii="Arial" w:hAnsi="Arial" w:cs="Arial"/>
                <w:color w:val="000000"/>
              </w:rPr>
            </w:pPr>
            <w:r w:rsidRPr="007423DC">
              <w:rPr>
                <w:rFonts w:ascii="Arial" w:hAnsi="Arial" w:cs="Arial"/>
                <w:color w:val="000000"/>
              </w:rPr>
              <w:t>MIGALASTAT</w:t>
            </w:r>
          </w:p>
          <w:p w:rsidR="002766C1" w:rsidRDefault="002766C1" w:rsidP="00D4193F">
            <w:pPr>
              <w:rPr>
                <w:rFonts w:ascii="Arial" w:hAnsi="Arial" w:cs="Arial"/>
                <w:color w:val="000000"/>
              </w:rPr>
            </w:pPr>
          </w:p>
          <w:p w:rsidR="002766C1" w:rsidRDefault="002766C1" w:rsidP="00D4193F">
            <w:pPr>
              <w:rPr>
                <w:rFonts w:ascii="Arial" w:hAnsi="Arial" w:cs="Arial"/>
                <w:color w:val="000000"/>
              </w:rPr>
            </w:pPr>
            <w:r>
              <w:rPr>
                <w:rFonts w:ascii="Arial" w:hAnsi="Arial" w:cs="Arial"/>
                <w:color w:val="000000"/>
              </w:rPr>
              <w:t xml:space="preserve">Capsule </w:t>
            </w:r>
            <w:r w:rsidRPr="008D19EE">
              <w:rPr>
                <w:rFonts w:ascii="Arial" w:hAnsi="Arial" w:cs="Arial"/>
                <w:color w:val="000000"/>
              </w:rPr>
              <w:t>150 mg</w:t>
            </w:r>
          </w:p>
          <w:p w:rsidR="002766C1" w:rsidRDefault="002766C1" w:rsidP="002766C1">
            <w:pPr>
              <w:jc w:val="center"/>
              <w:rPr>
                <w:rFonts w:ascii="Arial" w:hAnsi="Arial" w:cs="Arial"/>
                <w:color w:val="000000"/>
              </w:rPr>
            </w:pPr>
          </w:p>
          <w:p w:rsidR="002766C1" w:rsidRDefault="002766C1" w:rsidP="00D4193F">
            <w:pPr>
              <w:rPr>
                <w:rFonts w:ascii="Arial" w:hAnsi="Arial" w:cs="Arial"/>
                <w:color w:val="000000"/>
              </w:rPr>
            </w:pPr>
            <w:r w:rsidRPr="008D19EE">
              <w:rPr>
                <w:rFonts w:ascii="Arial" w:hAnsi="Arial" w:cs="Arial"/>
                <w:color w:val="000000"/>
              </w:rPr>
              <w:t>Galafold</w:t>
            </w:r>
            <w:r>
              <w:rPr>
                <w:rFonts w:ascii="Arial" w:hAnsi="Arial" w:cs="Arial"/>
                <w:color w:val="000000"/>
              </w:rPr>
              <w:t>®</w:t>
            </w:r>
          </w:p>
          <w:p w:rsidR="002766C1" w:rsidRDefault="002766C1" w:rsidP="00D4193F">
            <w:pPr>
              <w:rPr>
                <w:rFonts w:ascii="Arial" w:hAnsi="Arial" w:cs="Arial"/>
                <w:color w:val="000000"/>
              </w:rPr>
            </w:pPr>
          </w:p>
          <w:p w:rsidR="002766C1" w:rsidRPr="009276B7" w:rsidRDefault="002766C1" w:rsidP="000C0C54">
            <w:pPr>
              <w:rPr>
                <w:rFonts w:ascii="Arial" w:hAnsi="Arial" w:cs="Arial"/>
                <w:color w:val="000000"/>
              </w:rPr>
            </w:pPr>
            <w:r w:rsidRPr="008D19EE">
              <w:rPr>
                <w:rFonts w:ascii="Arial" w:hAnsi="Arial" w:cs="Arial"/>
                <w:color w:val="000000"/>
              </w:rPr>
              <w:t>Amicus Therapeutics</w:t>
            </w:r>
          </w:p>
        </w:tc>
        <w:tc>
          <w:tcPr>
            <w:tcW w:w="2112" w:type="dxa"/>
            <w:vMerge w:val="restart"/>
          </w:tcPr>
          <w:p w:rsidR="002766C1" w:rsidRPr="002B04B5" w:rsidRDefault="002766C1" w:rsidP="000C0C54">
            <w:pPr>
              <w:rPr>
                <w:rFonts w:ascii="Arial" w:hAnsi="Arial" w:cs="Arial"/>
                <w:color w:val="000000"/>
              </w:rPr>
            </w:pPr>
            <w:r w:rsidRPr="008D19EE">
              <w:rPr>
                <w:rFonts w:ascii="Arial" w:hAnsi="Arial" w:cs="Arial"/>
                <w:color w:val="000000"/>
              </w:rPr>
              <w:t xml:space="preserve">Fabry </w:t>
            </w:r>
            <w:r>
              <w:rPr>
                <w:rFonts w:ascii="Arial" w:hAnsi="Arial" w:cs="Arial"/>
                <w:color w:val="000000"/>
              </w:rPr>
              <w:t>d</w:t>
            </w:r>
            <w:r w:rsidRPr="008D19EE">
              <w:rPr>
                <w:rFonts w:ascii="Arial" w:hAnsi="Arial" w:cs="Arial"/>
                <w:color w:val="000000"/>
              </w:rPr>
              <w:t>isease</w:t>
            </w:r>
          </w:p>
        </w:tc>
        <w:tc>
          <w:tcPr>
            <w:tcW w:w="3231" w:type="dxa"/>
            <w:tcMar>
              <w:top w:w="28" w:type="dxa"/>
              <w:bottom w:w="28" w:type="dxa"/>
            </w:tcMar>
          </w:tcPr>
          <w:p w:rsidR="002766C1" w:rsidRPr="002B04B5" w:rsidRDefault="002766C1" w:rsidP="000C0C54">
            <w:pPr>
              <w:rPr>
                <w:rFonts w:ascii="Arial" w:hAnsi="Arial" w:cs="Arial"/>
                <w:color w:val="000000"/>
              </w:rPr>
            </w:pPr>
            <w:r w:rsidRPr="008D19EE">
              <w:rPr>
                <w:rFonts w:ascii="Arial" w:hAnsi="Arial" w:cs="Arial"/>
                <w:color w:val="000000"/>
              </w:rPr>
              <w:t xml:space="preserve">To request a Section 100 </w:t>
            </w:r>
            <w:r>
              <w:rPr>
                <w:rFonts w:ascii="Arial" w:hAnsi="Arial" w:cs="Arial"/>
                <w:color w:val="000000"/>
              </w:rPr>
              <w:t>(</w:t>
            </w:r>
            <w:r w:rsidRPr="008D19EE">
              <w:rPr>
                <w:rFonts w:ascii="Arial" w:hAnsi="Arial" w:cs="Arial"/>
                <w:color w:val="000000"/>
              </w:rPr>
              <w:t>H</w:t>
            </w:r>
            <w:r>
              <w:rPr>
                <w:rFonts w:ascii="Arial" w:hAnsi="Arial" w:cs="Arial"/>
                <w:color w:val="000000"/>
              </w:rPr>
              <w:t xml:space="preserve">ighly Specialised Drug Program) </w:t>
            </w:r>
            <w:r w:rsidRPr="008D19EE">
              <w:rPr>
                <w:rFonts w:ascii="Arial" w:hAnsi="Arial" w:cs="Arial"/>
                <w:color w:val="000000"/>
              </w:rPr>
              <w:t xml:space="preserve">Authority Required listing for the treatment of Fabry </w:t>
            </w:r>
            <w:r>
              <w:rPr>
                <w:rFonts w:ascii="Arial" w:hAnsi="Arial" w:cs="Arial"/>
                <w:color w:val="000000"/>
              </w:rPr>
              <w:t>d</w:t>
            </w:r>
            <w:r w:rsidRPr="008D19EE">
              <w:rPr>
                <w:rFonts w:ascii="Arial" w:hAnsi="Arial" w:cs="Arial"/>
                <w:color w:val="000000"/>
              </w:rPr>
              <w:t>isease.</w:t>
            </w:r>
          </w:p>
        </w:tc>
        <w:tc>
          <w:tcPr>
            <w:tcW w:w="6865" w:type="dxa"/>
          </w:tcPr>
          <w:p w:rsidR="002766C1" w:rsidRPr="002766C1" w:rsidRDefault="002766C1" w:rsidP="00D4193F">
            <w:pPr>
              <w:rPr>
                <w:rFonts w:ascii="Arial" w:hAnsi="Arial" w:cs="Arial"/>
              </w:rPr>
            </w:pPr>
            <w:r w:rsidRPr="002766C1">
              <w:rPr>
                <w:rFonts w:ascii="Arial" w:hAnsi="Arial" w:cs="Arial"/>
              </w:rPr>
              <w:t xml:space="preserve">The PBAC deferred making a recommendation on the listing of migalastat for Fabry Disease pending the outcome of the TGA evaluation. </w:t>
            </w:r>
          </w:p>
          <w:p w:rsidR="002766C1" w:rsidRPr="002766C1" w:rsidRDefault="002766C1" w:rsidP="00D4193F">
            <w:pPr>
              <w:rPr>
                <w:rFonts w:ascii="Arial" w:hAnsi="Arial" w:cs="Arial"/>
              </w:rPr>
            </w:pPr>
          </w:p>
          <w:p w:rsidR="002766C1" w:rsidRPr="002766C1" w:rsidRDefault="002766C1" w:rsidP="00D4193F">
            <w:pPr>
              <w:rPr>
                <w:rFonts w:ascii="Arial" w:hAnsi="Arial" w:cs="Arial"/>
              </w:rPr>
            </w:pPr>
            <w:r w:rsidRPr="002766C1">
              <w:rPr>
                <w:rFonts w:ascii="Arial" w:hAnsi="Arial" w:cs="Arial"/>
              </w:rPr>
              <w:t>Agalsidase alfa and agalsidase beta are available for patients for Fabry Disease via the Life Saving Drugs Program</w:t>
            </w:r>
            <w:proofErr w:type="gramStart"/>
            <w:r w:rsidRPr="002766C1">
              <w:rPr>
                <w:rFonts w:ascii="Arial" w:hAnsi="Arial" w:cs="Arial"/>
              </w:rPr>
              <w:t xml:space="preserve">.  </w:t>
            </w:r>
            <w:proofErr w:type="gramEnd"/>
            <w:r w:rsidRPr="002766C1">
              <w:rPr>
                <w:rFonts w:ascii="Arial" w:hAnsi="Arial" w:cs="Arial"/>
              </w:rPr>
              <w:t xml:space="preserve">The PBAC recognised that these enzyme replacement therapies (ERT) are not listed on the PBS and have not been considered to be cost-effective for listing on the PBS but agreed that these two treatments were the appropriate comparators. </w:t>
            </w:r>
          </w:p>
          <w:p w:rsidR="002766C1" w:rsidRPr="002766C1" w:rsidRDefault="002766C1" w:rsidP="00D4193F">
            <w:pPr>
              <w:rPr>
                <w:rFonts w:ascii="Arial" w:hAnsi="Arial" w:cs="Arial"/>
              </w:rPr>
            </w:pPr>
          </w:p>
          <w:p w:rsidR="002766C1" w:rsidRPr="002766C1" w:rsidRDefault="002766C1" w:rsidP="00D4193F">
            <w:pPr>
              <w:rPr>
                <w:rFonts w:ascii="Arial" w:hAnsi="Arial" w:cs="Arial"/>
              </w:rPr>
            </w:pPr>
            <w:r w:rsidRPr="002766C1">
              <w:rPr>
                <w:rFonts w:ascii="Arial" w:hAnsi="Arial" w:cs="Arial"/>
              </w:rPr>
              <w:t xml:space="preserve">The clinical evidence in the submission was one head-to-head trial (ATTRACT) comparing migalastat to ERT in treatment-experienced patients, and one head-to-head trial (FACETS) comparing migalastat to placebo in treatment-naïve patients. Based on this available clinical data, </w:t>
            </w:r>
            <w:r w:rsidRPr="002766C1">
              <w:rPr>
                <w:rFonts w:ascii="Arial" w:hAnsi="Arial" w:cs="Arial"/>
              </w:rPr>
              <w:lastRenderedPageBreak/>
              <w:t>the PBAC did not accept the clinical claim that migalastat would provide patients a similar treatment effect as ERT in treatment naïve patients and in treatment experienced or switch patients.</w:t>
            </w:r>
          </w:p>
          <w:p w:rsidR="002766C1" w:rsidRPr="002766C1" w:rsidRDefault="002766C1" w:rsidP="00D4193F">
            <w:pPr>
              <w:rPr>
                <w:rFonts w:ascii="Arial" w:hAnsi="Arial" w:cs="Arial"/>
              </w:rPr>
            </w:pPr>
          </w:p>
          <w:p w:rsidR="002766C1" w:rsidRPr="002766C1" w:rsidRDefault="002766C1" w:rsidP="00911E0D">
            <w:pPr>
              <w:pStyle w:val="ListParagraph"/>
              <w:ind w:left="0"/>
              <w:rPr>
                <w:rFonts w:ascii="Arial" w:eastAsia="Times New Roman" w:hAnsi="Arial" w:cs="Arial"/>
                <w:sz w:val="20"/>
                <w:szCs w:val="20"/>
              </w:rPr>
            </w:pPr>
            <w:r w:rsidRPr="002766C1">
              <w:rPr>
                <w:rFonts w:ascii="Arial" w:eastAsia="Times New Roman" w:hAnsi="Arial" w:cs="Arial"/>
                <w:sz w:val="20"/>
                <w:szCs w:val="20"/>
              </w:rPr>
              <w:t xml:space="preserve">In addition to knowing the outcome of the TGA evaluation, the PBAC considered further information from the sponsor would be required to address the PBAC’s concerns for this deferred submission. </w:t>
            </w:r>
          </w:p>
        </w:tc>
      </w:tr>
      <w:tr w:rsidR="002766C1" w:rsidRPr="00C011B4" w:rsidTr="002F1630">
        <w:trPr>
          <w:trHeight w:val="1050"/>
        </w:trPr>
        <w:tc>
          <w:tcPr>
            <w:tcW w:w="3101" w:type="dxa"/>
            <w:vMerge/>
            <w:tcMar>
              <w:top w:w="28" w:type="dxa"/>
              <w:bottom w:w="28" w:type="dxa"/>
            </w:tcMar>
          </w:tcPr>
          <w:p w:rsidR="002766C1" w:rsidRPr="009276B7" w:rsidRDefault="002766C1" w:rsidP="000C0C54">
            <w:pPr>
              <w:rPr>
                <w:rFonts w:ascii="Arial" w:hAnsi="Arial" w:cs="Arial"/>
                <w:color w:val="000000"/>
              </w:rPr>
            </w:pPr>
          </w:p>
        </w:tc>
        <w:tc>
          <w:tcPr>
            <w:tcW w:w="2112" w:type="dxa"/>
            <w:vMerge/>
          </w:tcPr>
          <w:p w:rsidR="002766C1" w:rsidRPr="002B04B5" w:rsidRDefault="002766C1" w:rsidP="000C0C54">
            <w:pPr>
              <w:rPr>
                <w:rFonts w:ascii="Arial" w:hAnsi="Arial" w:cs="Arial"/>
                <w:color w:val="000000"/>
              </w:rPr>
            </w:pPr>
          </w:p>
        </w:tc>
        <w:tc>
          <w:tcPr>
            <w:tcW w:w="3231" w:type="dxa"/>
            <w:tcMar>
              <w:top w:w="28" w:type="dxa"/>
              <w:bottom w:w="28" w:type="dxa"/>
            </w:tcMar>
          </w:tcPr>
          <w:p w:rsidR="002766C1" w:rsidRPr="002B04B5" w:rsidRDefault="002766C1" w:rsidP="000C0C54">
            <w:pPr>
              <w:rPr>
                <w:rFonts w:ascii="Arial" w:hAnsi="Arial" w:cs="Arial"/>
                <w:color w:val="000000"/>
              </w:rPr>
            </w:pPr>
            <w:r>
              <w:rPr>
                <w:rFonts w:ascii="Arial" w:hAnsi="Arial" w:cs="Arial"/>
                <w:color w:val="000000"/>
              </w:rPr>
              <w:t>Sponsor Comment:</w:t>
            </w:r>
          </w:p>
        </w:tc>
        <w:tc>
          <w:tcPr>
            <w:tcW w:w="6865" w:type="dxa"/>
          </w:tcPr>
          <w:p w:rsidR="002766C1" w:rsidRPr="002766C1" w:rsidRDefault="002766C1" w:rsidP="002766C1">
            <w:pPr>
              <w:pStyle w:val="ListParagraph"/>
              <w:ind w:left="0"/>
              <w:rPr>
                <w:rFonts w:ascii="Arial" w:eastAsia="Times New Roman" w:hAnsi="Arial" w:cs="Arial"/>
                <w:sz w:val="20"/>
                <w:szCs w:val="20"/>
              </w:rPr>
            </w:pPr>
            <w:r w:rsidRPr="002766C1">
              <w:rPr>
                <w:rFonts w:ascii="Arial" w:eastAsia="Times New Roman" w:hAnsi="Arial" w:cs="Arial"/>
                <w:sz w:val="20"/>
                <w:szCs w:val="20"/>
              </w:rPr>
              <w:t>Amicus accepts the decision to defer the decision until the TGA outcome is known</w:t>
            </w:r>
            <w:proofErr w:type="gramStart"/>
            <w:r w:rsidRPr="002766C1">
              <w:rPr>
                <w:rFonts w:ascii="Arial" w:eastAsia="Times New Roman" w:hAnsi="Arial" w:cs="Arial"/>
                <w:sz w:val="20"/>
                <w:szCs w:val="20"/>
              </w:rPr>
              <w:t>.  </w:t>
            </w:r>
            <w:proofErr w:type="gramEnd"/>
            <w:r w:rsidRPr="002766C1">
              <w:rPr>
                <w:rFonts w:ascii="Arial" w:eastAsia="Times New Roman" w:hAnsi="Arial" w:cs="Arial"/>
                <w:sz w:val="20"/>
                <w:szCs w:val="20"/>
              </w:rPr>
              <w:t xml:space="preserve">Amicus is concerned that the PBAC did not accept the clinical claim and plans on submitting further information to address the PBAC’s concerns. </w:t>
            </w:r>
            <w:bookmarkStart w:id="0" w:name="_GoBack"/>
            <w:bookmarkEnd w:id="0"/>
          </w:p>
        </w:tc>
      </w:tr>
      <w:tr w:rsidR="002766C1" w:rsidRPr="00C011B4" w:rsidTr="002F1630">
        <w:trPr>
          <w:trHeight w:val="1050"/>
        </w:trPr>
        <w:tc>
          <w:tcPr>
            <w:tcW w:w="3101" w:type="dxa"/>
            <w:vMerge w:val="restart"/>
            <w:tcMar>
              <w:top w:w="28" w:type="dxa"/>
              <w:bottom w:w="28" w:type="dxa"/>
            </w:tcMar>
          </w:tcPr>
          <w:p w:rsidR="002766C1" w:rsidRDefault="002766C1" w:rsidP="000C0C54">
            <w:pPr>
              <w:rPr>
                <w:rFonts w:ascii="Arial" w:hAnsi="Arial" w:cs="Arial"/>
                <w:color w:val="000000"/>
              </w:rPr>
            </w:pPr>
            <w:r w:rsidRPr="009276B7">
              <w:rPr>
                <w:rFonts w:ascii="Arial" w:hAnsi="Arial" w:cs="Arial"/>
                <w:color w:val="000000"/>
              </w:rPr>
              <w:t>VENETOCLAX</w:t>
            </w:r>
          </w:p>
          <w:p w:rsidR="002766C1" w:rsidRDefault="002766C1" w:rsidP="000C0C54">
            <w:pPr>
              <w:rPr>
                <w:rFonts w:ascii="Arial" w:hAnsi="Arial" w:cs="Arial"/>
                <w:color w:val="000000"/>
              </w:rPr>
            </w:pPr>
          </w:p>
          <w:p w:rsidR="002766C1" w:rsidRPr="009276B7" w:rsidRDefault="002766C1" w:rsidP="000C0C54">
            <w:pPr>
              <w:rPr>
                <w:rFonts w:ascii="Arial" w:hAnsi="Arial" w:cs="Arial"/>
                <w:color w:val="000000"/>
              </w:rPr>
            </w:pPr>
            <w:r>
              <w:rPr>
                <w:rFonts w:ascii="Arial" w:hAnsi="Arial" w:cs="Arial"/>
                <w:color w:val="000000"/>
              </w:rPr>
              <w:t xml:space="preserve">Tablet </w:t>
            </w:r>
            <w:r w:rsidRPr="009276B7">
              <w:rPr>
                <w:rFonts w:ascii="Arial" w:hAnsi="Arial" w:cs="Arial"/>
                <w:color w:val="000000"/>
              </w:rPr>
              <w:t>10 mg</w:t>
            </w:r>
          </w:p>
          <w:p w:rsidR="002766C1" w:rsidRPr="009276B7" w:rsidRDefault="002766C1" w:rsidP="000C0C54">
            <w:pPr>
              <w:rPr>
                <w:rFonts w:ascii="Arial" w:hAnsi="Arial" w:cs="Arial"/>
                <w:color w:val="000000"/>
              </w:rPr>
            </w:pPr>
            <w:r>
              <w:rPr>
                <w:rFonts w:ascii="Arial" w:hAnsi="Arial" w:cs="Arial"/>
                <w:color w:val="000000"/>
              </w:rPr>
              <w:t>Tablet 50 mg</w:t>
            </w:r>
          </w:p>
          <w:p w:rsidR="002766C1" w:rsidRPr="009276B7" w:rsidRDefault="002766C1" w:rsidP="000C0C54">
            <w:pPr>
              <w:rPr>
                <w:rFonts w:ascii="Arial" w:hAnsi="Arial" w:cs="Arial"/>
                <w:color w:val="000000"/>
              </w:rPr>
            </w:pPr>
            <w:r>
              <w:rPr>
                <w:rFonts w:ascii="Arial" w:hAnsi="Arial" w:cs="Arial"/>
                <w:color w:val="000000"/>
              </w:rPr>
              <w:t>Tablet 100 mg</w:t>
            </w:r>
          </w:p>
          <w:p w:rsidR="002766C1" w:rsidRDefault="002766C1" w:rsidP="000C0C54">
            <w:pPr>
              <w:rPr>
                <w:rFonts w:ascii="Arial" w:hAnsi="Arial" w:cs="Arial"/>
                <w:color w:val="000000"/>
              </w:rPr>
            </w:pPr>
          </w:p>
          <w:p w:rsidR="002766C1" w:rsidRDefault="002766C1" w:rsidP="000C0C54">
            <w:pPr>
              <w:rPr>
                <w:rFonts w:ascii="Arial" w:hAnsi="Arial" w:cs="Arial"/>
                <w:color w:val="000000"/>
              </w:rPr>
            </w:pPr>
            <w:proofErr w:type="spellStart"/>
            <w:r w:rsidRPr="002B04B5">
              <w:rPr>
                <w:rFonts w:ascii="Arial" w:hAnsi="Arial" w:cs="Arial"/>
                <w:color w:val="000000"/>
              </w:rPr>
              <w:t>Venclexta</w:t>
            </w:r>
            <w:proofErr w:type="spellEnd"/>
            <w:r>
              <w:rPr>
                <w:rFonts w:ascii="Arial" w:hAnsi="Arial" w:cs="Arial"/>
                <w:color w:val="000000"/>
              </w:rPr>
              <w:t>®</w:t>
            </w:r>
          </w:p>
          <w:p w:rsidR="002766C1" w:rsidRDefault="002766C1" w:rsidP="000C0C54">
            <w:pPr>
              <w:rPr>
                <w:rFonts w:ascii="Arial" w:hAnsi="Arial" w:cs="Arial"/>
                <w:color w:val="000000"/>
              </w:rPr>
            </w:pPr>
          </w:p>
          <w:p w:rsidR="002766C1" w:rsidRDefault="002766C1" w:rsidP="000C0C54">
            <w:pPr>
              <w:rPr>
                <w:rFonts w:ascii="Arial" w:hAnsi="Arial" w:cs="Arial"/>
                <w:color w:val="000000"/>
              </w:rPr>
            </w:pPr>
            <w:proofErr w:type="spellStart"/>
            <w:r w:rsidRPr="002B04B5">
              <w:rPr>
                <w:rFonts w:ascii="Arial" w:hAnsi="Arial" w:cs="Arial"/>
                <w:color w:val="000000"/>
              </w:rPr>
              <w:t>AbbVie</w:t>
            </w:r>
            <w:proofErr w:type="spellEnd"/>
            <w:r w:rsidRPr="002B04B5">
              <w:rPr>
                <w:rFonts w:ascii="Arial" w:hAnsi="Arial" w:cs="Arial"/>
                <w:color w:val="000000"/>
              </w:rPr>
              <w:t xml:space="preserve"> Pty Ltd</w:t>
            </w:r>
          </w:p>
          <w:p w:rsidR="002766C1" w:rsidRDefault="002766C1" w:rsidP="000C0C54">
            <w:pPr>
              <w:rPr>
                <w:rFonts w:ascii="Arial" w:hAnsi="Arial" w:cs="Arial"/>
                <w:color w:val="000000"/>
              </w:rPr>
            </w:pPr>
          </w:p>
          <w:p w:rsidR="002766C1" w:rsidRDefault="002766C1" w:rsidP="00041D99">
            <w:pPr>
              <w:rPr>
                <w:rFonts w:ascii="Arial" w:hAnsi="Arial" w:cs="Arial"/>
                <w:color w:val="000000"/>
              </w:rPr>
            </w:pPr>
            <w:r>
              <w:rPr>
                <w:rFonts w:ascii="Arial" w:hAnsi="Arial" w:cs="Arial"/>
                <w:color w:val="000000"/>
              </w:rPr>
              <w:t>New listing</w:t>
            </w:r>
          </w:p>
          <w:p w:rsidR="002766C1" w:rsidRDefault="002766C1" w:rsidP="00041D99">
            <w:pPr>
              <w:rPr>
                <w:rFonts w:ascii="Arial" w:hAnsi="Arial" w:cs="Arial"/>
                <w:color w:val="000000"/>
              </w:rPr>
            </w:pPr>
          </w:p>
          <w:p w:rsidR="002766C1" w:rsidRPr="00E82449" w:rsidRDefault="002766C1" w:rsidP="00041D99">
            <w:pPr>
              <w:rPr>
                <w:rFonts w:ascii="Arial" w:hAnsi="Arial" w:cs="Arial"/>
                <w:color w:val="000000"/>
              </w:rPr>
            </w:pPr>
            <w:r w:rsidRPr="001B610C">
              <w:rPr>
                <w:rFonts w:ascii="Arial" w:hAnsi="Arial" w:cs="Arial"/>
                <w:color w:val="000000"/>
              </w:rPr>
              <w:t>(Major Submission)</w:t>
            </w:r>
          </w:p>
        </w:tc>
        <w:tc>
          <w:tcPr>
            <w:tcW w:w="2112" w:type="dxa"/>
            <w:vMerge w:val="restart"/>
          </w:tcPr>
          <w:p w:rsidR="002766C1" w:rsidRPr="00E82449" w:rsidRDefault="002766C1" w:rsidP="000C0C54">
            <w:pPr>
              <w:rPr>
                <w:rFonts w:ascii="Arial" w:hAnsi="Arial" w:cs="Arial"/>
                <w:color w:val="000000"/>
              </w:rPr>
            </w:pPr>
            <w:r w:rsidRPr="002B04B5">
              <w:rPr>
                <w:rFonts w:ascii="Arial" w:hAnsi="Arial" w:cs="Arial"/>
                <w:color w:val="000000"/>
              </w:rPr>
              <w:t>Relapsed/refractory chronic lymphoid leukaemia (CLL)</w:t>
            </w:r>
          </w:p>
        </w:tc>
        <w:tc>
          <w:tcPr>
            <w:tcW w:w="3231" w:type="dxa"/>
            <w:tcMar>
              <w:top w:w="28" w:type="dxa"/>
              <w:bottom w:w="28" w:type="dxa"/>
            </w:tcMar>
          </w:tcPr>
          <w:p w:rsidR="002766C1" w:rsidRPr="00E82449" w:rsidRDefault="002766C1" w:rsidP="000C0C54">
            <w:pPr>
              <w:rPr>
                <w:rFonts w:ascii="Arial" w:hAnsi="Arial" w:cs="Arial"/>
                <w:color w:val="000000"/>
              </w:rPr>
            </w:pPr>
            <w:r w:rsidRPr="002B04B5">
              <w:rPr>
                <w:rFonts w:ascii="Arial" w:hAnsi="Arial" w:cs="Arial"/>
                <w:color w:val="000000"/>
              </w:rPr>
              <w:t xml:space="preserve">To request an Authority Required listing for the treatment of relapsed/refractory </w:t>
            </w:r>
            <w:r>
              <w:rPr>
                <w:rFonts w:ascii="Arial" w:hAnsi="Arial" w:cs="Arial"/>
                <w:color w:val="000000"/>
              </w:rPr>
              <w:t>CLL</w:t>
            </w:r>
            <w:r w:rsidRPr="002B04B5">
              <w:rPr>
                <w:rFonts w:ascii="Arial" w:hAnsi="Arial" w:cs="Arial"/>
                <w:color w:val="000000"/>
              </w:rPr>
              <w:t>.</w:t>
            </w:r>
          </w:p>
        </w:tc>
        <w:tc>
          <w:tcPr>
            <w:tcW w:w="6865" w:type="dxa"/>
          </w:tcPr>
          <w:p w:rsidR="002766C1" w:rsidRDefault="002766C1" w:rsidP="00911E0D">
            <w:pPr>
              <w:pStyle w:val="ListParagraph"/>
              <w:ind w:left="0"/>
              <w:rPr>
                <w:rFonts w:ascii="Arial" w:hAnsi="Arial" w:cs="Arial"/>
                <w:sz w:val="20"/>
                <w:szCs w:val="20"/>
              </w:rPr>
            </w:pPr>
            <w:r w:rsidRPr="00DF5E67">
              <w:rPr>
                <w:rFonts w:ascii="Arial" w:hAnsi="Arial" w:cs="Arial"/>
                <w:sz w:val="20"/>
                <w:szCs w:val="20"/>
              </w:rPr>
              <w:t xml:space="preserve">The PBAC deferred making a decision regarding venetoclax for the treatment of certain patients with chronic lymphocytic leukaemia (CLL). </w:t>
            </w:r>
          </w:p>
          <w:p w:rsidR="002766C1" w:rsidRPr="00C011B4" w:rsidRDefault="002766C1" w:rsidP="002A780B">
            <w:pPr>
              <w:pStyle w:val="ListParagraph"/>
              <w:ind w:left="0"/>
              <w:rPr>
                <w:rFonts w:ascii="Arial" w:hAnsi="Arial" w:cs="Arial"/>
                <w:sz w:val="20"/>
                <w:szCs w:val="20"/>
                <w:highlight w:val="yellow"/>
              </w:rPr>
            </w:pPr>
            <w:r w:rsidRPr="00DF5E67">
              <w:rPr>
                <w:rFonts w:ascii="Arial" w:hAnsi="Arial" w:cs="Arial"/>
                <w:sz w:val="20"/>
                <w:szCs w:val="20"/>
              </w:rPr>
              <w:t xml:space="preserve">The PBAC was unable to compare the potential benefit, cost and cost-effectiveness of venetoclax against currently funded therapy, as it considered that the comparator of ofatumumab nominated in the submission was not relevant because there is no overlap in the </w:t>
            </w:r>
            <w:r>
              <w:rPr>
                <w:rFonts w:ascii="Arial" w:hAnsi="Arial" w:cs="Arial"/>
                <w:sz w:val="20"/>
                <w:szCs w:val="20"/>
              </w:rPr>
              <w:t xml:space="preserve">listed PBS </w:t>
            </w:r>
            <w:r w:rsidRPr="00DF5E67">
              <w:rPr>
                <w:rFonts w:ascii="Arial" w:hAnsi="Arial" w:cs="Arial"/>
                <w:sz w:val="20"/>
                <w:szCs w:val="20"/>
              </w:rPr>
              <w:t>population</w:t>
            </w:r>
            <w:r>
              <w:rPr>
                <w:rFonts w:ascii="Arial" w:hAnsi="Arial" w:cs="Arial"/>
                <w:sz w:val="20"/>
                <w:szCs w:val="20"/>
              </w:rPr>
              <w:t xml:space="preserve"> for ofatumumab and the requested PBS population for venetoclax</w:t>
            </w:r>
            <w:r w:rsidRPr="00DF5E67">
              <w:rPr>
                <w:rFonts w:ascii="Arial" w:hAnsi="Arial" w:cs="Arial"/>
                <w:sz w:val="20"/>
                <w:szCs w:val="20"/>
              </w:rPr>
              <w:t xml:space="preserve">. The PBAC instead considered </w:t>
            </w:r>
            <w:r>
              <w:rPr>
                <w:rFonts w:ascii="Arial" w:hAnsi="Arial" w:cs="Arial"/>
                <w:sz w:val="20"/>
                <w:szCs w:val="20"/>
              </w:rPr>
              <w:t xml:space="preserve">the nominated secondary comparators of </w:t>
            </w:r>
            <w:proofErr w:type="spellStart"/>
            <w:r w:rsidRPr="00DF5E67">
              <w:rPr>
                <w:rFonts w:ascii="Arial" w:hAnsi="Arial" w:cs="Arial"/>
                <w:sz w:val="20"/>
                <w:szCs w:val="20"/>
              </w:rPr>
              <w:t>ibrutinib</w:t>
            </w:r>
            <w:proofErr w:type="spellEnd"/>
            <w:r w:rsidRPr="00DF5E67">
              <w:rPr>
                <w:rFonts w:ascii="Arial" w:hAnsi="Arial" w:cs="Arial"/>
                <w:sz w:val="20"/>
                <w:szCs w:val="20"/>
              </w:rPr>
              <w:t xml:space="preserve"> and idelalisib to be more relevant comparators, given the PBAC’s recent considerations of these medicines in similar CLL populations. The PBAC was also particularly uncertain about the relative clinical place, comparative effectiveness and safety, and duration of therapy of venetoclax against these two alternatives, and considered that these uncertainties flowed on to the economic evaluations and financial analyses. The PBAC deferred making a decision pending further information clarifying these issues.</w:t>
            </w:r>
          </w:p>
        </w:tc>
      </w:tr>
      <w:tr w:rsidR="002766C1" w:rsidRPr="00C011B4" w:rsidTr="000C0C54">
        <w:trPr>
          <w:trHeight w:val="1410"/>
        </w:trPr>
        <w:tc>
          <w:tcPr>
            <w:tcW w:w="3101" w:type="dxa"/>
            <w:vMerge/>
            <w:tcMar>
              <w:top w:w="28" w:type="dxa"/>
              <w:bottom w:w="28" w:type="dxa"/>
            </w:tcMar>
          </w:tcPr>
          <w:p w:rsidR="002766C1" w:rsidRPr="009276B7" w:rsidRDefault="002766C1" w:rsidP="000C0C54">
            <w:pPr>
              <w:rPr>
                <w:rFonts w:ascii="Arial" w:hAnsi="Arial" w:cs="Arial"/>
                <w:color w:val="000000"/>
              </w:rPr>
            </w:pPr>
          </w:p>
        </w:tc>
        <w:tc>
          <w:tcPr>
            <w:tcW w:w="2112" w:type="dxa"/>
            <w:vMerge/>
          </w:tcPr>
          <w:p w:rsidR="002766C1" w:rsidRPr="002B04B5" w:rsidRDefault="002766C1" w:rsidP="000C0C54">
            <w:pPr>
              <w:rPr>
                <w:rFonts w:ascii="Arial" w:hAnsi="Arial" w:cs="Arial"/>
                <w:color w:val="000000"/>
              </w:rPr>
            </w:pPr>
          </w:p>
        </w:tc>
        <w:tc>
          <w:tcPr>
            <w:tcW w:w="3231" w:type="dxa"/>
            <w:tcMar>
              <w:top w:w="28" w:type="dxa"/>
              <w:bottom w:w="28" w:type="dxa"/>
            </w:tcMar>
          </w:tcPr>
          <w:p w:rsidR="002766C1" w:rsidRPr="008C7139" w:rsidRDefault="002766C1" w:rsidP="009E5E5D">
            <w:pPr>
              <w:jc w:val="right"/>
              <w:rPr>
                <w:rFonts w:ascii="Arial" w:hAnsi="Arial" w:cs="Arial"/>
                <w:color w:val="000000"/>
              </w:rPr>
            </w:pPr>
            <w:r>
              <w:rPr>
                <w:rFonts w:ascii="Arial" w:hAnsi="Arial" w:cs="Arial"/>
                <w:color w:val="000000"/>
              </w:rPr>
              <w:t>Sponsor Comment:</w:t>
            </w:r>
          </w:p>
        </w:tc>
        <w:tc>
          <w:tcPr>
            <w:tcW w:w="6865" w:type="dxa"/>
          </w:tcPr>
          <w:p w:rsidR="002766C1" w:rsidRPr="00976E7D" w:rsidRDefault="002766C1" w:rsidP="00976E7D">
            <w:pPr>
              <w:autoSpaceDE w:val="0"/>
              <w:autoSpaceDN w:val="0"/>
              <w:rPr>
                <w:rFonts w:ascii="Arial" w:eastAsia="SimSun" w:hAnsi="Arial" w:cs="Arial"/>
              </w:rPr>
            </w:pPr>
            <w:proofErr w:type="spellStart"/>
            <w:r w:rsidRPr="00976E7D">
              <w:rPr>
                <w:rFonts w:ascii="Arial" w:eastAsia="SimSun" w:hAnsi="Arial" w:cs="Arial"/>
              </w:rPr>
              <w:t>AbbVie</w:t>
            </w:r>
            <w:proofErr w:type="spellEnd"/>
            <w:r w:rsidRPr="00976E7D">
              <w:rPr>
                <w:rFonts w:ascii="Arial" w:eastAsia="SimSun" w:hAnsi="Arial" w:cs="Arial"/>
              </w:rPr>
              <w:t xml:space="preserve"> is committed to working with the PBAC to clarify the issues raised in order to ensure Australian patients receive timely access to VENETOCLAX as a funded treatment option for certain patients with Chronic Lymphocytic Leukaemia (CLL).</w:t>
            </w:r>
          </w:p>
          <w:p w:rsidR="002766C1" w:rsidRPr="00C011B4" w:rsidRDefault="002766C1" w:rsidP="000C0C54">
            <w:pPr>
              <w:pStyle w:val="ListParagraph"/>
              <w:ind w:left="0"/>
              <w:rPr>
                <w:rFonts w:ascii="Arial" w:hAnsi="Arial" w:cs="Arial"/>
                <w:sz w:val="20"/>
                <w:szCs w:val="20"/>
                <w:highlight w:val="yellow"/>
              </w:rPr>
            </w:pPr>
          </w:p>
        </w:tc>
      </w:tr>
    </w:tbl>
    <w:p w:rsidR="00C26FE5" w:rsidRDefault="00C26FE5" w:rsidP="0065234B">
      <w:pPr>
        <w:tabs>
          <w:tab w:val="left" w:pos="5210"/>
        </w:tabs>
        <w:rPr>
          <w:rFonts w:ascii="Arial" w:hAnsi="Arial" w:cs="Arial"/>
          <w:lang w:val="en-US"/>
        </w:rPr>
      </w:pPr>
    </w:p>
    <w:p w:rsidR="008D1009" w:rsidRPr="00F609BF" w:rsidRDefault="008D1009" w:rsidP="004A3149">
      <w:pPr>
        <w:tabs>
          <w:tab w:val="left" w:pos="5210"/>
        </w:tabs>
        <w:rPr>
          <w:rFonts w:ascii="Arial" w:hAnsi="Arial" w:cs="Arial"/>
          <w:lang w:val="en-US"/>
        </w:rPr>
      </w:pPr>
    </w:p>
    <w:sectPr w:rsidR="008D1009" w:rsidRPr="00F609BF" w:rsidSect="00281EE0">
      <w:headerReference w:type="default" r:id="rId9"/>
      <w:footerReference w:type="even" r:id="rId10"/>
      <w:footerReference w:type="default" r:id="rId11"/>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C54" w:rsidRDefault="000C0C54">
      <w:r>
        <w:separator/>
      </w:r>
    </w:p>
  </w:endnote>
  <w:endnote w:type="continuationSeparator" w:id="0">
    <w:p w:rsidR="000C0C54" w:rsidRDefault="000C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C54" w:rsidRDefault="000C0C54"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0C54" w:rsidRDefault="000C0C54"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C54" w:rsidRPr="00287C89" w:rsidRDefault="000C0C54"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2766C1">
      <w:rPr>
        <w:rStyle w:val="PageNumber"/>
        <w:rFonts w:ascii="Arial" w:hAnsi="Arial" w:cs="Arial"/>
        <w:noProof/>
      </w:rPr>
      <w:t>3</w:t>
    </w:r>
    <w:r w:rsidRPr="00287C89">
      <w:rPr>
        <w:rStyle w:val="PageNumber"/>
        <w:rFonts w:ascii="Arial" w:hAnsi="Arial" w:cs="Arial"/>
      </w:rPr>
      <w:fldChar w:fldCharType="end"/>
    </w:r>
  </w:p>
  <w:p w:rsidR="000C0C54" w:rsidRDefault="000C0C54" w:rsidP="00FE2A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C54" w:rsidRDefault="000C0C54">
      <w:r>
        <w:separator/>
      </w:r>
    </w:p>
  </w:footnote>
  <w:footnote w:type="continuationSeparator" w:id="0">
    <w:p w:rsidR="000C0C54" w:rsidRDefault="000C0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C54" w:rsidRPr="00BB0500" w:rsidRDefault="000C0C54" w:rsidP="00BB0500">
    <w:pPr>
      <w:pStyle w:val="Header"/>
      <w:jc w:val="center"/>
      <w:rPr>
        <w:rFonts w:ascii="Arial" w:hAnsi="Arial" w:cs="Arial"/>
        <w:b/>
      </w:rPr>
    </w:pPr>
    <w:r w:rsidRPr="000559F0">
      <w:rPr>
        <w:rFonts w:ascii="Arial" w:hAnsi="Arial" w:cs="Arial"/>
        <w:b/>
      </w:rPr>
      <w:t xml:space="preserve">MARCH 2017 </w:t>
    </w:r>
    <w:r w:rsidRPr="00BB0500">
      <w:rPr>
        <w:rFonts w:ascii="Arial" w:hAnsi="Arial" w:cs="Arial"/>
        <w:b/>
      </w:rPr>
      <w:t>PBAC OUTCOMES - DEFERRALS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7AF13F0"/>
    <w:multiLevelType w:val="hybridMultilevel"/>
    <w:tmpl w:val="04EAFF28"/>
    <w:lvl w:ilvl="0" w:tplc="34EA4568">
      <w:start w:val="1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12">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731EC4"/>
    <w:multiLevelType w:val="hybridMultilevel"/>
    <w:tmpl w:val="D898C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84D033C"/>
    <w:multiLevelType w:val="multilevel"/>
    <w:tmpl w:val="ECECA7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6"/>
  </w:num>
  <w:num w:numId="4">
    <w:abstractNumId w:val="10"/>
  </w:num>
  <w:num w:numId="5">
    <w:abstractNumId w:val="6"/>
  </w:num>
  <w:num w:numId="6">
    <w:abstractNumId w:val="2"/>
  </w:num>
  <w:num w:numId="7">
    <w:abstractNumId w:val="1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0"/>
  </w:num>
  <w:num w:numId="11">
    <w:abstractNumId w:val="12"/>
  </w:num>
  <w:num w:numId="12">
    <w:abstractNumId w:val="14"/>
  </w:num>
  <w:num w:numId="13">
    <w:abstractNumId w:val="3"/>
  </w:num>
  <w:num w:numId="14">
    <w:abstractNumId w:val="13"/>
  </w:num>
  <w:num w:numId="15">
    <w:abstractNumId w:val="15"/>
  </w:num>
  <w:num w:numId="16">
    <w:abstractNumId w:val="11"/>
  </w:num>
  <w:num w:numId="17">
    <w:abstractNumId w:val="22"/>
  </w:num>
  <w:num w:numId="18">
    <w:abstractNumId w:val="23"/>
  </w:num>
  <w:num w:numId="19">
    <w:abstractNumId w:val="1"/>
  </w:num>
  <w:num w:numId="20">
    <w:abstractNumId w:val="7"/>
  </w:num>
  <w:num w:numId="21">
    <w:abstractNumId w:val="9"/>
  </w:num>
  <w:num w:numId="22">
    <w:abstractNumId w:val="21"/>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886"/>
    <w:rsid w:val="00010920"/>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65B0"/>
    <w:rsid w:val="00036CF7"/>
    <w:rsid w:val="00037F52"/>
    <w:rsid w:val="0004019D"/>
    <w:rsid w:val="000407E0"/>
    <w:rsid w:val="00041467"/>
    <w:rsid w:val="0004160D"/>
    <w:rsid w:val="00041D99"/>
    <w:rsid w:val="00041F3D"/>
    <w:rsid w:val="00042593"/>
    <w:rsid w:val="00043C1D"/>
    <w:rsid w:val="00044146"/>
    <w:rsid w:val="00044BB4"/>
    <w:rsid w:val="00046725"/>
    <w:rsid w:val="000468C0"/>
    <w:rsid w:val="00046DA2"/>
    <w:rsid w:val="00050762"/>
    <w:rsid w:val="000507B9"/>
    <w:rsid w:val="00051AF5"/>
    <w:rsid w:val="000559F0"/>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A06"/>
    <w:rsid w:val="00067E91"/>
    <w:rsid w:val="00070204"/>
    <w:rsid w:val="00070612"/>
    <w:rsid w:val="000714CE"/>
    <w:rsid w:val="00071D67"/>
    <w:rsid w:val="00072584"/>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87AC9"/>
    <w:rsid w:val="00090385"/>
    <w:rsid w:val="00090D21"/>
    <w:rsid w:val="00090F42"/>
    <w:rsid w:val="00091262"/>
    <w:rsid w:val="00092523"/>
    <w:rsid w:val="00093960"/>
    <w:rsid w:val="0009470A"/>
    <w:rsid w:val="00095C30"/>
    <w:rsid w:val="00096A56"/>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C54"/>
    <w:rsid w:val="000C0E21"/>
    <w:rsid w:val="000C0F98"/>
    <w:rsid w:val="000C1BA1"/>
    <w:rsid w:val="000C22B0"/>
    <w:rsid w:val="000C2786"/>
    <w:rsid w:val="000C3369"/>
    <w:rsid w:val="000C3CAA"/>
    <w:rsid w:val="000C45E3"/>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C57"/>
    <w:rsid w:val="0013141F"/>
    <w:rsid w:val="001317E4"/>
    <w:rsid w:val="00131CB1"/>
    <w:rsid w:val="00132052"/>
    <w:rsid w:val="0013270B"/>
    <w:rsid w:val="001329B7"/>
    <w:rsid w:val="00132A3A"/>
    <w:rsid w:val="00132DAB"/>
    <w:rsid w:val="00132FA5"/>
    <w:rsid w:val="001334F9"/>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4E02"/>
    <w:rsid w:val="00145D66"/>
    <w:rsid w:val="00146F0E"/>
    <w:rsid w:val="0014776D"/>
    <w:rsid w:val="00147845"/>
    <w:rsid w:val="00147FC1"/>
    <w:rsid w:val="001500C8"/>
    <w:rsid w:val="001502B0"/>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2FB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49B"/>
    <w:rsid w:val="001A3986"/>
    <w:rsid w:val="001A3E19"/>
    <w:rsid w:val="001A4242"/>
    <w:rsid w:val="001A48FD"/>
    <w:rsid w:val="001A6DEF"/>
    <w:rsid w:val="001A7A6A"/>
    <w:rsid w:val="001B049D"/>
    <w:rsid w:val="001B04E4"/>
    <w:rsid w:val="001B0553"/>
    <w:rsid w:val="001B1577"/>
    <w:rsid w:val="001B16C3"/>
    <w:rsid w:val="001B1838"/>
    <w:rsid w:val="001B1C67"/>
    <w:rsid w:val="001B2234"/>
    <w:rsid w:val="001B3984"/>
    <w:rsid w:val="001B3FE9"/>
    <w:rsid w:val="001B46AE"/>
    <w:rsid w:val="001B5107"/>
    <w:rsid w:val="001B54F0"/>
    <w:rsid w:val="001B5950"/>
    <w:rsid w:val="001B6AAD"/>
    <w:rsid w:val="001B71B5"/>
    <w:rsid w:val="001B78E2"/>
    <w:rsid w:val="001B7BF2"/>
    <w:rsid w:val="001B7EED"/>
    <w:rsid w:val="001C0289"/>
    <w:rsid w:val="001C181C"/>
    <w:rsid w:val="001C27AF"/>
    <w:rsid w:val="001C30BA"/>
    <w:rsid w:val="001C3403"/>
    <w:rsid w:val="001C3AAA"/>
    <w:rsid w:val="001C43B3"/>
    <w:rsid w:val="001C4834"/>
    <w:rsid w:val="001C4C95"/>
    <w:rsid w:val="001C5BA6"/>
    <w:rsid w:val="001D0229"/>
    <w:rsid w:val="001D028A"/>
    <w:rsid w:val="001D0868"/>
    <w:rsid w:val="001D0CF4"/>
    <w:rsid w:val="001D1636"/>
    <w:rsid w:val="001D181F"/>
    <w:rsid w:val="001D2755"/>
    <w:rsid w:val="001D2F4D"/>
    <w:rsid w:val="001D39E8"/>
    <w:rsid w:val="001D4075"/>
    <w:rsid w:val="001D600F"/>
    <w:rsid w:val="001D6843"/>
    <w:rsid w:val="001D79BC"/>
    <w:rsid w:val="001E092F"/>
    <w:rsid w:val="001E0947"/>
    <w:rsid w:val="001E152C"/>
    <w:rsid w:val="001E24EA"/>
    <w:rsid w:val="001E25FF"/>
    <w:rsid w:val="001E35D6"/>
    <w:rsid w:val="001E411C"/>
    <w:rsid w:val="001E4BBC"/>
    <w:rsid w:val="001E5979"/>
    <w:rsid w:val="001E5C38"/>
    <w:rsid w:val="001E70C9"/>
    <w:rsid w:val="001E776D"/>
    <w:rsid w:val="001E77D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813"/>
    <w:rsid w:val="0020790A"/>
    <w:rsid w:val="00207E86"/>
    <w:rsid w:val="00210594"/>
    <w:rsid w:val="00210F65"/>
    <w:rsid w:val="00212939"/>
    <w:rsid w:val="00212B8B"/>
    <w:rsid w:val="0021371C"/>
    <w:rsid w:val="002139E7"/>
    <w:rsid w:val="002144A1"/>
    <w:rsid w:val="002147A6"/>
    <w:rsid w:val="00214D4B"/>
    <w:rsid w:val="00215739"/>
    <w:rsid w:val="002157B5"/>
    <w:rsid w:val="0021686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6374"/>
    <w:rsid w:val="00237E07"/>
    <w:rsid w:val="00237F8D"/>
    <w:rsid w:val="002400A1"/>
    <w:rsid w:val="00240222"/>
    <w:rsid w:val="0024218B"/>
    <w:rsid w:val="002425FE"/>
    <w:rsid w:val="00242CD9"/>
    <w:rsid w:val="0024349D"/>
    <w:rsid w:val="00243967"/>
    <w:rsid w:val="0024424C"/>
    <w:rsid w:val="002444C2"/>
    <w:rsid w:val="00244BE9"/>
    <w:rsid w:val="0024530D"/>
    <w:rsid w:val="00245A74"/>
    <w:rsid w:val="00246A8F"/>
    <w:rsid w:val="0024727D"/>
    <w:rsid w:val="00250912"/>
    <w:rsid w:val="00250DBA"/>
    <w:rsid w:val="00251087"/>
    <w:rsid w:val="00251294"/>
    <w:rsid w:val="00251AD5"/>
    <w:rsid w:val="002523E5"/>
    <w:rsid w:val="00253058"/>
    <w:rsid w:val="00253764"/>
    <w:rsid w:val="002546F2"/>
    <w:rsid w:val="002550D8"/>
    <w:rsid w:val="00256078"/>
    <w:rsid w:val="002564FB"/>
    <w:rsid w:val="0026049B"/>
    <w:rsid w:val="00260EFA"/>
    <w:rsid w:val="00261377"/>
    <w:rsid w:val="00261EFF"/>
    <w:rsid w:val="00262160"/>
    <w:rsid w:val="00262814"/>
    <w:rsid w:val="002629E0"/>
    <w:rsid w:val="00262E2E"/>
    <w:rsid w:val="00263457"/>
    <w:rsid w:val="00263EF4"/>
    <w:rsid w:val="00264A64"/>
    <w:rsid w:val="00265FE9"/>
    <w:rsid w:val="0026773E"/>
    <w:rsid w:val="002723FD"/>
    <w:rsid w:val="00272E01"/>
    <w:rsid w:val="00273015"/>
    <w:rsid w:val="0027463A"/>
    <w:rsid w:val="0027487A"/>
    <w:rsid w:val="00274D0D"/>
    <w:rsid w:val="00274D8B"/>
    <w:rsid w:val="00275318"/>
    <w:rsid w:val="002766B0"/>
    <w:rsid w:val="002766C1"/>
    <w:rsid w:val="00277572"/>
    <w:rsid w:val="00277812"/>
    <w:rsid w:val="002802A1"/>
    <w:rsid w:val="002803B8"/>
    <w:rsid w:val="002808CA"/>
    <w:rsid w:val="00280926"/>
    <w:rsid w:val="00281B0A"/>
    <w:rsid w:val="00281EE0"/>
    <w:rsid w:val="00282CDE"/>
    <w:rsid w:val="00283073"/>
    <w:rsid w:val="0028348A"/>
    <w:rsid w:val="00285478"/>
    <w:rsid w:val="0028663C"/>
    <w:rsid w:val="00287C89"/>
    <w:rsid w:val="002905B5"/>
    <w:rsid w:val="00293203"/>
    <w:rsid w:val="0029329A"/>
    <w:rsid w:val="00293A15"/>
    <w:rsid w:val="00295693"/>
    <w:rsid w:val="002969C0"/>
    <w:rsid w:val="002972D4"/>
    <w:rsid w:val="00297AEF"/>
    <w:rsid w:val="00297F02"/>
    <w:rsid w:val="002A06E1"/>
    <w:rsid w:val="002A21E8"/>
    <w:rsid w:val="002A3220"/>
    <w:rsid w:val="002A3596"/>
    <w:rsid w:val="002A3AA9"/>
    <w:rsid w:val="002A5AA2"/>
    <w:rsid w:val="002A5C85"/>
    <w:rsid w:val="002A5C87"/>
    <w:rsid w:val="002A5D50"/>
    <w:rsid w:val="002A5DE5"/>
    <w:rsid w:val="002A7542"/>
    <w:rsid w:val="002A780B"/>
    <w:rsid w:val="002A7BE8"/>
    <w:rsid w:val="002B09C6"/>
    <w:rsid w:val="002B0F52"/>
    <w:rsid w:val="002B1071"/>
    <w:rsid w:val="002B129B"/>
    <w:rsid w:val="002B29E2"/>
    <w:rsid w:val="002B3708"/>
    <w:rsid w:val="002B5625"/>
    <w:rsid w:val="002B5F9C"/>
    <w:rsid w:val="002B6147"/>
    <w:rsid w:val="002C0170"/>
    <w:rsid w:val="002C0E18"/>
    <w:rsid w:val="002C2427"/>
    <w:rsid w:val="002C2773"/>
    <w:rsid w:val="002C2A4F"/>
    <w:rsid w:val="002C3502"/>
    <w:rsid w:val="002C397B"/>
    <w:rsid w:val="002C3BA0"/>
    <w:rsid w:val="002C436C"/>
    <w:rsid w:val="002C47C4"/>
    <w:rsid w:val="002C6E41"/>
    <w:rsid w:val="002C748E"/>
    <w:rsid w:val="002C7D3C"/>
    <w:rsid w:val="002D0DDF"/>
    <w:rsid w:val="002D17A5"/>
    <w:rsid w:val="002D1AC7"/>
    <w:rsid w:val="002D347E"/>
    <w:rsid w:val="002D3D17"/>
    <w:rsid w:val="002D42A0"/>
    <w:rsid w:val="002D440D"/>
    <w:rsid w:val="002D4C8C"/>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630"/>
    <w:rsid w:val="002F1A5B"/>
    <w:rsid w:val="002F1B87"/>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EA5"/>
    <w:rsid w:val="003022B8"/>
    <w:rsid w:val="003023C4"/>
    <w:rsid w:val="003023EB"/>
    <w:rsid w:val="003026B9"/>
    <w:rsid w:val="00302C73"/>
    <w:rsid w:val="003035B2"/>
    <w:rsid w:val="00303733"/>
    <w:rsid w:val="00303A2F"/>
    <w:rsid w:val="00303C94"/>
    <w:rsid w:val="00304BF7"/>
    <w:rsid w:val="00304FE8"/>
    <w:rsid w:val="00305FA4"/>
    <w:rsid w:val="00306822"/>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2F1"/>
    <w:rsid w:val="0032378E"/>
    <w:rsid w:val="00323C12"/>
    <w:rsid w:val="00323D04"/>
    <w:rsid w:val="003243CB"/>
    <w:rsid w:val="003245FB"/>
    <w:rsid w:val="003250E2"/>
    <w:rsid w:val="0032569E"/>
    <w:rsid w:val="00326522"/>
    <w:rsid w:val="003270BF"/>
    <w:rsid w:val="00327A0C"/>
    <w:rsid w:val="003301A3"/>
    <w:rsid w:val="0033063D"/>
    <w:rsid w:val="00332129"/>
    <w:rsid w:val="0033322F"/>
    <w:rsid w:val="00334912"/>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18B6"/>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1DCB"/>
    <w:rsid w:val="00381F87"/>
    <w:rsid w:val="00383FF3"/>
    <w:rsid w:val="00384485"/>
    <w:rsid w:val="003845C3"/>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7572"/>
    <w:rsid w:val="003A074E"/>
    <w:rsid w:val="003A1CFF"/>
    <w:rsid w:val="003A2BB7"/>
    <w:rsid w:val="003A312D"/>
    <w:rsid w:val="003A360F"/>
    <w:rsid w:val="003A4AB4"/>
    <w:rsid w:val="003A4C61"/>
    <w:rsid w:val="003A546F"/>
    <w:rsid w:val="003A565B"/>
    <w:rsid w:val="003A5C29"/>
    <w:rsid w:val="003A5DEB"/>
    <w:rsid w:val="003A61D4"/>
    <w:rsid w:val="003A6240"/>
    <w:rsid w:val="003A648B"/>
    <w:rsid w:val="003A6A14"/>
    <w:rsid w:val="003A72E4"/>
    <w:rsid w:val="003A7535"/>
    <w:rsid w:val="003A7616"/>
    <w:rsid w:val="003A799B"/>
    <w:rsid w:val="003A7D18"/>
    <w:rsid w:val="003B00C2"/>
    <w:rsid w:val="003B07D1"/>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6D"/>
    <w:rsid w:val="003E2744"/>
    <w:rsid w:val="003E2E8C"/>
    <w:rsid w:val="003E3009"/>
    <w:rsid w:val="003E308A"/>
    <w:rsid w:val="003E367A"/>
    <w:rsid w:val="003E37A4"/>
    <w:rsid w:val="003E4136"/>
    <w:rsid w:val="003E4E45"/>
    <w:rsid w:val="003E61CB"/>
    <w:rsid w:val="003E7AFC"/>
    <w:rsid w:val="003E7C04"/>
    <w:rsid w:val="003E7FDA"/>
    <w:rsid w:val="003F01F7"/>
    <w:rsid w:val="003F0570"/>
    <w:rsid w:val="003F0D15"/>
    <w:rsid w:val="003F1283"/>
    <w:rsid w:val="003F13F6"/>
    <w:rsid w:val="003F174E"/>
    <w:rsid w:val="003F1F13"/>
    <w:rsid w:val="003F28CE"/>
    <w:rsid w:val="003F2DAF"/>
    <w:rsid w:val="003F2ED2"/>
    <w:rsid w:val="003F3772"/>
    <w:rsid w:val="003F3ED2"/>
    <w:rsid w:val="003F4627"/>
    <w:rsid w:val="003F4ABA"/>
    <w:rsid w:val="003F53B6"/>
    <w:rsid w:val="003F6169"/>
    <w:rsid w:val="003F6645"/>
    <w:rsid w:val="003F68C3"/>
    <w:rsid w:val="003F72D7"/>
    <w:rsid w:val="003F77DA"/>
    <w:rsid w:val="003F7B2D"/>
    <w:rsid w:val="003F7C7A"/>
    <w:rsid w:val="00400D40"/>
    <w:rsid w:val="004014C9"/>
    <w:rsid w:val="00401DDB"/>
    <w:rsid w:val="00402B5F"/>
    <w:rsid w:val="00402C3D"/>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177A1"/>
    <w:rsid w:val="00417CB0"/>
    <w:rsid w:val="00420584"/>
    <w:rsid w:val="00421048"/>
    <w:rsid w:val="00422A93"/>
    <w:rsid w:val="00422BB1"/>
    <w:rsid w:val="00424D21"/>
    <w:rsid w:val="00424F3C"/>
    <w:rsid w:val="00425C24"/>
    <w:rsid w:val="004273BF"/>
    <w:rsid w:val="004311FF"/>
    <w:rsid w:val="004314B6"/>
    <w:rsid w:val="00432447"/>
    <w:rsid w:val="00432D97"/>
    <w:rsid w:val="00432F21"/>
    <w:rsid w:val="004349D9"/>
    <w:rsid w:val="0043544F"/>
    <w:rsid w:val="004362C0"/>
    <w:rsid w:val="00436425"/>
    <w:rsid w:val="004364E6"/>
    <w:rsid w:val="00436B27"/>
    <w:rsid w:val="0043712E"/>
    <w:rsid w:val="004400BC"/>
    <w:rsid w:val="004412E8"/>
    <w:rsid w:val="00441947"/>
    <w:rsid w:val="00443331"/>
    <w:rsid w:val="00443561"/>
    <w:rsid w:val="00443591"/>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AE4"/>
    <w:rsid w:val="00457034"/>
    <w:rsid w:val="00457BAA"/>
    <w:rsid w:val="00460981"/>
    <w:rsid w:val="004609DE"/>
    <w:rsid w:val="00461DC0"/>
    <w:rsid w:val="004628F0"/>
    <w:rsid w:val="00462D54"/>
    <w:rsid w:val="00462D63"/>
    <w:rsid w:val="00463886"/>
    <w:rsid w:val="00464F36"/>
    <w:rsid w:val="0046568B"/>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2DF8"/>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149"/>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50CC"/>
    <w:rsid w:val="004B5825"/>
    <w:rsid w:val="004B6415"/>
    <w:rsid w:val="004B64FA"/>
    <w:rsid w:val="004B7F9F"/>
    <w:rsid w:val="004C06CE"/>
    <w:rsid w:val="004C099B"/>
    <w:rsid w:val="004C0DB4"/>
    <w:rsid w:val="004C33E8"/>
    <w:rsid w:val="004C4A96"/>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71FE"/>
    <w:rsid w:val="004D7A80"/>
    <w:rsid w:val="004D7CA3"/>
    <w:rsid w:val="004E0388"/>
    <w:rsid w:val="004E0894"/>
    <w:rsid w:val="004E135A"/>
    <w:rsid w:val="004E1C50"/>
    <w:rsid w:val="004E20EE"/>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F42"/>
    <w:rsid w:val="00505A66"/>
    <w:rsid w:val="00506576"/>
    <w:rsid w:val="00506710"/>
    <w:rsid w:val="0050682B"/>
    <w:rsid w:val="00506E86"/>
    <w:rsid w:val="0050702C"/>
    <w:rsid w:val="0050723E"/>
    <w:rsid w:val="00507403"/>
    <w:rsid w:val="00507430"/>
    <w:rsid w:val="005101E5"/>
    <w:rsid w:val="00511D75"/>
    <w:rsid w:val="00512232"/>
    <w:rsid w:val="00513B7E"/>
    <w:rsid w:val="00514597"/>
    <w:rsid w:val="005150AB"/>
    <w:rsid w:val="0051769B"/>
    <w:rsid w:val="0052052F"/>
    <w:rsid w:val="00520571"/>
    <w:rsid w:val="00522C8A"/>
    <w:rsid w:val="00523AF8"/>
    <w:rsid w:val="00523F57"/>
    <w:rsid w:val="00523F8F"/>
    <w:rsid w:val="005248F8"/>
    <w:rsid w:val="00524E1E"/>
    <w:rsid w:val="0052565F"/>
    <w:rsid w:val="005261AC"/>
    <w:rsid w:val="00526E9C"/>
    <w:rsid w:val="005278F8"/>
    <w:rsid w:val="005300ED"/>
    <w:rsid w:val="00531706"/>
    <w:rsid w:val="00532121"/>
    <w:rsid w:val="00532429"/>
    <w:rsid w:val="00532850"/>
    <w:rsid w:val="005328A9"/>
    <w:rsid w:val="00532C7A"/>
    <w:rsid w:val="005332FA"/>
    <w:rsid w:val="005335ED"/>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47725"/>
    <w:rsid w:val="00550292"/>
    <w:rsid w:val="00551309"/>
    <w:rsid w:val="00552426"/>
    <w:rsid w:val="005529F6"/>
    <w:rsid w:val="00552F1A"/>
    <w:rsid w:val="0055363B"/>
    <w:rsid w:val="00553693"/>
    <w:rsid w:val="00553934"/>
    <w:rsid w:val="00553B71"/>
    <w:rsid w:val="00554C4D"/>
    <w:rsid w:val="00556A43"/>
    <w:rsid w:val="0056087F"/>
    <w:rsid w:val="0056121A"/>
    <w:rsid w:val="00562195"/>
    <w:rsid w:val="0056261D"/>
    <w:rsid w:val="00562918"/>
    <w:rsid w:val="00563269"/>
    <w:rsid w:val="00564643"/>
    <w:rsid w:val="00564772"/>
    <w:rsid w:val="00564F32"/>
    <w:rsid w:val="00566518"/>
    <w:rsid w:val="005669DA"/>
    <w:rsid w:val="00567613"/>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304"/>
    <w:rsid w:val="005824FB"/>
    <w:rsid w:val="00582686"/>
    <w:rsid w:val="005829C4"/>
    <w:rsid w:val="00582D45"/>
    <w:rsid w:val="005860BC"/>
    <w:rsid w:val="00587129"/>
    <w:rsid w:val="005879CE"/>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701"/>
    <w:rsid w:val="005A1897"/>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0AA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2CF4"/>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7EA"/>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406"/>
    <w:rsid w:val="006248E3"/>
    <w:rsid w:val="00625D3D"/>
    <w:rsid w:val="00625DB6"/>
    <w:rsid w:val="00626CAC"/>
    <w:rsid w:val="00627AD4"/>
    <w:rsid w:val="00630F33"/>
    <w:rsid w:val="006312A4"/>
    <w:rsid w:val="006312F8"/>
    <w:rsid w:val="006313C9"/>
    <w:rsid w:val="006317D2"/>
    <w:rsid w:val="00631C0F"/>
    <w:rsid w:val="006348ED"/>
    <w:rsid w:val="00636A18"/>
    <w:rsid w:val="00636C52"/>
    <w:rsid w:val="0063771E"/>
    <w:rsid w:val="006406A6"/>
    <w:rsid w:val="00640A5A"/>
    <w:rsid w:val="00640E6C"/>
    <w:rsid w:val="00642351"/>
    <w:rsid w:val="006424F7"/>
    <w:rsid w:val="00642C32"/>
    <w:rsid w:val="006433D0"/>
    <w:rsid w:val="00643467"/>
    <w:rsid w:val="00643A31"/>
    <w:rsid w:val="00643AAE"/>
    <w:rsid w:val="00643F21"/>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B40"/>
    <w:rsid w:val="006652FD"/>
    <w:rsid w:val="00665679"/>
    <w:rsid w:val="0066568C"/>
    <w:rsid w:val="0066590A"/>
    <w:rsid w:val="00665DB7"/>
    <w:rsid w:val="00666370"/>
    <w:rsid w:val="0066646F"/>
    <w:rsid w:val="00666775"/>
    <w:rsid w:val="00666A5B"/>
    <w:rsid w:val="00670EFB"/>
    <w:rsid w:val="00671380"/>
    <w:rsid w:val="006713F9"/>
    <w:rsid w:val="00672C5A"/>
    <w:rsid w:val="00672F3E"/>
    <w:rsid w:val="00673BF2"/>
    <w:rsid w:val="00673C58"/>
    <w:rsid w:val="0067494B"/>
    <w:rsid w:val="00674DB0"/>
    <w:rsid w:val="00675296"/>
    <w:rsid w:val="006766B8"/>
    <w:rsid w:val="00677143"/>
    <w:rsid w:val="006807E1"/>
    <w:rsid w:val="00680DE4"/>
    <w:rsid w:val="0068116A"/>
    <w:rsid w:val="006823D9"/>
    <w:rsid w:val="00683367"/>
    <w:rsid w:val="00683B8F"/>
    <w:rsid w:val="006841B1"/>
    <w:rsid w:val="0068436A"/>
    <w:rsid w:val="0068523F"/>
    <w:rsid w:val="006855A0"/>
    <w:rsid w:val="00685979"/>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78F"/>
    <w:rsid w:val="006C5D35"/>
    <w:rsid w:val="006C75FA"/>
    <w:rsid w:val="006C7FAC"/>
    <w:rsid w:val="006D0421"/>
    <w:rsid w:val="006D047B"/>
    <w:rsid w:val="006D1D18"/>
    <w:rsid w:val="006D2594"/>
    <w:rsid w:val="006D2BD4"/>
    <w:rsid w:val="006D3530"/>
    <w:rsid w:val="006D407D"/>
    <w:rsid w:val="006D477F"/>
    <w:rsid w:val="006D47BC"/>
    <w:rsid w:val="006D4ACA"/>
    <w:rsid w:val="006D5843"/>
    <w:rsid w:val="006D6871"/>
    <w:rsid w:val="006D6CA2"/>
    <w:rsid w:val="006D71D3"/>
    <w:rsid w:val="006E1FB4"/>
    <w:rsid w:val="006E24D7"/>
    <w:rsid w:val="006E2C37"/>
    <w:rsid w:val="006E3415"/>
    <w:rsid w:val="006E3962"/>
    <w:rsid w:val="006E4059"/>
    <w:rsid w:val="006E464C"/>
    <w:rsid w:val="006E4970"/>
    <w:rsid w:val="006E4A6B"/>
    <w:rsid w:val="006E4CCB"/>
    <w:rsid w:val="006E4CCC"/>
    <w:rsid w:val="006E516B"/>
    <w:rsid w:val="006E64FC"/>
    <w:rsid w:val="006E6536"/>
    <w:rsid w:val="006E78A4"/>
    <w:rsid w:val="006E7A04"/>
    <w:rsid w:val="006F065D"/>
    <w:rsid w:val="006F0C10"/>
    <w:rsid w:val="006F29B4"/>
    <w:rsid w:val="006F6DDA"/>
    <w:rsid w:val="006F7041"/>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7B9"/>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A2F"/>
    <w:rsid w:val="007472EF"/>
    <w:rsid w:val="00747669"/>
    <w:rsid w:val="00751097"/>
    <w:rsid w:val="00751E1F"/>
    <w:rsid w:val="0075296E"/>
    <w:rsid w:val="00752F33"/>
    <w:rsid w:val="0075319C"/>
    <w:rsid w:val="007531A5"/>
    <w:rsid w:val="007535E3"/>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1689"/>
    <w:rsid w:val="00782394"/>
    <w:rsid w:val="00782848"/>
    <w:rsid w:val="007829B1"/>
    <w:rsid w:val="00783873"/>
    <w:rsid w:val="007847D1"/>
    <w:rsid w:val="00784924"/>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2FF1"/>
    <w:rsid w:val="007B56E1"/>
    <w:rsid w:val="007B6080"/>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AE7"/>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329"/>
    <w:rsid w:val="0083473D"/>
    <w:rsid w:val="00834AF4"/>
    <w:rsid w:val="00834BEC"/>
    <w:rsid w:val="00834D47"/>
    <w:rsid w:val="00834DC9"/>
    <w:rsid w:val="00835389"/>
    <w:rsid w:val="00835459"/>
    <w:rsid w:val="008356D1"/>
    <w:rsid w:val="008358DA"/>
    <w:rsid w:val="008373F3"/>
    <w:rsid w:val="00837AC7"/>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F08"/>
    <w:rsid w:val="008612F5"/>
    <w:rsid w:val="00861F9D"/>
    <w:rsid w:val="0086307F"/>
    <w:rsid w:val="008639AD"/>
    <w:rsid w:val="00863C1F"/>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C07A9"/>
    <w:rsid w:val="008C0A39"/>
    <w:rsid w:val="008C1814"/>
    <w:rsid w:val="008C2D8D"/>
    <w:rsid w:val="008C3CCC"/>
    <w:rsid w:val="008C4084"/>
    <w:rsid w:val="008C4116"/>
    <w:rsid w:val="008C4162"/>
    <w:rsid w:val="008C43A5"/>
    <w:rsid w:val="008C5C81"/>
    <w:rsid w:val="008C6580"/>
    <w:rsid w:val="008C7375"/>
    <w:rsid w:val="008C79F3"/>
    <w:rsid w:val="008D0267"/>
    <w:rsid w:val="008D04D0"/>
    <w:rsid w:val="008D1009"/>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6537"/>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1E0D"/>
    <w:rsid w:val="00912000"/>
    <w:rsid w:val="009124E6"/>
    <w:rsid w:val="00913944"/>
    <w:rsid w:val="00916440"/>
    <w:rsid w:val="00916748"/>
    <w:rsid w:val="00917332"/>
    <w:rsid w:val="009177FA"/>
    <w:rsid w:val="009202C5"/>
    <w:rsid w:val="00920773"/>
    <w:rsid w:val="009209C5"/>
    <w:rsid w:val="00921817"/>
    <w:rsid w:val="00922327"/>
    <w:rsid w:val="0092265F"/>
    <w:rsid w:val="0092359E"/>
    <w:rsid w:val="00923EA0"/>
    <w:rsid w:val="0092474D"/>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6E7D"/>
    <w:rsid w:val="009774BE"/>
    <w:rsid w:val="00977A7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3F6"/>
    <w:rsid w:val="009D6353"/>
    <w:rsid w:val="009D6CF0"/>
    <w:rsid w:val="009D6E22"/>
    <w:rsid w:val="009D75A9"/>
    <w:rsid w:val="009E0A40"/>
    <w:rsid w:val="009E153F"/>
    <w:rsid w:val="009E19AE"/>
    <w:rsid w:val="009E1E60"/>
    <w:rsid w:val="009E1F86"/>
    <w:rsid w:val="009E3112"/>
    <w:rsid w:val="009E34B7"/>
    <w:rsid w:val="009E434B"/>
    <w:rsid w:val="009E480B"/>
    <w:rsid w:val="009E4C2E"/>
    <w:rsid w:val="009E5BAE"/>
    <w:rsid w:val="009E5BF5"/>
    <w:rsid w:val="009E5D18"/>
    <w:rsid w:val="009E5E5D"/>
    <w:rsid w:val="009E5F8E"/>
    <w:rsid w:val="009E65CA"/>
    <w:rsid w:val="009E699D"/>
    <w:rsid w:val="009F1904"/>
    <w:rsid w:val="009F209E"/>
    <w:rsid w:val="009F2446"/>
    <w:rsid w:val="009F2450"/>
    <w:rsid w:val="009F2BF4"/>
    <w:rsid w:val="009F2C12"/>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17EB6"/>
    <w:rsid w:val="00A20573"/>
    <w:rsid w:val="00A207FA"/>
    <w:rsid w:val="00A20C94"/>
    <w:rsid w:val="00A21C4C"/>
    <w:rsid w:val="00A220B7"/>
    <w:rsid w:val="00A227D6"/>
    <w:rsid w:val="00A227E7"/>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EBD"/>
    <w:rsid w:val="00A40F98"/>
    <w:rsid w:val="00A43813"/>
    <w:rsid w:val="00A43D47"/>
    <w:rsid w:val="00A440A6"/>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4C24"/>
    <w:rsid w:val="00A71CDE"/>
    <w:rsid w:val="00A7252E"/>
    <w:rsid w:val="00A72BBC"/>
    <w:rsid w:val="00A72E18"/>
    <w:rsid w:val="00A730F3"/>
    <w:rsid w:val="00A74BE6"/>
    <w:rsid w:val="00A7557C"/>
    <w:rsid w:val="00A758A4"/>
    <w:rsid w:val="00A75BA0"/>
    <w:rsid w:val="00A768A2"/>
    <w:rsid w:val="00A76A55"/>
    <w:rsid w:val="00A773B4"/>
    <w:rsid w:val="00A80948"/>
    <w:rsid w:val="00A822AE"/>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6FC0"/>
    <w:rsid w:val="00A97BFA"/>
    <w:rsid w:val="00AA007C"/>
    <w:rsid w:val="00AA0B30"/>
    <w:rsid w:val="00AA25C9"/>
    <w:rsid w:val="00AA3726"/>
    <w:rsid w:val="00AA40AA"/>
    <w:rsid w:val="00AA4F09"/>
    <w:rsid w:val="00AA7A72"/>
    <w:rsid w:val="00AA7DCE"/>
    <w:rsid w:val="00AA7F8C"/>
    <w:rsid w:val="00AA7FA5"/>
    <w:rsid w:val="00AB01C9"/>
    <w:rsid w:val="00AB0725"/>
    <w:rsid w:val="00AB0807"/>
    <w:rsid w:val="00AB0FB2"/>
    <w:rsid w:val="00AB10E3"/>
    <w:rsid w:val="00AB18AB"/>
    <w:rsid w:val="00AB1FAD"/>
    <w:rsid w:val="00AB2AF8"/>
    <w:rsid w:val="00AB2AF9"/>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D66"/>
    <w:rsid w:val="00AC5C0E"/>
    <w:rsid w:val="00AC5FCE"/>
    <w:rsid w:val="00AC615E"/>
    <w:rsid w:val="00AC62B7"/>
    <w:rsid w:val="00AC6BDA"/>
    <w:rsid w:val="00AC6E20"/>
    <w:rsid w:val="00AC7A38"/>
    <w:rsid w:val="00AD07F1"/>
    <w:rsid w:val="00AD20E0"/>
    <w:rsid w:val="00AD2BE1"/>
    <w:rsid w:val="00AD3C49"/>
    <w:rsid w:val="00AD3D21"/>
    <w:rsid w:val="00AD68F8"/>
    <w:rsid w:val="00AD692B"/>
    <w:rsid w:val="00AE0B68"/>
    <w:rsid w:val="00AE10CD"/>
    <w:rsid w:val="00AE1499"/>
    <w:rsid w:val="00AE2D0A"/>
    <w:rsid w:val="00AE3725"/>
    <w:rsid w:val="00AE4E58"/>
    <w:rsid w:val="00AE5139"/>
    <w:rsid w:val="00AE54FA"/>
    <w:rsid w:val="00AE5C8B"/>
    <w:rsid w:val="00AE65CA"/>
    <w:rsid w:val="00AE6800"/>
    <w:rsid w:val="00AE6CDA"/>
    <w:rsid w:val="00AE72FC"/>
    <w:rsid w:val="00AE751E"/>
    <w:rsid w:val="00AF16A0"/>
    <w:rsid w:val="00AF239F"/>
    <w:rsid w:val="00AF23AA"/>
    <w:rsid w:val="00AF23C2"/>
    <w:rsid w:val="00AF3040"/>
    <w:rsid w:val="00AF39BC"/>
    <w:rsid w:val="00AF51E5"/>
    <w:rsid w:val="00AF52E7"/>
    <w:rsid w:val="00AF5D55"/>
    <w:rsid w:val="00AF605B"/>
    <w:rsid w:val="00AF741B"/>
    <w:rsid w:val="00AF7453"/>
    <w:rsid w:val="00AF7C3D"/>
    <w:rsid w:val="00AF7E72"/>
    <w:rsid w:val="00B0115C"/>
    <w:rsid w:val="00B02647"/>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CD1"/>
    <w:rsid w:val="00B15491"/>
    <w:rsid w:val="00B1562F"/>
    <w:rsid w:val="00B16D63"/>
    <w:rsid w:val="00B17629"/>
    <w:rsid w:val="00B21D6E"/>
    <w:rsid w:val="00B22C39"/>
    <w:rsid w:val="00B22DE0"/>
    <w:rsid w:val="00B23D2D"/>
    <w:rsid w:val="00B24FEA"/>
    <w:rsid w:val="00B2540B"/>
    <w:rsid w:val="00B25B94"/>
    <w:rsid w:val="00B25FE6"/>
    <w:rsid w:val="00B2603E"/>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56"/>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158C"/>
    <w:rsid w:val="00B619B2"/>
    <w:rsid w:val="00B62014"/>
    <w:rsid w:val="00B629C9"/>
    <w:rsid w:val="00B6342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8DB"/>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4ACF"/>
    <w:rsid w:val="00B86B7E"/>
    <w:rsid w:val="00B87DD5"/>
    <w:rsid w:val="00B90F96"/>
    <w:rsid w:val="00B9219F"/>
    <w:rsid w:val="00B926CB"/>
    <w:rsid w:val="00B933B2"/>
    <w:rsid w:val="00B936CB"/>
    <w:rsid w:val="00B93CAF"/>
    <w:rsid w:val="00B941B6"/>
    <w:rsid w:val="00B94A06"/>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500"/>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406F"/>
    <w:rsid w:val="00BC4C88"/>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7991"/>
    <w:rsid w:val="00BE0BDD"/>
    <w:rsid w:val="00BE21E3"/>
    <w:rsid w:val="00BE305B"/>
    <w:rsid w:val="00BE5153"/>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F8"/>
    <w:rsid w:val="00BF4C53"/>
    <w:rsid w:val="00BF54DC"/>
    <w:rsid w:val="00BF5748"/>
    <w:rsid w:val="00BF6270"/>
    <w:rsid w:val="00BF67B7"/>
    <w:rsid w:val="00BF770B"/>
    <w:rsid w:val="00C011B4"/>
    <w:rsid w:val="00C01510"/>
    <w:rsid w:val="00C01CEB"/>
    <w:rsid w:val="00C01F6E"/>
    <w:rsid w:val="00C03249"/>
    <w:rsid w:val="00C04BAE"/>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F7F"/>
    <w:rsid w:val="00C32186"/>
    <w:rsid w:val="00C335AE"/>
    <w:rsid w:val="00C34E1F"/>
    <w:rsid w:val="00C35C70"/>
    <w:rsid w:val="00C35E26"/>
    <w:rsid w:val="00C36684"/>
    <w:rsid w:val="00C36F0A"/>
    <w:rsid w:val="00C36F4F"/>
    <w:rsid w:val="00C372CB"/>
    <w:rsid w:val="00C4067A"/>
    <w:rsid w:val="00C41480"/>
    <w:rsid w:val="00C44052"/>
    <w:rsid w:val="00C44368"/>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2DD5"/>
    <w:rsid w:val="00C733A6"/>
    <w:rsid w:val="00C737B0"/>
    <w:rsid w:val="00C73D39"/>
    <w:rsid w:val="00C7675A"/>
    <w:rsid w:val="00C76E9D"/>
    <w:rsid w:val="00C816DF"/>
    <w:rsid w:val="00C820EE"/>
    <w:rsid w:val="00C84713"/>
    <w:rsid w:val="00C84758"/>
    <w:rsid w:val="00C853AB"/>
    <w:rsid w:val="00C85F72"/>
    <w:rsid w:val="00C86896"/>
    <w:rsid w:val="00C876E1"/>
    <w:rsid w:val="00C908A9"/>
    <w:rsid w:val="00C908BE"/>
    <w:rsid w:val="00C91507"/>
    <w:rsid w:val="00C940C2"/>
    <w:rsid w:val="00C952E9"/>
    <w:rsid w:val="00C95AC8"/>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318"/>
    <w:rsid w:val="00CB3628"/>
    <w:rsid w:val="00CB407C"/>
    <w:rsid w:val="00CB46B4"/>
    <w:rsid w:val="00CB4940"/>
    <w:rsid w:val="00CB5D5B"/>
    <w:rsid w:val="00CB6E94"/>
    <w:rsid w:val="00CB7060"/>
    <w:rsid w:val="00CB77F2"/>
    <w:rsid w:val="00CB7DD6"/>
    <w:rsid w:val="00CC0438"/>
    <w:rsid w:val="00CC0563"/>
    <w:rsid w:val="00CC140D"/>
    <w:rsid w:val="00CC1E56"/>
    <w:rsid w:val="00CC2270"/>
    <w:rsid w:val="00CC3277"/>
    <w:rsid w:val="00CC385B"/>
    <w:rsid w:val="00CC4207"/>
    <w:rsid w:val="00CC5222"/>
    <w:rsid w:val="00CC5775"/>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E87"/>
    <w:rsid w:val="00D17335"/>
    <w:rsid w:val="00D2079E"/>
    <w:rsid w:val="00D21356"/>
    <w:rsid w:val="00D216EE"/>
    <w:rsid w:val="00D220B5"/>
    <w:rsid w:val="00D232D8"/>
    <w:rsid w:val="00D233CD"/>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597"/>
    <w:rsid w:val="00D35689"/>
    <w:rsid w:val="00D365FA"/>
    <w:rsid w:val="00D37093"/>
    <w:rsid w:val="00D40425"/>
    <w:rsid w:val="00D40BC3"/>
    <w:rsid w:val="00D40D6B"/>
    <w:rsid w:val="00D4129E"/>
    <w:rsid w:val="00D418A3"/>
    <w:rsid w:val="00D41AB6"/>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BEA"/>
    <w:rsid w:val="00D65C02"/>
    <w:rsid w:val="00D661D2"/>
    <w:rsid w:val="00D66410"/>
    <w:rsid w:val="00D66550"/>
    <w:rsid w:val="00D66648"/>
    <w:rsid w:val="00D66FDA"/>
    <w:rsid w:val="00D6729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CB"/>
    <w:rsid w:val="00D74C9E"/>
    <w:rsid w:val="00D75F19"/>
    <w:rsid w:val="00D77AD8"/>
    <w:rsid w:val="00D80973"/>
    <w:rsid w:val="00D80BD8"/>
    <w:rsid w:val="00D82561"/>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B2B"/>
    <w:rsid w:val="00D96D46"/>
    <w:rsid w:val="00D97B72"/>
    <w:rsid w:val="00D97CF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3213"/>
    <w:rsid w:val="00DB387C"/>
    <w:rsid w:val="00DB43F8"/>
    <w:rsid w:val="00DB46DA"/>
    <w:rsid w:val="00DB5A7F"/>
    <w:rsid w:val="00DB640B"/>
    <w:rsid w:val="00DB656B"/>
    <w:rsid w:val="00DB6A23"/>
    <w:rsid w:val="00DB75BE"/>
    <w:rsid w:val="00DB7D6B"/>
    <w:rsid w:val="00DC00C2"/>
    <w:rsid w:val="00DC01DD"/>
    <w:rsid w:val="00DC29D6"/>
    <w:rsid w:val="00DC3996"/>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367F"/>
    <w:rsid w:val="00DE3E2A"/>
    <w:rsid w:val="00DE5469"/>
    <w:rsid w:val="00DE5D83"/>
    <w:rsid w:val="00DE7DBA"/>
    <w:rsid w:val="00DE7FB5"/>
    <w:rsid w:val="00DF0953"/>
    <w:rsid w:val="00DF354D"/>
    <w:rsid w:val="00DF3B05"/>
    <w:rsid w:val="00DF44BC"/>
    <w:rsid w:val="00DF46D2"/>
    <w:rsid w:val="00DF5209"/>
    <w:rsid w:val="00DF5300"/>
    <w:rsid w:val="00DF5E67"/>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510"/>
    <w:rsid w:val="00E072B0"/>
    <w:rsid w:val="00E07C90"/>
    <w:rsid w:val="00E111E7"/>
    <w:rsid w:val="00E111F8"/>
    <w:rsid w:val="00E12618"/>
    <w:rsid w:val="00E129DF"/>
    <w:rsid w:val="00E12B5D"/>
    <w:rsid w:val="00E13435"/>
    <w:rsid w:val="00E13F23"/>
    <w:rsid w:val="00E143D4"/>
    <w:rsid w:val="00E14773"/>
    <w:rsid w:val="00E1521D"/>
    <w:rsid w:val="00E154D2"/>
    <w:rsid w:val="00E155E5"/>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884"/>
    <w:rsid w:val="00E4192C"/>
    <w:rsid w:val="00E41DF6"/>
    <w:rsid w:val="00E420CB"/>
    <w:rsid w:val="00E44C04"/>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A1B"/>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6AC"/>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A5A"/>
    <w:rsid w:val="00EA2FC0"/>
    <w:rsid w:val="00EA3F5C"/>
    <w:rsid w:val="00EA4397"/>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3785"/>
    <w:rsid w:val="00EC3B2D"/>
    <w:rsid w:val="00EC3E5A"/>
    <w:rsid w:val="00EC458A"/>
    <w:rsid w:val="00EC51A1"/>
    <w:rsid w:val="00EC6178"/>
    <w:rsid w:val="00EC65DD"/>
    <w:rsid w:val="00EC6A56"/>
    <w:rsid w:val="00EC7166"/>
    <w:rsid w:val="00EC7CAC"/>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703E"/>
    <w:rsid w:val="00EE76F0"/>
    <w:rsid w:val="00EE7B1C"/>
    <w:rsid w:val="00EF02BD"/>
    <w:rsid w:val="00EF17B9"/>
    <w:rsid w:val="00EF1EB9"/>
    <w:rsid w:val="00EF274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D9B"/>
    <w:rsid w:val="00F05AB5"/>
    <w:rsid w:val="00F05BC9"/>
    <w:rsid w:val="00F0608B"/>
    <w:rsid w:val="00F0659C"/>
    <w:rsid w:val="00F06776"/>
    <w:rsid w:val="00F06CDD"/>
    <w:rsid w:val="00F06D5D"/>
    <w:rsid w:val="00F11AA5"/>
    <w:rsid w:val="00F11E55"/>
    <w:rsid w:val="00F128DE"/>
    <w:rsid w:val="00F12DF4"/>
    <w:rsid w:val="00F13400"/>
    <w:rsid w:val="00F1411B"/>
    <w:rsid w:val="00F149A9"/>
    <w:rsid w:val="00F14C07"/>
    <w:rsid w:val="00F14C0C"/>
    <w:rsid w:val="00F14CD6"/>
    <w:rsid w:val="00F154D7"/>
    <w:rsid w:val="00F1585C"/>
    <w:rsid w:val="00F15FFE"/>
    <w:rsid w:val="00F16901"/>
    <w:rsid w:val="00F17267"/>
    <w:rsid w:val="00F17526"/>
    <w:rsid w:val="00F2210C"/>
    <w:rsid w:val="00F231FB"/>
    <w:rsid w:val="00F243C4"/>
    <w:rsid w:val="00F243FF"/>
    <w:rsid w:val="00F25199"/>
    <w:rsid w:val="00F254D8"/>
    <w:rsid w:val="00F26A46"/>
    <w:rsid w:val="00F26F86"/>
    <w:rsid w:val="00F274E4"/>
    <w:rsid w:val="00F2780A"/>
    <w:rsid w:val="00F314EF"/>
    <w:rsid w:val="00F3167E"/>
    <w:rsid w:val="00F332B2"/>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325B"/>
    <w:rsid w:val="00F53AF0"/>
    <w:rsid w:val="00F55337"/>
    <w:rsid w:val="00F55C84"/>
    <w:rsid w:val="00F55F0A"/>
    <w:rsid w:val="00F5652C"/>
    <w:rsid w:val="00F57C49"/>
    <w:rsid w:val="00F57D6B"/>
    <w:rsid w:val="00F609BF"/>
    <w:rsid w:val="00F60A98"/>
    <w:rsid w:val="00F618C5"/>
    <w:rsid w:val="00F619E0"/>
    <w:rsid w:val="00F622E5"/>
    <w:rsid w:val="00F626FF"/>
    <w:rsid w:val="00F6380C"/>
    <w:rsid w:val="00F63E23"/>
    <w:rsid w:val="00F65D31"/>
    <w:rsid w:val="00F666A7"/>
    <w:rsid w:val="00F66A2E"/>
    <w:rsid w:val="00F67F09"/>
    <w:rsid w:val="00F706A0"/>
    <w:rsid w:val="00F709F5"/>
    <w:rsid w:val="00F717CC"/>
    <w:rsid w:val="00F72F11"/>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A46"/>
    <w:rsid w:val="00F96BB8"/>
    <w:rsid w:val="00F97A19"/>
    <w:rsid w:val="00FA068B"/>
    <w:rsid w:val="00FA1B1B"/>
    <w:rsid w:val="00FA2534"/>
    <w:rsid w:val="00FA2BC2"/>
    <w:rsid w:val="00FA37EA"/>
    <w:rsid w:val="00FA381E"/>
    <w:rsid w:val="00FA52C8"/>
    <w:rsid w:val="00FA54B2"/>
    <w:rsid w:val="00FA5812"/>
    <w:rsid w:val="00FA59CD"/>
    <w:rsid w:val="00FA7990"/>
    <w:rsid w:val="00FB07FC"/>
    <w:rsid w:val="00FB1180"/>
    <w:rsid w:val="00FB15B5"/>
    <w:rsid w:val="00FB174F"/>
    <w:rsid w:val="00FB1FEB"/>
    <w:rsid w:val="00FB22AB"/>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2561"/>
    <w:rsid w:val="00FD28E8"/>
    <w:rsid w:val="00FD3355"/>
    <w:rsid w:val="00FD3CF7"/>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5E6A"/>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34"/>
    <w:rsid w:val="001E35D6"/>
    <w:rPr>
      <w:rFonts w:eastAsia="SimSun"/>
      <w:sz w:val="24"/>
      <w:szCs w:val="24"/>
    </w:rPr>
  </w:style>
  <w:style w:type="paragraph" w:customStyle="1" w:styleId="Char1">
    <w:name w:val="Char"/>
    <w:basedOn w:val="Normal"/>
    <w:rsid w:val="003A360F"/>
    <w:pPr>
      <w:spacing w:after="160" w:line="240" w:lineRule="exact"/>
    </w:pPr>
    <w:rPr>
      <w:rFonts w:ascii="Verdana" w:eastAsia="MS Mincho" w:hAnsi="Verdana" w:cs="Verdana"/>
      <w:lang w:val="en-US" w:eastAsia="en-US"/>
    </w:rPr>
  </w:style>
  <w:style w:type="character" w:customStyle="1" w:styleId="CommentTextChar">
    <w:name w:val="Comment Text Char"/>
    <w:basedOn w:val="DefaultParagraphFont"/>
    <w:link w:val="CommentText"/>
    <w:rsid w:val="008D10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34"/>
    <w:rsid w:val="001E35D6"/>
    <w:rPr>
      <w:rFonts w:eastAsia="SimSun"/>
      <w:sz w:val="24"/>
      <w:szCs w:val="24"/>
    </w:rPr>
  </w:style>
  <w:style w:type="paragraph" w:customStyle="1" w:styleId="Char1">
    <w:name w:val="Char"/>
    <w:basedOn w:val="Normal"/>
    <w:rsid w:val="003A360F"/>
    <w:pPr>
      <w:spacing w:after="160" w:line="240" w:lineRule="exact"/>
    </w:pPr>
    <w:rPr>
      <w:rFonts w:ascii="Verdana" w:eastAsia="MS Mincho" w:hAnsi="Verdana" w:cs="Verdana"/>
      <w:lang w:val="en-US" w:eastAsia="en-US"/>
    </w:rPr>
  </w:style>
  <w:style w:type="character" w:customStyle="1" w:styleId="CommentTextChar">
    <w:name w:val="Comment Text Char"/>
    <w:basedOn w:val="DefaultParagraphFont"/>
    <w:link w:val="CommentText"/>
    <w:rsid w:val="008D1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6487432">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0583808">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0880591">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ADBD4-91C1-4911-83B2-C22348BF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C1717920.dotm</Template>
  <TotalTime>0</TotalTime>
  <Pages>3</Pages>
  <Words>1059</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2017-04-13T05:22:00Z</dcterms:created>
  <dcterms:modified xsi:type="dcterms:W3CDTF">2017-05-11T03:45:00Z</dcterms:modified>
</cp:coreProperties>
</file>