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3261"/>
        <w:gridCol w:w="6947"/>
      </w:tblGrid>
      <w:tr w:rsidR="00987FDA" w:rsidRPr="00F609BF" w:rsidTr="00BA41EF">
        <w:trPr>
          <w:trHeight w:val="912"/>
          <w:tblHeader/>
        </w:trPr>
        <w:tc>
          <w:tcPr>
            <w:tcW w:w="2694" w:type="dxa"/>
            <w:tcMar>
              <w:top w:w="28" w:type="dxa"/>
              <w:bottom w:w="28" w:type="dxa"/>
            </w:tcMar>
          </w:tcPr>
          <w:p w:rsidR="0065234B" w:rsidRDefault="002960C3" w:rsidP="002960C3">
            <w:pPr>
              <w:widowControl w:val="0"/>
              <w:jc w:val="center"/>
              <w:rPr>
                <w:rFonts w:ascii="Arial" w:hAnsi="Arial" w:cs="Arial"/>
                <w:b/>
              </w:rPr>
            </w:pPr>
            <w:r w:rsidRPr="00F609BF">
              <w:rPr>
                <w:rFonts w:ascii="Arial" w:hAnsi="Arial" w:cs="Arial"/>
                <w:b/>
              </w:rPr>
              <w:t>DRUG NAME, FORM(S), STRENGTH(S)</w:t>
            </w:r>
            <w:r>
              <w:rPr>
                <w:rFonts w:ascii="Arial" w:hAnsi="Arial" w:cs="Arial"/>
                <w:b/>
              </w:rPr>
              <w:t>,</w:t>
            </w:r>
            <w:r w:rsidRPr="00F609BF">
              <w:rPr>
                <w:rFonts w:ascii="Arial" w:hAnsi="Arial" w:cs="Arial"/>
                <w:b/>
              </w:rPr>
              <w:t xml:space="preserve"> SPONSOR</w:t>
            </w:r>
            <w:r>
              <w:rPr>
                <w:rFonts w:ascii="Arial" w:hAnsi="Arial" w:cs="Arial"/>
                <w:b/>
              </w:rPr>
              <w:t>, TYPE OF SUBMISSION</w:t>
            </w:r>
          </w:p>
          <w:p w:rsidR="00257615" w:rsidRPr="00F609BF" w:rsidRDefault="00257615" w:rsidP="002960C3">
            <w:pPr>
              <w:widowControl w:val="0"/>
              <w:jc w:val="center"/>
              <w:rPr>
                <w:rFonts w:ascii="Arial" w:hAnsi="Arial" w:cs="Arial"/>
                <w:b/>
              </w:rPr>
            </w:pPr>
          </w:p>
        </w:tc>
        <w:tc>
          <w:tcPr>
            <w:tcW w:w="2409"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2960C3">
            <w:pPr>
              <w:widowControl w:val="0"/>
              <w:jc w:val="center"/>
              <w:rPr>
                <w:rFonts w:ascii="Arial" w:hAnsi="Arial" w:cs="Arial"/>
                <w:b/>
                <w:snapToGrid w:val="0"/>
                <w:lang w:eastAsia="en-US"/>
              </w:rPr>
            </w:pPr>
          </w:p>
        </w:tc>
        <w:tc>
          <w:tcPr>
            <w:tcW w:w="3261"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947" w:type="dxa"/>
          </w:tcPr>
          <w:p w:rsidR="00987FDA" w:rsidRPr="00F609BF" w:rsidRDefault="00987FDA" w:rsidP="00D167D0">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sidR="002960C3">
              <w:rPr>
                <w:rFonts w:ascii="Arial" w:hAnsi="Arial" w:cs="Arial"/>
                <w:b/>
                <w:snapToGrid w:val="0"/>
                <w:lang w:eastAsia="en-US"/>
              </w:rPr>
              <w:t>OUTCOME</w:t>
            </w:r>
          </w:p>
        </w:tc>
      </w:tr>
      <w:tr w:rsidR="00EE5CF4" w:rsidRPr="00395B97" w:rsidTr="00EE5CF4">
        <w:trPr>
          <w:cantSplit/>
          <w:trHeight w:val="1526"/>
        </w:trPr>
        <w:tc>
          <w:tcPr>
            <w:tcW w:w="2694" w:type="dxa"/>
            <w:vMerge w:val="restart"/>
            <w:tcMar>
              <w:top w:w="28" w:type="dxa"/>
              <w:bottom w:w="28" w:type="dxa"/>
            </w:tcMar>
          </w:tcPr>
          <w:p w:rsidR="00EE5CF4" w:rsidRPr="001B610C" w:rsidRDefault="00EE5CF4" w:rsidP="00AF6ADE">
            <w:pPr>
              <w:rPr>
                <w:rFonts w:ascii="Arial" w:hAnsi="Arial" w:cs="Arial"/>
                <w:color w:val="000000"/>
              </w:rPr>
            </w:pPr>
            <w:r w:rsidRPr="001B610C">
              <w:rPr>
                <w:rFonts w:ascii="Arial" w:hAnsi="Arial" w:cs="Arial"/>
                <w:color w:val="000000"/>
              </w:rPr>
              <w:t>ADALIMUMAB</w:t>
            </w:r>
            <w:r w:rsidRPr="001B610C">
              <w:rPr>
                <w:rFonts w:ascii="Arial" w:hAnsi="Arial" w:cs="Arial"/>
                <w:color w:val="000000"/>
              </w:rPr>
              <w:br/>
            </w:r>
            <w:r w:rsidRPr="001B610C">
              <w:rPr>
                <w:rFonts w:ascii="Arial" w:hAnsi="Arial" w:cs="Arial"/>
                <w:color w:val="000000"/>
              </w:rPr>
              <w:br/>
              <w:t>Injection 40 mg in 0.8 mL pre-filled syringe</w:t>
            </w:r>
          </w:p>
          <w:p w:rsidR="00EE5CF4" w:rsidRPr="001B610C" w:rsidRDefault="00EE5CF4" w:rsidP="00AF6ADE">
            <w:pPr>
              <w:rPr>
                <w:rFonts w:ascii="Arial" w:hAnsi="Arial" w:cs="Arial"/>
                <w:color w:val="000000"/>
              </w:rPr>
            </w:pPr>
            <w:r w:rsidRPr="001B610C">
              <w:rPr>
                <w:rFonts w:ascii="Arial" w:hAnsi="Arial" w:cs="Arial"/>
                <w:color w:val="000000"/>
              </w:rPr>
              <w:t xml:space="preserve">Injection 40 mg in 0.8 mL </w:t>
            </w:r>
            <w:r>
              <w:rPr>
                <w:rFonts w:ascii="Arial" w:hAnsi="Arial" w:cs="Arial"/>
                <w:color w:val="000000"/>
              </w:rPr>
              <w:t>pre-filled pen</w:t>
            </w:r>
            <w:r w:rsidRPr="001B610C">
              <w:rPr>
                <w:rFonts w:ascii="Arial" w:hAnsi="Arial" w:cs="Arial"/>
                <w:color w:val="000000"/>
              </w:rPr>
              <w:br/>
            </w:r>
          </w:p>
          <w:p w:rsidR="00EE5CF4" w:rsidRDefault="00EE5CF4" w:rsidP="00AF6ADE">
            <w:pPr>
              <w:rPr>
                <w:rFonts w:ascii="Arial" w:hAnsi="Arial" w:cs="Arial"/>
                <w:color w:val="000000"/>
              </w:rPr>
            </w:pPr>
            <w:r w:rsidRPr="001B610C">
              <w:rPr>
                <w:rFonts w:ascii="Arial" w:hAnsi="Arial" w:cs="Arial"/>
                <w:color w:val="000000"/>
              </w:rPr>
              <w:t>Humira®</w:t>
            </w:r>
            <w:r w:rsidRPr="001B610C">
              <w:rPr>
                <w:rFonts w:ascii="Arial" w:hAnsi="Arial" w:cs="Arial"/>
                <w:color w:val="000000"/>
              </w:rPr>
              <w:br/>
            </w:r>
            <w:r w:rsidRPr="001B610C">
              <w:rPr>
                <w:rFonts w:ascii="Arial" w:hAnsi="Arial" w:cs="Arial"/>
                <w:color w:val="000000"/>
              </w:rPr>
              <w:br/>
              <w:t>AbbVie Pty Ltd</w:t>
            </w:r>
          </w:p>
          <w:p w:rsidR="00AB756D" w:rsidRDefault="00AB756D" w:rsidP="00AF6ADE">
            <w:pPr>
              <w:rPr>
                <w:rFonts w:ascii="Arial" w:hAnsi="Arial" w:cs="Arial"/>
                <w:color w:val="000000"/>
              </w:rPr>
            </w:pPr>
          </w:p>
          <w:p w:rsidR="00AB756D" w:rsidRDefault="00AB756D" w:rsidP="00AF6ADE">
            <w:pPr>
              <w:rPr>
                <w:rFonts w:ascii="Arial" w:hAnsi="Arial" w:cs="Arial"/>
                <w:color w:val="000000"/>
              </w:rPr>
            </w:pPr>
            <w:r>
              <w:rPr>
                <w:rFonts w:ascii="Arial" w:hAnsi="Arial" w:cs="Arial"/>
                <w:color w:val="000000"/>
              </w:rPr>
              <w:t>Change to Listing</w:t>
            </w:r>
          </w:p>
          <w:p w:rsidR="00AB756D" w:rsidRDefault="00AB756D" w:rsidP="00AF6ADE">
            <w:pPr>
              <w:rPr>
                <w:rFonts w:ascii="Arial" w:hAnsi="Arial" w:cs="Arial"/>
                <w:color w:val="000000"/>
              </w:rPr>
            </w:pPr>
          </w:p>
          <w:p w:rsidR="00AB756D" w:rsidRPr="001B610C" w:rsidRDefault="00AB756D" w:rsidP="00AB756D">
            <w:pPr>
              <w:rPr>
                <w:rFonts w:ascii="Arial" w:hAnsi="Arial" w:cs="Arial"/>
                <w:color w:val="000000"/>
              </w:rPr>
            </w:pPr>
            <w:r>
              <w:rPr>
                <w:rFonts w:ascii="Arial" w:hAnsi="Arial" w:cs="Arial"/>
                <w:color w:val="000000"/>
              </w:rPr>
              <w:t>(Major Submission)</w:t>
            </w:r>
          </w:p>
        </w:tc>
        <w:tc>
          <w:tcPr>
            <w:tcW w:w="2409" w:type="dxa"/>
            <w:vMerge w:val="restart"/>
          </w:tcPr>
          <w:p w:rsidR="00EE5CF4" w:rsidRPr="00E82449" w:rsidRDefault="00EE5CF4" w:rsidP="00AF6ADE">
            <w:pPr>
              <w:rPr>
                <w:rFonts w:ascii="Arial" w:hAnsi="Arial" w:cs="Arial"/>
                <w:color w:val="000000"/>
                <w:highlight w:val="yellow"/>
              </w:rPr>
            </w:pPr>
            <w:r>
              <w:rPr>
                <w:rFonts w:ascii="Arial" w:hAnsi="Arial" w:cs="Arial"/>
                <w:color w:val="000000"/>
              </w:rPr>
              <w:t>N</w:t>
            </w:r>
            <w:r w:rsidRPr="00C879AB">
              <w:rPr>
                <w:rFonts w:ascii="Arial" w:hAnsi="Arial" w:cs="Arial"/>
                <w:color w:val="000000"/>
              </w:rPr>
              <w:t xml:space="preserve">on-infectious intermediate, posterior or panuveitis </w:t>
            </w:r>
            <w:r>
              <w:rPr>
                <w:rFonts w:ascii="Arial" w:hAnsi="Arial" w:cs="Arial"/>
                <w:color w:val="000000"/>
              </w:rPr>
              <w:t>uveitis (inflammatory disease of the eye)</w:t>
            </w:r>
          </w:p>
        </w:tc>
        <w:tc>
          <w:tcPr>
            <w:tcW w:w="3261" w:type="dxa"/>
            <w:tcMar>
              <w:top w:w="28" w:type="dxa"/>
              <w:bottom w:w="28" w:type="dxa"/>
            </w:tcMar>
          </w:tcPr>
          <w:p w:rsidR="00EE5CF4" w:rsidRPr="00E82449" w:rsidRDefault="00EE5CF4" w:rsidP="00AF6ADE">
            <w:pPr>
              <w:rPr>
                <w:rFonts w:ascii="Arial" w:hAnsi="Arial" w:cs="Arial"/>
                <w:color w:val="000000"/>
                <w:highlight w:val="yellow"/>
              </w:rPr>
            </w:pPr>
            <w:r w:rsidRPr="00C879AB">
              <w:rPr>
                <w:rFonts w:ascii="Arial" w:hAnsi="Arial" w:cs="Arial"/>
                <w:color w:val="000000"/>
              </w:rPr>
              <w:t xml:space="preserve">To request an Authority Required listing for the treatment of vision threatening </w:t>
            </w:r>
            <w:r>
              <w:rPr>
                <w:rFonts w:ascii="Arial" w:hAnsi="Arial" w:cs="Arial"/>
                <w:color w:val="000000"/>
              </w:rPr>
              <w:t>n</w:t>
            </w:r>
            <w:r w:rsidRPr="00C879AB">
              <w:rPr>
                <w:rFonts w:ascii="Arial" w:hAnsi="Arial" w:cs="Arial"/>
                <w:color w:val="000000"/>
              </w:rPr>
              <w:t>on-infectious intermediate, posterior or panuveitis uveitis.</w:t>
            </w:r>
          </w:p>
        </w:tc>
        <w:tc>
          <w:tcPr>
            <w:tcW w:w="6947" w:type="dxa"/>
          </w:tcPr>
          <w:p w:rsidR="00D36FC6" w:rsidRPr="00D36FC6" w:rsidRDefault="00D36FC6" w:rsidP="00D36FC6">
            <w:pPr>
              <w:pStyle w:val="ListParagraph"/>
              <w:ind w:left="177"/>
              <w:rPr>
                <w:rFonts w:ascii="Arial" w:hAnsi="Arial" w:cs="Arial"/>
                <w:iCs/>
                <w:sz w:val="20"/>
                <w:szCs w:val="20"/>
              </w:rPr>
            </w:pPr>
            <w:r w:rsidRPr="00D36FC6">
              <w:rPr>
                <w:rFonts w:ascii="Arial" w:hAnsi="Arial" w:cs="Arial"/>
                <w:iCs/>
                <w:sz w:val="20"/>
                <w:szCs w:val="20"/>
              </w:rPr>
              <w:t xml:space="preserve">The PBAC did not recommend the listing of adalimumab for the treatment of non-infectious intermediate, posterior uveitis or panuveitis due to low confidence in the </w:t>
            </w:r>
            <w:r w:rsidR="007D0089">
              <w:rPr>
                <w:rFonts w:ascii="Arial" w:hAnsi="Arial" w:cs="Arial"/>
                <w:iCs/>
                <w:sz w:val="20"/>
                <w:szCs w:val="20"/>
              </w:rPr>
              <w:t>size</w:t>
            </w:r>
            <w:r w:rsidRPr="00D36FC6">
              <w:rPr>
                <w:rFonts w:ascii="Arial" w:hAnsi="Arial" w:cs="Arial"/>
                <w:iCs/>
                <w:sz w:val="20"/>
                <w:szCs w:val="20"/>
              </w:rPr>
              <w:t xml:space="preserve"> of the </w:t>
            </w:r>
            <w:r w:rsidR="007D0089">
              <w:rPr>
                <w:rFonts w:ascii="Arial" w:hAnsi="Arial" w:cs="Arial"/>
                <w:iCs/>
                <w:sz w:val="20"/>
                <w:szCs w:val="20"/>
              </w:rPr>
              <w:t>effect</w:t>
            </w:r>
            <w:r w:rsidRPr="00D36FC6">
              <w:rPr>
                <w:rFonts w:ascii="Arial" w:hAnsi="Arial" w:cs="Arial"/>
                <w:iCs/>
                <w:sz w:val="20"/>
                <w:szCs w:val="20"/>
              </w:rPr>
              <w:t xml:space="preserve"> compared with current treatment and uncertain cost effectiveness compared to placebo. </w:t>
            </w:r>
          </w:p>
          <w:p w:rsidR="00D36FC6" w:rsidRPr="00D36FC6" w:rsidRDefault="00D36FC6" w:rsidP="00D36FC6">
            <w:pPr>
              <w:pStyle w:val="ListParagraph"/>
              <w:ind w:left="177"/>
              <w:rPr>
                <w:rFonts w:ascii="Arial" w:hAnsi="Arial" w:cs="Arial"/>
                <w:iCs/>
                <w:sz w:val="20"/>
                <w:szCs w:val="20"/>
              </w:rPr>
            </w:pPr>
          </w:p>
          <w:p w:rsidR="00D36FC6" w:rsidRPr="00D36FC6" w:rsidRDefault="00D36FC6" w:rsidP="00D36FC6">
            <w:pPr>
              <w:pStyle w:val="ListParagraph"/>
              <w:ind w:left="177"/>
              <w:rPr>
                <w:rFonts w:ascii="Arial" w:hAnsi="Arial" w:cs="Arial"/>
                <w:iCs/>
                <w:sz w:val="20"/>
                <w:szCs w:val="20"/>
              </w:rPr>
            </w:pPr>
            <w:r w:rsidRPr="00D36FC6">
              <w:rPr>
                <w:rFonts w:ascii="Arial" w:hAnsi="Arial" w:cs="Arial"/>
                <w:iCs/>
                <w:sz w:val="20"/>
                <w:szCs w:val="20"/>
              </w:rPr>
              <w:t>The PBAC considered that the clinical trials presented in the submission did not accurately reflect the context of the use being proposed</w:t>
            </w:r>
            <w:r w:rsidR="00D74B2B">
              <w:rPr>
                <w:rFonts w:ascii="Arial" w:hAnsi="Arial" w:cs="Arial"/>
                <w:iCs/>
                <w:sz w:val="20"/>
                <w:szCs w:val="20"/>
              </w:rPr>
              <w:t xml:space="preserve">, </w:t>
            </w:r>
            <w:r w:rsidR="00D74B2B" w:rsidRPr="00D36FC6">
              <w:rPr>
                <w:rFonts w:ascii="Arial" w:hAnsi="Arial" w:cs="Arial"/>
                <w:iCs/>
                <w:sz w:val="20"/>
                <w:szCs w:val="20"/>
              </w:rPr>
              <w:t>treatment for patients who have not achieved adequate response to corticosteroid therapy and immunomodulatory therapy</w:t>
            </w:r>
            <w:r w:rsidR="00FC47F2">
              <w:rPr>
                <w:rFonts w:ascii="Arial" w:hAnsi="Arial" w:cs="Arial"/>
                <w:iCs/>
                <w:sz w:val="20"/>
                <w:szCs w:val="20"/>
              </w:rPr>
              <w:t>.</w:t>
            </w:r>
            <w:r w:rsidRPr="00D36FC6">
              <w:rPr>
                <w:rFonts w:ascii="Arial" w:hAnsi="Arial" w:cs="Arial"/>
                <w:iCs/>
                <w:sz w:val="20"/>
                <w:szCs w:val="20"/>
              </w:rPr>
              <w:t xml:space="preserve"> Furthermore, the clinical relevance of measures used to define uveitic flares and its relationship to the development of ocular complications was not clearly defined so conclusions about adalimumab’s clinical impact could not be made.</w:t>
            </w:r>
          </w:p>
          <w:p w:rsidR="00D36FC6" w:rsidRPr="00D36FC6" w:rsidRDefault="00D36FC6" w:rsidP="00D36FC6">
            <w:pPr>
              <w:pStyle w:val="ListParagraph"/>
              <w:ind w:left="177"/>
              <w:rPr>
                <w:rFonts w:ascii="Arial" w:hAnsi="Arial" w:cs="Arial"/>
                <w:iCs/>
                <w:sz w:val="20"/>
                <w:szCs w:val="20"/>
              </w:rPr>
            </w:pPr>
          </w:p>
          <w:p w:rsidR="00D36FC6" w:rsidRPr="00D36FC6" w:rsidRDefault="00D36FC6" w:rsidP="00D36FC6">
            <w:pPr>
              <w:pStyle w:val="ListParagraph"/>
              <w:ind w:left="177"/>
              <w:rPr>
                <w:rFonts w:ascii="Arial" w:hAnsi="Arial" w:cs="Arial"/>
                <w:iCs/>
                <w:sz w:val="20"/>
                <w:szCs w:val="20"/>
              </w:rPr>
            </w:pPr>
            <w:r w:rsidRPr="00D36FC6">
              <w:rPr>
                <w:rFonts w:ascii="Arial" w:hAnsi="Arial" w:cs="Arial"/>
                <w:iCs/>
                <w:sz w:val="20"/>
                <w:szCs w:val="20"/>
              </w:rPr>
              <w:t>On the basis of the direct evidence from the VISUAL I trial presented in the submission, treatment with adalimumab compared with placebo resulted in a median of 2.6 months longer time to treatment failure (worsening of inflammatory markers in the eye or of visual acuity) for patients with active inflammatory disease at baseline. On the basis of the direct evidence from the VISUAL II trial treatment with adalimumab compared with placebo resulted in a statistically significantly longer time to treatment failure (worsening of inflammatory markers in the eye or of visual acuity) for patients with controlled disease requiring relatively high doses of oral corticosteroids to maintain remission.</w:t>
            </w:r>
          </w:p>
          <w:p w:rsidR="00D36FC6" w:rsidRPr="00D36FC6" w:rsidRDefault="00D36FC6" w:rsidP="00D36FC6">
            <w:pPr>
              <w:pStyle w:val="ListParagraph"/>
              <w:ind w:left="177"/>
              <w:rPr>
                <w:rFonts w:ascii="Arial" w:hAnsi="Arial" w:cs="Arial"/>
                <w:iCs/>
                <w:sz w:val="20"/>
                <w:szCs w:val="20"/>
              </w:rPr>
            </w:pPr>
          </w:p>
          <w:p w:rsidR="00D36FC6" w:rsidRDefault="00D36FC6" w:rsidP="00D36FC6">
            <w:pPr>
              <w:pStyle w:val="ListParagraph"/>
              <w:ind w:left="177"/>
              <w:rPr>
                <w:rFonts w:ascii="Arial" w:hAnsi="Arial" w:cs="Arial"/>
                <w:iCs/>
                <w:sz w:val="20"/>
                <w:szCs w:val="20"/>
              </w:rPr>
            </w:pPr>
            <w:r w:rsidRPr="00D36FC6">
              <w:rPr>
                <w:rFonts w:ascii="Arial" w:hAnsi="Arial" w:cs="Arial"/>
                <w:iCs/>
                <w:sz w:val="20"/>
                <w:szCs w:val="20"/>
              </w:rPr>
              <w:t>The PBAC considered that due to</w:t>
            </w:r>
            <w:r w:rsidR="00D74B2B">
              <w:rPr>
                <w:rFonts w:ascii="Arial" w:hAnsi="Arial" w:cs="Arial"/>
                <w:iCs/>
                <w:sz w:val="20"/>
                <w:szCs w:val="20"/>
              </w:rPr>
              <w:t xml:space="preserve"> a range of </w:t>
            </w:r>
            <w:r w:rsidRPr="00D36FC6">
              <w:rPr>
                <w:rFonts w:ascii="Arial" w:hAnsi="Arial" w:cs="Arial"/>
                <w:iCs/>
                <w:sz w:val="20"/>
                <w:szCs w:val="20"/>
              </w:rPr>
              <w:t xml:space="preserve">issues with the economic model, </w:t>
            </w:r>
            <w:r w:rsidR="00D74B2B">
              <w:rPr>
                <w:rFonts w:ascii="Arial" w:hAnsi="Arial" w:cs="Arial"/>
                <w:iCs/>
                <w:sz w:val="20"/>
                <w:szCs w:val="20"/>
              </w:rPr>
              <w:t xml:space="preserve">the </w:t>
            </w:r>
            <w:r w:rsidR="00D74B2B" w:rsidRPr="00D74B2B">
              <w:rPr>
                <w:rFonts w:ascii="Arial" w:hAnsi="Arial" w:cs="Arial"/>
                <w:iCs/>
                <w:sz w:val="20"/>
                <w:szCs w:val="20"/>
              </w:rPr>
              <w:t xml:space="preserve">PBAC was unable to judge the </w:t>
            </w:r>
            <w:r w:rsidR="00D74B2B">
              <w:rPr>
                <w:rFonts w:ascii="Arial" w:hAnsi="Arial" w:cs="Arial"/>
                <w:iCs/>
                <w:sz w:val="20"/>
                <w:szCs w:val="20"/>
              </w:rPr>
              <w:t>cost-effectiveness</w:t>
            </w:r>
            <w:r w:rsidR="00D74B2B" w:rsidRPr="00D74B2B">
              <w:rPr>
                <w:rFonts w:ascii="Arial" w:hAnsi="Arial" w:cs="Arial"/>
                <w:iCs/>
                <w:sz w:val="20"/>
                <w:szCs w:val="20"/>
              </w:rPr>
              <w:t xml:space="preserve"> of the submission’s proposed listing</w:t>
            </w:r>
            <w:r w:rsidR="00FC47F2">
              <w:rPr>
                <w:rFonts w:ascii="Arial" w:hAnsi="Arial" w:cs="Arial"/>
                <w:iCs/>
                <w:sz w:val="20"/>
                <w:szCs w:val="20"/>
              </w:rPr>
              <w:t>.</w:t>
            </w:r>
            <w:r w:rsidR="00D74B2B" w:rsidRPr="00D74B2B" w:rsidDel="00D74B2B">
              <w:rPr>
                <w:rFonts w:ascii="Arial" w:hAnsi="Arial" w:cs="Arial"/>
                <w:iCs/>
                <w:sz w:val="20"/>
                <w:szCs w:val="20"/>
              </w:rPr>
              <w:t xml:space="preserve"> </w:t>
            </w:r>
          </w:p>
          <w:p w:rsidR="00FC47F2" w:rsidRPr="00D36FC6" w:rsidRDefault="00FC47F2" w:rsidP="00D36FC6">
            <w:pPr>
              <w:pStyle w:val="ListParagraph"/>
              <w:ind w:left="177"/>
              <w:rPr>
                <w:rFonts w:ascii="Arial" w:hAnsi="Arial" w:cs="Arial"/>
                <w:iCs/>
                <w:sz w:val="20"/>
                <w:szCs w:val="20"/>
              </w:rPr>
            </w:pPr>
          </w:p>
          <w:p w:rsidR="00BA41EF" w:rsidRPr="00BA41EF" w:rsidRDefault="00D36FC6" w:rsidP="00BA41EF">
            <w:pPr>
              <w:pStyle w:val="ListParagraph"/>
              <w:ind w:left="177"/>
              <w:rPr>
                <w:rFonts w:ascii="Arial" w:hAnsi="Arial" w:cs="Arial"/>
                <w:iCs/>
                <w:sz w:val="20"/>
                <w:szCs w:val="20"/>
              </w:rPr>
            </w:pPr>
            <w:r w:rsidRPr="00D36FC6">
              <w:rPr>
                <w:rFonts w:ascii="Arial" w:hAnsi="Arial" w:cs="Arial"/>
                <w:iCs/>
                <w:sz w:val="20"/>
                <w:szCs w:val="20"/>
              </w:rPr>
              <w:t xml:space="preserve">The PBAC </w:t>
            </w:r>
            <w:r w:rsidR="00A46321">
              <w:rPr>
                <w:rFonts w:ascii="Arial" w:hAnsi="Arial" w:cs="Arial"/>
                <w:iCs/>
                <w:sz w:val="20"/>
                <w:szCs w:val="20"/>
              </w:rPr>
              <w:t xml:space="preserve">acknowledged </w:t>
            </w:r>
            <w:r w:rsidRPr="00D36FC6">
              <w:rPr>
                <w:rFonts w:ascii="Arial" w:hAnsi="Arial" w:cs="Arial"/>
                <w:iCs/>
                <w:sz w:val="20"/>
                <w:szCs w:val="20"/>
              </w:rPr>
              <w:t>there was high clinical need for additional effective treatment options for patients who have not achieved adequate response to corticosteroid therapy and immunomodulatory therapy.</w:t>
            </w:r>
          </w:p>
        </w:tc>
      </w:tr>
      <w:tr w:rsidR="00EE5CF4" w:rsidRPr="00395B97" w:rsidTr="00AF6ADE">
        <w:trPr>
          <w:cantSplit/>
          <w:trHeight w:val="817"/>
        </w:trPr>
        <w:tc>
          <w:tcPr>
            <w:tcW w:w="2694" w:type="dxa"/>
            <w:vMerge/>
            <w:tcMar>
              <w:top w:w="28" w:type="dxa"/>
              <w:bottom w:w="28" w:type="dxa"/>
            </w:tcMar>
          </w:tcPr>
          <w:p w:rsidR="00EE5CF4" w:rsidRPr="001B610C" w:rsidRDefault="00EE5CF4" w:rsidP="00AF6ADE">
            <w:pPr>
              <w:rPr>
                <w:rFonts w:ascii="Arial" w:hAnsi="Arial" w:cs="Arial"/>
                <w:color w:val="000000"/>
              </w:rPr>
            </w:pPr>
          </w:p>
        </w:tc>
        <w:tc>
          <w:tcPr>
            <w:tcW w:w="2409" w:type="dxa"/>
            <w:vMerge/>
          </w:tcPr>
          <w:p w:rsidR="00EE5CF4" w:rsidRDefault="00EE5CF4" w:rsidP="00AF6ADE">
            <w:pPr>
              <w:rPr>
                <w:rFonts w:ascii="Arial" w:hAnsi="Arial" w:cs="Arial"/>
                <w:color w:val="000000"/>
              </w:rPr>
            </w:pPr>
          </w:p>
        </w:tc>
        <w:tc>
          <w:tcPr>
            <w:tcW w:w="3261" w:type="dxa"/>
            <w:tcMar>
              <w:top w:w="28" w:type="dxa"/>
              <w:bottom w:w="28" w:type="dxa"/>
            </w:tcMar>
          </w:tcPr>
          <w:p w:rsidR="00EE5CF4" w:rsidRPr="00F04ACC" w:rsidRDefault="007A68F5" w:rsidP="007A68F5">
            <w:pPr>
              <w:jc w:val="right"/>
              <w:rPr>
                <w:rFonts w:ascii="Arial" w:eastAsia="SimSun" w:hAnsi="Arial" w:cs="Arial"/>
                <w:iCs/>
              </w:rPr>
            </w:pPr>
            <w:r w:rsidRPr="00F04ACC">
              <w:rPr>
                <w:rFonts w:ascii="Arial" w:eastAsia="SimSun" w:hAnsi="Arial" w:cs="Arial"/>
                <w:iCs/>
              </w:rPr>
              <w:t>Sponsor Comment:</w:t>
            </w:r>
          </w:p>
        </w:tc>
        <w:tc>
          <w:tcPr>
            <w:tcW w:w="6947" w:type="dxa"/>
          </w:tcPr>
          <w:p w:rsidR="00EE5CF4" w:rsidRPr="00F04ACC" w:rsidRDefault="00F04ACC" w:rsidP="00321B24">
            <w:pPr>
              <w:rPr>
                <w:rFonts w:ascii="Arial" w:eastAsia="SimSun" w:hAnsi="Arial" w:cs="Arial"/>
                <w:iCs/>
              </w:rPr>
            </w:pPr>
            <w:proofErr w:type="spellStart"/>
            <w:r>
              <w:rPr>
                <w:rFonts w:ascii="Arial" w:eastAsia="SimSun" w:hAnsi="Arial" w:cs="Arial"/>
                <w:iCs/>
              </w:rPr>
              <w:t>A</w:t>
            </w:r>
            <w:r w:rsidRPr="00F04ACC">
              <w:rPr>
                <w:rFonts w:ascii="Arial" w:eastAsia="SimSun" w:hAnsi="Arial" w:cs="Arial"/>
                <w:iCs/>
              </w:rPr>
              <w:t>bbVie</w:t>
            </w:r>
            <w:proofErr w:type="spellEnd"/>
            <w:r w:rsidRPr="00F04ACC">
              <w:rPr>
                <w:rFonts w:ascii="Arial" w:eastAsia="SimSun" w:hAnsi="Arial" w:cs="Arial"/>
                <w:iCs/>
              </w:rPr>
              <w:t xml:space="preserve"> welcomes the PBAC’s acknowledgement of the unmet clinical need for an effective treatment for patients with non-infectious intermediate, posterior or pan-</w:t>
            </w:r>
            <w:proofErr w:type="gramStart"/>
            <w:r w:rsidRPr="00F04ACC">
              <w:rPr>
                <w:rFonts w:ascii="Arial" w:eastAsia="SimSun" w:hAnsi="Arial" w:cs="Arial"/>
                <w:iCs/>
              </w:rPr>
              <w:t>uveitis,</w:t>
            </w:r>
            <w:proofErr w:type="gramEnd"/>
            <w:r w:rsidRPr="00F04ACC">
              <w:rPr>
                <w:rFonts w:ascii="Arial" w:eastAsia="SimSun" w:hAnsi="Arial" w:cs="Arial"/>
                <w:iCs/>
              </w:rPr>
              <w:t xml:space="preserve"> however is disappointed in the PBAC’s decision to reject the adalimumab submission for this condition. </w:t>
            </w:r>
            <w:proofErr w:type="spellStart"/>
            <w:r w:rsidRPr="00F04ACC">
              <w:rPr>
                <w:rFonts w:ascii="Arial" w:eastAsia="SimSun" w:hAnsi="Arial" w:cs="Arial"/>
                <w:iCs/>
              </w:rPr>
              <w:t>Abbvie</w:t>
            </w:r>
            <w:proofErr w:type="spellEnd"/>
            <w:r w:rsidRPr="00F04ACC">
              <w:rPr>
                <w:rFonts w:ascii="Arial" w:eastAsia="SimSun" w:hAnsi="Arial" w:cs="Arial"/>
                <w:iCs/>
              </w:rPr>
              <w:t xml:space="preserve"> will consider how it is able to respond to t</w:t>
            </w:r>
            <w:r>
              <w:rPr>
                <w:rFonts w:ascii="Arial" w:eastAsia="SimSun" w:hAnsi="Arial" w:cs="Arial"/>
                <w:iCs/>
              </w:rPr>
              <w:t>he queries raised by the PBAC.</w:t>
            </w:r>
          </w:p>
        </w:tc>
      </w:tr>
      <w:tr w:rsidR="00EE5CF4" w:rsidRPr="00395B97" w:rsidTr="00EE5CF4">
        <w:trPr>
          <w:cantSplit/>
          <w:trHeight w:val="2021"/>
        </w:trPr>
        <w:tc>
          <w:tcPr>
            <w:tcW w:w="2694" w:type="dxa"/>
            <w:vMerge w:val="restart"/>
            <w:tcMar>
              <w:top w:w="28" w:type="dxa"/>
              <w:bottom w:w="28" w:type="dxa"/>
            </w:tcMar>
          </w:tcPr>
          <w:p w:rsidR="00EE5CF4" w:rsidRDefault="00EE5CF4" w:rsidP="00AF6ADE">
            <w:pPr>
              <w:rPr>
                <w:rFonts w:ascii="Arial" w:hAnsi="Arial" w:cs="Arial"/>
                <w:color w:val="000000"/>
              </w:rPr>
            </w:pPr>
            <w:r w:rsidRPr="009B466F">
              <w:rPr>
                <w:rFonts w:ascii="Arial" w:hAnsi="Arial" w:cs="Arial"/>
                <w:color w:val="000000"/>
              </w:rPr>
              <w:t>EMPAGLIFLOZIN WITH LINAGLIPTIN</w:t>
            </w:r>
          </w:p>
          <w:p w:rsidR="00EE5CF4" w:rsidRDefault="00EE5CF4" w:rsidP="00AF6ADE">
            <w:pPr>
              <w:rPr>
                <w:rFonts w:ascii="Arial" w:hAnsi="Arial" w:cs="Arial"/>
                <w:color w:val="000000"/>
              </w:rPr>
            </w:pPr>
          </w:p>
          <w:p w:rsidR="00EE5CF4" w:rsidRPr="009B466F" w:rsidRDefault="00EE5CF4" w:rsidP="00AF6ADE">
            <w:pPr>
              <w:rPr>
                <w:rFonts w:ascii="Arial" w:hAnsi="Arial" w:cs="Arial"/>
                <w:color w:val="000000"/>
              </w:rPr>
            </w:pPr>
            <w:r>
              <w:rPr>
                <w:rFonts w:ascii="Arial" w:hAnsi="Arial" w:cs="Arial"/>
                <w:color w:val="000000"/>
              </w:rPr>
              <w:t>T</w:t>
            </w:r>
            <w:r w:rsidRPr="009B466F">
              <w:rPr>
                <w:rFonts w:ascii="Arial" w:hAnsi="Arial" w:cs="Arial"/>
                <w:color w:val="000000"/>
              </w:rPr>
              <w:t>ablet containing 10 mg empa</w:t>
            </w:r>
            <w:r>
              <w:rPr>
                <w:rFonts w:ascii="Arial" w:hAnsi="Arial" w:cs="Arial"/>
                <w:color w:val="000000"/>
              </w:rPr>
              <w:t>gliflozin with 5 mg linagliptin</w:t>
            </w:r>
          </w:p>
          <w:p w:rsidR="00EE5CF4" w:rsidRDefault="00EE5CF4" w:rsidP="00AF6ADE">
            <w:pPr>
              <w:rPr>
                <w:rFonts w:ascii="Arial" w:hAnsi="Arial" w:cs="Arial"/>
                <w:color w:val="000000"/>
              </w:rPr>
            </w:pPr>
            <w:r>
              <w:rPr>
                <w:rFonts w:ascii="Arial" w:hAnsi="Arial" w:cs="Arial"/>
                <w:color w:val="000000"/>
              </w:rPr>
              <w:t>T</w:t>
            </w:r>
            <w:r w:rsidRPr="009B466F">
              <w:rPr>
                <w:rFonts w:ascii="Arial" w:hAnsi="Arial" w:cs="Arial"/>
                <w:color w:val="000000"/>
              </w:rPr>
              <w:t>ablet containing 25 mg empagliflozin with 5 mg linagliptin</w:t>
            </w:r>
          </w:p>
          <w:p w:rsidR="00EE5CF4" w:rsidRDefault="00EE5CF4" w:rsidP="00AF6ADE">
            <w:pPr>
              <w:rPr>
                <w:rFonts w:ascii="Arial" w:hAnsi="Arial" w:cs="Arial"/>
                <w:color w:val="000000"/>
              </w:rPr>
            </w:pPr>
          </w:p>
          <w:p w:rsidR="00EE5CF4" w:rsidRDefault="00EE5CF4" w:rsidP="00AF6ADE">
            <w:pPr>
              <w:rPr>
                <w:rFonts w:ascii="Arial" w:hAnsi="Arial" w:cs="Arial"/>
                <w:color w:val="000000"/>
              </w:rPr>
            </w:pPr>
            <w:r>
              <w:rPr>
                <w:rFonts w:ascii="Arial" w:hAnsi="Arial" w:cs="Arial"/>
                <w:color w:val="000000"/>
              </w:rPr>
              <w:t>Glyxambi®</w:t>
            </w:r>
          </w:p>
          <w:p w:rsidR="00EE5CF4" w:rsidRDefault="00EE5CF4" w:rsidP="00AF6ADE">
            <w:pPr>
              <w:rPr>
                <w:rFonts w:ascii="Arial" w:hAnsi="Arial" w:cs="Arial"/>
                <w:color w:val="000000"/>
              </w:rPr>
            </w:pPr>
          </w:p>
          <w:p w:rsidR="00EE5CF4" w:rsidRDefault="00EE5CF4" w:rsidP="00AF6ADE">
            <w:pPr>
              <w:rPr>
                <w:rFonts w:ascii="Arial" w:hAnsi="Arial" w:cs="Arial"/>
                <w:color w:val="000000"/>
              </w:rPr>
            </w:pPr>
            <w:r>
              <w:rPr>
                <w:rFonts w:ascii="Arial" w:hAnsi="Arial" w:cs="Arial"/>
                <w:color w:val="000000"/>
              </w:rPr>
              <w:t>Boehringer Ingelheim Pty Ltd</w:t>
            </w:r>
          </w:p>
          <w:p w:rsidR="00AB756D" w:rsidRDefault="00AB756D" w:rsidP="00AF6ADE">
            <w:pPr>
              <w:rPr>
                <w:rFonts w:ascii="Arial" w:hAnsi="Arial" w:cs="Arial"/>
                <w:color w:val="000000"/>
              </w:rPr>
            </w:pPr>
          </w:p>
          <w:p w:rsidR="00AB756D" w:rsidRDefault="00AB756D" w:rsidP="00AF6ADE">
            <w:pPr>
              <w:rPr>
                <w:rFonts w:ascii="Arial" w:hAnsi="Arial" w:cs="Arial"/>
                <w:color w:val="000000"/>
              </w:rPr>
            </w:pPr>
            <w:r>
              <w:rPr>
                <w:rFonts w:ascii="Arial" w:hAnsi="Arial" w:cs="Arial"/>
                <w:color w:val="000000"/>
              </w:rPr>
              <w:t>New Listing</w:t>
            </w:r>
          </w:p>
          <w:p w:rsidR="00AB756D" w:rsidRDefault="00AB756D" w:rsidP="00AF6ADE">
            <w:pPr>
              <w:rPr>
                <w:rFonts w:ascii="Arial" w:hAnsi="Arial" w:cs="Arial"/>
                <w:color w:val="000000"/>
              </w:rPr>
            </w:pPr>
          </w:p>
          <w:p w:rsidR="00AB756D" w:rsidRPr="00E82449" w:rsidRDefault="00AB756D" w:rsidP="00AB756D">
            <w:pPr>
              <w:rPr>
                <w:rFonts w:ascii="Arial" w:hAnsi="Arial" w:cs="Arial"/>
                <w:color w:val="000000"/>
              </w:rPr>
            </w:pPr>
            <w:r>
              <w:rPr>
                <w:rFonts w:ascii="Arial" w:hAnsi="Arial" w:cs="Arial"/>
                <w:color w:val="000000"/>
              </w:rPr>
              <w:t>(Major Submission)</w:t>
            </w:r>
          </w:p>
        </w:tc>
        <w:tc>
          <w:tcPr>
            <w:tcW w:w="2409" w:type="dxa"/>
            <w:vMerge w:val="restart"/>
          </w:tcPr>
          <w:p w:rsidR="00EE5CF4" w:rsidRPr="00E82449" w:rsidRDefault="00EE5CF4" w:rsidP="00AF6ADE">
            <w:pPr>
              <w:rPr>
                <w:rFonts w:ascii="Arial" w:hAnsi="Arial" w:cs="Arial"/>
                <w:color w:val="000000"/>
              </w:rPr>
            </w:pPr>
            <w:r w:rsidRPr="009B466F">
              <w:rPr>
                <w:rFonts w:ascii="Arial" w:hAnsi="Arial" w:cs="Arial"/>
                <w:color w:val="000000"/>
              </w:rPr>
              <w:t>Type 2 diabetes</w:t>
            </w:r>
          </w:p>
        </w:tc>
        <w:tc>
          <w:tcPr>
            <w:tcW w:w="3261" w:type="dxa"/>
            <w:tcMar>
              <w:top w:w="28" w:type="dxa"/>
              <w:bottom w:w="28" w:type="dxa"/>
            </w:tcMar>
          </w:tcPr>
          <w:p w:rsidR="00EE5CF4" w:rsidRPr="00E82449" w:rsidRDefault="00EE5CF4" w:rsidP="00AF6ADE">
            <w:pPr>
              <w:rPr>
                <w:rFonts w:ascii="Arial" w:hAnsi="Arial" w:cs="Arial"/>
                <w:color w:val="000000"/>
              </w:rPr>
            </w:pPr>
            <w:r w:rsidRPr="009B466F">
              <w:rPr>
                <w:rFonts w:ascii="Arial" w:hAnsi="Arial" w:cs="Arial"/>
                <w:color w:val="000000"/>
              </w:rPr>
              <w:t xml:space="preserve">To request an Authority Required (STREAMLINED) listing for use as add-on </w:t>
            </w:r>
            <w:r>
              <w:rPr>
                <w:rFonts w:ascii="Arial" w:hAnsi="Arial" w:cs="Arial"/>
                <w:color w:val="000000"/>
              </w:rPr>
              <w:t xml:space="preserve">therapy </w:t>
            </w:r>
            <w:r w:rsidRPr="009B466F">
              <w:rPr>
                <w:rFonts w:ascii="Arial" w:hAnsi="Arial" w:cs="Arial"/>
                <w:color w:val="000000"/>
              </w:rPr>
              <w:t>to metformin for the treatment of diabetes mellitus type 2.</w:t>
            </w:r>
          </w:p>
        </w:tc>
        <w:tc>
          <w:tcPr>
            <w:tcW w:w="6947" w:type="dxa"/>
          </w:tcPr>
          <w:p w:rsidR="00C56391" w:rsidRDefault="00AF6ADE" w:rsidP="00C56391">
            <w:r w:rsidRPr="00AF6ADE">
              <w:rPr>
                <w:rFonts w:ascii="Arial" w:hAnsi="Arial" w:cs="Arial"/>
                <w:bCs/>
                <w:lang w:val="en-GB"/>
              </w:rPr>
              <w:t xml:space="preserve">The PBAC </w:t>
            </w:r>
            <w:r w:rsidRPr="00AF6ADE">
              <w:rPr>
                <w:rFonts w:ascii="Arial" w:hAnsi="Arial" w:cs="Arial"/>
                <w:bCs/>
                <w:szCs w:val="22"/>
                <w:lang w:val="en-GB"/>
              </w:rPr>
              <w:t xml:space="preserve">did not recommend listing </w:t>
            </w:r>
            <w:r w:rsidRPr="00AF6ADE">
              <w:rPr>
                <w:rFonts w:ascii="Arial" w:hAnsi="Arial" w:cs="Arial"/>
                <w:szCs w:val="22"/>
              </w:rPr>
              <w:t xml:space="preserve">empagliflozin (25 mg or 10 mg) + linagliptin 5 mg </w:t>
            </w:r>
            <w:r w:rsidRPr="00AF6ADE">
              <w:rPr>
                <w:rFonts w:ascii="Arial" w:hAnsi="Arial" w:cs="Arial"/>
                <w:bCs/>
                <w:szCs w:val="22"/>
                <w:lang w:val="en-GB"/>
              </w:rPr>
              <w:t xml:space="preserve">fixed dose combination tablet (FDC) </w:t>
            </w:r>
            <w:r w:rsidRPr="00AF6ADE">
              <w:rPr>
                <w:rFonts w:ascii="Arial" w:hAnsi="Arial" w:cs="Arial"/>
                <w:szCs w:val="22"/>
              </w:rPr>
              <w:t>in combination with metformin</w:t>
            </w:r>
            <w:r w:rsidRPr="00AF6ADE">
              <w:rPr>
                <w:rFonts w:ascii="Arial" w:hAnsi="Arial" w:cs="Arial"/>
                <w:bCs/>
                <w:szCs w:val="22"/>
                <w:lang w:val="en-GB"/>
              </w:rPr>
              <w:t xml:space="preserve"> </w:t>
            </w:r>
            <w:r w:rsidRPr="00AF6ADE">
              <w:rPr>
                <w:rFonts w:ascii="Arial" w:hAnsi="Arial" w:cs="Arial"/>
              </w:rPr>
              <w:t xml:space="preserve">for treatment of type 2 diabetes mellitus (T2DM) </w:t>
            </w:r>
            <w:r w:rsidRPr="00AF6ADE">
              <w:rPr>
                <w:rFonts w:ascii="Arial" w:hAnsi="Arial" w:cs="Arial"/>
                <w:bCs/>
                <w:szCs w:val="22"/>
                <w:lang w:val="en-GB"/>
              </w:rPr>
              <w:t xml:space="preserve">on the PBS. </w:t>
            </w:r>
            <w:r w:rsidR="00C0313B">
              <w:rPr>
                <w:rFonts w:ascii="Arial" w:hAnsi="Arial" w:cs="Arial"/>
              </w:rPr>
              <w:t>The PBAC judge</w:t>
            </w:r>
            <w:r w:rsidR="00FC47F2">
              <w:rPr>
                <w:rFonts w:ascii="Arial" w:hAnsi="Arial" w:cs="Arial"/>
              </w:rPr>
              <w:t>s the</w:t>
            </w:r>
            <w:r w:rsidR="00C0313B">
              <w:rPr>
                <w:rFonts w:ascii="Arial" w:hAnsi="Arial" w:cs="Arial"/>
              </w:rPr>
              <w:t xml:space="preserve"> merit of funding drugs on </w:t>
            </w:r>
            <w:r w:rsidR="00FC47F2">
              <w:rPr>
                <w:rFonts w:ascii="Arial" w:hAnsi="Arial" w:cs="Arial"/>
              </w:rPr>
              <w:t xml:space="preserve">the </w:t>
            </w:r>
            <w:r w:rsidR="00C0313B">
              <w:rPr>
                <w:rFonts w:ascii="Arial" w:hAnsi="Arial" w:cs="Arial"/>
              </w:rPr>
              <w:t xml:space="preserve">basis of comparative effectiveness and cost-effectiveness to current funded treatments. Patients </w:t>
            </w:r>
            <w:r w:rsidR="00C0313B">
              <w:rPr>
                <w:rFonts w:ascii="Arial" w:hAnsi="Arial" w:cs="Arial"/>
                <w:color w:val="000000"/>
              </w:rPr>
              <w:t xml:space="preserve">with </w:t>
            </w:r>
            <w:r w:rsidR="00C0313B" w:rsidRPr="009B466F">
              <w:rPr>
                <w:rFonts w:ascii="Arial" w:hAnsi="Arial" w:cs="Arial"/>
                <w:color w:val="000000"/>
              </w:rPr>
              <w:t>diabetes mellitus type 2</w:t>
            </w:r>
            <w:r w:rsidR="00C0313B">
              <w:rPr>
                <w:rFonts w:ascii="Arial" w:hAnsi="Arial" w:cs="Arial"/>
                <w:color w:val="000000"/>
              </w:rPr>
              <w:t xml:space="preserve"> can currently access a number of different treatments. </w:t>
            </w:r>
            <w:r w:rsidR="00C56391">
              <w:rPr>
                <w:rFonts w:ascii="Arial" w:hAnsi="Arial" w:cs="Arial"/>
              </w:rPr>
              <w:t xml:space="preserve">Overall, the submission did not provide convincing data that </w:t>
            </w:r>
            <w:r w:rsidR="00C56391" w:rsidRPr="00AF6ADE">
              <w:rPr>
                <w:rFonts w:ascii="Arial" w:hAnsi="Arial" w:cs="Arial"/>
                <w:szCs w:val="22"/>
              </w:rPr>
              <w:t xml:space="preserve">empagliflozin (25 mg or 10 mg) + linagliptin 5 mg </w:t>
            </w:r>
            <w:r w:rsidR="00C56391">
              <w:rPr>
                <w:rFonts w:ascii="Arial" w:hAnsi="Arial" w:cs="Arial"/>
                <w:bCs/>
                <w:szCs w:val="22"/>
                <w:lang w:val="en-GB"/>
              </w:rPr>
              <w:t>FDC</w:t>
            </w:r>
            <w:r w:rsidR="00C56391" w:rsidRPr="00AF6ADE">
              <w:rPr>
                <w:rFonts w:ascii="Arial" w:hAnsi="Arial" w:cs="Arial"/>
                <w:bCs/>
                <w:szCs w:val="22"/>
                <w:lang w:val="en-GB"/>
              </w:rPr>
              <w:t xml:space="preserve"> </w:t>
            </w:r>
            <w:r w:rsidR="00C56391">
              <w:rPr>
                <w:rFonts w:ascii="Arial" w:hAnsi="Arial" w:cs="Arial"/>
              </w:rPr>
              <w:t xml:space="preserve">was sufficiently </w:t>
            </w:r>
            <w:r w:rsidR="00A371BB">
              <w:rPr>
                <w:rFonts w:ascii="Arial" w:hAnsi="Arial" w:cs="Arial"/>
              </w:rPr>
              <w:t>as</w:t>
            </w:r>
            <w:r w:rsidR="00C56391">
              <w:rPr>
                <w:rFonts w:ascii="Arial" w:hAnsi="Arial" w:cs="Arial"/>
              </w:rPr>
              <w:t xml:space="preserve"> effective or </w:t>
            </w:r>
            <w:r w:rsidR="00A371BB">
              <w:rPr>
                <w:rFonts w:ascii="Arial" w:hAnsi="Arial" w:cs="Arial"/>
              </w:rPr>
              <w:t xml:space="preserve">as </w:t>
            </w:r>
            <w:r w:rsidR="00C56391">
              <w:rPr>
                <w:rFonts w:ascii="Arial" w:hAnsi="Arial" w:cs="Arial"/>
              </w:rPr>
              <w:t>cost-effective as the current funded treatments nominated in the submission, so the PBAC was unable to judge the merit of the submission’s proposed listing.</w:t>
            </w:r>
          </w:p>
          <w:p w:rsidR="00FC47F2" w:rsidRDefault="00FC47F2" w:rsidP="00C56391">
            <w:pPr>
              <w:contextualSpacing/>
              <w:rPr>
                <w:rFonts w:ascii="Arial" w:hAnsi="Arial" w:cs="Arial"/>
                <w:bCs/>
                <w:szCs w:val="22"/>
                <w:lang w:val="en-GB"/>
              </w:rPr>
            </w:pPr>
          </w:p>
          <w:p w:rsidR="00EE5CF4" w:rsidRPr="00FC47F2" w:rsidRDefault="00C56391" w:rsidP="00FC47F2">
            <w:pPr>
              <w:rPr>
                <w:rFonts w:ascii="Arial" w:hAnsi="Arial" w:cs="Arial"/>
                <w:iCs/>
              </w:rPr>
            </w:pPr>
            <w:r w:rsidRPr="00FC47F2">
              <w:rPr>
                <w:rFonts w:ascii="Arial" w:hAnsi="Arial" w:cs="Arial"/>
              </w:rPr>
              <w:t>In addition</w:t>
            </w:r>
            <w:r w:rsidR="00AF6ADE" w:rsidRPr="00FC47F2">
              <w:rPr>
                <w:rFonts w:ascii="Arial" w:hAnsi="Arial" w:cs="Arial"/>
              </w:rPr>
              <w:t>, the PBAC considered that the requested restriction would not be implementable in practice</w:t>
            </w:r>
            <w:r w:rsidRPr="00FC47F2">
              <w:rPr>
                <w:rFonts w:ascii="Arial" w:hAnsi="Arial" w:cs="Arial"/>
              </w:rPr>
              <w:t xml:space="preserve"> and</w:t>
            </w:r>
            <w:r w:rsidR="00FC47F2" w:rsidRPr="00FC47F2">
              <w:rPr>
                <w:rFonts w:ascii="Arial" w:hAnsi="Arial" w:cs="Arial"/>
              </w:rPr>
              <w:t xml:space="preserve"> </w:t>
            </w:r>
            <w:r w:rsidR="00AF6ADE" w:rsidRPr="00FC47F2">
              <w:rPr>
                <w:rFonts w:ascii="Arial" w:hAnsi="Arial" w:cs="Arial"/>
              </w:rPr>
              <w:t xml:space="preserve">the clinical need and place in therapy were not well </w:t>
            </w:r>
            <w:r w:rsidRPr="00FC47F2">
              <w:rPr>
                <w:rFonts w:ascii="Arial" w:hAnsi="Arial" w:cs="Arial"/>
              </w:rPr>
              <w:t>define</w:t>
            </w:r>
            <w:r w:rsidR="00FC47F2">
              <w:rPr>
                <w:rFonts w:ascii="Arial" w:hAnsi="Arial" w:cs="Arial"/>
              </w:rPr>
              <w:t>d</w:t>
            </w:r>
            <w:r w:rsidRPr="00FC47F2">
              <w:rPr>
                <w:rFonts w:ascii="Arial" w:hAnsi="Arial" w:cs="Arial"/>
              </w:rPr>
              <w:t>.</w:t>
            </w:r>
            <w:r w:rsidRPr="00FC47F2" w:rsidDel="00C56391">
              <w:rPr>
                <w:rFonts w:ascii="Arial" w:hAnsi="Arial" w:cs="Arial"/>
                <w:bCs/>
                <w:szCs w:val="22"/>
                <w:lang w:val="en-GB"/>
              </w:rPr>
              <w:t xml:space="preserve"> </w:t>
            </w:r>
          </w:p>
        </w:tc>
      </w:tr>
      <w:tr w:rsidR="007A68F5" w:rsidRPr="00395B97" w:rsidTr="00AF6ADE">
        <w:trPr>
          <w:cantSplit/>
          <w:trHeight w:val="1225"/>
        </w:trPr>
        <w:tc>
          <w:tcPr>
            <w:tcW w:w="2694" w:type="dxa"/>
            <w:vMerge/>
            <w:tcMar>
              <w:top w:w="28" w:type="dxa"/>
              <w:bottom w:w="28" w:type="dxa"/>
            </w:tcMar>
          </w:tcPr>
          <w:p w:rsidR="007A68F5" w:rsidRPr="009B466F" w:rsidRDefault="007A68F5" w:rsidP="00AF6ADE">
            <w:pPr>
              <w:rPr>
                <w:rFonts w:ascii="Arial" w:hAnsi="Arial" w:cs="Arial"/>
                <w:color w:val="000000"/>
              </w:rPr>
            </w:pPr>
          </w:p>
        </w:tc>
        <w:tc>
          <w:tcPr>
            <w:tcW w:w="2409" w:type="dxa"/>
            <w:vMerge/>
          </w:tcPr>
          <w:p w:rsidR="007A68F5" w:rsidRPr="009B466F" w:rsidRDefault="007A68F5" w:rsidP="00AF6ADE">
            <w:pPr>
              <w:rPr>
                <w:rFonts w:ascii="Arial" w:hAnsi="Arial" w:cs="Arial"/>
                <w:color w:val="000000"/>
              </w:rPr>
            </w:pPr>
          </w:p>
        </w:tc>
        <w:tc>
          <w:tcPr>
            <w:tcW w:w="3261" w:type="dxa"/>
            <w:tcMar>
              <w:top w:w="28" w:type="dxa"/>
              <w:bottom w:w="28" w:type="dxa"/>
            </w:tcMar>
          </w:tcPr>
          <w:p w:rsidR="007A68F5" w:rsidRPr="00C879AB" w:rsidRDefault="007A68F5" w:rsidP="00AF6ADE">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7A68F5" w:rsidRPr="00D27958" w:rsidRDefault="00F04ACC" w:rsidP="00D27958">
            <w:pPr>
              <w:rPr>
                <w:rFonts w:ascii="Arial" w:hAnsi="Arial" w:cs="Arial"/>
                <w:iCs/>
              </w:rPr>
            </w:pPr>
            <w:r>
              <w:rPr>
                <w:rFonts w:ascii="Arial" w:hAnsi="Arial" w:cs="Arial"/>
                <w:iCs/>
              </w:rPr>
              <w:t>The sponsor had no comment.</w:t>
            </w:r>
          </w:p>
        </w:tc>
      </w:tr>
      <w:tr w:rsidR="005B313E" w:rsidRPr="00395B97" w:rsidTr="000757B3">
        <w:trPr>
          <w:trHeight w:val="1254"/>
        </w:trPr>
        <w:tc>
          <w:tcPr>
            <w:tcW w:w="2694" w:type="dxa"/>
            <w:vMerge w:val="restart"/>
            <w:tcMar>
              <w:top w:w="28" w:type="dxa"/>
              <w:bottom w:w="28" w:type="dxa"/>
            </w:tcMar>
          </w:tcPr>
          <w:p w:rsidR="005B313E" w:rsidRDefault="005B313E" w:rsidP="001B4966">
            <w:pPr>
              <w:rPr>
                <w:rFonts w:ascii="Arial" w:hAnsi="Arial" w:cs="Arial"/>
                <w:color w:val="000000"/>
              </w:rPr>
            </w:pPr>
            <w:r w:rsidRPr="006375DB">
              <w:rPr>
                <w:rFonts w:ascii="Arial" w:hAnsi="Arial" w:cs="Arial"/>
                <w:color w:val="000000"/>
              </w:rPr>
              <w:t>PALBOCICLIB</w:t>
            </w:r>
          </w:p>
          <w:p w:rsidR="005B313E" w:rsidRDefault="005B313E" w:rsidP="001B4966">
            <w:pPr>
              <w:rPr>
                <w:rFonts w:ascii="Arial" w:hAnsi="Arial" w:cs="Arial"/>
                <w:color w:val="000000"/>
              </w:rPr>
            </w:pPr>
          </w:p>
          <w:p w:rsidR="005B313E" w:rsidRPr="006375DB" w:rsidRDefault="005B313E" w:rsidP="001B4966">
            <w:pPr>
              <w:rPr>
                <w:rFonts w:ascii="Arial" w:hAnsi="Arial" w:cs="Arial"/>
                <w:color w:val="000000"/>
              </w:rPr>
            </w:pPr>
            <w:r>
              <w:rPr>
                <w:rFonts w:ascii="Arial" w:hAnsi="Arial" w:cs="Arial"/>
                <w:color w:val="000000"/>
              </w:rPr>
              <w:t>Capsule 75 mg</w:t>
            </w:r>
          </w:p>
          <w:p w:rsidR="005B313E" w:rsidRPr="006375DB" w:rsidRDefault="005B313E" w:rsidP="001B4966">
            <w:pPr>
              <w:rPr>
                <w:rFonts w:ascii="Arial" w:hAnsi="Arial" w:cs="Arial"/>
                <w:color w:val="000000"/>
              </w:rPr>
            </w:pPr>
            <w:r>
              <w:rPr>
                <w:rFonts w:ascii="Arial" w:hAnsi="Arial" w:cs="Arial"/>
                <w:color w:val="000000"/>
              </w:rPr>
              <w:t>C</w:t>
            </w:r>
            <w:r w:rsidRPr="006375DB">
              <w:rPr>
                <w:rFonts w:ascii="Arial" w:hAnsi="Arial" w:cs="Arial"/>
                <w:color w:val="000000"/>
              </w:rPr>
              <w:t xml:space="preserve">apsule 100 mg </w:t>
            </w:r>
          </w:p>
          <w:p w:rsidR="005B313E" w:rsidRDefault="005B313E" w:rsidP="001B4966">
            <w:pPr>
              <w:rPr>
                <w:rFonts w:ascii="Arial" w:hAnsi="Arial" w:cs="Arial"/>
                <w:color w:val="000000"/>
              </w:rPr>
            </w:pPr>
            <w:r>
              <w:rPr>
                <w:rFonts w:ascii="Arial" w:hAnsi="Arial" w:cs="Arial"/>
                <w:color w:val="000000"/>
              </w:rPr>
              <w:t>C</w:t>
            </w:r>
            <w:r w:rsidRPr="006375DB">
              <w:rPr>
                <w:rFonts w:ascii="Arial" w:hAnsi="Arial" w:cs="Arial"/>
                <w:color w:val="000000"/>
              </w:rPr>
              <w:t>apsule 125 mg</w:t>
            </w:r>
          </w:p>
          <w:p w:rsidR="005B313E" w:rsidRDefault="005B313E" w:rsidP="001B4966">
            <w:pPr>
              <w:rPr>
                <w:rFonts w:ascii="Arial" w:hAnsi="Arial" w:cs="Arial"/>
                <w:color w:val="000000"/>
              </w:rPr>
            </w:pPr>
          </w:p>
          <w:p w:rsidR="005B313E" w:rsidRDefault="005B313E" w:rsidP="001B4966">
            <w:pPr>
              <w:rPr>
                <w:rFonts w:ascii="Arial" w:hAnsi="Arial" w:cs="Arial"/>
                <w:color w:val="000000"/>
              </w:rPr>
            </w:pPr>
            <w:proofErr w:type="spellStart"/>
            <w:r w:rsidRPr="006375DB">
              <w:rPr>
                <w:rFonts w:ascii="Arial" w:hAnsi="Arial" w:cs="Arial"/>
                <w:color w:val="000000"/>
              </w:rPr>
              <w:t>Ibrance</w:t>
            </w:r>
            <w:proofErr w:type="spellEnd"/>
            <w:r>
              <w:rPr>
                <w:rFonts w:ascii="Arial" w:hAnsi="Arial" w:cs="Arial"/>
                <w:color w:val="000000"/>
              </w:rPr>
              <w:t>®</w:t>
            </w:r>
          </w:p>
          <w:p w:rsidR="005B313E" w:rsidRDefault="005B313E" w:rsidP="001B4966">
            <w:pPr>
              <w:rPr>
                <w:rFonts w:ascii="Arial" w:hAnsi="Arial" w:cs="Arial"/>
                <w:color w:val="000000"/>
              </w:rPr>
            </w:pPr>
          </w:p>
          <w:p w:rsidR="005B313E" w:rsidRPr="00E82449" w:rsidRDefault="005B313E" w:rsidP="001B4966">
            <w:pPr>
              <w:rPr>
                <w:rFonts w:ascii="Arial" w:hAnsi="Arial" w:cs="Arial"/>
                <w:color w:val="000000"/>
              </w:rPr>
            </w:pPr>
            <w:r w:rsidRPr="006375DB">
              <w:rPr>
                <w:rFonts w:ascii="Arial" w:hAnsi="Arial" w:cs="Arial"/>
                <w:color w:val="000000"/>
              </w:rPr>
              <w:t>Pfizer Australia Pty Ltd</w:t>
            </w:r>
          </w:p>
        </w:tc>
        <w:tc>
          <w:tcPr>
            <w:tcW w:w="2409" w:type="dxa"/>
            <w:vMerge w:val="restart"/>
          </w:tcPr>
          <w:p w:rsidR="005B313E" w:rsidRPr="00E82449" w:rsidRDefault="005B313E" w:rsidP="001B4966">
            <w:pPr>
              <w:rPr>
                <w:rFonts w:ascii="Arial" w:hAnsi="Arial" w:cs="Arial"/>
                <w:color w:val="000000"/>
              </w:rPr>
            </w:pPr>
            <w:r w:rsidRPr="006375DB">
              <w:rPr>
                <w:rFonts w:ascii="Arial" w:hAnsi="Arial" w:cs="Arial"/>
                <w:color w:val="000000"/>
              </w:rPr>
              <w:t>Hormone receptor positive, human epidermal growth factor receptor 2</w:t>
            </w:r>
            <w:r>
              <w:rPr>
                <w:rFonts w:ascii="Arial" w:hAnsi="Arial" w:cs="Arial"/>
                <w:color w:val="000000"/>
              </w:rPr>
              <w:t xml:space="preserve"> </w:t>
            </w:r>
            <w:r w:rsidRPr="006375DB">
              <w:rPr>
                <w:rFonts w:ascii="Arial" w:hAnsi="Arial" w:cs="Arial"/>
                <w:color w:val="000000"/>
              </w:rPr>
              <w:t>(HER2)-negative advanced breast cancer</w:t>
            </w:r>
          </w:p>
        </w:tc>
        <w:tc>
          <w:tcPr>
            <w:tcW w:w="3261" w:type="dxa"/>
            <w:tcMar>
              <w:top w:w="28" w:type="dxa"/>
              <w:bottom w:w="28" w:type="dxa"/>
            </w:tcMar>
          </w:tcPr>
          <w:p w:rsidR="005B313E" w:rsidRPr="00E82449" w:rsidRDefault="005B313E" w:rsidP="001B4966">
            <w:pPr>
              <w:rPr>
                <w:rFonts w:ascii="Arial" w:hAnsi="Arial" w:cs="Arial"/>
                <w:color w:val="000000"/>
              </w:rPr>
            </w:pPr>
            <w:r w:rsidRPr="006375DB">
              <w:rPr>
                <w:rFonts w:ascii="Arial" w:hAnsi="Arial" w:cs="Arial"/>
                <w:color w:val="000000"/>
              </w:rPr>
              <w:t xml:space="preserve">To request an Authority Required listing </w:t>
            </w:r>
            <w:r w:rsidRPr="002127A4">
              <w:rPr>
                <w:rFonts w:ascii="Arial" w:hAnsi="Arial" w:cs="Arial"/>
                <w:color w:val="000000"/>
              </w:rPr>
              <w:t>with a non-steroidal aromatase inhibitor (letrozole or anastrozole) as initial endocrine-based therapy in postmenopausal women with hormone receptor positive, HER2 negative advanced breast cancer.</w:t>
            </w:r>
          </w:p>
        </w:tc>
        <w:tc>
          <w:tcPr>
            <w:tcW w:w="6947" w:type="dxa"/>
            <w:tcBorders>
              <w:bottom w:val="single" w:sz="4" w:space="0" w:color="auto"/>
            </w:tcBorders>
          </w:tcPr>
          <w:p w:rsidR="005B313E" w:rsidRPr="00E935CE" w:rsidRDefault="005B313E" w:rsidP="001B4966">
            <w:pPr>
              <w:rPr>
                <w:rFonts w:ascii="Arial" w:hAnsi="Arial" w:cs="Arial"/>
                <w:bCs/>
                <w:szCs w:val="22"/>
                <w:lang w:val="en-GB"/>
              </w:rPr>
            </w:pPr>
            <w:r w:rsidRPr="00E935CE">
              <w:rPr>
                <w:rFonts w:ascii="Arial" w:hAnsi="Arial" w:cs="Arial"/>
                <w:bCs/>
                <w:szCs w:val="22"/>
                <w:lang w:val="en-GB"/>
              </w:rPr>
              <w:t>The PBAC did not recommend the listing of palbociclib on the PBS as initial endocrine-based therapy for hormone receptor positive (HR+), HER2-negative (HER2–) advanced breast cancer on the basis that:</w:t>
            </w:r>
          </w:p>
          <w:p w:rsidR="005B313E" w:rsidRPr="00E935CE" w:rsidRDefault="005B313E" w:rsidP="002C30F1">
            <w:pPr>
              <w:pStyle w:val="ListParagraph"/>
              <w:widowControl w:val="0"/>
              <w:numPr>
                <w:ilvl w:val="0"/>
                <w:numId w:val="43"/>
              </w:numPr>
              <w:jc w:val="both"/>
              <w:rPr>
                <w:rFonts w:ascii="Arial" w:hAnsi="Arial" w:cs="Arial"/>
                <w:bCs/>
                <w:sz w:val="20"/>
                <w:szCs w:val="22"/>
                <w:lang w:val="en-GB"/>
              </w:rPr>
            </w:pPr>
            <w:r w:rsidRPr="00E935CE">
              <w:rPr>
                <w:rFonts w:ascii="Arial" w:hAnsi="Arial" w:cs="Arial"/>
                <w:bCs/>
                <w:sz w:val="20"/>
                <w:szCs w:val="22"/>
                <w:lang w:val="en-GB"/>
              </w:rPr>
              <w:t>the PBAC did not know the circumstances that palbociclib would be registered for use in Australia</w:t>
            </w:r>
          </w:p>
          <w:p w:rsidR="005B313E" w:rsidRPr="00E935CE" w:rsidRDefault="005B313E" w:rsidP="002C30F1">
            <w:pPr>
              <w:pStyle w:val="ListParagraph"/>
              <w:widowControl w:val="0"/>
              <w:numPr>
                <w:ilvl w:val="0"/>
                <w:numId w:val="43"/>
              </w:numPr>
              <w:jc w:val="both"/>
              <w:rPr>
                <w:rFonts w:ascii="Arial" w:hAnsi="Arial" w:cs="Arial"/>
                <w:bCs/>
                <w:sz w:val="20"/>
                <w:szCs w:val="22"/>
                <w:lang w:val="en-GB"/>
              </w:rPr>
            </w:pPr>
            <w:r w:rsidRPr="00E935CE">
              <w:rPr>
                <w:rFonts w:ascii="Arial" w:hAnsi="Arial" w:cs="Arial"/>
                <w:bCs/>
                <w:sz w:val="20"/>
                <w:szCs w:val="22"/>
                <w:lang w:val="en-GB"/>
              </w:rPr>
              <w:t xml:space="preserve">there is strong clinical benefit of </w:t>
            </w:r>
            <w:r w:rsidRPr="00E935CE">
              <w:rPr>
                <w:rFonts w:ascii="Arial" w:hAnsi="Arial" w:cs="Arial"/>
                <w:sz w:val="20"/>
                <w:szCs w:val="22"/>
              </w:rPr>
              <w:t>endocrine-based therapy alone as first-line therapy in many patients, and uncertainty as to which patients would most benefit from the addition of palbociclib</w:t>
            </w:r>
          </w:p>
          <w:p w:rsidR="005B313E" w:rsidRPr="00E935CE" w:rsidRDefault="005B313E" w:rsidP="002C30F1">
            <w:pPr>
              <w:pStyle w:val="ListParagraph"/>
              <w:widowControl w:val="0"/>
              <w:numPr>
                <w:ilvl w:val="0"/>
                <w:numId w:val="43"/>
              </w:numPr>
              <w:jc w:val="both"/>
              <w:rPr>
                <w:rFonts w:ascii="Arial" w:hAnsi="Arial" w:cs="Arial"/>
                <w:bCs/>
                <w:sz w:val="20"/>
                <w:szCs w:val="22"/>
                <w:lang w:val="en-GB"/>
              </w:rPr>
            </w:pPr>
            <w:r w:rsidRPr="00E935CE">
              <w:rPr>
                <w:rFonts w:ascii="Arial" w:hAnsi="Arial" w:cs="Arial"/>
                <w:sz w:val="20"/>
                <w:szCs w:val="22"/>
              </w:rPr>
              <w:t xml:space="preserve">a number of </w:t>
            </w:r>
            <w:r w:rsidRPr="00E935CE">
              <w:rPr>
                <w:rFonts w:ascii="Arial" w:hAnsi="Arial" w:cs="Arial"/>
                <w:bCs/>
                <w:sz w:val="20"/>
                <w:szCs w:val="22"/>
                <w:lang w:val="en-GB"/>
              </w:rPr>
              <w:t xml:space="preserve">effective and well-tolerated second-line therapies </w:t>
            </w:r>
            <w:r w:rsidRPr="00E935CE">
              <w:rPr>
                <w:rFonts w:ascii="Arial" w:hAnsi="Arial" w:cs="Arial"/>
                <w:bCs/>
                <w:sz w:val="20"/>
                <w:szCs w:val="22"/>
                <w:lang w:val="en-GB"/>
              </w:rPr>
              <w:lastRenderedPageBreak/>
              <w:t>(including oral treatments) are available for patients who progress after first-line endocrine-based therapy</w:t>
            </w:r>
          </w:p>
          <w:p w:rsidR="005B313E" w:rsidRPr="00E935CE" w:rsidRDefault="005B313E" w:rsidP="002C30F1">
            <w:pPr>
              <w:pStyle w:val="ListParagraph"/>
              <w:widowControl w:val="0"/>
              <w:numPr>
                <w:ilvl w:val="0"/>
                <w:numId w:val="43"/>
              </w:numPr>
              <w:jc w:val="both"/>
              <w:rPr>
                <w:rFonts w:ascii="Arial" w:hAnsi="Arial" w:cs="Arial"/>
                <w:bCs/>
                <w:sz w:val="20"/>
                <w:szCs w:val="22"/>
                <w:lang w:val="en-GB"/>
              </w:rPr>
            </w:pPr>
            <w:r w:rsidRPr="00E935CE">
              <w:rPr>
                <w:rFonts w:ascii="Arial" w:hAnsi="Arial" w:cs="Arial"/>
                <w:bCs/>
                <w:sz w:val="20"/>
                <w:szCs w:val="22"/>
                <w:lang w:val="en-GB"/>
              </w:rPr>
              <w:t>palboc</w:t>
            </w:r>
            <w:r>
              <w:rPr>
                <w:rFonts w:ascii="Arial" w:hAnsi="Arial" w:cs="Arial"/>
                <w:bCs/>
                <w:sz w:val="20"/>
                <w:szCs w:val="22"/>
                <w:lang w:val="en-GB"/>
              </w:rPr>
              <w:t>i</w:t>
            </w:r>
            <w:r w:rsidRPr="00E935CE">
              <w:rPr>
                <w:rFonts w:ascii="Arial" w:hAnsi="Arial" w:cs="Arial"/>
                <w:bCs/>
                <w:sz w:val="20"/>
                <w:szCs w:val="22"/>
                <w:lang w:val="en-GB"/>
              </w:rPr>
              <w:t>c</w:t>
            </w:r>
            <w:r>
              <w:rPr>
                <w:rFonts w:ascii="Arial" w:hAnsi="Arial" w:cs="Arial"/>
                <w:bCs/>
                <w:sz w:val="20"/>
                <w:szCs w:val="22"/>
                <w:lang w:val="en-GB"/>
              </w:rPr>
              <w:t>l</w:t>
            </w:r>
            <w:r w:rsidRPr="00E935CE">
              <w:rPr>
                <w:rFonts w:ascii="Arial" w:hAnsi="Arial" w:cs="Arial"/>
                <w:bCs/>
                <w:sz w:val="20"/>
                <w:szCs w:val="22"/>
                <w:lang w:val="en-GB"/>
              </w:rPr>
              <w:t>ib is associated with significant toxicity</w:t>
            </w:r>
          </w:p>
          <w:p w:rsidR="005B313E" w:rsidRPr="00E935CE" w:rsidRDefault="005B313E" w:rsidP="002C30F1">
            <w:pPr>
              <w:pStyle w:val="ListParagraph"/>
              <w:widowControl w:val="0"/>
              <w:numPr>
                <w:ilvl w:val="0"/>
                <w:numId w:val="43"/>
              </w:numPr>
              <w:jc w:val="both"/>
              <w:rPr>
                <w:rFonts w:ascii="Arial" w:hAnsi="Arial" w:cs="Arial"/>
                <w:bCs/>
                <w:sz w:val="20"/>
                <w:szCs w:val="22"/>
                <w:lang w:val="en-GB"/>
              </w:rPr>
            </w:pPr>
            <w:r w:rsidRPr="00E935CE">
              <w:rPr>
                <w:rFonts w:ascii="Arial" w:hAnsi="Arial" w:cs="Arial"/>
                <w:bCs/>
                <w:sz w:val="20"/>
                <w:szCs w:val="22"/>
                <w:lang w:val="en-GB"/>
              </w:rPr>
              <w:t xml:space="preserve">the effect of </w:t>
            </w:r>
            <w:r w:rsidRPr="00E935CE">
              <w:rPr>
                <w:rFonts w:ascii="Arial" w:hAnsi="Arial" w:cs="Arial"/>
                <w:sz w:val="20"/>
                <w:szCs w:val="22"/>
              </w:rPr>
              <w:t>palbociclib</w:t>
            </w:r>
            <w:r w:rsidRPr="00E935CE">
              <w:rPr>
                <w:rFonts w:ascii="Arial" w:hAnsi="Arial" w:cs="Arial"/>
                <w:bCs/>
                <w:sz w:val="20"/>
                <w:szCs w:val="22"/>
                <w:lang w:val="en-GB"/>
              </w:rPr>
              <w:t xml:space="preserve"> on overall survival is uncertain</w:t>
            </w:r>
          </w:p>
          <w:p w:rsidR="005B313E" w:rsidRPr="00E935CE" w:rsidRDefault="005B313E" w:rsidP="002C30F1">
            <w:pPr>
              <w:pStyle w:val="ListParagraph"/>
              <w:widowControl w:val="0"/>
              <w:numPr>
                <w:ilvl w:val="0"/>
                <w:numId w:val="43"/>
              </w:numPr>
              <w:jc w:val="both"/>
              <w:rPr>
                <w:rFonts w:ascii="Arial" w:hAnsi="Arial" w:cs="Arial"/>
                <w:bCs/>
                <w:sz w:val="20"/>
                <w:szCs w:val="22"/>
                <w:lang w:val="en-GB"/>
              </w:rPr>
            </w:pPr>
            <w:r w:rsidRPr="00E935CE">
              <w:rPr>
                <w:rFonts w:ascii="Arial" w:hAnsi="Arial" w:cs="Arial"/>
                <w:bCs/>
                <w:sz w:val="20"/>
                <w:szCs w:val="22"/>
                <w:lang w:val="en-GB"/>
              </w:rPr>
              <w:t>palbociclib is associated with high and uncertain cost-effectiveness</w:t>
            </w:r>
          </w:p>
          <w:p w:rsidR="005B313E" w:rsidRPr="00E935CE" w:rsidRDefault="005B313E" w:rsidP="002C30F1">
            <w:pPr>
              <w:pStyle w:val="ListParagraph"/>
              <w:widowControl w:val="0"/>
              <w:numPr>
                <w:ilvl w:val="0"/>
                <w:numId w:val="43"/>
              </w:numPr>
              <w:jc w:val="both"/>
              <w:rPr>
                <w:rFonts w:ascii="Arial" w:hAnsi="Arial" w:cs="Arial"/>
                <w:bCs/>
                <w:sz w:val="20"/>
                <w:szCs w:val="22"/>
                <w:lang w:val="en-GB"/>
              </w:rPr>
            </w:pPr>
            <w:proofErr w:type="gramStart"/>
            <w:r w:rsidRPr="00E935CE">
              <w:rPr>
                <w:rFonts w:ascii="Arial" w:hAnsi="Arial" w:cs="Arial"/>
                <w:bCs/>
                <w:sz w:val="20"/>
                <w:szCs w:val="22"/>
                <w:lang w:val="en-GB"/>
              </w:rPr>
              <w:t>the</w:t>
            </w:r>
            <w:proofErr w:type="gramEnd"/>
            <w:r w:rsidRPr="00E935CE">
              <w:rPr>
                <w:rFonts w:ascii="Arial" w:hAnsi="Arial" w:cs="Arial"/>
                <w:bCs/>
                <w:sz w:val="20"/>
                <w:szCs w:val="22"/>
                <w:lang w:val="en-GB"/>
              </w:rPr>
              <w:t xml:space="preserve"> </w:t>
            </w:r>
            <w:r w:rsidRPr="00A90B5C">
              <w:rPr>
                <w:rFonts w:ascii="Arial" w:hAnsi="Arial" w:cs="Arial"/>
                <w:bCs/>
                <w:sz w:val="20"/>
                <w:szCs w:val="22"/>
                <w:lang w:val="en-GB"/>
              </w:rPr>
              <w:t>likely net cost of listing palbociclib to the PBS would be $50-$7</w:t>
            </w:r>
            <w:r w:rsidR="00A90B5C" w:rsidRPr="00A90B5C">
              <w:rPr>
                <w:rFonts w:ascii="Arial" w:hAnsi="Arial" w:cs="Arial"/>
                <w:bCs/>
                <w:sz w:val="20"/>
                <w:szCs w:val="22"/>
                <w:lang w:val="en-GB"/>
              </w:rPr>
              <w:t>5</w:t>
            </w:r>
            <w:r w:rsidRPr="00A90B5C">
              <w:rPr>
                <w:rFonts w:ascii="Arial" w:hAnsi="Arial" w:cs="Arial"/>
                <w:bCs/>
                <w:sz w:val="20"/>
                <w:szCs w:val="22"/>
                <w:lang w:val="en-GB"/>
              </w:rPr>
              <w:t xml:space="preserve"> million</w:t>
            </w:r>
            <w:r>
              <w:rPr>
                <w:rFonts w:ascii="Arial" w:hAnsi="Arial" w:cs="Arial"/>
                <w:bCs/>
                <w:sz w:val="20"/>
                <w:szCs w:val="22"/>
                <w:lang w:val="en-GB"/>
              </w:rPr>
              <w:t xml:space="preserve"> in the first year and more than $100 million per year in the subsequent four years</w:t>
            </w:r>
            <w:r w:rsidRPr="00E935CE">
              <w:rPr>
                <w:rFonts w:ascii="Arial" w:hAnsi="Arial" w:cs="Arial"/>
                <w:bCs/>
                <w:sz w:val="20"/>
                <w:szCs w:val="22"/>
                <w:lang w:val="en-GB"/>
              </w:rPr>
              <w:t xml:space="preserve">, </w:t>
            </w:r>
            <w:r w:rsidRPr="00E935CE">
              <w:rPr>
                <w:rFonts w:ascii="Arial" w:hAnsi="Arial" w:cs="Arial"/>
                <w:sz w:val="20"/>
                <w:szCs w:val="22"/>
              </w:rPr>
              <w:t>and as such, there would be a significant opportunity cost to the Commonwealth.</w:t>
            </w:r>
          </w:p>
          <w:p w:rsidR="005B313E" w:rsidRPr="00E935CE" w:rsidRDefault="005B313E" w:rsidP="001B4966">
            <w:pPr>
              <w:rPr>
                <w:rFonts w:ascii="Arial" w:hAnsi="Arial" w:cs="Arial"/>
                <w:szCs w:val="22"/>
                <w:highlight w:val="yellow"/>
              </w:rPr>
            </w:pPr>
          </w:p>
          <w:p w:rsidR="005B313E" w:rsidRPr="00E935CE" w:rsidRDefault="005B313E" w:rsidP="001B4966">
            <w:pPr>
              <w:rPr>
                <w:rFonts w:ascii="Arial" w:hAnsi="Arial" w:cs="Arial"/>
                <w:bCs/>
                <w:szCs w:val="22"/>
                <w:lang w:val="en-GB"/>
              </w:rPr>
            </w:pPr>
            <w:r w:rsidRPr="00E935CE">
              <w:rPr>
                <w:rFonts w:ascii="Arial" w:hAnsi="Arial" w:cs="Arial"/>
                <w:bCs/>
                <w:szCs w:val="22"/>
                <w:lang w:val="en-GB"/>
              </w:rPr>
              <w:t xml:space="preserve">The PBAC noted that breast cancer is the most common cancer in females and that the majority of patients with advanced breast cancer patients have the </w:t>
            </w:r>
            <w:r w:rsidRPr="00E935CE">
              <w:rPr>
                <w:rFonts w:ascii="Arial" w:hAnsi="Arial" w:cs="Arial"/>
                <w:szCs w:val="22"/>
              </w:rPr>
              <w:t xml:space="preserve">HR+ / HER2 negative type </w:t>
            </w:r>
            <w:r w:rsidRPr="00E935CE">
              <w:rPr>
                <w:rFonts w:ascii="Arial" w:hAnsi="Arial" w:cs="Arial"/>
                <w:bCs/>
                <w:szCs w:val="22"/>
                <w:lang w:val="en-GB"/>
              </w:rPr>
              <w:t>(approximately 70% based on DUSC advice)</w:t>
            </w:r>
            <w:r w:rsidRPr="00E935CE">
              <w:rPr>
                <w:rFonts w:ascii="Arial" w:hAnsi="Arial" w:cs="Arial"/>
                <w:szCs w:val="22"/>
              </w:rPr>
              <w:t xml:space="preserve">. </w:t>
            </w:r>
            <w:r w:rsidRPr="00E935CE">
              <w:rPr>
                <w:rFonts w:ascii="Arial" w:hAnsi="Arial" w:cs="Arial"/>
                <w:bCs/>
                <w:szCs w:val="22"/>
                <w:lang w:val="en-GB"/>
              </w:rPr>
              <w:t xml:space="preserve">The PBAC welcomed the comments received via the Consumer Comments facility on the PBS website. </w:t>
            </w:r>
          </w:p>
          <w:p w:rsidR="005B313E" w:rsidRPr="00E935CE" w:rsidRDefault="005B313E" w:rsidP="001B4966">
            <w:pPr>
              <w:rPr>
                <w:rFonts w:ascii="Arial" w:hAnsi="Arial" w:cs="Arial"/>
                <w:bCs/>
                <w:szCs w:val="22"/>
                <w:lang w:val="en-GB"/>
              </w:rPr>
            </w:pPr>
          </w:p>
          <w:p w:rsidR="005B313E" w:rsidRPr="00E935CE" w:rsidRDefault="005B313E" w:rsidP="001B4966">
            <w:pPr>
              <w:rPr>
                <w:rFonts w:ascii="Arial" w:hAnsi="Arial" w:cs="Arial"/>
                <w:szCs w:val="22"/>
              </w:rPr>
            </w:pPr>
            <w:r w:rsidRPr="00E935CE">
              <w:rPr>
                <w:rFonts w:ascii="Arial" w:hAnsi="Arial" w:cs="Arial"/>
                <w:szCs w:val="22"/>
              </w:rPr>
              <w:t xml:space="preserve">The PBAC considered that the clinical benefit of adding palbociclib to letrozole was uncertain because although the results of the clinical trials (called PALOMA-1 and PALOMA-2) presented in the submission showed a progression-free survival (PFS) benefit associated with the use of palbociclib (that is delaying the cancer getting growing again and the next treatment choice), there were no improvements in overall survival nor any improvement in patient’s quality of life. In addition, </w:t>
            </w:r>
            <w:r w:rsidRPr="00E935CE">
              <w:rPr>
                <w:rFonts w:ascii="Arial" w:hAnsi="Arial" w:cs="Arial"/>
                <w:bCs/>
                <w:szCs w:val="22"/>
                <w:lang w:val="en-GB"/>
              </w:rPr>
              <w:t>the PBAC noted that many women with advanced breast cancer are managed effectively on hormone therapy only, and the next line chemotherapies include well-tolerated oral therapies. Therefore the benefit of palbociclib in delaying time to chemotherapy is uncertain, particularly given that palbociclib itself is associated with significant toxicities.</w:t>
            </w:r>
          </w:p>
          <w:p w:rsidR="005B313E" w:rsidRPr="00E935CE" w:rsidRDefault="005B313E" w:rsidP="001B4966">
            <w:pPr>
              <w:rPr>
                <w:rFonts w:ascii="Arial" w:hAnsi="Arial" w:cs="Arial"/>
                <w:szCs w:val="22"/>
                <w:highlight w:val="yellow"/>
              </w:rPr>
            </w:pPr>
          </w:p>
          <w:p w:rsidR="005B313E" w:rsidRPr="00E935CE" w:rsidRDefault="005B313E" w:rsidP="001B4966">
            <w:pPr>
              <w:rPr>
                <w:rFonts w:ascii="Arial" w:hAnsi="Arial" w:cs="Arial"/>
                <w:szCs w:val="22"/>
              </w:rPr>
            </w:pPr>
            <w:r w:rsidRPr="00E935CE">
              <w:rPr>
                <w:rFonts w:ascii="Arial" w:hAnsi="Arial" w:cs="Arial"/>
                <w:szCs w:val="22"/>
              </w:rPr>
              <w:t xml:space="preserve">The PBAC noted that there appears to be significant toxicity associated with the use of palbociclib, as patients who received palbociclib in the trials reported increased numbers of adverse events compared to those treated with letrozole alone, </w:t>
            </w:r>
            <w:r w:rsidRPr="00E935CE">
              <w:rPr>
                <w:rFonts w:ascii="Arial" w:hAnsi="Arial" w:cs="Arial"/>
                <w:szCs w:val="22"/>
                <w:lang w:val="en-US"/>
              </w:rPr>
              <w:t>and that this was particularly important for a therapy</w:t>
            </w:r>
            <w:r w:rsidRPr="00E935CE" w:rsidDel="00AB0C8D">
              <w:rPr>
                <w:rFonts w:ascii="Arial" w:hAnsi="Arial" w:cs="Arial"/>
                <w:szCs w:val="22"/>
              </w:rPr>
              <w:t xml:space="preserve"> </w:t>
            </w:r>
            <w:r w:rsidRPr="00E935CE">
              <w:rPr>
                <w:rFonts w:ascii="Arial" w:hAnsi="Arial" w:cs="Arial"/>
                <w:szCs w:val="22"/>
              </w:rPr>
              <w:t>that may be taken for a prolonged period.</w:t>
            </w:r>
          </w:p>
          <w:p w:rsidR="005B313E" w:rsidRPr="00E935CE" w:rsidRDefault="005B313E" w:rsidP="001B4966">
            <w:pPr>
              <w:rPr>
                <w:rFonts w:ascii="Arial" w:hAnsi="Arial" w:cs="Arial"/>
                <w:szCs w:val="22"/>
              </w:rPr>
            </w:pPr>
          </w:p>
          <w:p w:rsidR="005B313E" w:rsidRPr="00E935CE" w:rsidRDefault="005B313E" w:rsidP="001B4966">
            <w:pPr>
              <w:rPr>
                <w:rFonts w:ascii="Arial" w:hAnsi="Arial" w:cs="Arial"/>
                <w:szCs w:val="22"/>
              </w:rPr>
            </w:pPr>
            <w:r w:rsidRPr="00E935CE">
              <w:rPr>
                <w:rFonts w:ascii="Arial" w:hAnsi="Arial" w:cs="Arial"/>
                <w:szCs w:val="22"/>
              </w:rPr>
              <w:lastRenderedPageBreak/>
              <w:t xml:space="preserve">On the basis of direct evidence presented by the submission, there would be approximately a 10 month increase in median PFS in patients treated with palbociclib plus letrozole in comparison with letrozole alone. A statistically significant increase in overall survival was not demonstrated in the clinical trials, </w:t>
            </w:r>
            <w:proofErr w:type="gramStart"/>
            <w:r w:rsidRPr="00E935CE">
              <w:rPr>
                <w:rFonts w:ascii="Arial" w:hAnsi="Arial" w:cs="Arial"/>
                <w:szCs w:val="22"/>
              </w:rPr>
              <w:t>nor</w:t>
            </w:r>
            <w:proofErr w:type="gramEnd"/>
            <w:r w:rsidRPr="00E935CE">
              <w:rPr>
                <w:rFonts w:ascii="Arial" w:hAnsi="Arial" w:cs="Arial"/>
                <w:szCs w:val="22"/>
              </w:rPr>
              <w:t xml:space="preserve"> an improvement in quality of life. For every 100 patients treated with palbociclib plus letrozole in comparison with letrozole alone, over a median follow-up with patients of around 23 months:</w:t>
            </w:r>
          </w:p>
          <w:p w:rsidR="005B313E" w:rsidRPr="00E935CE" w:rsidRDefault="005B313E" w:rsidP="002C30F1">
            <w:pPr>
              <w:pStyle w:val="ListParagraph"/>
              <w:numPr>
                <w:ilvl w:val="0"/>
                <w:numId w:val="42"/>
              </w:numPr>
              <w:jc w:val="both"/>
              <w:rPr>
                <w:rFonts w:ascii="Arial" w:hAnsi="Arial" w:cs="Arial"/>
                <w:sz w:val="20"/>
                <w:szCs w:val="22"/>
              </w:rPr>
            </w:pPr>
            <w:r w:rsidRPr="00E935CE">
              <w:rPr>
                <w:rFonts w:ascii="Arial" w:hAnsi="Arial" w:cs="Arial"/>
                <w:sz w:val="20"/>
                <w:szCs w:val="22"/>
              </w:rPr>
              <w:t xml:space="preserve">Approximately 54 additional patients would experience a grade </w:t>
            </w:r>
            <w:r w:rsidRPr="00E935CE">
              <w:rPr>
                <w:rFonts w:ascii="Arial" w:hAnsi="Arial" w:cs="Arial"/>
                <w:sz w:val="20"/>
                <w:szCs w:val="22"/>
              </w:rPr>
              <w:sym w:font="Symbol" w:char="F0B3"/>
            </w:r>
            <w:r w:rsidRPr="00E935CE">
              <w:rPr>
                <w:rFonts w:ascii="Arial" w:hAnsi="Arial" w:cs="Arial"/>
                <w:sz w:val="20"/>
                <w:szCs w:val="22"/>
              </w:rPr>
              <w:t>3 adverse event;</w:t>
            </w:r>
          </w:p>
          <w:p w:rsidR="005B313E" w:rsidRPr="00E935CE" w:rsidRDefault="005B313E" w:rsidP="002C30F1">
            <w:pPr>
              <w:pStyle w:val="ListParagraph"/>
              <w:numPr>
                <w:ilvl w:val="0"/>
                <w:numId w:val="42"/>
              </w:numPr>
              <w:jc w:val="both"/>
              <w:rPr>
                <w:rFonts w:ascii="Arial" w:hAnsi="Arial" w:cs="Arial"/>
                <w:sz w:val="20"/>
                <w:szCs w:val="22"/>
              </w:rPr>
            </w:pPr>
            <w:r w:rsidRPr="00E935CE">
              <w:rPr>
                <w:rFonts w:ascii="Arial" w:hAnsi="Arial" w:cs="Arial"/>
                <w:sz w:val="20"/>
                <w:szCs w:val="22"/>
              </w:rPr>
              <w:t>Approximately 74 additional patients would experience neutropenia;</w:t>
            </w:r>
          </w:p>
          <w:p w:rsidR="005B313E" w:rsidRPr="00E935CE" w:rsidRDefault="005B313E" w:rsidP="002C30F1">
            <w:pPr>
              <w:pStyle w:val="ListParagraph"/>
              <w:numPr>
                <w:ilvl w:val="0"/>
                <w:numId w:val="42"/>
              </w:numPr>
              <w:jc w:val="both"/>
              <w:rPr>
                <w:rFonts w:ascii="Arial" w:hAnsi="Arial" w:cs="Arial"/>
                <w:sz w:val="20"/>
                <w:szCs w:val="22"/>
              </w:rPr>
            </w:pPr>
            <w:r w:rsidRPr="00E935CE">
              <w:rPr>
                <w:rFonts w:ascii="Arial" w:hAnsi="Arial" w:cs="Arial"/>
                <w:sz w:val="20"/>
                <w:szCs w:val="22"/>
              </w:rPr>
              <w:t xml:space="preserve">Approximately 2 additional patients would experience febrile neutropenia; </w:t>
            </w:r>
          </w:p>
          <w:p w:rsidR="005B313E" w:rsidRPr="00E935CE" w:rsidRDefault="005B313E" w:rsidP="002C30F1">
            <w:pPr>
              <w:pStyle w:val="ListParagraph"/>
              <w:numPr>
                <w:ilvl w:val="0"/>
                <w:numId w:val="42"/>
              </w:numPr>
              <w:jc w:val="both"/>
              <w:rPr>
                <w:rFonts w:ascii="Arial" w:hAnsi="Arial" w:cs="Arial"/>
                <w:sz w:val="20"/>
                <w:szCs w:val="22"/>
              </w:rPr>
            </w:pPr>
            <w:r w:rsidRPr="00E935CE">
              <w:rPr>
                <w:rFonts w:ascii="Arial" w:hAnsi="Arial" w:cs="Arial"/>
                <w:sz w:val="20"/>
                <w:szCs w:val="22"/>
              </w:rPr>
              <w:t>Approximately 38 additional patients would experience leukopenia:</w:t>
            </w:r>
          </w:p>
          <w:p w:rsidR="005B313E" w:rsidRPr="00E935CE" w:rsidRDefault="005B313E" w:rsidP="002C30F1">
            <w:pPr>
              <w:pStyle w:val="ListParagraph"/>
              <w:numPr>
                <w:ilvl w:val="0"/>
                <w:numId w:val="42"/>
              </w:numPr>
              <w:jc w:val="both"/>
              <w:rPr>
                <w:rFonts w:ascii="Arial" w:hAnsi="Arial" w:cs="Arial"/>
                <w:sz w:val="20"/>
                <w:szCs w:val="22"/>
              </w:rPr>
            </w:pPr>
            <w:r w:rsidRPr="00E935CE">
              <w:rPr>
                <w:rFonts w:ascii="Arial" w:hAnsi="Arial" w:cs="Arial"/>
                <w:sz w:val="20"/>
                <w:szCs w:val="22"/>
              </w:rPr>
              <w:t xml:space="preserve">Approximately 12 additional patients would experience fatigue; and </w:t>
            </w:r>
          </w:p>
          <w:p w:rsidR="005B313E" w:rsidRPr="00E935CE" w:rsidRDefault="005B313E" w:rsidP="002C30F1">
            <w:pPr>
              <w:pStyle w:val="ListParagraph"/>
              <w:numPr>
                <w:ilvl w:val="0"/>
                <w:numId w:val="42"/>
              </w:numPr>
              <w:jc w:val="both"/>
              <w:rPr>
                <w:rFonts w:ascii="Arial" w:hAnsi="Arial" w:cs="Arial"/>
                <w:sz w:val="20"/>
                <w:szCs w:val="22"/>
              </w:rPr>
            </w:pPr>
            <w:r w:rsidRPr="00E935CE">
              <w:rPr>
                <w:rFonts w:ascii="Arial" w:hAnsi="Arial" w:cs="Arial"/>
                <w:sz w:val="20"/>
                <w:szCs w:val="22"/>
              </w:rPr>
              <w:t>The risk of pulmonary embolism is small but consistent in both clinical trials.</w:t>
            </w:r>
          </w:p>
          <w:p w:rsidR="005B313E" w:rsidRPr="00E935CE" w:rsidRDefault="005B313E" w:rsidP="001B4966">
            <w:pPr>
              <w:rPr>
                <w:rFonts w:ascii="Arial" w:hAnsi="Arial" w:cs="Arial"/>
                <w:szCs w:val="22"/>
                <w:highlight w:val="yellow"/>
              </w:rPr>
            </w:pPr>
          </w:p>
          <w:p w:rsidR="005B313E" w:rsidRDefault="005B313E" w:rsidP="001B4966">
            <w:pPr>
              <w:rPr>
                <w:rFonts w:ascii="Arial" w:hAnsi="Arial" w:cs="Arial"/>
                <w:bCs/>
                <w:szCs w:val="22"/>
                <w:lang w:val="en-GB"/>
              </w:rPr>
            </w:pPr>
            <w:r w:rsidRPr="00E935CE">
              <w:rPr>
                <w:rFonts w:ascii="Arial" w:hAnsi="Arial" w:cs="Arial"/>
                <w:bCs/>
                <w:szCs w:val="22"/>
                <w:lang w:val="en-GB"/>
              </w:rPr>
              <w:t xml:space="preserve">The PBAC was concerned, notwithstanding the on-going TGA evaluation at the time of the PBAC’s consideration, that the submission’s currently reported efficacy (with no demonstrated improvement in overall survival) and harms, and the risk that a large number of patients would be exposed to important adverse events who may have obtained strong clinical benefit from </w:t>
            </w:r>
            <w:r w:rsidRPr="00E935CE">
              <w:rPr>
                <w:rFonts w:ascii="Arial" w:hAnsi="Arial" w:cs="Arial"/>
                <w:szCs w:val="22"/>
              </w:rPr>
              <w:t>endocrine-based therapy alone as first-line therapy,</w:t>
            </w:r>
            <w:r w:rsidRPr="00E935CE">
              <w:rPr>
                <w:rFonts w:ascii="Arial" w:hAnsi="Arial" w:cs="Arial"/>
                <w:bCs/>
                <w:szCs w:val="22"/>
                <w:lang w:val="en-GB"/>
              </w:rPr>
              <w:t xml:space="preserve"> indicated that the sponsor had not yet identified the patient population who would get most benefit nor justified the approach to estimating the cost-effectiveness of this treatment on the PBS, at the price proposed by the sponsor.</w:t>
            </w:r>
          </w:p>
          <w:p w:rsidR="005B313E" w:rsidRDefault="005B313E" w:rsidP="001B4966">
            <w:pPr>
              <w:rPr>
                <w:rFonts w:ascii="Arial" w:hAnsi="Arial" w:cs="Arial"/>
                <w:bCs/>
                <w:szCs w:val="22"/>
                <w:lang w:val="en-GB"/>
              </w:rPr>
            </w:pPr>
          </w:p>
          <w:p w:rsidR="005B313E" w:rsidRPr="00E935CE" w:rsidRDefault="005B313E" w:rsidP="001B4966">
            <w:pPr>
              <w:rPr>
                <w:rFonts w:ascii="Arial" w:hAnsi="Arial" w:cs="Arial"/>
                <w:szCs w:val="22"/>
                <w:highlight w:val="yellow"/>
              </w:rPr>
            </w:pPr>
            <w:r w:rsidRPr="00E935CE">
              <w:rPr>
                <w:rFonts w:ascii="Arial" w:hAnsi="Arial" w:cs="Arial"/>
                <w:szCs w:val="22"/>
                <w:lang w:val="en-US"/>
              </w:rPr>
              <w:t xml:space="preserve"> The PBAC considered the economic model in the submission and the sponsor’s responses to be unreliable for decision making. The PBAC considered that increased cost to the health care system for the potential patient benefit of palbociclib over the treatments currently available in Australia would be substantially greater than the sponsor claimed, and </w:t>
            </w:r>
            <w:r w:rsidRPr="00E935CE">
              <w:rPr>
                <w:rFonts w:ascii="Arial" w:hAnsi="Arial" w:cs="Arial"/>
                <w:szCs w:val="22"/>
                <w:lang w:val="en-US"/>
              </w:rPr>
              <w:lastRenderedPageBreak/>
              <w:t>would have an opportunity cost by limiting the ability of the PBS to fund other therapies for cancer and other conditions.</w:t>
            </w:r>
          </w:p>
          <w:p w:rsidR="005B313E" w:rsidRPr="00E935CE" w:rsidRDefault="005B313E" w:rsidP="001B4966">
            <w:pPr>
              <w:rPr>
                <w:rFonts w:ascii="Arial" w:hAnsi="Arial" w:cs="Arial"/>
                <w:color w:val="222222"/>
                <w:szCs w:val="22"/>
              </w:rPr>
            </w:pPr>
          </w:p>
        </w:tc>
      </w:tr>
      <w:tr w:rsidR="005B313E" w:rsidRPr="00395B97" w:rsidTr="000757B3">
        <w:trPr>
          <w:trHeight w:val="1254"/>
        </w:trPr>
        <w:tc>
          <w:tcPr>
            <w:tcW w:w="2694" w:type="dxa"/>
            <w:vMerge/>
            <w:tcMar>
              <w:top w:w="28" w:type="dxa"/>
              <w:bottom w:w="28" w:type="dxa"/>
            </w:tcMar>
          </w:tcPr>
          <w:p w:rsidR="005B313E" w:rsidRPr="006375DB" w:rsidRDefault="005B313E" w:rsidP="001B4966">
            <w:pPr>
              <w:rPr>
                <w:rFonts w:ascii="Arial" w:hAnsi="Arial" w:cs="Arial"/>
                <w:color w:val="000000"/>
              </w:rPr>
            </w:pPr>
          </w:p>
        </w:tc>
        <w:tc>
          <w:tcPr>
            <w:tcW w:w="2409" w:type="dxa"/>
            <w:vMerge/>
          </w:tcPr>
          <w:p w:rsidR="005B313E" w:rsidRPr="006375DB" w:rsidRDefault="005B313E" w:rsidP="001B4966">
            <w:pPr>
              <w:rPr>
                <w:rFonts w:ascii="Arial" w:hAnsi="Arial" w:cs="Arial"/>
                <w:color w:val="000000"/>
              </w:rPr>
            </w:pPr>
          </w:p>
        </w:tc>
        <w:tc>
          <w:tcPr>
            <w:tcW w:w="3261" w:type="dxa"/>
            <w:tcMar>
              <w:top w:w="28" w:type="dxa"/>
              <w:bottom w:w="28" w:type="dxa"/>
            </w:tcMar>
          </w:tcPr>
          <w:p w:rsidR="005B313E" w:rsidRPr="00C879AB" w:rsidRDefault="005B313E" w:rsidP="00540BA8">
            <w:pPr>
              <w:rPr>
                <w:rFonts w:ascii="Arial" w:hAnsi="Arial" w:cs="Arial"/>
                <w:color w:val="000000"/>
              </w:rPr>
            </w:pPr>
            <w:r w:rsidRPr="00927680">
              <w:rPr>
                <w:rFonts w:ascii="Arial" w:hAnsi="Arial" w:cs="Arial"/>
                <w:color w:val="000000"/>
              </w:rPr>
              <w:t>Sponsor Comment:</w:t>
            </w:r>
          </w:p>
        </w:tc>
        <w:tc>
          <w:tcPr>
            <w:tcW w:w="6947" w:type="dxa"/>
            <w:tcBorders>
              <w:right w:val="single" w:sz="4" w:space="0" w:color="auto"/>
            </w:tcBorders>
          </w:tcPr>
          <w:p w:rsidR="005B313E" w:rsidRPr="00927680" w:rsidRDefault="005B313E" w:rsidP="00540BA8">
            <w:pPr>
              <w:rPr>
                <w:rFonts w:ascii="Arial" w:hAnsi="Arial" w:cs="Arial"/>
                <w:color w:val="222222"/>
              </w:rPr>
            </w:pPr>
            <w:r w:rsidRPr="0024338D">
              <w:rPr>
                <w:rFonts w:ascii="Arial" w:hAnsi="Arial" w:cs="Arial"/>
                <w:szCs w:val="22"/>
                <w:lang w:val="en-US"/>
              </w:rPr>
              <w:t>The Sponsor is committed to working with the PBAC and the Department of Health to make palbociclib available for the treatment of locally advanced and m</w:t>
            </w:r>
            <w:bookmarkStart w:id="0" w:name="_GoBack"/>
            <w:bookmarkEnd w:id="0"/>
            <w:r w:rsidRPr="0024338D">
              <w:rPr>
                <w:rFonts w:ascii="Arial" w:hAnsi="Arial" w:cs="Arial"/>
                <w:szCs w:val="22"/>
                <w:lang w:val="en-US"/>
              </w:rPr>
              <w:t>etastatic HR-positive, HER2-negative breast cancer.</w:t>
            </w:r>
          </w:p>
        </w:tc>
      </w:tr>
      <w:tr w:rsidR="002C30F1" w:rsidRPr="00395B97" w:rsidTr="000757B3">
        <w:trPr>
          <w:trHeight w:val="1254"/>
        </w:trPr>
        <w:tc>
          <w:tcPr>
            <w:tcW w:w="2694" w:type="dxa"/>
            <w:vMerge w:val="restart"/>
            <w:tcMar>
              <w:top w:w="28" w:type="dxa"/>
              <w:bottom w:w="28" w:type="dxa"/>
            </w:tcMar>
          </w:tcPr>
          <w:p w:rsidR="002C30F1" w:rsidRDefault="002C30F1" w:rsidP="00AF6ADE">
            <w:pPr>
              <w:rPr>
                <w:rFonts w:ascii="Arial" w:hAnsi="Arial" w:cs="Arial"/>
                <w:color w:val="000000"/>
              </w:rPr>
            </w:pPr>
            <w:r w:rsidRPr="00065D04">
              <w:rPr>
                <w:rFonts w:ascii="Arial" w:hAnsi="Arial" w:cs="Arial"/>
                <w:color w:val="000000"/>
              </w:rPr>
              <w:t>PEMBROLIZUMAB</w:t>
            </w:r>
          </w:p>
          <w:p w:rsidR="002C30F1" w:rsidRDefault="002C30F1" w:rsidP="00AF6ADE">
            <w:pPr>
              <w:rPr>
                <w:rFonts w:ascii="Arial" w:hAnsi="Arial" w:cs="Arial"/>
                <w:color w:val="000000"/>
              </w:rPr>
            </w:pPr>
          </w:p>
          <w:p w:rsidR="002C30F1" w:rsidRDefault="002C30F1" w:rsidP="00AF6ADE">
            <w:pPr>
              <w:rPr>
                <w:rFonts w:ascii="Arial" w:hAnsi="Arial" w:cs="Arial"/>
                <w:color w:val="000000"/>
              </w:rPr>
            </w:pPr>
            <w:r>
              <w:rPr>
                <w:rFonts w:ascii="Arial" w:hAnsi="Arial" w:cs="Arial"/>
              </w:rPr>
              <w:t>Injection concentrate</w:t>
            </w:r>
            <w:r>
              <w:rPr>
                <w:rFonts w:ascii="Arial" w:hAnsi="Arial" w:cs="Arial"/>
                <w:color w:val="000000"/>
              </w:rPr>
              <w:t xml:space="preserve"> for I.V. infusion 100 mg in 4 mL</w:t>
            </w:r>
          </w:p>
          <w:p w:rsidR="002C30F1" w:rsidRDefault="002C30F1" w:rsidP="00AF6ADE">
            <w:pPr>
              <w:rPr>
                <w:rFonts w:ascii="Arial" w:hAnsi="Arial" w:cs="Arial"/>
                <w:color w:val="000000"/>
              </w:rPr>
            </w:pPr>
            <w:r>
              <w:rPr>
                <w:rFonts w:ascii="Arial" w:hAnsi="Arial" w:cs="Arial"/>
                <w:color w:val="000000"/>
              </w:rPr>
              <w:t>Powder for injection 50 mg</w:t>
            </w:r>
          </w:p>
          <w:p w:rsidR="002C30F1" w:rsidRDefault="002C30F1" w:rsidP="00AF6ADE">
            <w:pPr>
              <w:rPr>
                <w:rFonts w:ascii="Arial" w:hAnsi="Arial" w:cs="Arial"/>
                <w:color w:val="000000"/>
              </w:rPr>
            </w:pPr>
          </w:p>
          <w:p w:rsidR="002C30F1" w:rsidRDefault="002C30F1" w:rsidP="00AF6ADE">
            <w:pPr>
              <w:rPr>
                <w:rFonts w:ascii="Arial" w:hAnsi="Arial" w:cs="Arial"/>
                <w:color w:val="000000"/>
              </w:rPr>
            </w:pPr>
            <w:r>
              <w:rPr>
                <w:rFonts w:ascii="Arial" w:hAnsi="Arial" w:cs="Arial"/>
                <w:color w:val="000000"/>
              </w:rPr>
              <w:t>Keytruda®</w:t>
            </w:r>
          </w:p>
          <w:p w:rsidR="002C30F1" w:rsidRDefault="002C30F1" w:rsidP="00AF6ADE">
            <w:pPr>
              <w:rPr>
                <w:rFonts w:ascii="Arial" w:hAnsi="Arial" w:cs="Arial"/>
                <w:color w:val="000000"/>
              </w:rPr>
            </w:pPr>
          </w:p>
          <w:p w:rsidR="002C30F1" w:rsidRDefault="002C30F1" w:rsidP="00AF6ADE">
            <w:pPr>
              <w:rPr>
                <w:rFonts w:ascii="Arial" w:hAnsi="Arial" w:cs="Arial"/>
                <w:color w:val="000000"/>
              </w:rPr>
            </w:pPr>
            <w:r w:rsidRPr="00065D04">
              <w:rPr>
                <w:rFonts w:ascii="Arial" w:hAnsi="Arial" w:cs="Arial"/>
                <w:color w:val="000000"/>
              </w:rPr>
              <w:t>Merck Sharp and Dohme (Australia)</w:t>
            </w:r>
          </w:p>
          <w:p w:rsidR="002C30F1" w:rsidRDefault="002C30F1" w:rsidP="00AF6ADE">
            <w:pPr>
              <w:rPr>
                <w:rFonts w:ascii="Arial" w:hAnsi="Arial" w:cs="Arial"/>
                <w:color w:val="000000"/>
              </w:rPr>
            </w:pPr>
          </w:p>
          <w:p w:rsidR="002C30F1" w:rsidRPr="00E82449" w:rsidRDefault="002C30F1" w:rsidP="00AB756D">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Submission)</w:t>
            </w:r>
          </w:p>
        </w:tc>
        <w:tc>
          <w:tcPr>
            <w:tcW w:w="2409" w:type="dxa"/>
            <w:vMerge w:val="restart"/>
          </w:tcPr>
          <w:p w:rsidR="002C30F1" w:rsidRPr="00176F55" w:rsidRDefault="002C30F1" w:rsidP="00AF6ADE">
            <w:pPr>
              <w:rPr>
                <w:rFonts w:ascii="Arial" w:hAnsi="Arial" w:cs="Arial"/>
                <w:color w:val="000000"/>
              </w:rPr>
            </w:pPr>
            <w:r w:rsidRPr="00176F55">
              <w:rPr>
                <w:rFonts w:ascii="Arial" w:hAnsi="Arial" w:cs="Arial"/>
                <w:color w:val="000000"/>
              </w:rPr>
              <w:t xml:space="preserve">Non-small cell lung cancer </w:t>
            </w:r>
          </w:p>
        </w:tc>
        <w:tc>
          <w:tcPr>
            <w:tcW w:w="3261" w:type="dxa"/>
            <w:tcMar>
              <w:top w:w="28" w:type="dxa"/>
              <w:bottom w:w="28" w:type="dxa"/>
            </w:tcMar>
          </w:tcPr>
          <w:p w:rsidR="002C30F1" w:rsidRPr="00176F55" w:rsidRDefault="002C30F1" w:rsidP="00AF6ADE">
            <w:pPr>
              <w:rPr>
                <w:rFonts w:ascii="Arial" w:hAnsi="Arial" w:cs="Arial"/>
                <w:color w:val="000000"/>
              </w:rPr>
            </w:pPr>
            <w:r w:rsidRPr="00176F55">
              <w:rPr>
                <w:rFonts w:ascii="Arial" w:hAnsi="Arial" w:cs="Arial"/>
                <w:color w:val="000000"/>
              </w:rPr>
              <w:t>To request a listing under Section 100 (Efficient Funding of Chemotherapy) as first line monotherapy in patients expressing PD-L1 for non-small cell lung cancer.</w:t>
            </w:r>
          </w:p>
        </w:tc>
        <w:tc>
          <w:tcPr>
            <w:tcW w:w="6947" w:type="dxa"/>
            <w:tcBorders>
              <w:right w:val="single" w:sz="4" w:space="0" w:color="auto"/>
            </w:tcBorders>
          </w:tcPr>
          <w:p w:rsidR="002C30F1" w:rsidRPr="00C77424" w:rsidRDefault="002C30F1" w:rsidP="00C77424">
            <w:pPr>
              <w:pStyle w:val="ListParagraph"/>
              <w:ind w:left="33"/>
              <w:rPr>
                <w:rFonts w:ascii="Arial" w:hAnsi="Arial" w:cs="Arial"/>
                <w:iCs/>
                <w:sz w:val="20"/>
                <w:szCs w:val="20"/>
              </w:rPr>
            </w:pPr>
            <w:r w:rsidRPr="00C77424">
              <w:rPr>
                <w:rFonts w:ascii="Arial" w:hAnsi="Arial" w:cs="Arial"/>
                <w:iCs/>
                <w:sz w:val="20"/>
                <w:szCs w:val="20"/>
              </w:rPr>
              <w:t xml:space="preserve">The PBAC decided not to recommend that pembrolizumab be listed in the PBS for the </w:t>
            </w:r>
            <w:r>
              <w:rPr>
                <w:rFonts w:ascii="Arial" w:hAnsi="Arial" w:cs="Arial"/>
                <w:iCs/>
                <w:sz w:val="20"/>
                <w:szCs w:val="20"/>
              </w:rPr>
              <w:t xml:space="preserve">first line </w:t>
            </w:r>
            <w:r w:rsidRPr="00C77424">
              <w:rPr>
                <w:rFonts w:ascii="Arial" w:hAnsi="Arial" w:cs="Arial"/>
                <w:iCs/>
                <w:sz w:val="20"/>
                <w:szCs w:val="20"/>
              </w:rPr>
              <w:t>treatment of programmed death ligand 1 (PD-L1) positive non-small cell lung cancer (NSCLC) on the basis of unfavourable and uncertain cost-effectiveness. The PBAC recognised that there is a clinical need for new treatments for patients with NSCLC, and that there is a clinical place for pembrolizumab in this population.</w:t>
            </w:r>
          </w:p>
          <w:p w:rsidR="002C30F1" w:rsidRPr="00C77424" w:rsidRDefault="002C30F1" w:rsidP="00640978">
            <w:pPr>
              <w:pStyle w:val="ListParagraph"/>
              <w:ind w:left="33" w:firstLine="567"/>
              <w:rPr>
                <w:rFonts w:ascii="Arial" w:hAnsi="Arial" w:cs="Arial"/>
                <w:iCs/>
                <w:sz w:val="20"/>
                <w:szCs w:val="20"/>
              </w:rPr>
            </w:pPr>
          </w:p>
          <w:p w:rsidR="002C30F1" w:rsidRPr="00C77424" w:rsidRDefault="002C30F1" w:rsidP="00C77424">
            <w:pPr>
              <w:pStyle w:val="ListParagraph"/>
              <w:ind w:left="33"/>
              <w:rPr>
                <w:rFonts w:ascii="Arial" w:hAnsi="Arial" w:cs="Arial"/>
                <w:iCs/>
                <w:sz w:val="20"/>
                <w:szCs w:val="20"/>
              </w:rPr>
            </w:pPr>
            <w:r w:rsidRPr="00C77424">
              <w:rPr>
                <w:rFonts w:ascii="Arial" w:hAnsi="Arial" w:cs="Arial"/>
                <w:iCs/>
                <w:sz w:val="20"/>
                <w:szCs w:val="20"/>
              </w:rPr>
              <w:t>As with the previous submission for second- and third-line pembrolizumab treatment for NSCLC, the PBAC also considered that the use of the proposed</w:t>
            </w:r>
            <w:r>
              <w:rPr>
                <w:rFonts w:ascii="Arial" w:hAnsi="Arial" w:cs="Arial"/>
                <w:iCs/>
                <w:sz w:val="20"/>
                <w:szCs w:val="20"/>
              </w:rPr>
              <w:t xml:space="preserve"> biomarker </w:t>
            </w:r>
            <w:r w:rsidRPr="00C77424">
              <w:rPr>
                <w:rFonts w:ascii="Arial" w:hAnsi="Arial" w:cs="Arial"/>
                <w:iCs/>
                <w:sz w:val="20"/>
                <w:szCs w:val="20"/>
              </w:rPr>
              <w:t>(≥50% tumour proportion score (TPS) threshold from PD-L1 testing</w:t>
            </w:r>
            <w:r>
              <w:rPr>
                <w:rFonts w:ascii="Arial" w:hAnsi="Arial" w:cs="Arial"/>
                <w:iCs/>
                <w:sz w:val="20"/>
                <w:szCs w:val="20"/>
              </w:rPr>
              <w:t xml:space="preserve">) </w:t>
            </w:r>
            <w:r w:rsidRPr="00C77424">
              <w:rPr>
                <w:rFonts w:ascii="Arial" w:hAnsi="Arial" w:cs="Arial"/>
                <w:iCs/>
                <w:sz w:val="20"/>
                <w:szCs w:val="20"/>
              </w:rPr>
              <w:t>to define an optimal patient population most likely to respond to first-line pembrolizumab treatment was not adequately justified. The PBAC considered that advice from the Medical Services Advisory Committee (MSAC) would be informative on whether identifying the eligible population for PBS subsidy on the basis of the expression of PD-L1 was appropriate.</w:t>
            </w:r>
          </w:p>
          <w:p w:rsidR="002C30F1" w:rsidRPr="00C77424" w:rsidRDefault="002C30F1" w:rsidP="00C77424">
            <w:pPr>
              <w:pStyle w:val="ListParagraph"/>
              <w:ind w:left="33"/>
              <w:rPr>
                <w:rFonts w:ascii="Arial" w:hAnsi="Arial" w:cs="Arial"/>
                <w:iCs/>
                <w:sz w:val="20"/>
                <w:szCs w:val="20"/>
              </w:rPr>
            </w:pPr>
          </w:p>
          <w:p w:rsidR="002C30F1" w:rsidRPr="00C77424" w:rsidRDefault="002C30F1" w:rsidP="00C77424">
            <w:pPr>
              <w:pStyle w:val="ListParagraph"/>
              <w:ind w:left="33"/>
              <w:rPr>
                <w:rFonts w:ascii="Arial" w:hAnsi="Arial" w:cs="Arial"/>
                <w:iCs/>
                <w:sz w:val="20"/>
                <w:szCs w:val="20"/>
              </w:rPr>
            </w:pPr>
            <w:r w:rsidRPr="00C77424">
              <w:rPr>
                <w:rFonts w:ascii="Arial" w:hAnsi="Arial" w:cs="Arial"/>
                <w:iCs/>
                <w:sz w:val="20"/>
                <w:szCs w:val="20"/>
              </w:rPr>
              <w:t>On the basis of the direct evidence presented in the submission for untreated NSCLC Stage IV patients given treatment with pembrolizumab instead of first-line platinum-based chemotherapy for a median duration of 11 months:</w:t>
            </w:r>
          </w:p>
          <w:p w:rsidR="002C30F1" w:rsidRPr="00C77424" w:rsidRDefault="002C30F1" w:rsidP="00C77424">
            <w:pPr>
              <w:pStyle w:val="ListParagraph"/>
              <w:numPr>
                <w:ilvl w:val="0"/>
                <w:numId w:val="40"/>
              </w:numPr>
              <w:rPr>
                <w:rFonts w:ascii="Arial" w:hAnsi="Arial" w:cs="Arial"/>
                <w:iCs/>
                <w:sz w:val="20"/>
                <w:szCs w:val="20"/>
              </w:rPr>
            </w:pPr>
            <w:r w:rsidRPr="00C77424">
              <w:rPr>
                <w:rFonts w:ascii="Arial" w:hAnsi="Arial" w:cs="Arial"/>
                <w:iCs/>
                <w:sz w:val="20"/>
                <w:szCs w:val="20"/>
              </w:rPr>
              <w:t xml:space="preserve">There was a statistically significant overall survival benefit associated with pembrolizumab over chemotherapy, but the data remain immature as the difference in median overall survival is </w:t>
            </w:r>
            <w:r w:rsidRPr="00C77424">
              <w:rPr>
                <w:rFonts w:ascii="Arial" w:hAnsi="Arial" w:cs="Arial"/>
                <w:iCs/>
                <w:sz w:val="20"/>
                <w:szCs w:val="20"/>
              </w:rPr>
              <w:lastRenderedPageBreak/>
              <w:t>unknown. The risk of death over 11 months was reduced by almost 40%. There was also a statistically significant increase in progression-free survival (difference in medians of approximately 4 and a half months);</w:t>
            </w:r>
          </w:p>
          <w:p w:rsidR="002C30F1" w:rsidRPr="00C77424" w:rsidRDefault="002C30F1" w:rsidP="00C77424">
            <w:pPr>
              <w:pStyle w:val="ListParagraph"/>
              <w:numPr>
                <w:ilvl w:val="0"/>
                <w:numId w:val="40"/>
              </w:numPr>
              <w:rPr>
                <w:rFonts w:ascii="Arial" w:hAnsi="Arial" w:cs="Arial"/>
                <w:iCs/>
                <w:sz w:val="20"/>
                <w:szCs w:val="20"/>
              </w:rPr>
            </w:pPr>
            <w:r w:rsidRPr="00C77424">
              <w:rPr>
                <w:rFonts w:ascii="Arial" w:hAnsi="Arial" w:cs="Arial"/>
                <w:iCs/>
                <w:sz w:val="20"/>
                <w:szCs w:val="20"/>
              </w:rPr>
              <w:t>For every 100 patients, 27 fewer patients would experience a drug-related Grade 3–5 AE, but an additional 9 patients may experience a Grade 3, 4 or 5 immune mediated AE. The risk of these immune-mediated events may be higher in clinical practice than that observed during the trial.</w:t>
            </w:r>
          </w:p>
          <w:p w:rsidR="002C30F1" w:rsidRPr="00550377" w:rsidRDefault="002C30F1" w:rsidP="00550377">
            <w:pPr>
              <w:rPr>
                <w:rFonts w:ascii="Arial" w:hAnsi="Arial" w:cs="Arial"/>
                <w:iCs/>
              </w:rPr>
            </w:pPr>
            <w:r w:rsidRPr="00550377">
              <w:rPr>
                <w:rFonts w:ascii="Arial" w:hAnsi="Arial" w:cs="Arial"/>
                <w:iCs/>
              </w:rPr>
              <w:t xml:space="preserve">This conclusion applies to patients with tumours which do not have an activating </w:t>
            </w:r>
            <w:r w:rsidRPr="00442E7E">
              <w:rPr>
                <w:rFonts w:ascii="Arial" w:hAnsi="Arial" w:cs="Arial"/>
                <w:iCs/>
              </w:rPr>
              <w:t xml:space="preserve">Epidermal Growth Factor Receptor </w:t>
            </w:r>
            <w:r>
              <w:rPr>
                <w:rFonts w:ascii="Arial" w:hAnsi="Arial" w:cs="Arial"/>
                <w:iCs/>
              </w:rPr>
              <w:t>(</w:t>
            </w:r>
            <w:r w:rsidRPr="00550377">
              <w:rPr>
                <w:rFonts w:ascii="Arial" w:hAnsi="Arial" w:cs="Arial"/>
                <w:iCs/>
              </w:rPr>
              <w:t>EGFR</w:t>
            </w:r>
            <w:r>
              <w:rPr>
                <w:rFonts w:ascii="Arial" w:hAnsi="Arial" w:cs="Arial"/>
                <w:iCs/>
              </w:rPr>
              <w:t>)</w:t>
            </w:r>
            <w:r w:rsidRPr="00550377">
              <w:rPr>
                <w:rFonts w:ascii="Arial" w:hAnsi="Arial" w:cs="Arial"/>
                <w:iCs/>
              </w:rPr>
              <w:t xml:space="preserve"> gene mutation or</w:t>
            </w:r>
            <w:r>
              <w:rPr>
                <w:rFonts w:ascii="Arial" w:hAnsi="Arial" w:cs="Arial"/>
                <w:iCs/>
              </w:rPr>
              <w:t xml:space="preserve"> </w:t>
            </w:r>
            <w:r w:rsidRPr="00442E7E">
              <w:rPr>
                <w:rFonts w:ascii="Arial" w:hAnsi="Arial" w:cs="Arial"/>
                <w:iCs/>
              </w:rPr>
              <w:t xml:space="preserve">Anaplastic lymphoma kinase </w:t>
            </w:r>
            <w:r>
              <w:rPr>
                <w:rFonts w:ascii="Arial" w:hAnsi="Arial" w:cs="Arial"/>
                <w:iCs/>
              </w:rPr>
              <w:t>(</w:t>
            </w:r>
            <w:r w:rsidRPr="00550377">
              <w:rPr>
                <w:rFonts w:ascii="Arial" w:hAnsi="Arial" w:cs="Arial"/>
                <w:iCs/>
              </w:rPr>
              <w:t>ALK</w:t>
            </w:r>
            <w:r>
              <w:rPr>
                <w:rFonts w:ascii="Arial" w:hAnsi="Arial" w:cs="Arial"/>
                <w:iCs/>
              </w:rPr>
              <w:t>)</w:t>
            </w:r>
            <w:r w:rsidRPr="00550377">
              <w:rPr>
                <w:rFonts w:ascii="Arial" w:hAnsi="Arial" w:cs="Arial"/>
                <w:iCs/>
              </w:rPr>
              <w:t xml:space="preserve"> gene rearrangement, but have high expression levels of PD-L1 (TPS ≥50%).</w:t>
            </w:r>
          </w:p>
          <w:p w:rsidR="002C30F1" w:rsidRPr="00C77424" w:rsidRDefault="002C30F1" w:rsidP="00C77424">
            <w:pPr>
              <w:pStyle w:val="ListParagraph"/>
              <w:ind w:left="33"/>
              <w:rPr>
                <w:rFonts w:ascii="Arial" w:hAnsi="Arial" w:cs="Arial"/>
                <w:iCs/>
                <w:sz w:val="20"/>
                <w:szCs w:val="20"/>
              </w:rPr>
            </w:pPr>
          </w:p>
          <w:p w:rsidR="002C30F1" w:rsidRPr="00C77424" w:rsidRDefault="002C30F1" w:rsidP="00C77424">
            <w:pPr>
              <w:pStyle w:val="ListParagraph"/>
              <w:ind w:left="33"/>
              <w:rPr>
                <w:rFonts w:ascii="Arial" w:hAnsi="Arial" w:cs="Arial"/>
                <w:iCs/>
                <w:sz w:val="20"/>
                <w:szCs w:val="20"/>
              </w:rPr>
            </w:pPr>
            <w:r w:rsidRPr="00C77424">
              <w:rPr>
                <w:rFonts w:ascii="Arial" w:hAnsi="Arial" w:cs="Arial"/>
                <w:iCs/>
                <w:sz w:val="20"/>
                <w:szCs w:val="20"/>
              </w:rPr>
              <w:t>The PBAC concluded that pembrolizumab was more effective than its main comparator, platinum-based doublet chemotherapy, in NSCLC which is PD-L1 positive (TPS ≥50%), but that the magnitude of the gain in overall survival was less clear due to the observed follow-up being less than one third that of the modelled extrapolation</w:t>
            </w:r>
            <w:r>
              <w:rPr>
                <w:rFonts w:ascii="Arial" w:hAnsi="Arial" w:cs="Arial"/>
                <w:iCs/>
                <w:sz w:val="20"/>
                <w:szCs w:val="20"/>
              </w:rPr>
              <w:t xml:space="preserve"> in the economic analysis</w:t>
            </w:r>
            <w:r w:rsidRPr="00C77424">
              <w:rPr>
                <w:rFonts w:ascii="Arial" w:hAnsi="Arial" w:cs="Arial"/>
                <w:iCs/>
                <w:sz w:val="20"/>
                <w:szCs w:val="20"/>
              </w:rPr>
              <w:t>.</w:t>
            </w:r>
          </w:p>
          <w:p w:rsidR="002C30F1" w:rsidRPr="00C77424" w:rsidRDefault="002C30F1" w:rsidP="00C77424">
            <w:pPr>
              <w:pStyle w:val="ListParagraph"/>
              <w:ind w:left="33"/>
              <w:rPr>
                <w:rFonts w:ascii="Arial" w:hAnsi="Arial" w:cs="Arial"/>
                <w:iCs/>
                <w:sz w:val="20"/>
                <w:szCs w:val="20"/>
              </w:rPr>
            </w:pPr>
          </w:p>
          <w:p w:rsidR="002C30F1" w:rsidRPr="00C77424" w:rsidRDefault="002C30F1" w:rsidP="00C77424">
            <w:pPr>
              <w:pStyle w:val="ListParagraph"/>
              <w:ind w:left="33"/>
              <w:rPr>
                <w:rFonts w:ascii="Arial" w:hAnsi="Arial" w:cs="Arial"/>
                <w:iCs/>
                <w:sz w:val="20"/>
                <w:szCs w:val="20"/>
              </w:rPr>
            </w:pPr>
            <w:r w:rsidRPr="00C77424">
              <w:rPr>
                <w:rFonts w:ascii="Arial" w:hAnsi="Arial" w:cs="Arial"/>
                <w:iCs/>
                <w:sz w:val="20"/>
                <w:szCs w:val="20"/>
              </w:rPr>
              <w:t>The PBAC considered that pembrolizumab would likely be better tolerated overall than platinum-based doublet chemotherapy, however, was more likely to increase the risk of immune-related adverse events.</w:t>
            </w:r>
          </w:p>
          <w:p w:rsidR="002C30F1" w:rsidRPr="00C77424" w:rsidRDefault="002C30F1" w:rsidP="00C77424">
            <w:pPr>
              <w:pStyle w:val="ListParagraph"/>
              <w:ind w:left="33"/>
              <w:rPr>
                <w:rFonts w:ascii="Arial" w:hAnsi="Arial" w:cs="Arial"/>
                <w:iCs/>
                <w:sz w:val="20"/>
                <w:szCs w:val="20"/>
              </w:rPr>
            </w:pPr>
          </w:p>
          <w:p w:rsidR="002C30F1" w:rsidRPr="00C77424" w:rsidRDefault="002C30F1" w:rsidP="00C77424">
            <w:pPr>
              <w:pStyle w:val="ListParagraph"/>
              <w:ind w:left="33"/>
              <w:rPr>
                <w:rFonts w:ascii="Arial" w:hAnsi="Arial" w:cs="Arial"/>
                <w:iCs/>
                <w:sz w:val="20"/>
                <w:szCs w:val="20"/>
              </w:rPr>
            </w:pPr>
            <w:r w:rsidRPr="00C77424">
              <w:rPr>
                <w:rFonts w:ascii="Arial" w:hAnsi="Arial" w:cs="Arial"/>
                <w:iCs/>
                <w:sz w:val="20"/>
                <w:szCs w:val="20"/>
              </w:rPr>
              <w:t>The PBAC advised that, with the high medicine cost at the requested price, incremental cost-effectiveness of pembrolizumab was unfavourable and uncertain. The PBAC considered that MSAC advice would be informative in relation to this economic evaluation. The rationale is that the test helps exclude patients who benefit less from treatment with pembrolizumab. In the context of concerns that testing of patients for PD-L1 expression in regular practice is unlikely to identify similarly eligible patients as were identified in the evidence provided to the PBAC, the clinical benefit of the medicine may be reduced, and thus its cost-effectiveness may become even less favourable.</w:t>
            </w:r>
          </w:p>
          <w:p w:rsidR="002C30F1" w:rsidRPr="00C77424" w:rsidRDefault="002C30F1" w:rsidP="00C77424">
            <w:pPr>
              <w:pStyle w:val="ListParagraph"/>
              <w:ind w:left="33"/>
              <w:rPr>
                <w:rFonts w:ascii="Arial" w:hAnsi="Arial" w:cs="Arial"/>
                <w:iCs/>
                <w:sz w:val="20"/>
                <w:szCs w:val="20"/>
              </w:rPr>
            </w:pPr>
          </w:p>
          <w:p w:rsidR="002C30F1" w:rsidRPr="00395B97" w:rsidRDefault="002C30F1" w:rsidP="00C77424">
            <w:pPr>
              <w:pStyle w:val="ListParagraph"/>
              <w:ind w:left="33"/>
              <w:rPr>
                <w:rFonts w:ascii="Arial" w:hAnsi="Arial" w:cs="Arial"/>
                <w:iCs/>
                <w:sz w:val="20"/>
                <w:szCs w:val="20"/>
              </w:rPr>
            </w:pPr>
            <w:r w:rsidRPr="00C77424">
              <w:rPr>
                <w:rFonts w:ascii="Arial" w:hAnsi="Arial" w:cs="Arial"/>
                <w:iCs/>
                <w:sz w:val="20"/>
                <w:szCs w:val="20"/>
              </w:rPr>
              <w:lastRenderedPageBreak/>
              <w:t>The PBAC noted that the estimated overall net cost of PD-L1 testing and pembrolizumab for NSCLC to the Government would be substantia</w:t>
            </w:r>
            <w:r>
              <w:rPr>
                <w:rFonts w:ascii="Arial" w:hAnsi="Arial" w:cs="Arial"/>
                <w:iCs/>
                <w:sz w:val="20"/>
                <w:szCs w:val="20"/>
              </w:rPr>
              <w:t xml:space="preserve">l, </w:t>
            </w:r>
            <w:r w:rsidRPr="00442E7E">
              <w:rPr>
                <w:rFonts w:ascii="Arial" w:hAnsi="Arial" w:cs="Arial"/>
                <w:iCs/>
                <w:sz w:val="20"/>
                <w:szCs w:val="20"/>
              </w:rPr>
              <w:t>and as such, there would be a significant opportunity cost to the Commonwealth.</w:t>
            </w:r>
          </w:p>
        </w:tc>
      </w:tr>
      <w:tr w:rsidR="002C30F1" w:rsidRPr="00395B97" w:rsidTr="00B125FE">
        <w:trPr>
          <w:trHeight w:val="508"/>
        </w:trPr>
        <w:tc>
          <w:tcPr>
            <w:tcW w:w="2694" w:type="dxa"/>
            <w:vMerge/>
            <w:tcMar>
              <w:top w:w="28" w:type="dxa"/>
              <w:bottom w:w="28" w:type="dxa"/>
            </w:tcMar>
          </w:tcPr>
          <w:p w:rsidR="002C30F1" w:rsidRPr="00065D04" w:rsidRDefault="002C30F1" w:rsidP="00AF6ADE">
            <w:pPr>
              <w:rPr>
                <w:rFonts w:ascii="Arial" w:hAnsi="Arial" w:cs="Arial"/>
                <w:color w:val="000000"/>
              </w:rPr>
            </w:pPr>
          </w:p>
        </w:tc>
        <w:tc>
          <w:tcPr>
            <w:tcW w:w="2409" w:type="dxa"/>
            <w:vMerge/>
          </w:tcPr>
          <w:p w:rsidR="002C30F1" w:rsidRPr="00176F55" w:rsidRDefault="002C30F1" w:rsidP="00AF6ADE">
            <w:pPr>
              <w:rPr>
                <w:rFonts w:ascii="Arial" w:hAnsi="Arial" w:cs="Arial"/>
                <w:color w:val="000000"/>
              </w:rPr>
            </w:pPr>
          </w:p>
        </w:tc>
        <w:tc>
          <w:tcPr>
            <w:tcW w:w="3261" w:type="dxa"/>
            <w:tcMar>
              <w:top w:w="28" w:type="dxa"/>
              <w:bottom w:w="28" w:type="dxa"/>
            </w:tcMar>
          </w:tcPr>
          <w:p w:rsidR="002C30F1" w:rsidRPr="00C879AB" w:rsidRDefault="002C30F1" w:rsidP="00AF6ADE">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2C30F1" w:rsidRPr="00D22EA8" w:rsidRDefault="002C30F1" w:rsidP="00D22EA8">
            <w:pPr>
              <w:rPr>
                <w:rFonts w:ascii="Arial" w:hAnsi="Arial" w:cs="Arial"/>
              </w:rPr>
            </w:pPr>
            <w:r w:rsidRPr="00D22EA8">
              <w:rPr>
                <w:rFonts w:ascii="Arial" w:hAnsi="Arial" w:cs="Arial"/>
                <w:iCs/>
              </w:rPr>
              <w:t>The sponsor is disappointed with this outcome and will continue to work with government to bring KEYTRUDA to 1</w:t>
            </w:r>
            <w:r w:rsidRPr="00D22EA8">
              <w:rPr>
                <w:rFonts w:ascii="Arial" w:hAnsi="Arial" w:cs="Arial"/>
                <w:iCs/>
                <w:vertAlign w:val="superscript"/>
              </w:rPr>
              <w:t>st</w:t>
            </w:r>
            <w:r w:rsidRPr="00D22EA8">
              <w:rPr>
                <w:rFonts w:ascii="Arial" w:hAnsi="Arial" w:cs="Arial"/>
                <w:iCs/>
              </w:rPr>
              <w:t> line non-small cell lung cancer patients as soon as possible.</w:t>
            </w:r>
          </w:p>
          <w:p w:rsidR="002C30F1" w:rsidRPr="00395B97" w:rsidRDefault="002C30F1" w:rsidP="00AF6ADE">
            <w:pPr>
              <w:pStyle w:val="ListParagraph"/>
              <w:ind w:left="177"/>
              <w:rPr>
                <w:rFonts w:ascii="Arial" w:hAnsi="Arial" w:cs="Arial"/>
                <w:iCs/>
                <w:sz w:val="20"/>
                <w:szCs w:val="20"/>
              </w:rPr>
            </w:pPr>
          </w:p>
        </w:tc>
      </w:tr>
      <w:tr w:rsidR="002C30F1" w:rsidRPr="00395B97" w:rsidTr="00EE5CF4">
        <w:trPr>
          <w:cantSplit/>
          <w:trHeight w:val="2859"/>
        </w:trPr>
        <w:tc>
          <w:tcPr>
            <w:tcW w:w="2694" w:type="dxa"/>
            <w:vMerge w:val="restart"/>
            <w:tcMar>
              <w:top w:w="28" w:type="dxa"/>
              <w:bottom w:w="28" w:type="dxa"/>
            </w:tcMar>
          </w:tcPr>
          <w:p w:rsidR="002C30F1" w:rsidRPr="00EB609B" w:rsidRDefault="002C30F1" w:rsidP="00AF6ADE">
            <w:pPr>
              <w:rPr>
                <w:rFonts w:ascii="Arial" w:hAnsi="Arial" w:cs="Arial"/>
                <w:color w:val="000000"/>
              </w:rPr>
            </w:pPr>
            <w:r w:rsidRPr="00EB609B">
              <w:rPr>
                <w:rFonts w:ascii="Arial" w:hAnsi="Arial" w:cs="Arial"/>
                <w:color w:val="000000"/>
              </w:rPr>
              <w:t>POMALIDOMIDE</w:t>
            </w:r>
          </w:p>
          <w:p w:rsidR="002C30F1" w:rsidRPr="00EB609B" w:rsidRDefault="002C30F1" w:rsidP="00AF6ADE">
            <w:pPr>
              <w:rPr>
                <w:rFonts w:ascii="Arial" w:hAnsi="Arial" w:cs="Arial"/>
                <w:color w:val="000000"/>
              </w:rPr>
            </w:pPr>
          </w:p>
          <w:p w:rsidR="002C30F1" w:rsidRPr="00EB609B" w:rsidRDefault="002C30F1" w:rsidP="00AF6ADE">
            <w:pPr>
              <w:rPr>
                <w:rFonts w:ascii="Arial" w:hAnsi="Arial" w:cs="Arial"/>
                <w:color w:val="000000"/>
              </w:rPr>
            </w:pPr>
            <w:r w:rsidRPr="00EB609B">
              <w:rPr>
                <w:rFonts w:ascii="Arial" w:hAnsi="Arial" w:cs="Arial"/>
                <w:color w:val="000000"/>
              </w:rPr>
              <w:t>Capsule 3 mg</w:t>
            </w:r>
            <w:r w:rsidRPr="00EB609B">
              <w:rPr>
                <w:rFonts w:ascii="Arial" w:hAnsi="Arial" w:cs="Arial"/>
                <w:color w:val="000000"/>
              </w:rPr>
              <w:br/>
              <w:t>Capsule 4 mg</w:t>
            </w:r>
          </w:p>
          <w:p w:rsidR="002C30F1" w:rsidRPr="00EB609B" w:rsidRDefault="002C30F1" w:rsidP="00AF6ADE">
            <w:pPr>
              <w:rPr>
                <w:rFonts w:ascii="Arial" w:hAnsi="Arial" w:cs="Arial"/>
                <w:color w:val="000000"/>
              </w:rPr>
            </w:pPr>
          </w:p>
          <w:p w:rsidR="002C30F1" w:rsidRPr="00EB609B" w:rsidRDefault="002C30F1" w:rsidP="00AF6ADE">
            <w:pPr>
              <w:rPr>
                <w:rFonts w:ascii="Arial" w:hAnsi="Arial" w:cs="Arial"/>
                <w:color w:val="000000"/>
              </w:rPr>
            </w:pPr>
            <w:r w:rsidRPr="00EB609B">
              <w:rPr>
                <w:rFonts w:ascii="Arial" w:hAnsi="Arial" w:cs="Arial"/>
                <w:color w:val="000000"/>
              </w:rPr>
              <w:t>Pomalyst®</w:t>
            </w:r>
          </w:p>
          <w:p w:rsidR="002C30F1" w:rsidRPr="00EB609B" w:rsidRDefault="002C30F1" w:rsidP="00AF6ADE">
            <w:pPr>
              <w:rPr>
                <w:rFonts w:ascii="Arial" w:hAnsi="Arial" w:cs="Arial"/>
                <w:color w:val="000000"/>
              </w:rPr>
            </w:pPr>
          </w:p>
          <w:p w:rsidR="002C30F1" w:rsidRDefault="002C30F1" w:rsidP="00AF6ADE">
            <w:pPr>
              <w:rPr>
                <w:rFonts w:ascii="Arial" w:hAnsi="Arial" w:cs="Arial"/>
              </w:rPr>
            </w:pPr>
            <w:r w:rsidRPr="00EB609B">
              <w:rPr>
                <w:rFonts w:ascii="Arial" w:hAnsi="Arial" w:cs="Arial"/>
              </w:rPr>
              <w:t>Celgene Pty Ltd</w:t>
            </w:r>
          </w:p>
          <w:p w:rsidR="002C30F1" w:rsidRDefault="002C30F1" w:rsidP="00AF6ADE">
            <w:pPr>
              <w:rPr>
                <w:rFonts w:ascii="Arial" w:hAnsi="Arial" w:cs="Arial"/>
              </w:rPr>
            </w:pPr>
          </w:p>
          <w:p w:rsidR="002C30F1" w:rsidRPr="00EB609B" w:rsidRDefault="002C30F1" w:rsidP="00AF6ADE">
            <w:pPr>
              <w:rPr>
                <w:rFonts w:ascii="Arial" w:hAnsi="Arial" w:cs="Arial"/>
              </w:rPr>
            </w:pPr>
            <w:r>
              <w:rPr>
                <w:rFonts w:ascii="Arial" w:hAnsi="Arial" w:cs="Arial"/>
                <w:color w:val="000000"/>
              </w:rPr>
              <w:t>Change to listing</w:t>
            </w:r>
            <w:r>
              <w:rPr>
                <w:rFonts w:ascii="Arial" w:hAnsi="Arial" w:cs="Arial"/>
                <w:color w:val="000000"/>
              </w:rPr>
              <w:br/>
            </w:r>
            <w:r>
              <w:rPr>
                <w:rFonts w:ascii="Arial" w:hAnsi="Arial" w:cs="Arial"/>
                <w:color w:val="000000"/>
              </w:rPr>
              <w:br/>
              <w:t>(Minor Submission)</w:t>
            </w:r>
          </w:p>
        </w:tc>
        <w:tc>
          <w:tcPr>
            <w:tcW w:w="2409" w:type="dxa"/>
            <w:vMerge w:val="restart"/>
          </w:tcPr>
          <w:p w:rsidR="002C30F1" w:rsidRPr="00EB609B" w:rsidRDefault="002C30F1" w:rsidP="00AF6ADE">
            <w:pPr>
              <w:rPr>
                <w:rFonts w:ascii="Arial" w:hAnsi="Arial" w:cs="Arial"/>
                <w:color w:val="000000"/>
              </w:rPr>
            </w:pPr>
            <w:r w:rsidRPr="00EB609B">
              <w:rPr>
                <w:rFonts w:ascii="Arial" w:hAnsi="Arial" w:cs="Arial"/>
                <w:color w:val="000000"/>
              </w:rPr>
              <w:t>Relapsed/refractory multiple myeloma (RRMM)</w:t>
            </w:r>
          </w:p>
          <w:p w:rsidR="002C30F1" w:rsidRPr="00EB609B" w:rsidRDefault="002C30F1" w:rsidP="00AF6ADE">
            <w:pPr>
              <w:rPr>
                <w:rFonts w:ascii="Arial" w:hAnsi="Arial" w:cs="Arial"/>
                <w:color w:val="000000"/>
              </w:rPr>
            </w:pPr>
          </w:p>
        </w:tc>
        <w:tc>
          <w:tcPr>
            <w:tcW w:w="3261" w:type="dxa"/>
            <w:tcMar>
              <w:top w:w="28" w:type="dxa"/>
              <w:bottom w:w="28" w:type="dxa"/>
            </w:tcMar>
          </w:tcPr>
          <w:p w:rsidR="002C30F1" w:rsidRDefault="002C30F1" w:rsidP="00AF6ADE">
            <w:pPr>
              <w:rPr>
                <w:rFonts w:ascii="Arial" w:hAnsi="Arial" w:cs="Arial"/>
              </w:rPr>
            </w:pPr>
            <w:r w:rsidRPr="00EB609B">
              <w:rPr>
                <w:rFonts w:ascii="Arial" w:hAnsi="Arial" w:cs="Arial"/>
              </w:rPr>
              <w:t>To request an amendment to the Section 100 (Highly Specialised Drugs) listing to include patients with relapsed or refractory multiple myeloma who have received treatment with both lenalidomide and bortezomib and have experienced severe intolerance or toxicity unresponsive to adjusted dose or scheduling of lenalidomide and/or bortezomib.</w:t>
            </w:r>
          </w:p>
          <w:p w:rsidR="002C30F1" w:rsidRPr="00EB609B" w:rsidRDefault="002C30F1" w:rsidP="00AF6ADE">
            <w:pPr>
              <w:rPr>
                <w:rFonts w:ascii="Arial" w:hAnsi="Arial" w:cs="Arial"/>
              </w:rPr>
            </w:pPr>
          </w:p>
        </w:tc>
        <w:tc>
          <w:tcPr>
            <w:tcW w:w="6947" w:type="dxa"/>
          </w:tcPr>
          <w:p w:rsidR="002C30F1" w:rsidRPr="00A93082" w:rsidRDefault="002C30F1" w:rsidP="00A93082">
            <w:pPr>
              <w:rPr>
                <w:rFonts w:ascii="Arial" w:hAnsi="Arial" w:cs="Arial"/>
                <w:iCs/>
              </w:rPr>
            </w:pPr>
            <w:r w:rsidRPr="00A93082">
              <w:rPr>
                <w:rFonts w:ascii="Arial" w:hAnsi="Arial" w:cs="Arial"/>
                <w:iCs/>
              </w:rPr>
              <w:t>The PBAC rejected the request to amend the current restriction for pomalidomide to include the treatment of patients who have experienced severe intolerance or toxicity to lenalidomide and/or bortezomib for relapsed/refractory multiple myeloma. In making its decision, the PBAC noted that cost-effectiveness in the extended population had not been demonstrated. Further, the PBAC noted that no safety data was provided to support the use of pomalidomide in patients with severe intolerance to lenalidomide.</w:t>
            </w:r>
          </w:p>
        </w:tc>
      </w:tr>
      <w:tr w:rsidR="002C30F1" w:rsidRPr="00395B97" w:rsidTr="00AF6ADE">
        <w:trPr>
          <w:cantSplit/>
          <w:trHeight w:val="387"/>
        </w:trPr>
        <w:tc>
          <w:tcPr>
            <w:tcW w:w="2694" w:type="dxa"/>
            <w:vMerge/>
            <w:tcMar>
              <w:top w:w="28" w:type="dxa"/>
              <w:bottom w:w="28" w:type="dxa"/>
            </w:tcMar>
          </w:tcPr>
          <w:p w:rsidR="002C30F1" w:rsidRPr="00EB609B" w:rsidRDefault="002C30F1" w:rsidP="00AF6ADE">
            <w:pPr>
              <w:rPr>
                <w:rFonts w:ascii="Arial" w:hAnsi="Arial" w:cs="Arial"/>
                <w:color w:val="000000"/>
              </w:rPr>
            </w:pPr>
          </w:p>
        </w:tc>
        <w:tc>
          <w:tcPr>
            <w:tcW w:w="2409" w:type="dxa"/>
            <w:vMerge/>
          </w:tcPr>
          <w:p w:rsidR="002C30F1" w:rsidRPr="00EB609B" w:rsidRDefault="002C30F1" w:rsidP="00AF6ADE">
            <w:pPr>
              <w:rPr>
                <w:rFonts w:ascii="Arial" w:hAnsi="Arial" w:cs="Arial"/>
                <w:color w:val="000000"/>
              </w:rPr>
            </w:pPr>
          </w:p>
        </w:tc>
        <w:tc>
          <w:tcPr>
            <w:tcW w:w="3261" w:type="dxa"/>
            <w:tcMar>
              <w:top w:w="28" w:type="dxa"/>
              <w:bottom w:w="28" w:type="dxa"/>
            </w:tcMar>
          </w:tcPr>
          <w:p w:rsidR="002C30F1" w:rsidRPr="00C879AB" w:rsidRDefault="002C30F1" w:rsidP="00AF6ADE">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2C30F1" w:rsidRPr="00A93082" w:rsidRDefault="002C30F1" w:rsidP="00A93082">
            <w:pPr>
              <w:rPr>
                <w:rFonts w:ascii="Arial" w:hAnsi="Arial" w:cs="Arial"/>
                <w:iCs/>
              </w:rPr>
            </w:pPr>
            <w:r w:rsidRPr="00A93082">
              <w:rPr>
                <w:rFonts w:ascii="Arial" w:hAnsi="Arial" w:cs="Arial"/>
              </w:rPr>
              <w:t xml:space="preserve">Whilst disappointed with the views expressed by the PBAC </w:t>
            </w:r>
            <w:proofErr w:type="spellStart"/>
            <w:r w:rsidRPr="00A93082">
              <w:rPr>
                <w:rFonts w:ascii="Arial" w:hAnsi="Arial" w:cs="Arial"/>
              </w:rPr>
              <w:t>Celgene</w:t>
            </w:r>
            <w:proofErr w:type="spellEnd"/>
            <w:r w:rsidRPr="00A93082">
              <w:rPr>
                <w:rFonts w:ascii="Arial" w:hAnsi="Arial" w:cs="Arial"/>
              </w:rPr>
              <w:t xml:space="preserve"> will continue to try and address the issues raised.</w:t>
            </w:r>
          </w:p>
        </w:tc>
      </w:tr>
      <w:tr w:rsidR="002C30F1" w:rsidRPr="00395B97" w:rsidTr="00EE5CF4">
        <w:trPr>
          <w:cantSplit/>
          <w:trHeight w:val="1956"/>
        </w:trPr>
        <w:tc>
          <w:tcPr>
            <w:tcW w:w="2694" w:type="dxa"/>
            <w:vMerge w:val="restart"/>
            <w:tcMar>
              <w:top w:w="28" w:type="dxa"/>
              <w:bottom w:w="28" w:type="dxa"/>
            </w:tcMar>
          </w:tcPr>
          <w:p w:rsidR="002C30F1" w:rsidRDefault="002C30F1" w:rsidP="00AF6ADE">
            <w:pPr>
              <w:rPr>
                <w:rFonts w:ascii="Arial" w:hAnsi="Arial" w:cs="Arial"/>
                <w:color w:val="000000"/>
              </w:rPr>
            </w:pPr>
            <w:r w:rsidRPr="006F724C">
              <w:rPr>
                <w:rFonts w:ascii="Arial" w:hAnsi="Arial" w:cs="Arial"/>
                <w:color w:val="000000"/>
              </w:rPr>
              <w:lastRenderedPageBreak/>
              <w:t>RANOLAZINE</w:t>
            </w:r>
          </w:p>
          <w:p w:rsidR="002C30F1" w:rsidRDefault="002C30F1" w:rsidP="00AF6ADE">
            <w:pPr>
              <w:rPr>
                <w:rFonts w:ascii="Arial" w:hAnsi="Arial" w:cs="Arial"/>
                <w:color w:val="000000"/>
              </w:rPr>
            </w:pPr>
          </w:p>
          <w:p w:rsidR="002C30F1" w:rsidRPr="006F724C" w:rsidRDefault="002C30F1" w:rsidP="00AF6ADE">
            <w:pPr>
              <w:rPr>
                <w:rFonts w:ascii="Arial" w:hAnsi="Arial" w:cs="Arial"/>
                <w:color w:val="000000"/>
              </w:rPr>
            </w:pPr>
            <w:r>
              <w:rPr>
                <w:rFonts w:ascii="Arial" w:hAnsi="Arial" w:cs="Arial"/>
                <w:color w:val="000000"/>
              </w:rPr>
              <w:t xml:space="preserve">Tablet (modified release) </w:t>
            </w:r>
            <w:r w:rsidRPr="006F724C">
              <w:rPr>
                <w:rFonts w:ascii="Arial" w:hAnsi="Arial" w:cs="Arial"/>
                <w:color w:val="000000"/>
              </w:rPr>
              <w:t xml:space="preserve">375 </w:t>
            </w:r>
            <w:r>
              <w:rPr>
                <w:rFonts w:ascii="Arial" w:hAnsi="Arial" w:cs="Arial"/>
                <w:color w:val="000000"/>
              </w:rPr>
              <w:t>mg</w:t>
            </w:r>
          </w:p>
          <w:p w:rsidR="002C30F1" w:rsidRPr="006F724C" w:rsidRDefault="002C30F1" w:rsidP="00AF6ADE">
            <w:pPr>
              <w:rPr>
                <w:rFonts w:ascii="Arial" w:hAnsi="Arial" w:cs="Arial"/>
                <w:color w:val="000000"/>
              </w:rPr>
            </w:pPr>
            <w:r>
              <w:rPr>
                <w:rFonts w:ascii="Arial" w:hAnsi="Arial" w:cs="Arial"/>
                <w:color w:val="000000"/>
              </w:rPr>
              <w:t>Tablet (modified release) 500 mg</w:t>
            </w:r>
          </w:p>
          <w:p w:rsidR="002C30F1" w:rsidRDefault="002C30F1" w:rsidP="00AF6ADE">
            <w:pPr>
              <w:rPr>
                <w:rFonts w:ascii="Arial" w:hAnsi="Arial" w:cs="Arial"/>
                <w:color w:val="000000"/>
              </w:rPr>
            </w:pPr>
            <w:r>
              <w:rPr>
                <w:rFonts w:ascii="Arial" w:hAnsi="Arial" w:cs="Arial"/>
                <w:color w:val="000000"/>
              </w:rPr>
              <w:t xml:space="preserve">Tablet (modified release) </w:t>
            </w:r>
            <w:r w:rsidRPr="006F724C">
              <w:rPr>
                <w:rFonts w:ascii="Arial" w:hAnsi="Arial" w:cs="Arial"/>
                <w:color w:val="000000"/>
              </w:rPr>
              <w:t>750 mg</w:t>
            </w:r>
          </w:p>
          <w:p w:rsidR="002C30F1" w:rsidRDefault="002C30F1" w:rsidP="00AF6ADE">
            <w:pPr>
              <w:rPr>
                <w:rFonts w:ascii="Arial" w:hAnsi="Arial" w:cs="Arial"/>
                <w:color w:val="000000"/>
              </w:rPr>
            </w:pPr>
          </w:p>
          <w:p w:rsidR="002C30F1" w:rsidRDefault="002C30F1" w:rsidP="00AF6ADE">
            <w:pPr>
              <w:rPr>
                <w:rFonts w:ascii="Arial" w:hAnsi="Arial" w:cs="Arial"/>
                <w:color w:val="000000"/>
              </w:rPr>
            </w:pPr>
            <w:r>
              <w:rPr>
                <w:rFonts w:ascii="Arial" w:hAnsi="Arial" w:cs="Arial"/>
                <w:color w:val="000000"/>
              </w:rPr>
              <w:t>Ranexa®</w:t>
            </w:r>
          </w:p>
          <w:p w:rsidR="002C30F1" w:rsidRDefault="002C30F1" w:rsidP="00AF6ADE">
            <w:pPr>
              <w:rPr>
                <w:rFonts w:ascii="Arial" w:hAnsi="Arial" w:cs="Arial"/>
                <w:color w:val="000000"/>
              </w:rPr>
            </w:pPr>
          </w:p>
          <w:p w:rsidR="002C30F1" w:rsidRPr="00B10DB9" w:rsidRDefault="002C30F1" w:rsidP="00B10DB9">
            <w:pPr>
              <w:rPr>
                <w:rFonts w:ascii="Arial" w:hAnsi="Arial" w:cs="Arial"/>
              </w:rPr>
            </w:pPr>
            <w:r w:rsidRPr="00B10DB9">
              <w:rPr>
                <w:rFonts w:ascii="Arial" w:hAnsi="Arial" w:cs="Arial"/>
              </w:rPr>
              <w:t>A.</w:t>
            </w:r>
            <w:r>
              <w:rPr>
                <w:rFonts w:ascii="Arial" w:hAnsi="Arial" w:cs="Arial"/>
              </w:rPr>
              <w:t xml:space="preserve"> </w:t>
            </w:r>
            <w:r w:rsidRPr="00B10DB9">
              <w:rPr>
                <w:rFonts w:ascii="Arial" w:hAnsi="Arial" w:cs="Arial"/>
              </w:rPr>
              <w:t>Menarini Australia Pty Ltd</w:t>
            </w:r>
          </w:p>
          <w:p w:rsidR="002C30F1" w:rsidRDefault="002C30F1" w:rsidP="00AF6ADE">
            <w:pPr>
              <w:rPr>
                <w:rFonts w:ascii="Arial" w:hAnsi="Arial" w:cs="Arial"/>
              </w:rPr>
            </w:pPr>
          </w:p>
          <w:p w:rsidR="002C30F1" w:rsidRDefault="002C30F1" w:rsidP="00AB756D">
            <w:pPr>
              <w:rPr>
                <w:rFonts w:ascii="Arial" w:hAnsi="Arial" w:cs="Arial"/>
                <w:color w:val="000000"/>
              </w:rPr>
            </w:pPr>
            <w:r>
              <w:rPr>
                <w:rFonts w:ascii="Arial" w:hAnsi="Arial" w:cs="Arial"/>
                <w:color w:val="000000"/>
              </w:rPr>
              <w:t>New Listing</w:t>
            </w:r>
          </w:p>
          <w:p w:rsidR="002C30F1" w:rsidRDefault="002C30F1" w:rsidP="00AB756D">
            <w:pPr>
              <w:rPr>
                <w:rFonts w:ascii="Arial" w:hAnsi="Arial" w:cs="Arial"/>
                <w:color w:val="000000"/>
              </w:rPr>
            </w:pPr>
          </w:p>
          <w:p w:rsidR="002C30F1" w:rsidRDefault="002C30F1" w:rsidP="00AB756D">
            <w:pPr>
              <w:rPr>
                <w:rFonts w:ascii="Arial" w:hAnsi="Arial" w:cs="Arial"/>
                <w:color w:val="000000"/>
              </w:rPr>
            </w:pPr>
            <w:r>
              <w:rPr>
                <w:rFonts w:ascii="Arial" w:hAnsi="Arial" w:cs="Arial"/>
                <w:color w:val="000000"/>
              </w:rPr>
              <w:t>(Major Submission)</w:t>
            </w:r>
          </w:p>
          <w:p w:rsidR="002C30F1" w:rsidRPr="006F724C" w:rsidRDefault="002C30F1" w:rsidP="00AB756D">
            <w:pPr>
              <w:rPr>
                <w:rFonts w:ascii="Arial" w:hAnsi="Arial" w:cs="Arial"/>
              </w:rPr>
            </w:pPr>
            <w:r>
              <w:rPr>
                <w:rFonts w:ascii="Arial" w:hAnsi="Arial" w:cs="Arial"/>
              </w:rPr>
              <w:t xml:space="preserve"> </w:t>
            </w:r>
          </w:p>
        </w:tc>
        <w:tc>
          <w:tcPr>
            <w:tcW w:w="2409" w:type="dxa"/>
            <w:vMerge w:val="restart"/>
          </w:tcPr>
          <w:p w:rsidR="002C30F1" w:rsidRPr="00E82449" w:rsidRDefault="002C30F1" w:rsidP="00AF6ADE">
            <w:pPr>
              <w:rPr>
                <w:rFonts w:ascii="Arial" w:hAnsi="Arial" w:cs="Arial"/>
                <w:color w:val="000000"/>
              </w:rPr>
            </w:pPr>
            <w:r>
              <w:rPr>
                <w:rFonts w:ascii="Arial" w:hAnsi="Arial" w:cs="Arial"/>
                <w:color w:val="000000"/>
              </w:rPr>
              <w:t>Stable a</w:t>
            </w:r>
            <w:r w:rsidRPr="006F724C">
              <w:rPr>
                <w:rFonts w:ascii="Arial" w:hAnsi="Arial" w:cs="Arial"/>
                <w:color w:val="000000"/>
              </w:rPr>
              <w:t>ngina pectoris</w:t>
            </w:r>
          </w:p>
        </w:tc>
        <w:tc>
          <w:tcPr>
            <w:tcW w:w="3261" w:type="dxa"/>
            <w:tcMar>
              <w:top w:w="28" w:type="dxa"/>
              <w:bottom w:w="28" w:type="dxa"/>
            </w:tcMar>
          </w:tcPr>
          <w:p w:rsidR="002C30F1" w:rsidRPr="00E82449" w:rsidRDefault="002C30F1" w:rsidP="00AF6ADE">
            <w:pPr>
              <w:rPr>
                <w:rFonts w:ascii="Arial" w:hAnsi="Arial" w:cs="Arial"/>
                <w:color w:val="000000"/>
              </w:rPr>
            </w:pPr>
            <w:r w:rsidRPr="006F724C">
              <w:rPr>
                <w:rFonts w:ascii="Arial" w:hAnsi="Arial" w:cs="Arial"/>
                <w:color w:val="000000"/>
              </w:rPr>
              <w:t xml:space="preserve">To request an Authority Required (STREAMLINED) listing as an add-on </w:t>
            </w:r>
            <w:r>
              <w:rPr>
                <w:rFonts w:ascii="Arial" w:hAnsi="Arial" w:cs="Arial"/>
                <w:color w:val="000000"/>
              </w:rPr>
              <w:t xml:space="preserve">therapy </w:t>
            </w:r>
            <w:r w:rsidRPr="006F724C">
              <w:rPr>
                <w:rFonts w:ascii="Arial" w:hAnsi="Arial" w:cs="Arial"/>
                <w:color w:val="000000"/>
              </w:rPr>
              <w:t>for the symptomatic treatment of stable angina pectoris.</w:t>
            </w:r>
          </w:p>
        </w:tc>
        <w:tc>
          <w:tcPr>
            <w:tcW w:w="6947" w:type="dxa"/>
          </w:tcPr>
          <w:p w:rsidR="002C30F1" w:rsidRPr="00DB21FF" w:rsidRDefault="002C30F1" w:rsidP="00DB21FF">
            <w:pPr>
              <w:pStyle w:val="ListParagraph"/>
              <w:ind w:left="177"/>
              <w:rPr>
                <w:rFonts w:ascii="Arial" w:hAnsi="Arial" w:cs="Arial"/>
                <w:iCs/>
                <w:sz w:val="20"/>
                <w:szCs w:val="20"/>
              </w:rPr>
            </w:pPr>
            <w:r w:rsidRPr="00DB21FF">
              <w:rPr>
                <w:rFonts w:ascii="Arial" w:hAnsi="Arial" w:cs="Arial"/>
                <w:iCs/>
                <w:sz w:val="20"/>
                <w:szCs w:val="20"/>
              </w:rPr>
              <w:t>The PBAC did not recommend the listing of ranolazine for add-on symptomatic treatment of stable angina pectoris in patients with inadequate symptom control despite taking the maximum tolerated dose of a beta-blocker or a calcium channel blocker on the basis that the nominated comparator</w:t>
            </w:r>
            <w:r>
              <w:rPr>
                <w:rFonts w:ascii="Arial" w:hAnsi="Arial" w:cs="Arial"/>
                <w:iCs/>
                <w:sz w:val="20"/>
                <w:szCs w:val="20"/>
              </w:rPr>
              <w:t xml:space="preserve"> (treatments likely to be replaced in practice) </w:t>
            </w:r>
            <w:r w:rsidRPr="00DB21FF">
              <w:rPr>
                <w:rFonts w:ascii="Arial" w:hAnsi="Arial" w:cs="Arial"/>
                <w:iCs/>
                <w:sz w:val="20"/>
                <w:szCs w:val="20"/>
              </w:rPr>
              <w:t xml:space="preserve">was not appropriate, the magnitude of any clinical benefit remained unclear and cost-effectiveness was uncertain. </w:t>
            </w:r>
          </w:p>
          <w:p w:rsidR="002C30F1" w:rsidRPr="00DB21FF" w:rsidRDefault="002C30F1" w:rsidP="00DB21FF">
            <w:pPr>
              <w:pStyle w:val="ListParagraph"/>
              <w:ind w:left="177"/>
              <w:rPr>
                <w:rFonts w:ascii="Arial" w:hAnsi="Arial" w:cs="Arial"/>
                <w:iCs/>
                <w:sz w:val="20"/>
                <w:szCs w:val="20"/>
              </w:rPr>
            </w:pPr>
          </w:p>
          <w:p w:rsidR="002C30F1" w:rsidRDefault="002C30F1" w:rsidP="00901F15">
            <w:pPr>
              <w:pStyle w:val="ListParagraph"/>
              <w:ind w:left="177"/>
              <w:rPr>
                <w:rFonts w:ascii="Arial" w:hAnsi="Arial" w:cs="Arial"/>
                <w:iCs/>
                <w:sz w:val="20"/>
                <w:szCs w:val="20"/>
              </w:rPr>
            </w:pPr>
            <w:r w:rsidRPr="00DB21FF">
              <w:rPr>
                <w:rFonts w:ascii="Arial" w:hAnsi="Arial" w:cs="Arial"/>
                <w:iCs/>
                <w:sz w:val="20"/>
                <w:szCs w:val="20"/>
              </w:rPr>
              <w:t>The PBAC judge the merit of funding drugs on the basis of the comparative effectiveness and cost-effectiveness to current funded treatments. Patients with stable angina pectoris can currently access long acting nitrates, nicorandil and perhexiline.</w:t>
            </w:r>
          </w:p>
          <w:p w:rsidR="002C30F1" w:rsidRPr="00DB21FF" w:rsidRDefault="002C30F1" w:rsidP="00901F15">
            <w:pPr>
              <w:pStyle w:val="ListParagraph"/>
              <w:ind w:left="177"/>
              <w:rPr>
                <w:rFonts w:ascii="Arial" w:hAnsi="Arial" w:cs="Arial"/>
                <w:iCs/>
                <w:sz w:val="20"/>
                <w:szCs w:val="20"/>
              </w:rPr>
            </w:pPr>
            <w:r w:rsidRPr="00DB21FF">
              <w:rPr>
                <w:rFonts w:ascii="Arial" w:hAnsi="Arial" w:cs="Arial"/>
                <w:iCs/>
                <w:sz w:val="20"/>
                <w:szCs w:val="20"/>
              </w:rPr>
              <w:t xml:space="preserve"> </w:t>
            </w:r>
          </w:p>
          <w:p w:rsidR="002C30F1" w:rsidRPr="00DB21FF" w:rsidRDefault="002C30F1" w:rsidP="00DB21FF">
            <w:pPr>
              <w:pStyle w:val="ListParagraph"/>
              <w:ind w:left="177"/>
              <w:rPr>
                <w:rFonts w:ascii="Arial" w:hAnsi="Arial" w:cs="Arial"/>
                <w:iCs/>
                <w:sz w:val="20"/>
                <w:szCs w:val="20"/>
              </w:rPr>
            </w:pPr>
            <w:r w:rsidRPr="00DB21FF">
              <w:rPr>
                <w:rFonts w:ascii="Arial" w:hAnsi="Arial" w:cs="Arial"/>
                <w:iCs/>
                <w:sz w:val="20"/>
                <w:szCs w:val="20"/>
              </w:rPr>
              <w:t>Overall, the submission did not provide convincing data that ranolazine was sufficiently more effective or cost-effective than the current funded treatment of nicorandil and perhexiline. The submission did not consider long acting nitrates as a comparator. Therefore, the PBAC was unable to judge the merit of the submission’s proposed listing.</w:t>
            </w:r>
          </w:p>
          <w:p w:rsidR="002C30F1" w:rsidRPr="00DB21FF" w:rsidRDefault="002C30F1" w:rsidP="00DB21FF">
            <w:pPr>
              <w:pStyle w:val="ListParagraph"/>
              <w:ind w:left="177"/>
              <w:rPr>
                <w:rFonts w:ascii="Arial" w:hAnsi="Arial" w:cs="Arial"/>
                <w:iCs/>
                <w:sz w:val="20"/>
                <w:szCs w:val="20"/>
              </w:rPr>
            </w:pPr>
          </w:p>
          <w:p w:rsidR="002C30F1" w:rsidRPr="00DB21FF" w:rsidRDefault="002C30F1" w:rsidP="00DB21FF">
            <w:pPr>
              <w:pStyle w:val="ListParagraph"/>
              <w:ind w:left="177"/>
              <w:rPr>
                <w:rFonts w:ascii="Arial" w:hAnsi="Arial" w:cs="Arial"/>
                <w:iCs/>
                <w:sz w:val="20"/>
                <w:szCs w:val="20"/>
              </w:rPr>
            </w:pPr>
            <w:r w:rsidRPr="00DB21FF">
              <w:rPr>
                <w:rFonts w:ascii="Arial" w:hAnsi="Arial" w:cs="Arial"/>
                <w:iCs/>
                <w:sz w:val="20"/>
                <w:szCs w:val="20"/>
              </w:rPr>
              <w:t xml:space="preserve">The PBAC considered that the clinical trials presented in the submission did not accurately reflect the proposed PBS population or current clinical practice. Furthermore, the PBAC </w:t>
            </w:r>
            <w:r>
              <w:rPr>
                <w:rFonts w:ascii="Arial" w:hAnsi="Arial" w:cs="Arial"/>
                <w:iCs/>
                <w:sz w:val="20"/>
                <w:szCs w:val="20"/>
              </w:rPr>
              <w:t xml:space="preserve">was unsure of </w:t>
            </w:r>
            <w:r w:rsidRPr="00DB21FF">
              <w:rPr>
                <w:rFonts w:ascii="Arial" w:hAnsi="Arial" w:cs="Arial"/>
                <w:iCs/>
                <w:sz w:val="20"/>
                <w:szCs w:val="20"/>
              </w:rPr>
              <w:t>the clinical relevance of the difference in exercise treadmill test duration when treated with ranolazine</w:t>
            </w:r>
            <w:r>
              <w:rPr>
                <w:rFonts w:ascii="Arial" w:hAnsi="Arial" w:cs="Arial"/>
                <w:iCs/>
                <w:sz w:val="20"/>
                <w:szCs w:val="20"/>
              </w:rPr>
              <w:t>, which was used as the main outcome of the clinical trial</w:t>
            </w:r>
            <w:r w:rsidRPr="00DB21FF">
              <w:rPr>
                <w:rFonts w:ascii="Arial" w:hAnsi="Arial" w:cs="Arial"/>
                <w:iCs/>
                <w:sz w:val="20"/>
                <w:szCs w:val="20"/>
              </w:rPr>
              <w:t>.</w:t>
            </w:r>
          </w:p>
          <w:p w:rsidR="002C30F1" w:rsidRPr="00DB21FF" w:rsidRDefault="002C30F1" w:rsidP="00DB21FF">
            <w:pPr>
              <w:pStyle w:val="ListParagraph"/>
              <w:ind w:left="177"/>
              <w:rPr>
                <w:rFonts w:ascii="Arial" w:hAnsi="Arial" w:cs="Arial"/>
                <w:iCs/>
                <w:sz w:val="20"/>
                <w:szCs w:val="20"/>
              </w:rPr>
            </w:pPr>
          </w:p>
          <w:p w:rsidR="002C30F1" w:rsidRPr="00DB21FF" w:rsidRDefault="002C30F1" w:rsidP="00DB21FF">
            <w:pPr>
              <w:pStyle w:val="ListParagraph"/>
              <w:ind w:left="177"/>
              <w:rPr>
                <w:rFonts w:ascii="Arial" w:hAnsi="Arial" w:cs="Arial"/>
                <w:iCs/>
                <w:sz w:val="20"/>
                <w:szCs w:val="20"/>
              </w:rPr>
            </w:pPr>
            <w:r w:rsidRPr="00DB21FF">
              <w:rPr>
                <w:rFonts w:ascii="Arial" w:hAnsi="Arial" w:cs="Arial"/>
                <w:iCs/>
                <w:sz w:val="20"/>
                <w:szCs w:val="20"/>
              </w:rPr>
              <w:t>There were concerns that the assumptions used in the economic analysis did not reflect current clinical practice, such as not including long acting nitrates as a comparator in the model. The PBAC considered that the incremental cost effectiveness ratio presented in the submission’s base case analysis was highly uncertain.</w:t>
            </w:r>
          </w:p>
          <w:p w:rsidR="002C30F1" w:rsidRPr="00395B97" w:rsidRDefault="002C30F1" w:rsidP="000E1E84">
            <w:pPr>
              <w:pStyle w:val="ListParagraph"/>
              <w:ind w:left="177"/>
              <w:rPr>
                <w:rFonts w:ascii="Arial" w:hAnsi="Arial" w:cs="Arial"/>
                <w:iCs/>
                <w:sz w:val="20"/>
                <w:szCs w:val="20"/>
              </w:rPr>
            </w:pPr>
          </w:p>
        </w:tc>
      </w:tr>
      <w:tr w:rsidR="002C30F1" w:rsidRPr="00395B97" w:rsidTr="00AF6ADE">
        <w:trPr>
          <w:cantSplit/>
          <w:trHeight w:val="838"/>
        </w:trPr>
        <w:tc>
          <w:tcPr>
            <w:tcW w:w="2694" w:type="dxa"/>
            <w:vMerge/>
            <w:tcMar>
              <w:top w:w="28" w:type="dxa"/>
              <w:bottom w:w="28" w:type="dxa"/>
            </w:tcMar>
          </w:tcPr>
          <w:p w:rsidR="002C30F1" w:rsidRPr="006F724C" w:rsidRDefault="002C30F1" w:rsidP="00AF6ADE">
            <w:pPr>
              <w:rPr>
                <w:rFonts w:ascii="Arial" w:hAnsi="Arial" w:cs="Arial"/>
                <w:color w:val="000000"/>
              </w:rPr>
            </w:pPr>
          </w:p>
        </w:tc>
        <w:tc>
          <w:tcPr>
            <w:tcW w:w="2409" w:type="dxa"/>
            <w:vMerge/>
          </w:tcPr>
          <w:p w:rsidR="002C30F1" w:rsidRDefault="002C30F1" w:rsidP="00AF6ADE">
            <w:pPr>
              <w:rPr>
                <w:rFonts w:ascii="Arial" w:hAnsi="Arial" w:cs="Arial"/>
                <w:color w:val="000000"/>
              </w:rPr>
            </w:pPr>
          </w:p>
        </w:tc>
        <w:tc>
          <w:tcPr>
            <w:tcW w:w="3261" w:type="dxa"/>
            <w:tcMar>
              <w:top w:w="28" w:type="dxa"/>
              <w:bottom w:w="28" w:type="dxa"/>
            </w:tcMar>
          </w:tcPr>
          <w:p w:rsidR="002C30F1" w:rsidRPr="00C879AB" w:rsidRDefault="002C30F1" w:rsidP="00AF6ADE">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2C30F1" w:rsidRPr="00F97307" w:rsidRDefault="002C30F1" w:rsidP="00F97307">
            <w:pPr>
              <w:rPr>
                <w:rFonts w:ascii="Arial" w:eastAsia="SimSun" w:hAnsi="Arial" w:cs="Arial"/>
                <w:iCs/>
              </w:rPr>
            </w:pPr>
            <w:r w:rsidRPr="00F97307">
              <w:rPr>
                <w:rFonts w:ascii="Arial" w:eastAsia="SimSun" w:hAnsi="Arial" w:cs="Arial"/>
                <w:iCs/>
              </w:rPr>
              <w:t>Menarini will continue to work with the PBAC as we believe there are patients in Australia who could benefit from this treatment.</w:t>
            </w:r>
          </w:p>
          <w:p w:rsidR="002C30F1" w:rsidRPr="00395B97" w:rsidRDefault="002C30F1" w:rsidP="00AF6ADE">
            <w:pPr>
              <w:pStyle w:val="ListParagraph"/>
              <w:ind w:left="177"/>
              <w:rPr>
                <w:rFonts w:ascii="Arial" w:hAnsi="Arial" w:cs="Arial"/>
                <w:iCs/>
                <w:sz w:val="20"/>
                <w:szCs w:val="20"/>
              </w:rPr>
            </w:pPr>
          </w:p>
        </w:tc>
      </w:tr>
      <w:tr w:rsidR="002C30F1" w:rsidRPr="00395B97" w:rsidTr="00EE5CF4">
        <w:trPr>
          <w:cantSplit/>
          <w:trHeight w:val="2365"/>
        </w:trPr>
        <w:tc>
          <w:tcPr>
            <w:tcW w:w="2694" w:type="dxa"/>
            <w:vMerge w:val="restart"/>
            <w:tcMar>
              <w:top w:w="28" w:type="dxa"/>
              <w:bottom w:w="28" w:type="dxa"/>
            </w:tcMar>
          </w:tcPr>
          <w:p w:rsidR="002C30F1" w:rsidRDefault="002C30F1" w:rsidP="00AF6ADE">
            <w:pPr>
              <w:rPr>
                <w:rFonts w:ascii="Arial" w:hAnsi="Arial" w:cs="Arial"/>
                <w:color w:val="000000"/>
              </w:rPr>
            </w:pPr>
            <w:r w:rsidRPr="00293996">
              <w:rPr>
                <w:rFonts w:ascii="Arial" w:hAnsi="Arial" w:cs="Arial"/>
                <w:color w:val="000000"/>
              </w:rPr>
              <w:lastRenderedPageBreak/>
              <w:t>TOLVAPTAN</w:t>
            </w:r>
          </w:p>
          <w:p w:rsidR="002C30F1" w:rsidRDefault="002C30F1" w:rsidP="00AF6ADE">
            <w:pPr>
              <w:rPr>
                <w:rFonts w:ascii="Arial" w:hAnsi="Arial" w:cs="Arial"/>
                <w:color w:val="000000"/>
              </w:rPr>
            </w:pPr>
          </w:p>
          <w:p w:rsidR="002C30F1" w:rsidRPr="00E96AE9" w:rsidRDefault="002C30F1" w:rsidP="00AF6ADE">
            <w:pPr>
              <w:rPr>
                <w:rFonts w:ascii="Arial" w:hAnsi="Arial" w:cs="Arial"/>
                <w:color w:val="000000"/>
              </w:rPr>
            </w:pPr>
            <w:r w:rsidRPr="00E96AE9">
              <w:rPr>
                <w:rFonts w:ascii="Arial" w:hAnsi="Arial" w:cs="Arial"/>
                <w:color w:val="000000"/>
              </w:rPr>
              <w:t>Tablet 15 mg</w:t>
            </w:r>
          </w:p>
          <w:p w:rsidR="002C30F1" w:rsidRPr="00E96AE9" w:rsidRDefault="002C30F1" w:rsidP="00AF6ADE">
            <w:pPr>
              <w:rPr>
                <w:rFonts w:ascii="Arial" w:hAnsi="Arial" w:cs="Arial"/>
                <w:color w:val="000000"/>
              </w:rPr>
            </w:pPr>
            <w:r w:rsidRPr="00E96AE9">
              <w:rPr>
                <w:rFonts w:ascii="Arial" w:hAnsi="Arial" w:cs="Arial"/>
                <w:color w:val="000000"/>
              </w:rPr>
              <w:t>Tablet 30 mg</w:t>
            </w:r>
          </w:p>
          <w:p w:rsidR="002C30F1" w:rsidRPr="00E96AE9" w:rsidRDefault="002C30F1" w:rsidP="00AF6ADE">
            <w:pPr>
              <w:rPr>
                <w:rFonts w:ascii="Arial" w:hAnsi="Arial" w:cs="Arial"/>
                <w:color w:val="000000"/>
              </w:rPr>
            </w:pPr>
            <w:r w:rsidRPr="00E96AE9">
              <w:rPr>
                <w:rFonts w:ascii="Arial" w:hAnsi="Arial" w:cs="Arial"/>
                <w:color w:val="000000"/>
              </w:rPr>
              <w:t>Pack containing 28 tablets 15 mg and 28 tablets 45 mg</w:t>
            </w:r>
          </w:p>
          <w:p w:rsidR="002C30F1" w:rsidRPr="00E96AE9" w:rsidRDefault="002C30F1" w:rsidP="00AF6ADE">
            <w:pPr>
              <w:rPr>
                <w:rFonts w:ascii="Arial" w:hAnsi="Arial" w:cs="Arial"/>
                <w:color w:val="000000"/>
              </w:rPr>
            </w:pPr>
            <w:r w:rsidRPr="00E96AE9">
              <w:rPr>
                <w:rFonts w:ascii="Arial" w:hAnsi="Arial" w:cs="Arial"/>
                <w:color w:val="000000"/>
              </w:rPr>
              <w:t>Pack containing 28 tablets 30 mg and 28 tablets 60 mg</w:t>
            </w:r>
          </w:p>
          <w:p w:rsidR="002C30F1" w:rsidRDefault="002C30F1" w:rsidP="00AF6ADE">
            <w:pPr>
              <w:rPr>
                <w:rFonts w:ascii="Arial" w:hAnsi="Arial" w:cs="Arial"/>
                <w:color w:val="000000"/>
              </w:rPr>
            </w:pPr>
            <w:r w:rsidRPr="00E96AE9">
              <w:rPr>
                <w:rFonts w:ascii="Arial" w:hAnsi="Arial" w:cs="Arial"/>
                <w:color w:val="000000"/>
              </w:rPr>
              <w:t>Pack containing 28 tablets 30 mg and 28 tablets 90 mg</w:t>
            </w:r>
          </w:p>
          <w:p w:rsidR="002C30F1" w:rsidRDefault="002C30F1" w:rsidP="00AF6ADE">
            <w:pPr>
              <w:rPr>
                <w:rFonts w:ascii="Arial" w:hAnsi="Arial" w:cs="Arial"/>
                <w:color w:val="000000"/>
              </w:rPr>
            </w:pPr>
          </w:p>
          <w:p w:rsidR="002C30F1" w:rsidRDefault="002C30F1" w:rsidP="00AF6ADE">
            <w:pPr>
              <w:rPr>
                <w:rFonts w:ascii="Arial" w:hAnsi="Arial" w:cs="Arial"/>
                <w:color w:val="000000"/>
              </w:rPr>
            </w:pPr>
            <w:r>
              <w:rPr>
                <w:rFonts w:ascii="Arial" w:hAnsi="Arial" w:cs="Arial"/>
                <w:color w:val="000000"/>
              </w:rPr>
              <w:t>Jinarc®</w:t>
            </w:r>
            <w:r>
              <w:rPr>
                <w:rFonts w:ascii="Arial" w:hAnsi="Arial" w:cs="Arial"/>
                <w:color w:val="000000"/>
              </w:rPr>
              <w:br/>
            </w:r>
            <w:r>
              <w:rPr>
                <w:rFonts w:ascii="Arial" w:hAnsi="Arial" w:cs="Arial"/>
                <w:color w:val="000000"/>
              </w:rPr>
              <w:br/>
              <w:t>Otsuka Australia Pharmaceutical Pty Ltd</w:t>
            </w:r>
          </w:p>
          <w:p w:rsidR="002C30F1" w:rsidRDefault="002C30F1" w:rsidP="00AF6ADE">
            <w:pPr>
              <w:rPr>
                <w:rFonts w:ascii="Arial" w:hAnsi="Arial" w:cs="Arial"/>
                <w:color w:val="000000"/>
              </w:rPr>
            </w:pPr>
          </w:p>
          <w:p w:rsidR="002C30F1" w:rsidRDefault="002C30F1" w:rsidP="00AB756D">
            <w:pPr>
              <w:rPr>
                <w:rFonts w:ascii="Arial" w:hAnsi="Arial" w:cs="Arial"/>
                <w:color w:val="000000"/>
              </w:rPr>
            </w:pPr>
            <w:r>
              <w:rPr>
                <w:rFonts w:ascii="Arial" w:hAnsi="Arial" w:cs="Arial"/>
                <w:color w:val="000000"/>
              </w:rPr>
              <w:t>New Listing</w:t>
            </w:r>
          </w:p>
          <w:p w:rsidR="002C30F1" w:rsidRDefault="002C30F1" w:rsidP="00AB756D">
            <w:pPr>
              <w:rPr>
                <w:rFonts w:ascii="Arial" w:hAnsi="Arial" w:cs="Arial"/>
                <w:color w:val="000000"/>
              </w:rPr>
            </w:pPr>
          </w:p>
          <w:p w:rsidR="002C30F1" w:rsidRPr="00E82449" w:rsidRDefault="002C30F1" w:rsidP="00AB756D">
            <w:pPr>
              <w:rPr>
                <w:rFonts w:ascii="Arial" w:hAnsi="Arial" w:cs="Arial"/>
                <w:color w:val="000000"/>
              </w:rPr>
            </w:pPr>
            <w:r>
              <w:rPr>
                <w:rFonts w:ascii="Arial" w:hAnsi="Arial" w:cs="Arial"/>
                <w:color w:val="000000"/>
              </w:rPr>
              <w:t>(Major Submission)</w:t>
            </w:r>
          </w:p>
        </w:tc>
        <w:tc>
          <w:tcPr>
            <w:tcW w:w="2409" w:type="dxa"/>
            <w:vMerge w:val="restart"/>
          </w:tcPr>
          <w:p w:rsidR="002C30F1" w:rsidRPr="00E82449" w:rsidRDefault="002C30F1" w:rsidP="00AF6ADE">
            <w:pPr>
              <w:rPr>
                <w:rFonts w:ascii="Arial" w:hAnsi="Arial" w:cs="Arial"/>
                <w:color w:val="000000"/>
              </w:rPr>
            </w:pPr>
            <w:r>
              <w:rPr>
                <w:rFonts w:ascii="Arial" w:hAnsi="Arial" w:cs="Arial"/>
                <w:color w:val="000000"/>
              </w:rPr>
              <w:t xml:space="preserve">Autosomal dominant polycystic kidney disease </w:t>
            </w:r>
          </w:p>
        </w:tc>
        <w:tc>
          <w:tcPr>
            <w:tcW w:w="3261" w:type="dxa"/>
            <w:tcMar>
              <w:top w:w="28" w:type="dxa"/>
              <w:bottom w:w="28" w:type="dxa"/>
            </w:tcMar>
          </w:tcPr>
          <w:p w:rsidR="002C30F1" w:rsidRPr="00E82449" w:rsidRDefault="002C30F1" w:rsidP="00AF6ADE">
            <w:pPr>
              <w:rPr>
                <w:rFonts w:ascii="Arial" w:hAnsi="Arial" w:cs="Arial"/>
                <w:color w:val="000000"/>
              </w:rPr>
            </w:pPr>
            <w:r w:rsidRPr="00E96AE9">
              <w:rPr>
                <w:rFonts w:ascii="Arial" w:hAnsi="Arial" w:cs="Arial"/>
                <w:color w:val="000000"/>
              </w:rPr>
              <w:t xml:space="preserve">To request an Authority Required listing for the treatment of </w:t>
            </w:r>
            <w:r>
              <w:rPr>
                <w:rFonts w:ascii="Arial" w:hAnsi="Arial" w:cs="Arial"/>
                <w:color w:val="000000"/>
              </w:rPr>
              <w:t>autosomal dominant polycystic kidney disease</w:t>
            </w:r>
            <w:r w:rsidRPr="00E96AE9">
              <w:rPr>
                <w:rFonts w:ascii="Arial" w:hAnsi="Arial" w:cs="Arial"/>
                <w:color w:val="000000"/>
              </w:rPr>
              <w:t xml:space="preserve">. </w:t>
            </w:r>
          </w:p>
        </w:tc>
        <w:tc>
          <w:tcPr>
            <w:tcW w:w="6947" w:type="dxa"/>
          </w:tcPr>
          <w:p w:rsidR="002C30F1" w:rsidRDefault="002C30F1" w:rsidP="00DD739B">
            <w:r w:rsidRPr="00CF736B">
              <w:rPr>
                <w:rFonts w:ascii="Arial" w:hAnsi="Arial" w:cs="Arial"/>
                <w:iCs/>
              </w:rPr>
              <w:t>The PBAC decided not to recommend the listing of tolvaptan for the treatment of autosomal dominant pol</w:t>
            </w:r>
            <w:r>
              <w:rPr>
                <w:rFonts w:ascii="Arial" w:hAnsi="Arial" w:cs="Arial"/>
                <w:iCs/>
              </w:rPr>
              <w:t xml:space="preserve">ycystic kidney disease (ADPKD). </w:t>
            </w:r>
            <w:r w:rsidRPr="00DD739B">
              <w:rPr>
                <w:rFonts w:ascii="Arial" w:hAnsi="Arial" w:cs="Arial"/>
                <w:iCs/>
              </w:rPr>
              <w:t>The PBAC judge</w:t>
            </w:r>
            <w:r>
              <w:rPr>
                <w:rFonts w:ascii="Arial" w:hAnsi="Arial" w:cs="Arial"/>
                <w:iCs/>
              </w:rPr>
              <w:t>s the</w:t>
            </w:r>
            <w:r w:rsidRPr="00DD739B">
              <w:rPr>
                <w:rFonts w:ascii="Arial" w:hAnsi="Arial" w:cs="Arial"/>
                <w:iCs/>
              </w:rPr>
              <w:t xml:space="preserve"> merit of funding drugs on</w:t>
            </w:r>
            <w:r>
              <w:rPr>
                <w:rFonts w:ascii="Arial" w:hAnsi="Arial" w:cs="Arial"/>
                <w:iCs/>
              </w:rPr>
              <w:t xml:space="preserve"> the</w:t>
            </w:r>
            <w:r w:rsidRPr="00DD739B">
              <w:rPr>
                <w:rFonts w:ascii="Arial" w:hAnsi="Arial" w:cs="Arial"/>
                <w:iCs/>
              </w:rPr>
              <w:t xml:space="preserve"> basis of comparative effectiveness and cost-effectiveness to current funded treatments</w:t>
            </w:r>
            <w:r>
              <w:rPr>
                <w:rFonts w:ascii="Arial" w:hAnsi="Arial" w:cs="Arial"/>
                <w:iCs/>
              </w:rPr>
              <w:t>, in this case, best supportive care. The PBAC was</w:t>
            </w:r>
            <w:r w:rsidRPr="00CF736B">
              <w:rPr>
                <w:rFonts w:ascii="Arial" w:hAnsi="Arial" w:cs="Arial"/>
                <w:iCs/>
              </w:rPr>
              <w:t xml:space="preserve"> uncertain about the long-term clinical benefit of tolvaptan in the treatment of ADPKD and that it was concerned about the substantial liver toxicity associated with the use of this drug</w:t>
            </w:r>
            <w:r>
              <w:rPr>
                <w:rFonts w:ascii="Arial" w:hAnsi="Arial" w:cs="Arial"/>
                <w:iCs/>
              </w:rPr>
              <w:t xml:space="preserve">. </w:t>
            </w:r>
            <w:r>
              <w:rPr>
                <w:rFonts w:ascii="Arial" w:hAnsi="Arial" w:cs="Arial"/>
              </w:rPr>
              <w:t xml:space="preserve"> Overall, the submission did not provide convincing data that tolvaptan was sufficiently more effective or cost-effective than the best supportive care, so the PBAC was unable to judge the merit of the submission’s proposed listing.</w:t>
            </w:r>
          </w:p>
          <w:p w:rsidR="002C30F1" w:rsidRPr="00395B97" w:rsidRDefault="002C30F1" w:rsidP="000E1E84">
            <w:pPr>
              <w:pStyle w:val="ListParagraph"/>
              <w:ind w:left="177"/>
              <w:rPr>
                <w:rFonts w:ascii="Arial" w:hAnsi="Arial" w:cs="Arial"/>
                <w:iCs/>
                <w:sz w:val="20"/>
                <w:szCs w:val="20"/>
              </w:rPr>
            </w:pPr>
          </w:p>
        </w:tc>
      </w:tr>
      <w:tr w:rsidR="002C30F1" w:rsidRPr="00395B97" w:rsidTr="00AF6ADE">
        <w:trPr>
          <w:cantSplit/>
          <w:trHeight w:val="1784"/>
        </w:trPr>
        <w:tc>
          <w:tcPr>
            <w:tcW w:w="2694" w:type="dxa"/>
            <w:vMerge/>
            <w:tcMar>
              <w:top w:w="28" w:type="dxa"/>
              <w:bottom w:w="28" w:type="dxa"/>
            </w:tcMar>
          </w:tcPr>
          <w:p w:rsidR="002C30F1" w:rsidRPr="00293996" w:rsidRDefault="002C30F1" w:rsidP="00AF6ADE">
            <w:pPr>
              <w:rPr>
                <w:rFonts w:ascii="Arial" w:hAnsi="Arial" w:cs="Arial"/>
                <w:color w:val="000000"/>
              </w:rPr>
            </w:pPr>
          </w:p>
        </w:tc>
        <w:tc>
          <w:tcPr>
            <w:tcW w:w="2409" w:type="dxa"/>
            <w:vMerge/>
          </w:tcPr>
          <w:p w:rsidR="002C30F1" w:rsidRDefault="002C30F1" w:rsidP="00AF6ADE">
            <w:pPr>
              <w:rPr>
                <w:rFonts w:ascii="Arial" w:hAnsi="Arial" w:cs="Arial"/>
                <w:color w:val="000000"/>
              </w:rPr>
            </w:pPr>
          </w:p>
        </w:tc>
        <w:tc>
          <w:tcPr>
            <w:tcW w:w="3261" w:type="dxa"/>
            <w:tcMar>
              <w:top w:w="28" w:type="dxa"/>
              <w:bottom w:w="28" w:type="dxa"/>
            </w:tcMar>
          </w:tcPr>
          <w:p w:rsidR="002C30F1" w:rsidRPr="00C879AB" w:rsidRDefault="002C30F1" w:rsidP="00AF6ADE">
            <w:pPr>
              <w:jc w:val="right"/>
              <w:rPr>
                <w:rFonts w:ascii="Arial" w:hAnsi="Arial" w:cs="Arial"/>
                <w:color w:val="000000"/>
              </w:rPr>
            </w:pPr>
            <w:r w:rsidRPr="00395B97">
              <w:rPr>
                <w:rFonts w:ascii="Arial" w:hAnsi="Arial" w:cs="Arial"/>
                <w:snapToGrid w:val="0"/>
                <w:lang w:eastAsia="en-US"/>
              </w:rPr>
              <w:t>Sponsor Comment:</w:t>
            </w:r>
          </w:p>
        </w:tc>
        <w:tc>
          <w:tcPr>
            <w:tcW w:w="6947" w:type="dxa"/>
          </w:tcPr>
          <w:p w:rsidR="002C30F1" w:rsidRPr="00F06E9A" w:rsidRDefault="002C30F1" w:rsidP="00F06E9A">
            <w:pPr>
              <w:rPr>
                <w:rFonts w:ascii="Arial" w:hAnsi="Arial" w:cs="Arial"/>
                <w:iCs/>
              </w:rPr>
            </w:pPr>
            <w:r w:rsidRPr="00F06E9A">
              <w:rPr>
                <w:rFonts w:ascii="Arial" w:hAnsi="Arial" w:cs="Arial"/>
                <w:iCs/>
              </w:rPr>
              <w:t xml:space="preserve">While disappointed by the decision, </w:t>
            </w:r>
            <w:proofErr w:type="spellStart"/>
            <w:r w:rsidRPr="00F06E9A">
              <w:rPr>
                <w:rFonts w:ascii="Arial" w:hAnsi="Arial" w:cs="Arial"/>
                <w:iCs/>
              </w:rPr>
              <w:t>Otsuka</w:t>
            </w:r>
            <w:proofErr w:type="spellEnd"/>
            <w:r w:rsidRPr="00F06E9A">
              <w:rPr>
                <w:rFonts w:ascii="Arial" w:hAnsi="Arial" w:cs="Arial"/>
                <w:iCs/>
              </w:rPr>
              <w:t xml:space="preserve"> Australia Pharmaceutical is committed to providing additional evidence and work with the PBAC to ensure tolvaptan is PBS listed and available to patients with ADPKD as soon as possible.</w:t>
            </w:r>
          </w:p>
          <w:p w:rsidR="002C30F1" w:rsidRPr="00F06E9A" w:rsidRDefault="002C30F1" w:rsidP="00F06E9A">
            <w:pPr>
              <w:rPr>
                <w:rFonts w:ascii="Arial" w:hAnsi="Arial" w:cs="Arial"/>
                <w:iCs/>
              </w:rPr>
            </w:pPr>
          </w:p>
        </w:tc>
      </w:tr>
    </w:tbl>
    <w:p w:rsidR="002C30F1" w:rsidRDefault="002C30F1" w:rsidP="00640C80">
      <w:pPr>
        <w:tabs>
          <w:tab w:val="left" w:pos="5210"/>
        </w:tabs>
        <w:rPr>
          <w:rFonts w:ascii="Arial" w:hAnsi="Arial" w:cs="Arial"/>
          <w:lang w:val="en-US"/>
        </w:rPr>
      </w:pPr>
    </w:p>
    <w:tbl>
      <w:tblPr>
        <w:tblpPr w:leftFromText="180" w:rightFromText="180" w:vertAnchor="text" w:tblpX="-16811" w:tblpY="-1619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3570"/>
      </w:tblGrid>
      <w:tr w:rsidR="002C30F1" w:rsidTr="002C30F1">
        <w:trPr>
          <w:trHeight w:val="30"/>
        </w:trPr>
        <w:tc>
          <w:tcPr>
            <w:tcW w:w="3570" w:type="dxa"/>
          </w:tcPr>
          <w:p w:rsidR="002C30F1" w:rsidRDefault="002C30F1" w:rsidP="002C30F1">
            <w:pPr>
              <w:tabs>
                <w:tab w:val="left" w:pos="5210"/>
              </w:tabs>
              <w:rPr>
                <w:rFonts w:ascii="Arial" w:hAnsi="Arial" w:cs="Arial"/>
                <w:lang w:val="en-US"/>
              </w:rPr>
            </w:pPr>
          </w:p>
        </w:tc>
      </w:tr>
    </w:tbl>
    <w:p w:rsidR="00640C80" w:rsidRDefault="00640C80" w:rsidP="00640C80">
      <w:pPr>
        <w:tabs>
          <w:tab w:val="left" w:pos="5210"/>
        </w:tabs>
        <w:rPr>
          <w:rFonts w:ascii="Arial" w:hAnsi="Arial" w:cs="Arial"/>
          <w:lang w:val="en-US"/>
        </w:rPr>
      </w:pPr>
    </w:p>
    <w:p w:rsidR="005E59B9" w:rsidRDefault="005E59B9" w:rsidP="00640C80">
      <w:pPr>
        <w:tabs>
          <w:tab w:val="left" w:pos="5210"/>
        </w:tabs>
        <w:rPr>
          <w:rFonts w:ascii="Arial" w:hAnsi="Arial" w:cs="Arial"/>
          <w:lang w:val="en-US"/>
        </w:rPr>
      </w:pPr>
    </w:p>
    <w:p w:rsidR="005E59B9" w:rsidRDefault="005E59B9" w:rsidP="00640C80">
      <w:pPr>
        <w:tabs>
          <w:tab w:val="left" w:pos="5210"/>
        </w:tabs>
        <w:rPr>
          <w:rFonts w:ascii="Arial" w:hAnsi="Arial" w:cs="Arial"/>
          <w:lang w:val="en-US"/>
        </w:rPr>
      </w:pPr>
    </w:p>
    <w:sectPr w:rsidR="005E59B9" w:rsidSect="00257615">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CC" w:rsidRDefault="00F04ACC">
      <w:r>
        <w:separator/>
      </w:r>
    </w:p>
  </w:endnote>
  <w:endnote w:type="continuationSeparator" w:id="0">
    <w:p w:rsidR="00F04ACC" w:rsidRDefault="00F0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CC" w:rsidRDefault="00F04ACC"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4ACC" w:rsidRDefault="00F04ACC"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CC" w:rsidRPr="00287C89" w:rsidRDefault="00F04ACC"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0757B3">
      <w:rPr>
        <w:rStyle w:val="PageNumber"/>
        <w:rFonts w:ascii="Arial" w:hAnsi="Arial" w:cs="Arial"/>
        <w:noProof/>
      </w:rPr>
      <w:t>1</w:t>
    </w:r>
    <w:r w:rsidRPr="00287C89">
      <w:rPr>
        <w:rStyle w:val="PageNumber"/>
        <w:rFonts w:ascii="Arial" w:hAnsi="Arial" w:cs="Arial"/>
      </w:rPr>
      <w:fldChar w:fldCharType="end"/>
    </w:r>
  </w:p>
  <w:p w:rsidR="00F04ACC" w:rsidRDefault="00F04ACC" w:rsidP="00FE2A81">
    <w:pPr>
      <w:pStyle w:val="Footer"/>
      <w:ind w:right="360"/>
    </w:pPr>
  </w:p>
  <w:p w:rsidR="00F04ACC" w:rsidRDefault="00F04ACC"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CC" w:rsidRDefault="00F04ACC">
      <w:r>
        <w:separator/>
      </w:r>
    </w:p>
  </w:footnote>
  <w:footnote w:type="continuationSeparator" w:id="0">
    <w:p w:rsidR="00F04ACC" w:rsidRDefault="00F0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CC" w:rsidRDefault="00F04ACC" w:rsidP="0071356F">
    <w:pPr>
      <w:pStyle w:val="Header"/>
      <w:jc w:val="center"/>
      <w:rPr>
        <w:rFonts w:ascii="Arial" w:hAnsi="Arial" w:cs="Arial"/>
        <w:b/>
      </w:rPr>
    </w:pPr>
    <w:r w:rsidRPr="00C02C26">
      <w:rPr>
        <w:rFonts w:ascii="Arial" w:hAnsi="Arial" w:cs="Arial"/>
        <w:b/>
      </w:rPr>
      <w:t xml:space="preserve">MARCH 2017 </w:t>
    </w:r>
    <w:r w:rsidRPr="0071356F">
      <w:rPr>
        <w:rFonts w:ascii="Arial" w:hAnsi="Arial" w:cs="Arial"/>
        <w:b/>
      </w:rPr>
      <w:t>PBAC OUTCOMES –</w:t>
    </w:r>
    <w:r>
      <w:rPr>
        <w:rFonts w:ascii="Arial" w:hAnsi="Arial" w:cs="Arial"/>
        <w:b/>
      </w:rPr>
      <w:t xml:space="preserve"> </w:t>
    </w:r>
    <w:r w:rsidRPr="0071356F">
      <w:rPr>
        <w:rFonts w:ascii="Arial" w:hAnsi="Arial" w:cs="Arial"/>
        <w:b/>
      </w:rPr>
      <w:t>1</w:t>
    </w:r>
    <w:r w:rsidRPr="0071356F">
      <w:rPr>
        <w:rFonts w:ascii="Arial" w:hAnsi="Arial" w:cs="Arial"/>
        <w:b/>
        <w:vertAlign w:val="superscript"/>
      </w:rPr>
      <w:t>ST</w:t>
    </w:r>
    <w:r>
      <w:rPr>
        <w:rFonts w:ascii="Arial" w:hAnsi="Arial" w:cs="Arial"/>
        <w:b/>
      </w:rPr>
      <w:t xml:space="preserve"> TIME</w:t>
    </w:r>
    <w:r w:rsidRPr="0071356F">
      <w:rPr>
        <w:rFonts w:ascii="Arial" w:hAnsi="Arial" w:cs="Arial"/>
        <w:b/>
      </w:rPr>
      <w:t xml:space="preserve"> DECISIONS NOT TO RECOMMEND</w:t>
    </w:r>
  </w:p>
  <w:p w:rsidR="00F04ACC" w:rsidRPr="0071356F" w:rsidRDefault="00F04ACC" w:rsidP="0071356F">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AF64332"/>
    <w:multiLevelType w:val="hybridMultilevel"/>
    <w:tmpl w:val="3D0E8A86"/>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6">
    <w:nsid w:val="0C0415AE"/>
    <w:multiLevelType w:val="hybridMultilevel"/>
    <w:tmpl w:val="815C359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10B054A1"/>
    <w:multiLevelType w:val="hybridMultilevel"/>
    <w:tmpl w:val="374CCD14"/>
    <w:lvl w:ilvl="0" w:tplc="B6488492">
      <w:numFmt w:val="bullet"/>
      <w:lvlText w:val=""/>
      <w:lvlJc w:val="left"/>
      <w:pPr>
        <w:ind w:left="573" w:hanging="540"/>
      </w:pPr>
      <w:rPr>
        <w:rFonts w:ascii="Symbol" w:eastAsia="SimSun" w:hAnsi="Symbol" w:cs="Arial" w:hint="default"/>
      </w:rPr>
    </w:lvl>
    <w:lvl w:ilvl="1" w:tplc="0C090003" w:tentative="1">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9">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8E3460"/>
    <w:multiLevelType w:val="hybridMultilevel"/>
    <w:tmpl w:val="29947A1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7">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BBD0F3A"/>
    <w:multiLevelType w:val="hybridMultilevel"/>
    <w:tmpl w:val="DE54EE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6">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31"/>
  </w:num>
  <w:num w:numId="4">
    <w:abstractNumId w:val="25"/>
  </w:num>
  <w:num w:numId="5">
    <w:abstractNumId w:val="14"/>
  </w:num>
  <w:num w:numId="6">
    <w:abstractNumId w:val="9"/>
  </w:num>
  <w:num w:numId="7">
    <w:abstractNumId w:val="3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7"/>
  </w:num>
  <w:num w:numId="11">
    <w:abstractNumId w:val="27"/>
  </w:num>
  <w:num w:numId="12">
    <w:abstractNumId w:val="29"/>
  </w:num>
  <w:num w:numId="13">
    <w:abstractNumId w:val="10"/>
  </w:num>
  <w:num w:numId="14">
    <w:abstractNumId w:val="28"/>
  </w:num>
  <w:num w:numId="15">
    <w:abstractNumId w:val="30"/>
  </w:num>
  <w:num w:numId="16">
    <w:abstractNumId w:val="26"/>
  </w:num>
  <w:num w:numId="17">
    <w:abstractNumId w:val="41"/>
  </w:num>
  <w:num w:numId="18">
    <w:abstractNumId w:val="43"/>
  </w:num>
  <w:num w:numId="19">
    <w:abstractNumId w:val="7"/>
  </w:num>
  <w:num w:numId="20">
    <w:abstractNumId w:val="15"/>
  </w:num>
  <w:num w:numId="21">
    <w:abstractNumId w:val="18"/>
  </w:num>
  <w:num w:numId="22">
    <w:abstractNumId w:val="39"/>
  </w:num>
  <w:num w:numId="23">
    <w:abstractNumId w:val="4"/>
  </w:num>
  <w:num w:numId="24">
    <w:abstractNumId w:val="21"/>
  </w:num>
  <w:num w:numId="25">
    <w:abstractNumId w:val="13"/>
  </w:num>
  <w:num w:numId="26">
    <w:abstractNumId w:val="11"/>
  </w:num>
  <w:num w:numId="27">
    <w:abstractNumId w:val="23"/>
  </w:num>
  <w:num w:numId="28">
    <w:abstractNumId w:val="24"/>
  </w:num>
  <w:num w:numId="29">
    <w:abstractNumId w:val="22"/>
  </w:num>
  <w:num w:numId="30">
    <w:abstractNumId w:val="42"/>
  </w:num>
  <w:num w:numId="31">
    <w:abstractNumId w:val="19"/>
  </w:num>
  <w:num w:numId="32">
    <w:abstractNumId w:val="35"/>
  </w:num>
  <w:num w:numId="33">
    <w:abstractNumId w:val="40"/>
  </w:num>
  <w:num w:numId="34">
    <w:abstractNumId w:val="38"/>
  </w:num>
  <w:num w:numId="35">
    <w:abstractNumId w:val="3"/>
  </w:num>
  <w:num w:numId="36">
    <w:abstractNumId w:val="36"/>
  </w:num>
  <w:num w:numId="37">
    <w:abstractNumId w:val="2"/>
  </w:num>
  <w:num w:numId="38">
    <w:abstractNumId w:val="20"/>
  </w:num>
  <w:num w:numId="39">
    <w:abstractNumId w:val="1"/>
  </w:num>
  <w:num w:numId="40">
    <w:abstractNumId w:val="5"/>
  </w:num>
  <w:num w:numId="41">
    <w:abstractNumId w:val="8"/>
  </w:num>
  <w:num w:numId="42">
    <w:abstractNumId w:val="34"/>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7B3"/>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36"/>
    <w:rsid w:val="000A59CC"/>
    <w:rsid w:val="000A64C7"/>
    <w:rsid w:val="000A7C8A"/>
    <w:rsid w:val="000A7F23"/>
    <w:rsid w:val="000B1170"/>
    <w:rsid w:val="000B1811"/>
    <w:rsid w:val="000B1A6E"/>
    <w:rsid w:val="000B21DD"/>
    <w:rsid w:val="000B2C76"/>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101E1"/>
    <w:rsid w:val="00110379"/>
    <w:rsid w:val="001103CF"/>
    <w:rsid w:val="00111E94"/>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109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0F1"/>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6D6"/>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1B24"/>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2B5"/>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2E7E"/>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377"/>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13E"/>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59B9"/>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6A18"/>
    <w:rsid w:val="00636C52"/>
    <w:rsid w:val="0063771E"/>
    <w:rsid w:val="006406A6"/>
    <w:rsid w:val="00640978"/>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2DE1"/>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5"/>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089"/>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220"/>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1F15"/>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2F6E"/>
    <w:rsid w:val="00A239DB"/>
    <w:rsid w:val="00A24008"/>
    <w:rsid w:val="00A24078"/>
    <w:rsid w:val="00A24543"/>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371BB"/>
    <w:rsid w:val="00A40F98"/>
    <w:rsid w:val="00A42AD8"/>
    <w:rsid w:val="00A43813"/>
    <w:rsid w:val="00A43D47"/>
    <w:rsid w:val="00A440A6"/>
    <w:rsid w:val="00A45B00"/>
    <w:rsid w:val="00A4618D"/>
    <w:rsid w:val="00A46321"/>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B5C"/>
    <w:rsid w:val="00A90DEF"/>
    <w:rsid w:val="00A91FE5"/>
    <w:rsid w:val="00A92095"/>
    <w:rsid w:val="00A93082"/>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56D"/>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C49"/>
    <w:rsid w:val="00AD3D21"/>
    <w:rsid w:val="00AD68F8"/>
    <w:rsid w:val="00AD692B"/>
    <w:rsid w:val="00AE0B68"/>
    <w:rsid w:val="00AE0CA2"/>
    <w:rsid w:val="00AE10CD"/>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6ADE"/>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0DB9"/>
    <w:rsid w:val="00B11586"/>
    <w:rsid w:val="00B11E6D"/>
    <w:rsid w:val="00B11FA4"/>
    <w:rsid w:val="00B12242"/>
    <w:rsid w:val="00B125FE"/>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1EF"/>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2C26"/>
    <w:rsid w:val="00C0313B"/>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391"/>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77424"/>
    <w:rsid w:val="00C816DF"/>
    <w:rsid w:val="00C820EE"/>
    <w:rsid w:val="00C84380"/>
    <w:rsid w:val="00C84713"/>
    <w:rsid w:val="00C84758"/>
    <w:rsid w:val="00C853AB"/>
    <w:rsid w:val="00C85F72"/>
    <w:rsid w:val="00C86896"/>
    <w:rsid w:val="00C876E1"/>
    <w:rsid w:val="00C90162"/>
    <w:rsid w:val="00C908A9"/>
    <w:rsid w:val="00C908BE"/>
    <w:rsid w:val="00C91507"/>
    <w:rsid w:val="00C9279D"/>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CF736B"/>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2EA8"/>
    <w:rsid w:val="00D232D8"/>
    <w:rsid w:val="00D233CD"/>
    <w:rsid w:val="00D23500"/>
    <w:rsid w:val="00D23AD3"/>
    <w:rsid w:val="00D23FC0"/>
    <w:rsid w:val="00D23FCE"/>
    <w:rsid w:val="00D24364"/>
    <w:rsid w:val="00D2469E"/>
    <w:rsid w:val="00D2649E"/>
    <w:rsid w:val="00D27300"/>
    <w:rsid w:val="00D27875"/>
    <w:rsid w:val="00D27958"/>
    <w:rsid w:val="00D307FD"/>
    <w:rsid w:val="00D30A3B"/>
    <w:rsid w:val="00D31E2D"/>
    <w:rsid w:val="00D321E8"/>
    <w:rsid w:val="00D328E1"/>
    <w:rsid w:val="00D32E01"/>
    <w:rsid w:val="00D33975"/>
    <w:rsid w:val="00D33A8C"/>
    <w:rsid w:val="00D35597"/>
    <w:rsid w:val="00D35689"/>
    <w:rsid w:val="00D365FA"/>
    <w:rsid w:val="00D36FC6"/>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B2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21FF"/>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39B"/>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2B36"/>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5CF4"/>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ACC"/>
    <w:rsid w:val="00F04D9B"/>
    <w:rsid w:val="00F0588E"/>
    <w:rsid w:val="00F05AB5"/>
    <w:rsid w:val="00F05BC9"/>
    <w:rsid w:val="00F0608B"/>
    <w:rsid w:val="00F0659C"/>
    <w:rsid w:val="00F06776"/>
    <w:rsid w:val="00F06CDD"/>
    <w:rsid w:val="00F06D5D"/>
    <w:rsid w:val="00F06E9A"/>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9D5"/>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004"/>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307"/>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47F2"/>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5E5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34"/>
    <w:rsid w:val="001E35D6"/>
    <w:rPr>
      <w:rFonts w:eastAsia="SimSun"/>
      <w:sz w:val="24"/>
      <w:szCs w:val="24"/>
    </w:rPr>
  </w:style>
  <w:style w:type="character" w:customStyle="1" w:styleId="CommentTextChar">
    <w:name w:val="Comment Text Char"/>
    <w:basedOn w:val="DefaultParagraphFont"/>
    <w:link w:val="CommentText"/>
    <w:rsid w:val="005E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329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5431172">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66275568">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18255544">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40995328">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529884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314477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B894-561E-4980-9D93-7766FB2D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DBC95DC1.dotm</Template>
  <TotalTime>0</TotalTime>
  <Pages>9</Pages>
  <Words>2738</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2017-04-13T05:29:00Z</dcterms:created>
  <dcterms:modified xsi:type="dcterms:W3CDTF">2017-04-21T06:18:00Z</dcterms:modified>
</cp:coreProperties>
</file>