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3118"/>
        <w:gridCol w:w="2865"/>
        <w:gridCol w:w="6586"/>
      </w:tblGrid>
      <w:tr w:rsidR="00103564" w:rsidRPr="00103564" w:rsidTr="00003DA2">
        <w:trPr>
          <w:cantSplit/>
          <w:tblHeader/>
        </w:trPr>
        <w:tc>
          <w:tcPr>
            <w:tcW w:w="3045" w:type="dxa"/>
            <w:tcMar>
              <w:top w:w="28" w:type="dxa"/>
              <w:bottom w:w="28" w:type="dxa"/>
            </w:tcMar>
          </w:tcPr>
          <w:p w:rsidR="00103564" w:rsidRPr="00103564" w:rsidRDefault="00103564" w:rsidP="002E307D">
            <w:pPr>
              <w:widowControl w:val="0"/>
              <w:jc w:val="center"/>
              <w:rPr>
                <w:rFonts w:ascii="Arial" w:hAnsi="Arial" w:cs="Arial"/>
                <w:b/>
              </w:rPr>
            </w:pPr>
            <w:r w:rsidRPr="00103564">
              <w:rPr>
                <w:rFonts w:ascii="Arial" w:hAnsi="Arial" w:cs="Arial"/>
                <w:b/>
              </w:rPr>
              <w:t>DRUG, SPONSOR, TYPE OF SUBMISSION</w:t>
            </w:r>
          </w:p>
          <w:p w:rsidR="00103564" w:rsidRPr="00103564" w:rsidRDefault="00103564" w:rsidP="00130634">
            <w:pPr>
              <w:jc w:val="center"/>
              <w:rPr>
                <w:rFonts w:ascii="Arial" w:hAnsi="Arial" w:cs="Arial"/>
                <w:b/>
              </w:rPr>
            </w:pPr>
          </w:p>
          <w:p w:rsidR="00103564" w:rsidRPr="00103564" w:rsidRDefault="00103564" w:rsidP="002E307D">
            <w:pPr>
              <w:widowControl w:val="0"/>
              <w:jc w:val="center"/>
              <w:rPr>
                <w:rFonts w:ascii="Arial" w:hAnsi="Arial" w:cs="Arial"/>
                <w:b/>
              </w:rPr>
            </w:pPr>
          </w:p>
        </w:tc>
        <w:tc>
          <w:tcPr>
            <w:tcW w:w="3118" w:type="dxa"/>
            <w:tcMar>
              <w:top w:w="28" w:type="dxa"/>
              <w:bottom w:w="28" w:type="dxa"/>
            </w:tcMar>
          </w:tcPr>
          <w:p w:rsidR="00103564" w:rsidRPr="00103564" w:rsidRDefault="00103564" w:rsidP="00263F7F">
            <w:pPr>
              <w:widowControl w:val="0"/>
              <w:jc w:val="center"/>
              <w:rPr>
                <w:rFonts w:ascii="Arial" w:hAnsi="Arial" w:cs="Arial"/>
                <w:b/>
                <w:snapToGrid w:val="0"/>
                <w:lang w:eastAsia="en-US"/>
              </w:rPr>
            </w:pPr>
            <w:r w:rsidRPr="00103564">
              <w:rPr>
                <w:rFonts w:ascii="Arial" w:hAnsi="Arial" w:cs="Arial"/>
                <w:b/>
                <w:snapToGrid w:val="0"/>
                <w:lang w:eastAsia="en-US"/>
              </w:rPr>
              <w:t>DRUG TYPE OR USE</w:t>
            </w:r>
          </w:p>
          <w:p w:rsidR="00103564" w:rsidRPr="00103564" w:rsidRDefault="00103564" w:rsidP="00263F7F">
            <w:pPr>
              <w:widowControl w:val="0"/>
              <w:jc w:val="center"/>
              <w:rPr>
                <w:rFonts w:ascii="Arial" w:hAnsi="Arial" w:cs="Arial"/>
                <w:b/>
                <w:i/>
                <w:snapToGrid w:val="0"/>
                <w:lang w:eastAsia="en-US"/>
              </w:rPr>
            </w:pPr>
          </w:p>
        </w:tc>
        <w:tc>
          <w:tcPr>
            <w:tcW w:w="2865" w:type="dxa"/>
            <w:tcMar>
              <w:top w:w="28" w:type="dxa"/>
              <w:bottom w:w="28" w:type="dxa"/>
            </w:tcMar>
          </w:tcPr>
          <w:p w:rsidR="00103564" w:rsidRPr="00103564" w:rsidRDefault="00103564" w:rsidP="00263F7F">
            <w:pPr>
              <w:widowControl w:val="0"/>
              <w:jc w:val="center"/>
              <w:rPr>
                <w:rFonts w:ascii="Arial" w:hAnsi="Arial" w:cs="Arial"/>
                <w:i/>
                <w:snapToGrid w:val="0"/>
                <w:lang w:eastAsia="en-US"/>
              </w:rPr>
            </w:pPr>
            <w:r w:rsidRPr="00103564">
              <w:rPr>
                <w:rFonts w:ascii="Arial" w:hAnsi="Arial" w:cs="Arial"/>
                <w:b/>
                <w:snapToGrid w:val="0"/>
                <w:lang w:eastAsia="en-US"/>
              </w:rPr>
              <w:t>LISTING REQUESTED BY SPONSOR / PURPOSE OF SUBMISSION</w:t>
            </w:r>
          </w:p>
          <w:p w:rsidR="00103564" w:rsidRPr="00103564" w:rsidRDefault="00103564" w:rsidP="00263F7F">
            <w:pPr>
              <w:widowControl w:val="0"/>
              <w:rPr>
                <w:rFonts w:ascii="Arial" w:hAnsi="Arial" w:cs="Arial"/>
                <w:b/>
                <w:snapToGrid w:val="0"/>
                <w:lang w:eastAsia="en-US"/>
              </w:rPr>
            </w:pPr>
          </w:p>
        </w:tc>
        <w:tc>
          <w:tcPr>
            <w:tcW w:w="6586" w:type="dxa"/>
          </w:tcPr>
          <w:p w:rsidR="00103564" w:rsidRPr="00103564" w:rsidRDefault="00103564" w:rsidP="002F1CF8">
            <w:pPr>
              <w:widowControl w:val="0"/>
              <w:jc w:val="center"/>
              <w:rPr>
                <w:rFonts w:ascii="Arial" w:hAnsi="Arial" w:cs="Arial"/>
                <w:b/>
                <w:snapToGrid w:val="0"/>
                <w:lang w:eastAsia="en-US"/>
              </w:rPr>
            </w:pPr>
            <w:r w:rsidRPr="00103564">
              <w:rPr>
                <w:rFonts w:ascii="Arial" w:hAnsi="Arial" w:cs="Arial"/>
                <w:b/>
                <w:snapToGrid w:val="0"/>
                <w:lang w:eastAsia="en-US"/>
              </w:rPr>
              <w:t>PBAC OUTCOME</w:t>
            </w:r>
          </w:p>
        </w:tc>
      </w:tr>
      <w:tr w:rsidR="00103564" w:rsidRPr="00103564" w:rsidTr="00003DA2">
        <w:trPr>
          <w:cantSplit/>
          <w:trHeight w:val="430"/>
        </w:trPr>
        <w:tc>
          <w:tcPr>
            <w:tcW w:w="304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881791">
            <w:pPr>
              <w:rPr>
                <w:rFonts w:ascii="Arial" w:hAnsi="Arial" w:cs="Arial"/>
                <w:color w:val="000000"/>
              </w:rPr>
            </w:pPr>
            <w:r w:rsidRPr="00103564">
              <w:rPr>
                <w:rFonts w:ascii="Arial" w:hAnsi="Arial" w:cs="Arial"/>
                <w:color w:val="000000"/>
              </w:rPr>
              <w:t>ABIRATERONE</w:t>
            </w:r>
            <w:r w:rsidRPr="00103564">
              <w:rPr>
                <w:rFonts w:ascii="Arial" w:hAnsi="Arial" w:cs="Arial"/>
                <w:color w:val="000000"/>
              </w:rPr>
              <w:br w:type="page"/>
            </w:r>
            <w:r w:rsidRPr="00103564">
              <w:rPr>
                <w:rFonts w:ascii="Arial" w:hAnsi="Arial" w:cs="Arial"/>
                <w:color w:val="000000"/>
              </w:rPr>
              <w:br w:type="page"/>
            </w:r>
          </w:p>
          <w:p w:rsidR="00103564" w:rsidRPr="00103564" w:rsidRDefault="00103564" w:rsidP="00881791">
            <w:pPr>
              <w:rPr>
                <w:rFonts w:ascii="Arial" w:hAnsi="Arial" w:cs="Arial"/>
                <w:color w:val="000000"/>
              </w:rPr>
            </w:pPr>
          </w:p>
          <w:p w:rsidR="00103564" w:rsidRPr="00103564" w:rsidRDefault="00103564" w:rsidP="00881791">
            <w:pPr>
              <w:rPr>
                <w:rFonts w:ascii="Arial" w:hAnsi="Arial" w:cs="Arial"/>
                <w:color w:val="000000"/>
              </w:rPr>
            </w:pPr>
            <w:r w:rsidRPr="00103564">
              <w:rPr>
                <w:rFonts w:ascii="Arial" w:hAnsi="Arial" w:cs="Arial"/>
                <w:color w:val="000000"/>
              </w:rPr>
              <w:t>Tablet containing abiraterone acetate 500 mg</w:t>
            </w:r>
            <w:r w:rsidRPr="00103564">
              <w:rPr>
                <w:rFonts w:ascii="Arial" w:hAnsi="Arial" w:cs="Arial"/>
                <w:color w:val="000000"/>
              </w:rPr>
              <w:br w:type="page"/>
            </w:r>
            <w:r w:rsidRPr="00103564">
              <w:rPr>
                <w:rFonts w:ascii="Arial" w:hAnsi="Arial" w:cs="Arial"/>
                <w:color w:val="000000"/>
              </w:rPr>
              <w:br w:type="page"/>
            </w:r>
          </w:p>
          <w:p w:rsidR="00103564" w:rsidRPr="00103564" w:rsidRDefault="00103564" w:rsidP="00881791">
            <w:pPr>
              <w:rPr>
                <w:rFonts w:ascii="Arial" w:hAnsi="Arial" w:cs="Arial"/>
                <w:color w:val="000000"/>
              </w:rPr>
            </w:pPr>
          </w:p>
          <w:p w:rsidR="00103564" w:rsidRPr="00103564" w:rsidRDefault="00103564" w:rsidP="00881791">
            <w:pPr>
              <w:rPr>
                <w:rFonts w:ascii="Arial" w:hAnsi="Arial" w:cs="Arial"/>
                <w:color w:val="000000"/>
              </w:rPr>
            </w:pPr>
            <w:r w:rsidRPr="00103564">
              <w:rPr>
                <w:rFonts w:ascii="Arial" w:hAnsi="Arial" w:cs="Arial"/>
                <w:color w:val="000000"/>
              </w:rPr>
              <w:t>Zytiga®</w:t>
            </w:r>
            <w:r w:rsidRPr="00103564">
              <w:rPr>
                <w:rFonts w:ascii="Arial" w:hAnsi="Arial" w:cs="Arial"/>
                <w:color w:val="000000"/>
              </w:rPr>
              <w:br w:type="page"/>
            </w:r>
            <w:r w:rsidRPr="00103564">
              <w:rPr>
                <w:rFonts w:ascii="Arial" w:hAnsi="Arial" w:cs="Arial"/>
                <w:color w:val="000000"/>
              </w:rPr>
              <w:br w:type="page"/>
            </w:r>
          </w:p>
          <w:p w:rsidR="00103564" w:rsidRPr="00103564" w:rsidRDefault="00103564" w:rsidP="00881791">
            <w:pPr>
              <w:rPr>
                <w:rFonts w:ascii="Arial" w:hAnsi="Arial" w:cs="Arial"/>
                <w:color w:val="000000"/>
              </w:rPr>
            </w:pPr>
          </w:p>
          <w:p w:rsidR="00103564" w:rsidRPr="00103564" w:rsidRDefault="00103564" w:rsidP="00881791">
            <w:pPr>
              <w:rPr>
                <w:rFonts w:ascii="Arial" w:hAnsi="Arial" w:cs="Arial"/>
                <w:color w:val="000000"/>
              </w:rPr>
            </w:pPr>
            <w:r w:rsidRPr="00103564">
              <w:rPr>
                <w:rFonts w:ascii="Arial" w:hAnsi="Arial" w:cs="Arial"/>
                <w:color w:val="000000"/>
              </w:rPr>
              <w:t>Janssen-Cilag Pty Ltd</w:t>
            </w:r>
          </w:p>
          <w:p w:rsidR="00103564" w:rsidRPr="00103564" w:rsidRDefault="00103564" w:rsidP="00881791">
            <w:pPr>
              <w:rPr>
                <w:rFonts w:ascii="Arial" w:hAnsi="Arial" w:cs="Arial"/>
                <w:color w:val="000000"/>
              </w:rPr>
            </w:pPr>
          </w:p>
          <w:p w:rsidR="00103564" w:rsidRPr="00103564" w:rsidRDefault="00103564" w:rsidP="00881791">
            <w:pPr>
              <w:rPr>
                <w:rFonts w:ascii="Arial" w:hAnsi="Arial" w:cs="Arial"/>
                <w:color w:val="000000"/>
              </w:rPr>
            </w:pPr>
            <w:r w:rsidRPr="00103564">
              <w:rPr>
                <w:rFonts w:ascii="Arial" w:hAnsi="Arial" w:cs="Arial"/>
                <w:color w:val="000000"/>
              </w:rPr>
              <w:t>New listing</w:t>
            </w:r>
            <w:r w:rsidRPr="00103564">
              <w:rPr>
                <w:rFonts w:ascii="Arial" w:hAnsi="Arial" w:cs="Arial"/>
                <w:color w:val="000000"/>
              </w:rPr>
              <w:br w:type="page"/>
            </w:r>
            <w:r w:rsidRPr="00103564">
              <w:rPr>
                <w:rFonts w:ascii="Arial" w:hAnsi="Arial" w:cs="Arial"/>
                <w:color w:val="000000"/>
              </w:rPr>
              <w:br w:type="page"/>
            </w:r>
          </w:p>
          <w:p w:rsidR="00103564" w:rsidRPr="00103564" w:rsidRDefault="00103564" w:rsidP="00881791">
            <w:pPr>
              <w:rPr>
                <w:rFonts w:ascii="Arial" w:hAnsi="Arial" w:cs="Arial"/>
                <w:color w:val="000000"/>
              </w:rPr>
            </w:pPr>
          </w:p>
          <w:p w:rsidR="00103564" w:rsidRPr="00103564" w:rsidRDefault="00103564" w:rsidP="00881791">
            <w:pPr>
              <w:rPr>
                <w:rFonts w:ascii="Arial" w:hAnsi="Arial" w:cs="Arial"/>
                <w:color w:val="000000"/>
              </w:rPr>
            </w:pPr>
            <w:r w:rsidRPr="00103564">
              <w:rPr>
                <w:rFonts w:ascii="Arial" w:hAnsi="Arial" w:cs="Arial"/>
                <w:color w:val="000000"/>
              </w:rPr>
              <w:t>(Minor Submission)</w:t>
            </w:r>
          </w:p>
        </w:tc>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747444">
            <w:pPr>
              <w:rPr>
                <w:rFonts w:ascii="Arial" w:hAnsi="Arial" w:cs="Arial"/>
                <w:color w:val="000000"/>
              </w:rPr>
            </w:pPr>
            <w:r w:rsidRPr="00103564">
              <w:rPr>
                <w:rFonts w:ascii="Arial" w:hAnsi="Arial" w:cs="Arial"/>
                <w:color w:val="000000"/>
              </w:rPr>
              <w:t>Castration resistant metastatic carcinoma of the prostate</w:t>
            </w:r>
          </w:p>
        </w:tc>
        <w:tc>
          <w:tcPr>
            <w:tcW w:w="286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747444">
            <w:pPr>
              <w:rPr>
                <w:rFonts w:ascii="Arial" w:hAnsi="Arial" w:cs="Arial"/>
                <w:color w:val="000000"/>
              </w:rPr>
            </w:pPr>
            <w:r w:rsidRPr="00103564">
              <w:rPr>
                <w:rFonts w:ascii="Arial" w:hAnsi="Arial" w:cs="Arial"/>
                <w:color w:val="000000"/>
              </w:rPr>
              <w:t xml:space="preserve">To request an Authority Required listing of a new form of abiraterone. </w:t>
            </w:r>
          </w:p>
        </w:tc>
        <w:tc>
          <w:tcPr>
            <w:tcW w:w="6586" w:type="dxa"/>
            <w:tcBorders>
              <w:top w:val="single" w:sz="4" w:space="0" w:color="auto"/>
              <w:left w:val="single" w:sz="4" w:space="0" w:color="auto"/>
              <w:bottom w:val="single" w:sz="4" w:space="0" w:color="auto"/>
              <w:right w:val="single" w:sz="4" w:space="0" w:color="auto"/>
            </w:tcBorders>
          </w:tcPr>
          <w:p w:rsidR="00103564" w:rsidRPr="00103564" w:rsidRDefault="00103564" w:rsidP="00743123">
            <w:pPr>
              <w:widowControl w:val="0"/>
              <w:ind w:left="-18"/>
              <w:rPr>
                <w:rFonts w:ascii="Arial" w:hAnsi="Arial" w:cs="Arial"/>
              </w:rPr>
            </w:pPr>
            <w:r w:rsidRPr="00103564">
              <w:rPr>
                <w:rFonts w:ascii="Arial" w:hAnsi="Arial" w:cs="Arial"/>
              </w:rPr>
              <w:t xml:space="preserve">The PBAC recommended the Authority Required (STREAMLINED) listing of abiraterone acetate tablet for use in combination with a corticosteroid for the treatment of metastatic castration-resistant carcinoma of the prostate noting that the listing would reduce the pill burden for some patients. </w:t>
            </w:r>
          </w:p>
          <w:p w:rsidR="00103564" w:rsidRPr="00103564" w:rsidRDefault="00103564" w:rsidP="004C45B5">
            <w:pPr>
              <w:rPr>
                <w:rFonts w:ascii="Arial" w:hAnsi="Arial" w:cs="Arial"/>
              </w:rPr>
            </w:pPr>
          </w:p>
          <w:p w:rsidR="00103564" w:rsidRPr="00103564" w:rsidRDefault="00103564" w:rsidP="004C45B5">
            <w:pPr>
              <w:rPr>
                <w:rFonts w:ascii="Arial" w:hAnsi="Arial" w:cs="Arial"/>
              </w:rPr>
            </w:pPr>
          </w:p>
          <w:p w:rsidR="00103564" w:rsidRPr="00103564" w:rsidRDefault="00103564" w:rsidP="004C45B5">
            <w:pPr>
              <w:rPr>
                <w:rFonts w:ascii="Arial" w:hAnsi="Arial" w:cs="Arial"/>
              </w:rPr>
            </w:pPr>
          </w:p>
          <w:p w:rsidR="00103564" w:rsidRPr="00103564" w:rsidRDefault="00103564" w:rsidP="004C45B5">
            <w:pPr>
              <w:rPr>
                <w:rFonts w:ascii="Arial" w:hAnsi="Arial" w:cs="Arial"/>
              </w:rPr>
            </w:pPr>
          </w:p>
          <w:p w:rsidR="00103564" w:rsidRPr="00103564" w:rsidRDefault="00103564" w:rsidP="004C45B5">
            <w:pPr>
              <w:rPr>
                <w:rFonts w:ascii="Arial" w:hAnsi="Arial" w:cs="Arial"/>
              </w:rPr>
            </w:pPr>
          </w:p>
          <w:p w:rsidR="00103564" w:rsidRPr="00103564" w:rsidRDefault="00103564" w:rsidP="004C45B5">
            <w:pPr>
              <w:rPr>
                <w:rFonts w:ascii="Arial" w:hAnsi="Arial" w:cs="Arial"/>
              </w:rPr>
            </w:pPr>
          </w:p>
          <w:p w:rsidR="00103564" w:rsidRPr="00103564" w:rsidRDefault="00103564" w:rsidP="004C45B5">
            <w:pPr>
              <w:rPr>
                <w:rFonts w:ascii="Arial" w:hAnsi="Arial" w:cs="Arial"/>
              </w:rPr>
            </w:pPr>
          </w:p>
          <w:p w:rsidR="00103564" w:rsidRPr="00103564" w:rsidRDefault="00103564" w:rsidP="004C45B5">
            <w:pPr>
              <w:tabs>
                <w:tab w:val="left" w:pos="1368"/>
              </w:tabs>
              <w:rPr>
                <w:rFonts w:ascii="Arial" w:hAnsi="Arial" w:cs="Arial"/>
              </w:rPr>
            </w:pPr>
            <w:r w:rsidRPr="00103564">
              <w:rPr>
                <w:rFonts w:ascii="Arial" w:hAnsi="Arial" w:cs="Arial"/>
              </w:rPr>
              <w:tab/>
            </w:r>
          </w:p>
        </w:tc>
      </w:tr>
      <w:tr w:rsidR="00103564" w:rsidRPr="00103564" w:rsidTr="00003DA2">
        <w:trPr>
          <w:cantSplit/>
          <w:trHeight w:val="430"/>
        </w:trPr>
        <w:tc>
          <w:tcPr>
            <w:tcW w:w="3045"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03564" w:rsidRPr="00103564" w:rsidRDefault="00103564" w:rsidP="00F64D19">
            <w:pPr>
              <w:rPr>
                <w:rFonts w:ascii="Arial" w:hAnsi="Arial" w:cs="Arial"/>
              </w:rPr>
            </w:pPr>
            <w:r w:rsidRPr="00103564">
              <w:rPr>
                <w:rFonts w:ascii="Arial" w:hAnsi="Arial" w:cs="Arial"/>
              </w:rPr>
              <w:t xml:space="preserve">ADALIMUMAB </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 xml:space="preserve">Injection 40 mg in 0.8mL vial </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 xml:space="preserve">Humira® </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Abbvie Pty Ltd</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New listing</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(Minor Submission)</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03564" w:rsidRPr="00103564" w:rsidRDefault="00103564" w:rsidP="00ED02FE">
            <w:pPr>
              <w:rPr>
                <w:rFonts w:ascii="Arial" w:hAnsi="Arial" w:cs="Arial"/>
                <w:color w:val="000000"/>
              </w:rPr>
            </w:pPr>
            <w:r w:rsidRPr="00103564">
              <w:rPr>
                <w:rFonts w:ascii="Arial" w:hAnsi="Arial" w:cs="Arial"/>
                <w:color w:val="000000"/>
              </w:rPr>
              <w:t>Same as currently PBS subsidised indications for adalimumab</w:t>
            </w:r>
          </w:p>
        </w:tc>
        <w:tc>
          <w:tcPr>
            <w:tcW w:w="2865"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103564" w:rsidRPr="00103564" w:rsidRDefault="00103564" w:rsidP="00130634">
            <w:pPr>
              <w:spacing w:after="240"/>
              <w:rPr>
                <w:rFonts w:ascii="Arial" w:hAnsi="Arial" w:cs="Arial"/>
                <w:color w:val="000000"/>
              </w:rPr>
            </w:pPr>
            <w:r w:rsidRPr="00103564">
              <w:rPr>
                <w:rFonts w:ascii="Arial" w:hAnsi="Arial" w:cs="Arial"/>
                <w:color w:val="000000"/>
              </w:rPr>
              <w:t>To request an Authority Required General Schedule and Section 100 (Highly Specialised Drug) listing for a new form of adalimumab.</w:t>
            </w:r>
          </w:p>
        </w:tc>
        <w:tc>
          <w:tcPr>
            <w:tcW w:w="6586" w:type="dxa"/>
            <w:tcBorders>
              <w:top w:val="single" w:sz="4" w:space="0" w:color="auto"/>
              <w:left w:val="single" w:sz="4" w:space="0" w:color="auto"/>
              <w:bottom w:val="single" w:sz="4" w:space="0" w:color="auto"/>
              <w:right w:val="single" w:sz="4" w:space="0" w:color="auto"/>
            </w:tcBorders>
            <w:shd w:val="clear" w:color="auto" w:fill="auto"/>
          </w:tcPr>
          <w:p w:rsidR="00103564" w:rsidRPr="00103564" w:rsidRDefault="00103564" w:rsidP="00BD0A25">
            <w:pPr>
              <w:rPr>
                <w:rFonts w:ascii="Arial" w:hAnsi="Arial" w:cs="Arial"/>
                <w:color w:val="000000"/>
              </w:rPr>
            </w:pPr>
            <w:r w:rsidRPr="00103564">
              <w:rPr>
                <w:rFonts w:ascii="Arial" w:hAnsi="Arial" w:cs="Arial"/>
                <w:color w:val="000000"/>
              </w:rPr>
              <w:t>The PBAC recommended the Authority Required listing of adalimumab 40 mg vial form, with the same restrictions as the currently listed cartridge and syringe forms of adalimumab. In making this recommendation, the PBAC noted that although the application for the vial form of adalimumab met the requirements for a positive PBAC recommendation, the evidence that there is a clinical need for a vial presentation of adalimumab is not convincing.</w:t>
            </w:r>
          </w:p>
          <w:p w:rsidR="00103564" w:rsidRPr="00103564" w:rsidRDefault="00103564" w:rsidP="00BD0A25">
            <w:pPr>
              <w:rPr>
                <w:rFonts w:ascii="Arial" w:hAnsi="Arial" w:cs="Arial"/>
                <w:color w:val="000000"/>
              </w:rPr>
            </w:pPr>
          </w:p>
        </w:tc>
      </w:tr>
      <w:tr w:rsidR="00103564" w:rsidRPr="00103564" w:rsidTr="00003DA2">
        <w:trPr>
          <w:cantSplit/>
          <w:trHeight w:val="430"/>
        </w:trPr>
        <w:tc>
          <w:tcPr>
            <w:tcW w:w="304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407870">
            <w:pPr>
              <w:rPr>
                <w:rFonts w:ascii="Arial" w:hAnsi="Arial" w:cs="Arial"/>
              </w:rPr>
            </w:pPr>
            <w:r w:rsidRPr="00103564">
              <w:rPr>
                <w:rFonts w:ascii="Arial" w:hAnsi="Arial" w:cs="Arial"/>
              </w:rPr>
              <w:t>ALECTINIB</w:t>
            </w:r>
          </w:p>
          <w:p w:rsidR="00103564" w:rsidRPr="00103564" w:rsidRDefault="00103564" w:rsidP="00407870">
            <w:pPr>
              <w:rPr>
                <w:rFonts w:ascii="Arial" w:hAnsi="Arial" w:cs="Arial"/>
              </w:rPr>
            </w:pPr>
          </w:p>
          <w:p w:rsidR="00103564" w:rsidRPr="00103564" w:rsidRDefault="00103564" w:rsidP="00407870">
            <w:pPr>
              <w:rPr>
                <w:rFonts w:ascii="Arial" w:hAnsi="Arial" w:cs="Arial"/>
                <w:color w:val="000000"/>
              </w:rPr>
            </w:pPr>
            <w:r w:rsidRPr="00103564">
              <w:rPr>
                <w:rFonts w:ascii="Arial" w:hAnsi="Arial" w:cs="Arial"/>
                <w:color w:val="000000"/>
              </w:rPr>
              <w:t>Capsule 150 mg</w:t>
            </w:r>
            <w:r w:rsidRPr="00103564">
              <w:rPr>
                <w:rFonts w:ascii="Arial" w:hAnsi="Arial" w:cs="Arial"/>
                <w:color w:val="000000"/>
              </w:rPr>
              <w:br/>
            </w:r>
            <w:r w:rsidRPr="00103564">
              <w:rPr>
                <w:rFonts w:ascii="Arial" w:hAnsi="Arial" w:cs="Arial"/>
                <w:color w:val="000000"/>
              </w:rPr>
              <w:br/>
              <w:t>Alecensa®</w:t>
            </w:r>
            <w:r w:rsidRPr="00103564">
              <w:rPr>
                <w:rFonts w:ascii="Arial" w:hAnsi="Arial" w:cs="Arial"/>
                <w:color w:val="000000"/>
              </w:rPr>
              <w:br/>
            </w:r>
            <w:r w:rsidRPr="00103564">
              <w:rPr>
                <w:rFonts w:ascii="Arial" w:hAnsi="Arial" w:cs="Arial"/>
                <w:color w:val="000000"/>
              </w:rPr>
              <w:br/>
              <w:t>Roche Products Pty Ltd</w:t>
            </w:r>
          </w:p>
          <w:p w:rsidR="00103564" w:rsidRPr="00103564" w:rsidRDefault="00103564" w:rsidP="00407870">
            <w:pPr>
              <w:rPr>
                <w:rFonts w:ascii="Arial" w:hAnsi="Arial" w:cs="Arial"/>
                <w:color w:val="000000"/>
              </w:rPr>
            </w:pPr>
          </w:p>
          <w:p w:rsidR="00103564" w:rsidRPr="00103564" w:rsidRDefault="00103564" w:rsidP="00407870">
            <w:pPr>
              <w:rPr>
                <w:rFonts w:ascii="Arial" w:hAnsi="Arial" w:cs="Arial"/>
              </w:rPr>
            </w:pPr>
            <w:r w:rsidRPr="00103564">
              <w:rPr>
                <w:rFonts w:ascii="Arial" w:hAnsi="Arial" w:cs="Arial"/>
                <w:color w:val="000000"/>
              </w:rPr>
              <w:t>New listing</w:t>
            </w:r>
            <w:r w:rsidRPr="00103564">
              <w:rPr>
                <w:rFonts w:ascii="Arial" w:hAnsi="Arial" w:cs="Arial"/>
                <w:color w:val="000000"/>
              </w:rPr>
              <w:br/>
            </w:r>
            <w:r w:rsidRPr="00103564">
              <w:rPr>
                <w:rFonts w:ascii="Arial" w:hAnsi="Arial" w:cs="Arial"/>
                <w:color w:val="000000"/>
              </w:rPr>
              <w:br/>
              <w:t>(Major Submission)</w:t>
            </w:r>
          </w:p>
        </w:tc>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ED02FE">
            <w:pPr>
              <w:rPr>
                <w:rFonts w:ascii="Arial" w:hAnsi="Arial" w:cs="Arial"/>
                <w:color w:val="000000"/>
              </w:rPr>
            </w:pPr>
            <w:r w:rsidRPr="00103564">
              <w:rPr>
                <w:rFonts w:ascii="Arial" w:hAnsi="Arial" w:cs="Arial"/>
                <w:color w:val="000000"/>
              </w:rPr>
              <w:t>Non-small cell lung cancer (NSCLC)</w:t>
            </w:r>
          </w:p>
        </w:tc>
        <w:tc>
          <w:tcPr>
            <w:tcW w:w="286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30634">
            <w:pPr>
              <w:spacing w:after="240"/>
              <w:rPr>
                <w:rFonts w:ascii="Arial" w:hAnsi="Arial" w:cs="Arial"/>
                <w:color w:val="000000"/>
              </w:rPr>
            </w:pPr>
            <w:r w:rsidRPr="00103564">
              <w:rPr>
                <w:rFonts w:ascii="Arial" w:hAnsi="Arial" w:cs="Arial"/>
                <w:color w:val="000000"/>
              </w:rPr>
              <w:t>To request an Authority Required listing for the treatment of patients with locally advanced or metastatic NSCLC under certain conditions.</w:t>
            </w:r>
          </w:p>
        </w:tc>
        <w:tc>
          <w:tcPr>
            <w:tcW w:w="6586" w:type="dxa"/>
            <w:tcBorders>
              <w:top w:val="single" w:sz="4" w:space="0" w:color="auto"/>
              <w:left w:val="single" w:sz="4" w:space="0" w:color="auto"/>
              <w:bottom w:val="single" w:sz="4" w:space="0" w:color="auto"/>
              <w:right w:val="single" w:sz="4" w:space="0" w:color="auto"/>
            </w:tcBorders>
          </w:tcPr>
          <w:p w:rsidR="00103564" w:rsidRPr="00103564" w:rsidRDefault="00103564" w:rsidP="00743123">
            <w:pPr>
              <w:rPr>
                <w:rFonts w:ascii="Arial" w:hAnsi="Arial" w:cs="Arial"/>
                <w:color w:val="000000"/>
              </w:rPr>
            </w:pPr>
            <w:r w:rsidRPr="00103564">
              <w:rPr>
                <w:rFonts w:ascii="Arial" w:hAnsi="Arial" w:cs="Arial"/>
                <w:color w:val="000000"/>
              </w:rPr>
              <w:t xml:space="preserve">The PBAC recommended the telephone Authority Required General Schedule listing of alectinib for the treatment of anaplastic lymphoma kinase (ALK) positive non-small cell lung cancer (NSCLC) on a cost-minimisation basis against ceritinib. In making this recommendation, the PBAC considered the effectiveness of alectinib in a relatively small population of ALK-positive NSCLC patients, and the clinical need for additional targeted therapies with different safety profiles than currently available treatments for this condition.  The PBAC considered that the submission’s claim of non-inferiority for efficacy and safety against ceritinib in pre-treated metastatic NSCLC patients was reasonable, and therefore a cost-minimisation approach against ceritinib was appropriate. </w:t>
            </w:r>
          </w:p>
        </w:tc>
      </w:tr>
      <w:tr w:rsidR="00103564" w:rsidRPr="00103564" w:rsidTr="00003DA2">
        <w:trPr>
          <w:cantSplit/>
          <w:trHeight w:val="430"/>
        </w:trPr>
        <w:tc>
          <w:tcPr>
            <w:tcW w:w="304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6101D8">
            <w:pPr>
              <w:rPr>
                <w:rFonts w:ascii="Arial" w:hAnsi="Arial" w:cs="Arial"/>
              </w:rPr>
            </w:pPr>
            <w:r w:rsidRPr="00103564">
              <w:rPr>
                <w:rFonts w:ascii="Arial" w:hAnsi="Arial" w:cs="Arial"/>
                <w:color w:val="000000"/>
              </w:rPr>
              <w:lastRenderedPageBreak/>
              <w:t>AMINO ACID FORMULA supplemented with PREBIOTICS, PROBIOTICS and LONG CHAIN POLYUNSATURATED FATTY ACIDS</w:t>
            </w:r>
            <w:r w:rsidRPr="00103564">
              <w:rPr>
                <w:rFonts w:ascii="Arial" w:hAnsi="Arial" w:cs="Arial"/>
                <w:color w:val="000000"/>
              </w:rPr>
              <w:br/>
            </w:r>
            <w:r w:rsidRPr="00103564">
              <w:rPr>
                <w:rFonts w:ascii="Arial" w:hAnsi="Arial" w:cs="Arial"/>
                <w:color w:val="000000"/>
              </w:rPr>
              <w:br/>
              <w:t>Oral powder, 400 g (Neocate Syneo)</w:t>
            </w:r>
            <w:r w:rsidRPr="00103564">
              <w:rPr>
                <w:rFonts w:ascii="Arial" w:hAnsi="Arial" w:cs="Arial"/>
                <w:color w:val="000000"/>
              </w:rPr>
              <w:br/>
            </w:r>
            <w:r w:rsidRPr="00103564">
              <w:rPr>
                <w:rFonts w:ascii="Arial" w:hAnsi="Arial" w:cs="Arial"/>
                <w:color w:val="000000"/>
              </w:rPr>
              <w:br/>
              <w:t>Neocate® Syneo™</w:t>
            </w:r>
            <w:r w:rsidRPr="00103564">
              <w:rPr>
                <w:rFonts w:ascii="Arial" w:hAnsi="Arial" w:cs="Arial"/>
                <w:color w:val="000000"/>
              </w:rPr>
              <w:br/>
            </w:r>
            <w:r w:rsidRPr="00103564">
              <w:rPr>
                <w:rFonts w:ascii="Arial" w:hAnsi="Arial" w:cs="Arial"/>
                <w:color w:val="000000"/>
              </w:rPr>
              <w:br/>
              <w:t>Nutricia Australia Pty Ltd</w:t>
            </w:r>
            <w:r w:rsidRPr="00103564">
              <w:rPr>
                <w:rFonts w:ascii="Arial" w:hAnsi="Arial" w:cs="Arial"/>
              </w:rPr>
              <w:t xml:space="preserve"> </w:t>
            </w:r>
          </w:p>
          <w:p w:rsidR="00103564" w:rsidRPr="00103564" w:rsidRDefault="00103564" w:rsidP="006101D8">
            <w:pPr>
              <w:rPr>
                <w:rFonts w:ascii="Arial" w:hAnsi="Arial" w:cs="Arial"/>
              </w:rPr>
            </w:pPr>
          </w:p>
          <w:p w:rsidR="00103564" w:rsidRPr="00103564" w:rsidRDefault="00103564" w:rsidP="006101D8">
            <w:pPr>
              <w:rPr>
                <w:rFonts w:ascii="Arial" w:hAnsi="Arial" w:cs="Arial"/>
              </w:rPr>
            </w:pPr>
            <w:r w:rsidRPr="00103564">
              <w:rPr>
                <w:rFonts w:ascii="Arial" w:hAnsi="Arial" w:cs="Arial"/>
                <w:color w:val="000000"/>
              </w:rPr>
              <w:t>New listing</w:t>
            </w:r>
            <w:r w:rsidRPr="00103564">
              <w:rPr>
                <w:rFonts w:ascii="Arial" w:hAnsi="Arial" w:cs="Arial"/>
                <w:color w:val="000000"/>
              </w:rPr>
              <w:br/>
            </w:r>
            <w:r w:rsidRPr="00103564">
              <w:rPr>
                <w:rFonts w:ascii="Arial" w:hAnsi="Arial" w:cs="Arial"/>
                <w:color w:val="000000"/>
              </w:rPr>
              <w:br/>
              <w:t>(Minor Submission)</w:t>
            </w:r>
          </w:p>
        </w:tc>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30634">
            <w:pPr>
              <w:rPr>
                <w:rFonts w:ascii="Arial" w:hAnsi="Arial" w:cs="Arial"/>
                <w:color w:val="000000"/>
              </w:rPr>
            </w:pPr>
            <w:r w:rsidRPr="00103564">
              <w:rPr>
                <w:rFonts w:ascii="Arial" w:hAnsi="Arial" w:cs="Arial"/>
                <w:color w:val="000000"/>
              </w:rPr>
              <w:t>Cows' milk protein enteropathy</w:t>
            </w:r>
          </w:p>
          <w:p w:rsidR="00103564" w:rsidRPr="00103564" w:rsidRDefault="00103564" w:rsidP="00130634">
            <w:pPr>
              <w:rPr>
                <w:rFonts w:ascii="Arial" w:hAnsi="Arial" w:cs="Arial"/>
                <w:color w:val="000000"/>
              </w:rPr>
            </w:pPr>
            <w:r w:rsidRPr="00103564">
              <w:rPr>
                <w:rFonts w:ascii="Arial" w:hAnsi="Arial" w:cs="Arial"/>
                <w:color w:val="000000"/>
              </w:rPr>
              <w:t>Severe cows' milk protein enteropathy with failure to thrive</w:t>
            </w:r>
          </w:p>
          <w:p w:rsidR="00103564" w:rsidRPr="00103564" w:rsidRDefault="00103564" w:rsidP="00130634">
            <w:pPr>
              <w:rPr>
                <w:rFonts w:ascii="Arial" w:hAnsi="Arial" w:cs="Arial"/>
                <w:color w:val="000000"/>
              </w:rPr>
            </w:pPr>
            <w:r w:rsidRPr="00103564">
              <w:rPr>
                <w:rFonts w:ascii="Arial" w:hAnsi="Arial" w:cs="Arial"/>
                <w:color w:val="000000"/>
              </w:rPr>
              <w:t>Combined intolerance to cows' milk protein, soy protein and protein hydrolysate formulae</w:t>
            </w:r>
          </w:p>
          <w:p w:rsidR="00103564" w:rsidRPr="00103564" w:rsidRDefault="00103564" w:rsidP="00130634">
            <w:pPr>
              <w:rPr>
                <w:rFonts w:ascii="Arial" w:hAnsi="Arial" w:cs="Arial"/>
                <w:color w:val="000000"/>
              </w:rPr>
            </w:pPr>
            <w:r w:rsidRPr="00103564">
              <w:rPr>
                <w:rFonts w:ascii="Arial" w:hAnsi="Arial" w:cs="Arial"/>
                <w:color w:val="000000"/>
              </w:rPr>
              <w:t>Cows' milk anaphylaxis</w:t>
            </w:r>
          </w:p>
          <w:p w:rsidR="00103564" w:rsidRPr="00103564" w:rsidRDefault="00103564" w:rsidP="00130634">
            <w:pPr>
              <w:rPr>
                <w:rFonts w:ascii="Arial" w:hAnsi="Arial" w:cs="Arial"/>
                <w:color w:val="000000"/>
              </w:rPr>
            </w:pPr>
            <w:r w:rsidRPr="00103564">
              <w:rPr>
                <w:rFonts w:ascii="Arial" w:hAnsi="Arial" w:cs="Arial"/>
                <w:color w:val="000000"/>
              </w:rPr>
              <w:t>Proven combined immunoglobulin E (IgE) mediated allergy to cows' milk protein and soy protein</w:t>
            </w:r>
          </w:p>
          <w:p w:rsidR="00103564" w:rsidRPr="00103564" w:rsidRDefault="00103564" w:rsidP="00130634">
            <w:pPr>
              <w:rPr>
                <w:rFonts w:ascii="Arial" w:hAnsi="Arial" w:cs="Arial"/>
                <w:color w:val="000000"/>
              </w:rPr>
            </w:pPr>
            <w:r w:rsidRPr="00103564">
              <w:rPr>
                <w:rFonts w:ascii="Arial" w:hAnsi="Arial" w:cs="Arial"/>
                <w:color w:val="000000"/>
              </w:rPr>
              <w:t>Severe intestinal malabsorption including short bowel syndrome</w:t>
            </w:r>
          </w:p>
          <w:p w:rsidR="00103564" w:rsidRPr="00103564" w:rsidRDefault="00103564" w:rsidP="00130634">
            <w:pPr>
              <w:rPr>
                <w:rFonts w:ascii="Arial" w:hAnsi="Arial" w:cs="Arial"/>
              </w:rPr>
            </w:pPr>
            <w:r w:rsidRPr="00103564">
              <w:rPr>
                <w:rFonts w:ascii="Arial" w:hAnsi="Arial" w:cs="Arial"/>
                <w:color w:val="000000"/>
              </w:rPr>
              <w:t>Eosinophilic oesophagitis</w:t>
            </w:r>
          </w:p>
        </w:tc>
        <w:tc>
          <w:tcPr>
            <w:tcW w:w="286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30634">
            <w:pPr>
              <w:rPr>
                <w:rFonts w:ascii="Arial" w:hAnsi="Arial" w:cs="Arial"/>
              </w:rPr>
            </w:pPr>
            <w:r w:rsidRPr="00103564">
              <w:rPr>
                <w:rFonts w:ascii="Arial" w:hAnsi="Arial" w:cs="Arial"/>
              </w:rPr>
              <w:t>To request an Authority Required listing for infants (up to 24 months) for the treatment of cows' milk protein enteropathy; severe cows' milk protein enteropathy with failure to thrive; combined intolerance to cows' milk protein, soy protein and protein hydrolysate formulae; proven combined immunoglobulin E mediated allergy to cows' milk protein and soy protein; eosinophilic eosophagitis; cows' milk anaphylaxis; and severe intestinal malabsorption including short bowel syndrome.</w:t>
            </w:r>
          </w:p>
        </w:tc>
        <w:tc>
          <w:tcPr>
            <w:tcW w:w="6586" w:type="dxa"/>
            <w:tcBorders>
              <w:top w:val="single" w:sz="4" w:space="0" w:color="auto"/>
              <w:left w:val="single" w:sz="4" w:space="0" w:color="auto"/>
              <w:bottom w:val="single" w:sz="4" w:space="0" w:color="auto"/>
              <w:right w:val="single" w:sz="4" w:space="0" w:color="auto"/>
            </w:tcBorders>
          </w:tcPr>
          <w:p w:rsidR="00103564" w:rsidRPr="00103564" w:rsidRDefault="00103564" w:rsidP="00743123">
            <w:pPr>
              <w:widowControl w:val="0"/>
              <w:ind w:left="-18"/>
              <w:rPr>
                <w:rFonts w:ascii="Arial" w:hAnsi="Arial" w:cs="Arial"/>
              </w:rPr>
            </w:pPr>
            <w:r w:rsidRPr="00103564">
              <w:rPr>
                <w:rFonts w:ascii="Arial" w:hAnsi="Arial" w:cs="Arial"/>
              </w:rPr>
              <w:t xml:space="preserve">The PBAC recommended the Authority Required listing of Neocate Syneo® for the treatment of: Cows' milk anaphylaxis; cows' milk protein enteropathy; severe cows' milk protein enteropathy with failure to thrive; combined intolerance to cows' milk protein, soy protein and protein hydrolysate formulae; proven combined immunoglobulin E (IgE) mediated allergy to cows' milk protein and soy protein;  severe intestinal malabsorption including short bowel syndrome; and eosinophilic oesophagitis (EoE)on a cost-minimisation basis against Neocate Gold® at an equivalent price per kilojoule basis. </w:t>
            </w:r>
          </w:p>
        </w:tc>
      </w:tr>
      <w:tr w:rsidR="00103564" w:rsidRPr="00103564" w:rsidTr="00003DA2">
        <w:trPr>
          <w:cantSplit/>
          <w:trHeight w:val="430"/>
        </w:trPr>
        <w:tc>
          <w:tcPr>
            <w:tcW w:w="304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263174">
            <w:pPr>
              <w:rPr>
                <w:rFonts w:ascii="Arial" w:hAnsi="Arial" w:cs="Arial"/>
                <w:color w:val="000000"/>
              </w:rPr>
            </w:pPr>
            <w:r w:rsidRPr="00103564">
              <w:rPr>
                <w:rFonts w:ascii="Arial" w:hAnsi="Arial" w:cs="Arial"/>
                <w:color w:val="000000"/>
              </w:rPr>
              <w:t>AMINO ACID FORMULA with VITAMINS and MINERALS WITHOUT PHENYLALANINE</w:t>
            </w:r>
            <w:r w:rsidRPr="00103564">
              <w:rPr>
                <w:rFonts w:ascii="Arial" w:hAnsi="Arial" w:cs="Arial"/>
                <w:color w:val="000000"/>
              </w:rPr>
              <w:br/>
            </w:r>
            <w:r w:rsidRPr="00103564">
              <w:rPr>
                <w:rFonts w:ascii="Arial" w:hAnsi="Arial" w:cs="Arial"/>
                <w:color w:val="000000"/>
              </w:rPr>
              <w:br/>
              <w:t>Oral liquid 125 mL, 30 (PKU Lophlex LQ 20)</w:t>
            </w:r>
            <w:r w:rsidRPr="00103564">
              <w:rPr>
                <w:rFonts w:ascii="Arial" w:hAnsi="Arial" w:cs="Arial"/>
                <w:color w:val="000000"/>
              </w:rPr>
              <w:br/>
              <w:t>Sachets containing oral powder 27.8 g, 30 (Lophlex)</w:t>
            </w:r>
            <w:r w:rsidRPr="00103564">
              <w:rPr>
                <w:rFonts w:ascii="Arial" w:hAnsi="Arial" w:cs="Arial"/>
                <w:color w:val="000000"/>
              </w:rPr>
              <w:br/>
            </w:r>
            <w:r w:rsidRPr="00103564">
              <w:rPr>
                <w:rFonts w:ascii="Arial" w:hAnsi="Arial" w:cs="Arial"/>
                <w:color w:val="000000"/>
              </w:rPr>
              <w:br/>
              <w:t>PKU Lophlex® LQ 20</w:t>
            </w:r>
            <w:r w:rsidRPr="00103564">
              <w:rPr>
                <w:rFonts w:ascii="Arial" w:hAnsi="Arial" w:cs="Arial"/>
                <w:color w:val="000000"/>
              </w:rPr>
              <w:br/>
              <w:t>Lophlex®</w:t>
            </w:r>
            <w:r w:rsidRPr="00103564">
              <w:rPr>
                <w:rFonts w:ascii="Arial" w:hAnsi="Arial" w:cs="Arial"/>
                <w:color w:val="000000"/>
              </w:rPr>
              <w:br/>
            </w:r>
            <w:r w:rsidRPr="00103564">
              <w:rPr>
                <w:rFonts w:ascii="Arial" w:hAnsi="Arial" w:cs="Arial"/>
                <w:color w:val="000000"/>
              </w:rPr>
              <w:br/>
              <w:t>Nutricia Australia Pty Ltd</w:t>
            </w:r>
          </w:p>
          <w:p w:rsidR="00103564" w:rsidRPr="00103564" w:rsidRDefault="00103564" w:rsidP="00263174">
            <w:pPr>
              <w:rPr>
                <w:rFonts w:ascii="Arial" w:hAnsi="Arial" w:cs="Arial"/>
                <w:color w:val="000000"/>
              </w:rPr>
            </w:pPr>
          </w:p>
          <w:p w:rsidR="00103564" w:rsidRPr="00103564" w:rsidRDefault="00103564" w:rsidP="00263174">
            <w:pPr>
              <w:rPr>
                <w:rFonts w:ascii="Arial" w:hAnsi="Arial" w:cs="Arial"/>
                <w:color w:val="000000"/>
              </w:rPr>
            </w:pPr>
            <w:r w:rsidRPr="00103564">
              <w:rPr>
                <w:rFonts w:ascii="Arial" w:hAnsi="Arial" w:cs="Arial"/>
                <w:color w:val="000000"/>
              </w:rPr>
              <w:t>New listing</w:t>
            </w:r>
            <w:r w:rsidRPr="00103564">
              <w:rPr>
                <w:rFonts w:ascii="Arial" w:hAnsi="Arial" w:cs="Arial"/>
                <w:color w:val="000000"/>
              </w:rPr>
              <w:br/>
            </w:r>
          </w:p>
          <w:p w:rsidR="00103564" w:rsidRPr="00103564" w:rsidRDefault="00103564" w:rsidP="00263174">
            <w:pPr>
              <w:rPr>
                <w:rFonts w:ascii="Arial" w:hAnsi="Arial" w:cs="Arial"/>
                <w:color w:val="000000"/>
              </w:rPr>
            </w:pPr>
            <w:r w:rsidRPr="00103564">
              <w:rPr>
                <w:rFonts w:ascii="Arial" w:hAnsi="Arial" w:cs="Arial"/>
                <w:color w:val="000000"/>
              </w:rPr>
              <w:t>(Minor Submission)</w:t>
            </w:r>
          </w:p>
        </w:tc>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B43949">
            <w:pPr>
              <w:rPr>
                <w:rFonts w:ascii="Arial" w:hAnsi="Arial" w:cs="Arial"/>
                <w:color w:val="000000"/>
              </w:rPr>
            </w:pPr>
            <w:r w:rsidRPr="00103564">
              <w:rPr>
                <w:rFonts w:ascii="Arial" w:hAnsi="Arial" w:cs="Arial"/>
                <w:color w:val="000000"/>
              </w:rPr>
              <w:t>Phenylketonuria</w:t>
            </w:r>
          </w:p>
        </w:tc>
        <w:tc>
          <w:tcPr>
            <w:tcW w:w="286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B43949">
            <w:pPr>
              <w:rPr>
                <w:rFonts w:ascii="Arial" w:hAnsi="Arial" w:cs="Arial"/>
                <w:color w:val="000000"/>
              </w:rPr>
            </w:pPr>
            <w:r w:rsidRPr="00103564">
              <w:rPr>
                <w:rFonts w:ascii="Arial" w:hAnsi="Arial" w:cs="Arial"/>
                <w:color w:val="000000"/>
              </w:rPr>
              <w:t>To request Restricted Benefit listings of two forms of amino acid based formulations for the treatment of patients with phenylketonuria.</w:t>
            </w:r>
          </w:p>
        </w:tc>
        <w:tc>
          <w:tcPr>
            <w:tcW w:w="6586" w:type="dxa"/>
            <w:tcBorders>
              <w:top w:val="single" w:sz="4" w:space="0" w:color="auto"/>
              <w:left w:val="single" w:sz="4" w:space="0" w:color="auto"/>
              <w:bottom w:val="single" w:sz="4" w:space="0" w:color="auto"/>
              <w:right w:val="single" w:sz="4" w:space="0" w:color="auto"/>
            </w:tcBorders>
          </w:tcPr>
          <w:p w:rsidR="00103564" w:rsidRPr="00103564" w:rsidRDefault="00103564" w:rsidP="00263174">
            <w:pPr>
              <w:rPr>
                <w:rFonts w:ascii="Arial" w:hAnsi="Arial" w:cs="Arial"/>
                <w:color w:val="000000"/>
              </w:rPr>
            </w:pPr>
            <w:r w:rsidRPr="00103564">
              <w:rPr>
                <w:rFonts w:ascii="Arial" w:hAnsi="Arial" w:cs="Arial"/>
                <w:color w:val="000000"/>
              </w:rPr>
              <w:t xml:space="preserve">The PBAC recommended increasing the maximum quantities of PKU Lophlex LQ20® and PKU Lophlex® per script for the treatment of phenylketonuria to align with other similar products on the PBS, as requested by the submission. </w:t>
            </w:r>
          </w:p>
          <w:p w:rsidR="00103564" w:rsidRPr="00103564" w:rsidRDefault="00103564" w:rsidP="00E238C1">
            <w:pPr>
              <w:rPr>
                <w:rFonts w:ascii="Arial" w:hAnsi="Arial" w:cs="Arial"/>
                <w:color w:val="000000"/>
              </w:rPr>
            </w:pPr>
          </w:p>
        </w:tc>
      </w:tr>
      <w:tr w:rsidR="00103564" w:rsidRPr="00103564" w:rsidTr="00003DA2">
        <w:trPr>
          <w:cantSplit/>
          <w:trHeight w:val="430"/>
        </w:trPr>
        <w:tc>
          <w:tcPr>
            <w:tcW w:w="304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F64D19">
            <w:pPr>
              <w:rPr>
                <w:rFonts w:ascii="Arial" w:hAnsi="Arial" w:cs="Arial"/>
              </w:rPr>
            </w:pPr>
            <w:r w:rsidRPr="00103564">
              <w:rPr>
                <w:rFonts w:ascii="Arial" w:hAnsi="Arial" w:cs="Arial"/>
              </w:rPr>
              <w:lastRenderedPageBreak/>
              <w:t xml:space="preserve">BACLOFEN </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 xml:space="preserve">Intrathecal injection 40 mg in 20 mL </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 xml:space="preserve">Sintetica Baclofen Intrathecal® </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Boucher &amp; Muir Pty Ltd</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New listing</w:t>
            </w:r>
          </w:p>
          <w:p w:rsidR="00103564" w:rsidRPr="00103564" w:rsidRDefault="00103564" w:rsidP="00F64D19">
            <w:pPr>
              <w:rPr>
                <w:rFonts w:ascii="Arial" w:hAnsi="Arial" w:cs="Arial"/>
              </w:rPr>
            </w:pPr>
          </w:p>
          <w:p w:rsidR="00103564" w:rsidRPr="00103564" w:rsidRDefault="00103564" w:rsidP="00F64D19">
            <w:pPr>
              <w:rPr>
                <w:rFonts w:ascii="Arial" w:hAnsi="Arial" w:cs="Arial"/>
                <w:highlight w:val="yellow"/>
              </w:rPr>
            </w:pPr>
            <w:r w:rsidRPr="00103564">
              <w:rPr>
                <w:rFonts w:ascii="Arial" w:hAnsi="Arial" w:cs="Arial"/>
              </w:rPr>
              <w:t>(Minor Submission)</w:t>
            </w:r>
          </w:p>
        </w:tc>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ED02FE">
            <w:pPr>
              <w:rPr>
                <w:rFonts w:ascii="Arial" w:hAnsi="Arial" w:cs="Arial"/>
                <w:color w:val="000000"/>
                <w:highlight w:val="yellow"/>
              </w:rPr>
            </w:pPr>
            <w:r w:rsidRPr="00103564">
              <w:rPr>
                <w:rFonts w:ascii="Arial" w:hAnsi="Arial" w:cs="Arial"/>
                <w:color w:val="000000"/>
              </w:rPr>
              <w:t>Severe chronic spasticity</w:t>
            </w:r>
          </w:p>
        </w:tc>
        <w:tc>
          <w:tcPr>
            <w:tcW w:w="286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30634">
            <w:pPr>
              <w:spacing w:after="240"/>
              <w:rPr>
                <w:rFonts w:ascii="Arial" w:hAnsi="Arial" w:cs="Arial"/>
                <w:color w:val="000000"/>
                <w:highlight w:val="yellow"/>
              </w:rPr>
            </w:pPr>
            <w:r w:rsidRPr="00103564">
              <w:rPr>
                <w:rFonts w:ascii="Arial" w:hAnsi="Arial" w:cs="Arial"/>
                <w:color w:val="000000"/>
              </w:rPr>
              <w:t>To request a Section 100 (Highly Specialised Drugs Program) listing of a new form of baclofen.</w:t>
            </w:r>
          </w:p>
        </w:tc>
        <w:tc>
          <w:tcPr>
            <w:tcW w:w="6586" w:type="dxa"/>
            <w:tcBorders>
              <w:top w:val="single" w:sz="4" w:space="0" w:color="auto"/>
              <w:left w:val="single" w:sz="4" w:space="0" w:color="auto"/>
              <w:bottom w:val="single" w:sz="4" w:space="0" w:color="auto"/>
              <w:right w:val="single" w:sz="4" w:space="0" w:color="auto"/>
            </w:tcBorders>
          </w:tcPr>
          <w:p w:rsidR="00103564" w:rsidRPr="00103564" w:rsidRDefault="00103564" w:rsidP="00743123">
            <w:pPr>
              <w:rPr>
                <w:rFonts w:ascii="Arial" w:hAnsi="Arial" w:cs="Arial"/>
                <w:color w:val="000000"/>
                <w:highlight w:val="yellow"/>
              </w:rPr>
            </w:pPr>
            <w:r w:rsidRPr="00103564">
              <w:rPr>
                <w:rFonts w:ascii="Arial" w:hAnsi="Arial" w:cs="Arial"/>
                <w:color w:val="000000"/>
              </w:rPr>
              <w:t>The PBAC recommended a Section 100 Highly Specialised Drugs (HSD) Public Hospital Authority Required (STREAMLINED) listing and a Section 100 HSD Private Hospital Authority Required listing of a new strength of baclofen (40 mg in 20 mL ampoule) for the treatment of severe chronic spasticity, the same indication as the currently listed 10 mg in 5 mL ampoules.</w:t>
            </w:r>
          </w:p>
        </w:tc>
      </w:tr>
      <w:tr w:rsidR="00103564" w:rsidRPr="00103564" w:rsidTr="00003DA2">
        <w:trPr>
          <w:cantSplit/>
          <w:trHeight w:val="430"/>
        </w:trPr>
        <w:tc>
          <w:tcPr>
            <w:tcW w:w="304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407870">
            <w:pPr>
              <w:rPr>
                <w:rFonts w:ascii="Arial" w:hAnsi="Arial" w:cs="Arial"/>
                <w:color w:val="000000"/>
              </w:rPr>
            </w:pPr>
            <w:r w:rsidRPr="00103564">
              <w:rPr>
                <w:rFonts w:ascii="Arial" w:hAnsi="Arial" w:cs="Arial"/>
                <w:color w:val="000000"/>
              </w:rPr>
              <w:t>CARFILZOMIB</w:t>
            </w:r>
            <w:r w:rsidRPr="00103564">
              <w:rPr>
                <w:rFonts w:ascii="Arial" w:hAnsi="Arial" w:cs="Arial"/>
                <w:color w:val="000000"/>
              </w:rPr>
              <w:br/>
            </w:r>
            <w:r w:rsidRPr="00103564">
              <w:rPr>
                <w:rFonts w:ascii="Arial" w:hAnsi="Arial" w:cs="Arial"/>
                <w:color w:val="000000"/>
              </w:rPr>
              <w:br/>
              <w:t>Powder for I.V. infusion 30 mg</w:t>
            </w:r>
            <w:r w:rsidRPr="00103564">
              <w:rPr>
                <w:rFonts w:ascii="Arial" w:hAnsi="Arial" w:cs="Arial"/>
                <w:color w:val="000000"/>
              </w:rPr>
              <w:br/>
              <w:t>Powder for I.V. infusion 60 mg</w:t>
            </w:r>
            <w:r w:rsidRPr="00103564">
              <w:rPr>
                <w:rFonts w:ascii="Arial" w:hAnsi="Arial" w:cs="Arial"/>
                <w:color w:val="000000"/>
              </w:rPr>
              <w:br/>
            </w:r>
            <w:r w:rsidRPr="00103564">
              <w:rPr>
                <w:rFonts w:ascii="Arial" w:hAnsi="Arial" w:cs="Arial"/>
                <w:color w:val="000000"/>
              </w:rPr>
              <w:br/>
              <w:t>Kyprolis®</w:t>
            </w:r>
            <w:r w:rsidRPr="00103564">
              <w:rPr>
                <w:rFonts w:ascii="Arial" w:hAnsi="Arial" w:cs="Arial"/>
                <w:color w:val="000000"/>
              </w:rPr>
              <w:br/>
            </w:r>
            <w:r w:rsidRPr="00103564">
              <w:rPr>
                <w:rFonts w:ascii="Arial" w:hAnsi="Arial" w:cs="Arial"/>
                <w:color w:val="000000"/>
              </w:rPr>
              <w:br/>
              <w:t>Amgen Australia Pty Ltd</w:t>
            </w:r>
          </w:p>
          <w:p w:rsidR="00103564" w:rsidRPr="00103564" w:rsidRDefault="00103564" w:rsidP="00407870">
            <w:pPr>
              <w:rPr>
                <w:rFonts w:ascii="Arial" w:hAnsi="Arial" w:cs="Arial"/>
                <w:color w:val="000000"/>
              </w:rPr>
            </w:pPr>
          </w:p>
          <w:p w:rsidR="00103564" w:rsidRPr="00103564" w:rsidRDefault="00103564" w:rsidP="00407870">
            <w:pPr>
              <w:rPr>
                <w:rFonts w:ascii="Arial" w:hAnsi="Arial" w:cs="Arial"/>
                <w:color w:val="000000"/>
              </w:rPr>
            </w:pPr>
            <w:r w:rsidRPr="00103564">
              <w:rPr>
                <w:rFonts w:ascii="Arial" w:hAnsi="Arial" w:cs="Arial"/>
                <w:color w:val="000000"/>
              </w:rPr>
              <w:t>New listing</w:t>
            </w:r>
          </w:p>
          <w:p w:rsidR="00103564" w:rsidRPr="00103564" w:rsidRDefault="00103564" w:rsidP="00407870">
            <w:pPr>
              <w:rPr>
                <w:rFonts w:ascii="Arial" w:hAnsi="Arial" w:cs="Arial"/>
                <w:color w:val="000000"/>
              </w:rPr>
            </w:pPr>
          </w:p>
          <w:p w:rsidR="00103564" w:rsidRPr="00103564" w:rsidRDefault="00103564" w:rsidP="00407870">
            <w:pPr>
              <w:rPr>
                <w:rFonts w:ascii="Arial" w:hAnsi="Arial" w:cs="Arial"/>
              </w:rPr>
            </w:pPr>
            <w:r w:rsidRPr="00103564">
              <w:rPr>
                <w:rFonts w:ascii="Arial" w:hAnsi="Arial" w:cs="Arial"/>
                <w:color w:val="000000"/>
              </w:rPr>
              <w:t>(Major submission)</w:t>
            </w:r>
          </w:p>
        </w:tc>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ED02FE">
            <w:pPr>
              <w:rPr>
                <w:rFonts w:ascii="Arial" w:hAnsi="Arial" w:cs="Arial"/>
                <w:color w:val="000000"/>
              </w:rPr>
            </w:pPr>
            <w:r w:rsidRPr="00103564">
              <w:rPr>
                <w:rFonts w:ascii="Arial" w:hAnsi="Arial" w:cs="Arial"/>
                <w:color w:val="000000"/>
              </w:rPr>
              <w:t>Multiple myeloma</w:t>
            </w:r>
          </w:p>
        </w:tc>
        <w:tc>
          <w:tcPr>
            <w:tcW w:w="286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30634">
            <w:pPr>
              <w:spacing w:after="240"/>
              <w:rPr>
                <w:rFonts w:ascii="Arial" w:hAnsi="Arial" w:cs="Arial"/>
                <w:color w:val="000000"/>
              </w:rPr>
            </w:pPr>
            <w:r w:rsidRPr="00103564">
              <w:rPr>
                <w:rFonts w:ascii="Arial" w:hAnsi="Arial" w:cs="Arial"/>
                <w:color w:val="000000"/>
              </w:rPr>
              <w:t>Resubmission to request a Section 100 (Efficient Funding of Chemotherapy) Authority Required listing for carfilzomib in combination with dexamethasone for the treatment of patients with multiple myeloma who have failed at least one prior line of treatment.</w:t>
            </w:r>
          </w:p>
        </w:tc>
        <w:tc>
          <w:tcPr>
            <w:tcW w:w="6586" w:type="dxa"/>
            <w:tcBorders>
              <w:top w:val="single" w:sz="4" w:space="0" w:color="auto"/>
              <w:left w:val="single" w:sz="4" w:space="0" w:color="auto"/>
              <w:bottom w:val="single" w:sz="4" w:space="0" w:color="auto"/>
              <w:right w:val="single" w:sz="4" w:space="0" w:color="auto"/>
            </w:tcBorders>
          </w:tcPr>
          <w:p w:rsidR="00103564" w:rsidRPr="00103564" w:rsidRDefault="00103564" w:rsidP="001B1660">
            <w:pPr>
              <w:pStyle w:val="ListParagraph"/>
              <w:ind w:left="0"/>
              <w:jc w:val="both"/>
              <w:rPr>
                <w:rFonts w:ascii="Arial" w:eastAsia="Calibri" w:hAnsi="Arial" w:cs="Arial"/>
                <w:sz w:val="20"/>
                <w:szCs w:val="20"/>
              </w:rPr>
            </w:pPr>
            <w:r w:rsidRPr="00103564">
              <w:rPr>
                <w:rFonts w:ascii="Arial" w:eastAsia="Calibri" w:hAnsi="Arial" w:cs="Arial"/>
                <w:sz w:val="20"/>
                <w:szCs w:val="20"/>
              </w:rPr>
              <w:t>The PBAC recommended the listing of carfilzomib for use in combination with dexamethasone (Cd) in patients with relapsed/refractory multiple myeloma</w:t>
            </w:r>
            <w:r w:rsidRPr="00103564">
              <w:rPr>
                <w:rFonts w:ascii="Arial" w:eastAsia="Times New Roman" w:hAnsi="Arial" w:cs="Arial"/>
                <w:bCs/>
                <w:snapToGrid w:val="0"/>
                <w:sz w:val="20"/>
                <w:szCs w:val="20"/>
              </w:rPr>
              <w:t xml:space="preserve">, on the basis that the </w:t>
            </w:r>
            <w:r w:rsidRPr="00103564">
              <w:rPr>
                <w:rFonts w:ascii="Arial" w:hAnsi="Arial" w:cs="Arial"/>
                <w:bCs/>
                <w:sz w:val="20"/>
                <w:szCs w:val="20"/>
              </w:rPr>
              <w:t>claim of superior comparative effectiveness of Cd over</w:t>
            </w:r>
            <w:r w:rsidRPr="00103564">
              <w:rPr>
                <w:rFonts w:ascii="Arial" w:eastAsia="Calibri" w:hAnsi="Arial" w:cs="Arial"/>
                <w:sz w:val="20"/>
                <w:szCs w:val="20"/>
              </w:rPr>
              <w:t xml:space="preserve"> </w:t>
            </w:r>
            <w:r w:rsidRPr="00103564">
              <w:rPr>
                <w:rFonts w:ascii="Arial" w:hAnsi="Arial" w:cs="Arial"/>
                <w:bCs/>
                <w:sz w:val="20"/>
                <w:szCs w:val="20"/>
              </w:rPr>
              <w:t>bortezomib in combination with dexamethasone (Bd) was supported by the updated clinical trial data</w:t>
            </w:r>
            <w:r w:rsidRPr="00103564">
              <w:rPr>
                <w:rFonts w:ascii="Arial" w:eastAsia="Times New Roman" w:hAnsi="Arial" w:cs="Arial"/>
                <w:bCs/>
                <w:snapToGrid w:val="0"/>
                <w:sz w:val="20"/>
                <w:szCs w:val="20"/>
              </w:rPr>
              <w:t xml:space="preserve">, with a clinically meaningful overall survival advantage. </w:t>
            </w:r>
            <w:r w:rsidRPr="00103564">
              <w:rPr>
                <w:rFonts w:ascii="Arial" w:eastAsia="Calibri" w:hAnsi="Arial" w:cs="Arial"/>
                <w:sz w:val="20"/>
                <w:szCs w:val="20"/>
              </w:rPr>
              <w:t xml:space="preserve">The PBAC noted clinical trial data from the ENDEAVOR trial that indicated a statistically significant improvement in median progression free survival of 7.5 months and median overall survival of 7.6 months for Cd, compared to Bd. The PBAC is satisfied that carfilzomib provides, for some patients, a significant improvement in efficacy over bortezomib when in combination with dexamethasone and a different and inferior safety profile. The PBAC agreed that at the </w:t>
            </w:r>
            <w:r w:rsidRPr="00103564">
              <w:rPr>
                <w:rFonts w:ascii="Arial" w:hAnsi="Arial" w:cs="Arial"/>
                <w:sz w:val="20"/>
                <w:szCs w:val="20"/>
              </w:rPr>
              <w:t>incremental cost</w:t>
            </w:r>
            <w:r w:rsidRPr="00103564">
              <w:rPr>
                <w:rFonts w:ascii="Arial" w:hAnsi="Arial" w:cs="Arial"/>
                <w:sz w:val="20"/>
                <w:szCs w:val="20"/>
              </w:rPr>
              <w:noBreakHyphen/>
              <w:t xml:space="preserve">effectiveness ratio (ICER) presented in the submission of $45,000 </w:t>
            </w:r>
            <w:r w:rsidRPr="00103564">
              <w:rPr>
                <w:rFonts w:ascii="Arial" w:hAnsi="Arial" w:cs="Arial"/>
                <w:sz w:val="20"/>
                <w:szCs w:val="20"/>
              </w:rPr>
              <w:noBreakHyphen/>
              <w:t xml:space="preserve"> 75,000, Cd could be considered cost-effective in the context of adjustments to the model to account for the effective price of bortezomib and administration costs.</w:t>
            </w:r>
            <w:r w:rsidRPr="00103564">
              <w:rPr>
                <w:rFonts w:ascii="Arial" w:eastAsia="Times New Roman" w:hAnsi="Arial" w:cs="Arial"/>
                <w:bCs/>
                <w:snapToGrid w:val="0"/>
                <w:sz w:val="20"/>
                <w:szCs w:val="20"/>
              </w:rPr>
              <w:t xml:space="preserve"> </w:t>
            </w:r>
          </w:p>
          <w:p w:rsidR="00103564" w:rsidRPr="00103564" w:rsidRDefault="00103564" w:rsidP="00E238C1">
            <w:pPr>
              <w:rPr>
                <w:rFonts w:ascii="Arial" w:hAnsi="Arial" w:cs="Arial"/>
                <w:color w:val="000000"/>
              </w:rPr>
            </w:pPr>
          </w:p>
        </w:tc>
      </w:tr>
      <w:tr w:rsidR="00103564" w:rsidRPr="00103564" w:rsidTr="00003DA2">
        <w:trPr>
          <w:cantSplit/>
          <w:trHeight w:val="430"/>
        </w:trPr>
        <w:tc>
          <w:tcPr>
            <w:tcW w:w="304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F64D19">
            <w:pPr>
              <w:rPr>
                <w:rFonts w:ascii="Arial" w:hAnsi="Arial" w:cs="Arial"/>
              </w:rPr>
            </w:pPr>
            <w:r w:rsidRPr="00103564">
              <w:rPr>
                <w:rFonts w:ascii="Arial" w:hAnsi="Arial" w:cs="Arial"/>
              </w:rPr>
              <w:lastRenderedPageBreak/>
              <w:t xml:space="preserve">ECULIZUMAB </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 xml:space="preserve">Solution concentrate for I.V. infusion 300 mg in 30 mL </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Soliris®</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Alexion Pharmaceuticals Australasia Pty Ltd</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Change to listing</w:t>
            </w:r>
          </w:p>
          <w:p w:rsidR="00103564" w:rsidRPr="00103564" w:rsidRDefault="00103564" w:rsidP="00F64D19">
            <w:pPr>
              <w:rPr>
                <w:rFonts w:ascii="Arial" w:hAnsi="Arial" w:cs="Arial"/>
              </w:rPr>
            </w:pPr>
          </w:p>
          <w:p w:rsidR="00103564" w:rsidRPr="00103564" w:rsidRDefault="00103564" w:rsidP="004F23E5">
            <w:pPr>
              <w:rPr>
                <w:rFonts w:ascii="Arial" w:hAnsi="Arial" w:cs="Arial"/>
              </w:rPr>
            </w:pPr>
            <w:r w:rsidRPr="00103564">
              <w:rPr>
                <w:rFonts w:ascii="Arial" w:hAnsi="Arial" w:cs="Arial"/>
                <w:color w:val="000000"/>
              </w:rPr>
              <w:t>(Minor Submission)</w:t>
            </w:r>
          </w:p>
        </w:tc>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ED02FE">
            <w:pPr>
              <w:rPr>
                <w:rFonts w:ascii="Arial" w:hAnsi="Arial" w:cs="Arial"/>
                <w:color w:val="000000"/>
              </w:rPr>
            </w:pPr>
            <w:r w:rsidRPr="00103564">
              <w:rPr>
                <w:rFonts w:ascii="Arial" w:hAnsi="Arial" w:cs="Arial"/>
                <w:color w:val="000000"/>
              </w:rPr>
              <w:t>Atypical haemolytic uraemic syndrome (aHUS) in end stage renal disease (ESRD)</w:t>
            </w:r>
          </w:p>
        </w:tc>
        <w:tc>
          <w:tcPr>
            <w:tcW w:w="286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30634">
            <w:pPr>
              <w:spacing w:after="240"/>
              <w:rPr>
                <w:rFonts w:ascii="Arial" w:hAnsi="Arial" w:cs="Arial"/>
                <w:color w:val="000000"/>
              </w:rPr>
            </w:pPr>
            <w:r w:rsidRPr="00103564">
              <w:rPr>
                <w:rFonts w:ascii="Arial" w:hAnsi="Arial" w:cs="Arial"/>
                <w:color w:val="000000"/>
              </w:rPr>
              <w:t>Resubmission to request an extension to the Authority Required listing for the treatment of patients with aHUS in ESRD who are eligible for a renal transplant.</w:t>
            </w:r>
          </w:p>
        </w:tc>
        <w:tc>
          <w:tcPr>
            <w:tcW w:w="6586" w:type="dxa"/>
            <w:tcBorders>
              <w:top w:val="single" w:sz="4" w:space="0" w:color="auto"/>
              <w:left w:val="single" w:sz="4" w:space="0" w:color="auto"/>
              <w:bottom w:val="single" w:sz="4" w:space="0" w:color="auto"/>
              <w:right w:val="single" w:sz="4" w:space="0" w:color="auto"/>
            </w:tcBorders>
            <w:shd w:val="clear" w:color="auto" w:fill="auto"/>
          </w:tcPr>
          <w:p w:rsidR="00103564" w:rsidRPr="00103564" w:rsidRDefault="00103564" w:rsidP="00331374">
            <w:pPr>
              <w:rPr>
                <w:rFonts w:ascii="Arial" w:hAnsi="Arial" w:cs="Arial"/>
                <w:color w:val="000000"/>
              </w:rPr>
            </w:pPr>
            <w:r w:rsidRPr="00103564">
              <w:rPr>
                <w:rFonts w:ascii="Arial" w:hAnsi="Arial" w:cs="Arial"/>
                <w:color w:val="000000"/>
              </w:rPr>
              <w:t xml:space="preserve">The PBAC recommended extending the listing of eculizumab, on the basis that it should be available only under special arrangements under Section 100 (Highly Specialised Drugs Program): Authority Required (written) listing for the prevention of atypical haemolytic uraemic syndrome (aHUS) in patients at moderate-high risk of recurrence who have received a renal allograft for ESRD due to aHUS, irrespective of whether they have previously been successfully treated with eculizumab for aHUS. The PBAC recommended prescribing should be restricted to prescribing by a nephrologist or a paediatric nephrologist within a transplant unit. The PBAC considered that in-patient treatment should not be subsidised by the PBS and that initial treatment in this setting should be limited to 3 months of treatment post-transplant (comprising the period of in-patient treatment plus 10 weeks of treatment under the PBS) as this is the highest risk period for thrombotic microangiopathy (TMA) recurrence. </w:t>
            </w:r>
          </w:p>
          <w:p w:rsidR="00103564" w:rsidRPr="00103564" w:rsidRDefault="00103564" w:rsidP="00331374">
            <w:pPr>
              <w:rPr>
                <w:rFonts w:ascii="Arial" w:hAnsi="Arial" w:cs="Arial"/>
                <w:color w:val="000000"/>
              </w:rPr>
            </w:pPr>
          </w:p>
          <w:p w:rsidR="00103564" w:rsidRPr="00103564" w:rsidRDefault="00103564" w:rsidP="00DA58B2">
            <w:pPr>
              <w:rPr>
                <w:rFonts w:ascii="Arial" w:hAnsi="Arial" w:cs="Arial"/>
                <w:color w:val="000000"/>
              </w:rPr>
            </w:pPr>
            <w:r w:rsidRPr="00103564">
              <w:rPr>
                <w:rFonts w:ascii="Arial" w:hAnsi="Arial" w:cs="Arial"/>
                <w:color w:val="000000"/>
              </w:rPr>
              <w:t>The PBAC considered despite the lack of robust clinical trial evidence, the registry data along with a series of individual case studies provided enough support for the PBAC to be satisfied that eculizumab reduces the risk of recurrence of aHUS following kidney transplantation and hence graft loss, however the committee were unable to precisely quantify the incremental benefit over other treatment options.</w:t>
            </w:r>
          </w:p>
        </w:tc>
      </w:tr>
      <w:tr w:rsidR="00103564" w:rsidRPr="00103564" w:rsidTr="00003DA2">
        <w:trPr>
          <w:cantSplit/>
          <w:trHeight w:val="430"/>
        </w:trPr>
        <w:tc>
          <w:tcPr>
            <w:tcW w:w="304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30634">
            <w:pPr>
              <w:rPr>
                <w:rFonts w:ascii="Arial" w:hAnsi="Arial" w:cs="Arial"/>
              </w:rPr>
            </w:pPr>
            <w:r w:rsidRPr="00103564">
              <w:rPr>
                <w:rFonts w:ascii="Arial" w:hAnsi="Arial" w:cs="Arial"/>
              </w:rPr>
              <w:lastRenderedPageBreak/>
              <w:t>EPOETIN LAMBDA</w:t>
            </w:r>
          </w:p>
          <w:p w:rsidR="00103564" w:rsidRPr="00103564" w:rsidRDefault="00103564" w:rsidP="00130634">
            <w:pPr>
              <w:rPr>
                <w:rFonts w:ascii="Arial" w:hAnsi="Arial" w:cs="Arial"/>
              </w:rPr>
            </w:pPr>
          </w:p>
          <w:p w:rsidR="00103564" w:rsidRPr="00103564" w:rsidRDefault="00103564" w:rsidP="00130634">
            <w:pPr>
              <w:rPr>
                <w:rFonts w:ascii="Arial" w:hAnsi="Arial" w:cs="Arial"/>
                <w:color w:val="000000"/>
              </w:rPr>
            </w:pPr>
            <w:r w:rsidRPr="00103564">
              <w:rPr>
                <w:rFonts w:ascii="Arial" w:hAnsi="Arial" w:cs="Arial"/>
                <w:color w:val="000000"/>
              </w:rPr>
              <w:t>Injection 1,000 units in 0.5 mL pre</w:t>
            </w:r>
            <w:r w:rsidRPr="00103564">
              <w:rPr>
                <w:rFonts w:ascii="Arial" w:hAnsi="Arial" w:cs="Arial"/>
                <w:color w:val="000000"/>
              </w:rPr>
              <w:noBreakHyphen/>
              <w:t>filled syringe</w:t>
            </w:r>
            <w:r w:rsidRPr="00103564">
              <w:rPr>
                <w:rFonts w:ascii="Arial" w:hAnsi="Arial" w:cs="Arial"/>
                <w:color w:val="000000"/>
              </w:rPr>
              <w:br/>
              <w:t>Injection 2,000 units in 1 mL pre</w:t>
            </w:r>
            <w:r w:rsidRPr="00103564">
              <w:rPr>
                <w:rFonts w:ascii="Arial" w:hAnsi="Arial" w:cs="Arial"/>
                <w:color w:val="000000"/>
              </w:rPr>
              <w:noBreakHyphen/>
              <w:t>filled syringe</w:t>
            </w:r>
            <w:r w:rsidRPr="00103564">
              <w:rPr>
                <w:rFonts w:ascii="Arial" w:hAnsi="Arial" w:cs="Arial"/>
                <w:color w:val="000000"/>
              </w:rPr>
              <w:br/>
              <w:t>Injection 3,000 units in 0.3 mL pre</w:t>
            </w:r>
            <w:r w:rsidRPr="00103564">
              <w:rPr>
                <w:rFonts w:ascii="Arial" w:hAnsi="Arial" w:cs="Arial"/>
                <w:color w:val="000000"/>
              </w:rPr>
              <w:noBreakHyphen/>
              <w:t>filled syringe</w:t>
            </w:r>
            <w:r w:rsidRPr="00103564">
              <w:rPr>
                <w:rFonts w:ascii="Arial" w:hAnsi="Arial" w:cs="Arial"/>
                <w:color w:val="000000"/>
              </w:rPr>
              <w:br/>
              <w:t>Injection 4,000 units in 0.4 mL pre</w:t>
            </w:r>
            <w:r w:rsidRPr="00103564">
              <w:rPr>
                <w:rFonts w:ascii="Arial" w:hAnsi="Arial" w:cs="Arial"/>
                <w:color w:val="000000"/>
              </w:rPr>
              <w:noBreakHyphen/>
              <w:t>filled syringe</w:t>
            </w:r>
            <w:r w:rsidRPr="00103564">
              <w:rPr>
                <w:rFonts w:ascii="Arial" w:hAnsi="Arial" w:cs="Arial"/>
                <w:color w:val="000000"/>
              </w:rPr>
              <w:br/>
              <w:t>Injection 5,000 units in 0.5 mL pre</w:t>
            </w:r>
            <w:r w:rsidRPr="00103564">
              <w:rPr>
                <w:rFonts w:ascii="Arial" w:hAnsi="Arial" w:cs="Arial"/>
                <w:color w:val="000000"/>
              </w:rPr>
              <w:noBreakHyphen/>
              <w:t>filled syringe</w:t>
            </w:r>
            <w:r w:rsidRPr="00103564">
              <w:rPr>
                <w:rFonts w:ascii="Arial" w:hAnsi="Arial" w:cs="Arial"/>
                <w:color w:val="000000"/>
              </w:rPr>
              <w:br/>
              <w:t>Injection 6,000 units in 0.6 mL pre</w:t>
            </w:r>
            <w:r w:rsidRPr="00103564">
              <w:rPr>
                <w:rFonts w:ascii="Arial" w:hAnsi="Arial" w:cs="Arial"/>
                <w:color w:val="000000"/>
              </w:rPr>
              <w:noBreakHyphen/>
              <w:t>filled syringe</w:t>
            </w:r>
            <w:r w:rsidRPr="00103564">
              <w:rPr>
                <w:rFonts w:ascii="Arial" w:hAnsi="Arial" w:cs="Arial"/>
                <w:color w:val="000000"/>
              </w:rPr>
              <w:br/>
              <w:t>Injection 8,000 units in 0.8 mL pre</w:t>
            </w:r>
            <w:r w:rsidRPr="00103564">
              <w:rPr>
                <w:rFonts w:ascii="Arial" w:hAnsi="Arial" w:cs="Arial"/>
                <w:color w:val="000000"/>
              </w:rPr>
              <w:noBreakHyphen/>
              <w:t>filled syringe</w:t>
            </w:r>
            <w:r w:rsidRPr="00103564">
              <w:rPr>
                <w:rFonts w:ascii="Arial" w:hAnsi="Arial" w:cs="Arial"/>
                <w:color w:val="000000"/>
              </w:rPr>
              <w:br/>
              <w:t>Injection 10,000 units in 1 mL pre</w:t>
            </w:r>
            <w:r w:rsidRPr="00103564">
              <w:rPr>
                <w:rFonts w:ascii="Arial" w:hAnsi="Arial" w:cs="Arial"/>
                <w:color w:val="000000"/>
              </w:rPr>
              <w:noBreakHyphen/>
              <w:t>filled syringe</w:t>
            </w:r>
            <w:r w:rsidRPr="00103564">
              <w:rPr>
                <w:rFonts w:ascii="Arial" w:hAnsi="Arial" w:cs="Arial"/>
                <w:color w:val="000000"/>
              </w:rPr>
              <w:br/>
            </w:r>
            <w:r w:rsidRPr="00103564">
              <w:rPr>
                <w:rFonts w:ascii="Arial" w:hAnsi="Arial" w:cs="Arial"/>
                <w:color w:val="000000"/>
              </w:rPr>
              <w:br/>
              <w:t>Novicrit®</w:t>
            </w:r>
            <w:r w:rsidRPr="00103564">
              <w:rPr>
                <w:rFonts w:ascii="Arial" w:hAnsi="Arial" w:cs="Arial"/>
                <w:color w:val="000000"/>
              </w:rPr>
              <w:br/>
            </w:r>
            <w:r w:rsidRPr="00103564">
              <w:rPr>
                <w:rFonts w:ascii="Arial" w:hAnsi="Arial" w:cs="Arial"/>
                <w:color w:val="000000"/>
              </w:rPr>
              <w:br/>
              <w:t>Sandoz Pty Ltd.</w:t>
            </w:r>
          </w:p>
          <w:p w:rsidR="00103564" w:rsidRPr="00103564" w:rsidRDefault="00103564" w:rsidP="00130634">
            <w:pPr>
              <w:rPr>
                <w:rFonts w:ascii="Arial" w:hAnsi="Arial" w:cs="Arial"/>
                <w:color w:val="000000"/>
              </w:rPr>
            </w:pPr>
          </w:p>
          <w:p w:rsidR="00103564" w:rsidRPr="00103564" w:rsidRDefault="00103564" w:rsidP="00130634">
            <w:pPr>
              <w:rPr>
                <w:rFonts w:ascii="Arial" w:hAnsi="Arial" w:cs="Arial"/>
              </w:rPr>
            </w:pPr>
            <w:r w:rsidRPr="00103564">
              <w:rPr>
                <w:rFonts w:ascii="Arial" w:hAnsi="Arial" w:cs="Arial"/>
                <w:color w:val="000000"/>
              </w:rPr>
              <w:t>Change to listing</w:t>
            </w:r>
            <w:r w:rsidRPr="00103564">
              <w:rPr>
                <w:rFonts w:ascii="Arial" w:hAnsi="Arial" w:cs="Arial"/>
                <w:color w:val="000000"/>
              </w:rPr>
              <w:br/>
            </w:r>
            <w:r w:rsidRPr="00103564">
              <w:rPr>
                <w:rFonts w:ascii="Arial" w:hAnsi="Arial" w:cs="Arial"/>
                <w:color w:val="000000"/>
              </w:rPr>
              <w:br/>
              <w:t>(Minor Submission)</w:t>
            </w:r>
          </w:p>
        </w:tc>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ED02FE">
            <w:pPr>
              <w:rPr>
                <w:rFonts w:ascii="Arial" w:hAnsi="Arial" w:cs="Arial"/>
                <w:color w:val="000000"/>
              </w:rPr>
            </w:pPr>
            <w:r w:rsidRPr="00103564">
              <w:rPr>
                <w:rFonts w:ascii="Arial" w:hAnsi="Arial" w:cs="Arial"/>
                <w:color w:val="000000"/>
              </w:rPr>
              <w:t>Anaemia associated with intrinsic renal disease</w:t>
            </w:r>
          </w:p>
        </w:tc>
        <w:tc>
          <w:tcPr>
            <w:tcW w:w="286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30634">
            <w:pPr>
              <w:spacing w:after="240"/>
              <w:rPr>
                <w:rFonts w:ascii="Arial" w:hAnsi="Arial" w:cs="Arial"/>
              </w:rPr>
            </w:pPr>
            <w:r w:rsidRPr="00103564">
              <w:rPr>
                <w:rFonts w:ascii="Arial" w:hAnsi="Arial" w:cs="Arial"/>
                <w:color w:val="000000"/>
              </w:rPr>
              <w:t>To request removal of the NOTE in the restriction limiting epoetin lambda to the intravenous route.</w:t>
            </w:r>
          </w:p>
        </w:tc>
        <w:tc>
          <w:tcPr>
            <w:tcW w:w="6586" w:type="dxa"/>
            <w:tcBorders>
              <w:top w:val="single" w:sz="4" w:space="0" w:color="auto"/>
              <w:left w:val="single" w:sz="4" w:space="0" w:color="auto"/>
              <w:bottom w:val="single" w:sz="4" w:space="0" w:color="auto"/>
              <w:right w:val="single" w:sz="4" w:space="0" w:color="auto"/>
            </w:tcBorders>
          </w:tcPr>
          <w:p w:rsidR="00103564" w:rsidRPr="00103564" w:rsidRDefault="00103564" w:rsidP="00743123">
            <w:pPr>
              <w:rPr>
                <w:rFonts w:ascii="Arial" w:hAnsi="Arial" w:cs="Arial"/>
                <w:color w:val="000000"/>
              </w:rPr>
            </w:pPr>
            <w:r w:rsidRPr="00103564">
              <w:rPr>
                <w:rFonts w:ascii="Arial" w:hAnsi="Arial" w:cs="Arial"/>
                <w:color w:val="000000"/>
              </w:rPr>
              <w:t xml:space="preserve">The PBAC recommended the proposed amendment of the existing restriction of epoetin lambda to remove the note “Epoetin lambda should only be administrated by the intravenous route” to allow for subcutaneous administration for the treatment of anaemia associated with intrinsic renal disease on the basis of an updated indication from the TGA Approved Production Information. </w:t>
            </w:r>
          </w:p>
        </w:tc>
      </w:tr>
      <w:tr w:rsidR="00103564" w:rsidRPr="00103564" w:rsidTr="00003DA2">
        <w:trPr>
          <w:cantSplit/>
          <w:trHeight w:val="430"/>
        </w:trPr>
        <w:tc>
          <w:tcPr>
            <w:tcW w:w="304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30634">
            <w:pPr>
              <w:rPr>
                <w:rFonts w:ascii="Arial" w:hAnsi="Arial" w:cs="Arial"/>
              </w:rPr>
            </w:pPr>
            <w:r w:rsidRPr="00103564">
              <w:rPr>
                <w:rFonts w:ascii="Arial" w:hAnsi="Arial" w:cs="Arial"/>
              </w:rPr>
              <w:lastRenderedPageBreak/>
              <w:t>EVOLOCUMAB</w:t>
            </w:r>
          </w:p>
          <w:p w:rsidR="00103564" w:rsidRPr="00103564" w:rsidRDefault="00103564" w:rsidP="00130634">
            <w:pPr>
              <w:rPr>
                <w:rFonts w:ascii="Arial" w:hAnsi="Arial" w:cs="Arial"/>
              </w:rPr>
            </w:pPr>
          </w:p>
          <w:p w:rsidR="00103564" w:rsidRPr="00103564" w:rsidRDefault="00103564" w:rsidP="00130634">
            <w:pPr>
              <w:rPr>
                <w:rFonts w:ascii="Arial" w:hAnsi="Arial" w:cs="Arial"/>
              </w:rPr>
            </w:pPr>
            <w:r w:rsidRPr="00103564">
              <w:rPr>
                <w:rFonts w:ascii="Arial" w:hAnsi="Arial" w:cs="Arial"/>
              </w:rPr>
              <w:t xml:space="preserve">Injection 420 mg in 3.5 mL single dose autoinjector </w:t>
            </w:r>
          </w:p>
          <w:p w:rsidR="00103564" w:rsidRPr="00103564" w:rsidRDefault="00103564" w:rsidP="00130634">
            <w:pPr>
              <w:rPr>
                <w:rFonts w:ascii="Arial" w:hAnsi="Arial" w:cs="Arial"/>
              </w:rPr>
            </w:pPr>
          </w:p>
          <w:p w:rsidR="00103564" w:rsidRPr="00103564" w:rsidRDefault="00103564" w:rsidP="00130634">
            <w:pPr>
              <w:rPr>
                <w:rFonts w:ascii="Arial" w:hAnsi="Arial" w:cs="Arial"/>
              </w:rPr>
            </w:pPr>
            <w:r w:rsidRPr="00103564">
              <w:rPr>
                <w:rFonts w:ascii="Arial" w:hAnsi="Arial" w:cs="Arial"/>
              </w:rPr>
              <w:t>Repatha®</w:t>
            </w:r>
          </w:p>
          <w:p w:rsidR="00103564" w:rsidRPr="00103564" w:rsidRDefault="00103564" w:rsidP="00130634">
            <w:pPr>
              <w:rPr>
                <w:rFonts w:ascii="Arial" w:hAnsi="Arial" w:cs="Arial"/>
              </w:rPr>
            </w:pPr>
          </w:p>
          <w:p w:rsidR="00103564" w:rsidRPr="00103564" w:rsidRDefault="00103564" w:rsidP="00130634">
            <w:pPr>
              <w:rPr>
                <w:rFonts w:ascii="Arial" w:hAnsi="Arial" w:cs="Arial"/>
              </w:rPr>
            </w:pPr>
            <w:r w:rsidRPr="00103564">
              <w:rPr>
                <w:rFonts w:ascii="Arial" w:hAnsi="Arial" w:cs="Arial"/>
              </w:rPr>
              <w:t>Amgen Australia Pty Ltd</w:t>
            </w:r>
          </w:p>
          <w:p w:rsidR="00103564" w:rsidRPr="00103564" w:rsidRDefault="00103564" w:rsidP="00130634">
            <w:pPr>
              <w:rPr>
                <w:rFonts w:ascii="Arial" w:hAnsi="Arial" w:cs="Arial"/>
              </w:rPr>
            </w:pPr>
          </w:p>
          <w:p w:rsidR="00103564" w:rsidRPr="00103564" w:rsidRDefault="00103564" w:rsidP="00130634">
            <w:pPr>
              <w:rPr>
                <w:rFonts w:ascii="Arial" w:hAnsi="Arial" w:cs="Arial"/>
              </w:rPr>
            </w:pPr>
            <w:r w:rsidRPr="00103564">
              <w:rPr>
                <w:rFonts w:ascii="Arial" w:hAnsi="Arial" w:cs="Arial"/>
              </w:rPr>
              <w:t>New listing</w:t>
            </w:r>
          </w:p>
          <w:p w:rsidR="00103564" w:rsidRPr="00103564" w:rsidRDefault="00103564" w:rsidP="00130634">
            <w:pPr>
              <w:rPr>
                <w:rFonts w:ascii="Arial" w:hAnsi="Arial" w:cs="Arial"/>
              </w:rPr>
            </w:pPr>
          </w:p>
          <w:p w:rsidR="00103564" w:rsidRPr="00103564" w:rsidRDefault="00103564" w:rsidP="00130634">
            <w:pPr>
              <w:rPr>
                <w:rFonts w:ascii="Arial" w:hAnsi="Arial" w:cs="Arial"/>
                <w:b/>
              </w:rPr>
            </w:pPr>
            <w:r w:rsidRPr="00103564">
              <w:rPr>
                <w:rFonts w:ascii="Arial" w:hAnsi="Arial" w:cs="Arial"/>
              </w:rPr>
              <w:t>(Minor Submission)</w:t>
            </w:r>
          </w:p>
        </w:tc>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ED02FE">
            <w:pPr>
              <w:rPr>
                <w:rFonts w:ascii="Arial" w:hAnsi="Arial" w:cs="Arial"/>
                <w:color w:val="000000"/>
              </w:rPr>
            </w:pPr>
            <w:r w:rsidRPr="00103564">
              <w:rPr>
                <w:rFonts w:ascii="Arial" w:hAnsi="Arial" w:cs="Arial"/>
                <w:color w:val="000000"/>
              </w:rPr>
              <w:t>Familial homozygous hypercholesterolaemia</w:t>
            </w:r>
          </w:p>
        </w:tc>
        <w:tc>
          <w:tcPr>
            <w:tcW w:w="286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30634">
            <w:pPr>
              <w:spacing w:after="240"/>
              <w:rPr>
                <w:rFonts w:ascii="Arial" w:hAnsi="Arial" w:cs="Arial"/>
              </w:rPr>
            </w:pPr>
            <w:r w:rsidRPr="00103564">
              <w:rPr>
                <w:rFonts w:ascii="Arial" w:hAnsi="Arial" w:cs="Arial"/>
              </w:rPr>
              <w:t>To request an Authority Required listing for a new form of evolocumab.</w:t>
            </w:r>
          </w:p>
        </w:tc>
        <w:tc>
          <w:tcPr>
            <w:tcW w:w="6586" w:type="dxa"/>
            <w:tcBorders>
              <w:top w:val="single" w:sz="4" w:space="0" w:color="auto"/>
              <w:left w:val="single" w:sz="4" w:space="0" w:color="auto"/>
              <w:bottom w:val="single" w:sz="4" w:space="0" w:color="auto"/>
              <w:right w:val="single" w:sz="4" w:space="0" w:color="auto"/>
            </w:tcBorders>
          </w:tcPr>
          <w:p w:rsidR="00103564" w:rsidRPr="00103564" w:rsidRDefault="00103564" w:rsidP="000F5F02">
            <w:pPr>
              <w:rPr>
                <w:rFonts w:ascii="Arial" w:hAnsi="Arial" w:cs="Arial"/>
                <w:color w:val="000000"/>
              </w:rPr>
            </w:pPr>
            <w:r w:rsidRPr="00103564">
              <w:rPr>
                <w:rFonts w:ascii="Arial" w:hAnsi="Arial" w:cs="Arial"/>
                <w:color w:val="000000"/>
              </w:rPr>
              <w:t xml:space="preserve">The PBAC recommended the listing of the new strength of evolocumab for the treatment of familial homozygous hypercholestrolaemia.  The PBAC accepted that this additional form of evolocumab would provide patients with an alternative dosing schedule to the currently listed form at no additional cost to the Government. </w:t>
            </w:r>
          </w:p>
          <w:p w:rsidR="00103564" w:rsidRPr="00103564" w:rsidRDefault="00103564" w:rsidP="006101D8">
            <w:pPr>
              <w:widowControl w:val="0"/>
              <w:ind w:left="138"/>
              <w:rPr>
                <w:rFonts w:ascii="Arial" w:hAnsi="Arial" w:cs="Arial"/>
              </w:rPr>
            </w:pPr>
          </w:p>
        </w:tc>
      </w:tr>
      <w:tr w:rsidR="00103564" w:rsidRPr="00103564" w:rsidTr="00003DA2">
        <w:trPr>
          <w:cantSplit/>
          <w:trHeight w:val="430"/>
        </w:trPr>
        <w:tc>
          <w:tcPr>
            <w:tcW w:w="304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30634">
            <w:pPr>
              <w:rPr>
                <w:rFonts w:ascii="Arial" w:hAnsi="Arial" w:cs="Arial"/>
              </w:rPr>
            </w:pPr>
            <w:r w:rsidRPr="00103564">
              <w:rPr>
                <w:rFonts w:ascii="Arial" w:hAnsi="Arial" w:cs="Arial"/>
              </w:rPr>
              <w:t>FENTANYL</w:t>
            </w:r>
          </w:p>
          <w:p w:rsidR="00103564" w:rsidRPr="00103564" w:rsidRDefault="00103564" w:rsidP="00130634">
            <w:pPr>
              <w:rPr>
                <w:rFonts w:ascii="Arial" w:hAnsi="Arial" w:cs="Arial"/>
              </w:rPr>
            </w:pPr>
          </w:p>
          <w:p w:rsidR="00103564" w:rsidRPr="00103564" w:rsidRDefault="00103564" w:rsidP="00130634">
            <w:pPr>
              <w:rPr>
                <w:rFonts w:ascii="Arial" w:hAnsi="Arial" w:cs="Arial"/>
              </w:rPr>
            </w:pPr>
            <w:r w:rsidRPr="00103564">
              <w:rPr>
                <w:rFonts w:ascii="Arial" w:hAnsi="Arial" w:cs="Arial"/>
              </w:rPr>
              <w:t>Tablet (sublingual) 100 micrograms (as citrate)</w:t>
            </w:r>
          </w:p>
          <w:p w:rsidR="00103564" w:rsidRPr="00103564" w:rsidRDefault="00103564" w:rsidP="00130634">
            <w:pPr>
              <w:rPr>
                <w:rFonts w:ascii="Arial" w:hAnsi="Arial" w:cs="Arial"/>
              </w:rPr>
            </w:pPr>
            <w:r w:rsidRPr="00103564">
              <w:rPr>
                <w:rFonts w:ascii="Arial" w:hAnsi="Arial" w:cs="Arial"/>
              </w:rPr>
              <w:t>Tablet (sublingual) 200 micrograms (as citrate)</w:t>
            </w:r>
          </w:p>
          <w:p w:rsidR="00103564" w:rsidRPr="00103564" w:rsidRDefault="00103564" w:rsidP="00130634">
            <w:pPr>
              <w:rPr>
                <w:rFonts w:ascii="Arial" w:hAnsi="Arial" w:cs="Arial"/>
              </w:rPr>
            </w:pPr>
          </w:p>
          <w:p w:rsidR="00103564" w:rsidRPr="00103564" w:rsidRDefault="00103564" w:rsidP="00130634">
            <w:pPr>
              <w:rPr>
                <w:rFonts w:ascii="Arial" w:hAnsi="Arial" w:cs="Arial"/>
              </w:rPr>
            </w:pPr>
            <w:r w:rsidRPr="00103564">
              <w:rPr>
                <w:rFonts w:ascii="Arial" w:hAnsi="Arial" w:cs="Arial"/>
              </w:rPr>
              <w:t>Abstral®</w:t>
            </w:r>
          </w:p>
          <w:p w:rsidR="00103564" w:rsidRPr="00103564" w:rsidRDefault="00103564" w:rsidP="00130634">
            <w:pPr>
              <w:rPr>
                <w:rFonts w:ascii="Arial" w:hAnsi="Arial" w:cs="Arial"/>
              </w:rPr>
            </w:pPr>
          </w:p>
          <w:p w:rsidR="00103564" w:rsidRPr="00103564" w:rsidRDefault="00103564" w:rsidP="00130634">
            <w:pPr>
              <w:rPr>
                <w:rFonts w:ascii="Arial" w:hAnsi="Arial" w:cs="Arial"/>
              </w:rPr>
            </w:pPr>
            <w:r w:rsidRPr="00103564">
              <w:rPr>
                <w:rFonts w:ascii="Arial" w:hAnsi="Arial" w:cs="Arial"/>
              </w:rPr>
              <w:t>A.Menarini Australia Pty Ltd</w:t>
            </w:r>
          </w:p>
          <w:p w:rsidR="00103564" w:rsidRPr="00103564" w:rsidRDefault="00103564" w:rsidP="00130634">
            <w:pPr>
              <w:rPr>
                <w:rFonts w:ascii="Arial" w:hAnsi="Arial" w:cs="Arial"/>
              </w:rPr>
            </w:pPr>
          </w:p>
          <w:p w:rsidR="00103564" w:rsidRPr="00103564" w:rsidRDefault="00103564" w:rsidP="00130634">
            <w:pPr>
              <w:rPr>
                <w:rFonts w:ascii="Arial" w:hAnsi="Arial" w:cs="Arial"/>
              </w:rPr>
            </w:pPr>
            <w:r w:rsidRPr="00103564">
              <w:rPr>
                <w:rFonts w:ascii="Arial" w:hAnsi="Arial" w:cs="Arial"/>
              </w:rPr>
              <w:t>Change to listing</w:t>
            </w:r>
          </w:p>
          <w:p w:rsidR="00103564" w:rsidRPr="00103564" w:rsidRDefault="00103564" w:rsidP="00130634">
            <w:pPr>
              <w:rPr>
                <w:rFonts w:ascii="Arial" w:hAnsi="Arial" w:cs="Arial"/>
              </w:rPr>
            </w:pPr>
          </w:p>
          <w:p w:rsidR="00103564" w:rsidRPr="00103564" w:rsidRDefault="00103564" w:rsidP="00130634">
            <w:pPr>
              <w:rPr>
                <w:rFonts w:ascii="Arial" w:hAnsi="Arial" w:cs="Arial"/>
                <w:b/>
              </w:rPr>
            </w:pPr>
            <w:r w:rsidRPr="00103564">
              <w:rPr>
                <w:rFonts w:ascii="Arial" w:hAnsi="Arial" w:cs="Arial"/>
              </w:rPr>
              <w:t>(Minor Submission)</w:t>
            </w:r>
          </w:p>
        </w:tc>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ED02FE">
            <w:pPr>
              <w:rPr>
                <w:rFonts w:ascii="Arial" w:hAnsi="Arial" w:cs="Arial"/>
                <w:color w:val="000000"/>
              </w:rPr>
            </w:pPr>
            <w:r w:rsidRPr="00103564">
              <w:rPr>
                <w:rFonts w:ascii="Arial" w:hAnsi="Arial" w:cs="Arial"/>
                <w:color w:val="000000"/>
              </w:rPr>
              <w:t>Breakthrough pain</w:t>
            </w:r>
          </w:p>
        </w:tc>
        <w:tc>
          <w:tcPr>
            <w:tcW w:w="286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30634">
            <w:pPr>
              <w:spacing w:after="240"/>
              <w:rPr>
                <w:rFonts w:ascii="Arial" w:hAnsi="Arial" w:cs="Arial"/>
              </w:rPr>
            </w:pPr>
            <w:r w:rsidRPr="00103564">
              <w:rPr>
                <w:rFonts w:ascii="Arial" w:hAnsi="Arial" w:cs="Arial"/>
              </w:rPr>
              <w:t>To request an increase to the maximum quantity packs per authority script for breakthrough pain to two packs for initial treatment, to facilitate complete dose titration in patients receiving palliative care.</w:t>
            </w:r>
          </w:p>
        </w:tc>
        <w:tc>
          <w:tcPr>
            <w:tcW w:w="6586" w:type="dxa"/>
            <w:tcBorders>
              <w:top w:val="single" w:sz="4" w:space="0" w:color="auto"/>
              <w:left w:val="single" w:sz="4" w:space="0" w:color="auto"/>
              <w:bottom w:val="single" w:sz="4" w:space="0" w:color="auto"/>
              <w:right w:val="single" w:sz="4" w:space="0" w:color="auto"/>
            </w:tcBorders>
          </w:tcPr>
          <w:p w:rsidR="00103564" w:rsidRPr="00103564" w:rsidRDefault="00103564" w:rsidP="00937D53">
            <w:pPr>
              <w:rPr>
                <w:rFonts w:ascii="Arial" w:hAnsi="Arial" w:cs="Arial"/>
                <w:color w:val="000000"/>
              </w:rPr>
            </w:pPr>
            <w:r w:rsidRPr="00103564">
              <w:rPr>
                <w:rFonts w:ascii="Arial" w:hAnsi="Arial" w:cs="Arial"/>
                <w:color w:val="000000"/>
              </w:rPr>
              <w:t xml:space="preserve">The PBAC recommended amending the current Authority Required listing of fentanyl citrate (Abstral®) on the Palliative Care Schedule of the PBS by increasing the maximum quantity of the 100 mcg and 200 mcg presentations from 10 to 20 tablets per script for dose titration in the initiation of treatment of cancer patients with breakthrough pain. The PBAC advised that the recommended changes to the listing would be expected to incur additional costs to the PBS. The PBAC additionally recommended future discussion regarding the growing size of titration packs and the potential issue of product diversion of this medicine which carries a high risk of dependence, but considered that, in the case of this product in this population, the risk of diversion was considered to be low. </w:t>
            </w:r>
          </w:p>
        </w:tc>
      </w:tr>
      <w:tr w:rsidR="00103564" w:rsidRPr="00103564" w:rsidTr="00003DA2">
        <w:trPr>
          <w:cantSplit/>
          <w:trHeight w:val="430"/>
        </w:trPr>
        <w:tc>
          <w:tcPr>
            <w:tcW w:w="304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407870">
            <w:pPr>
              <w:rPr>
                <w:rFonts w:ascii="Arial" w:hAnsi="Arial" w:cs="Arial"/>
              </w:rPr>
            </w:pPr>
            <w:r w:rsidRPr="00103564">
              <w:rPr>
                <w:rFonts w:ascii="Arial" w:hAnsi="Arial" w:cs="Arial"/>
              </w:rPr>
              <w:lastRenderedPageBreak/>
              <w:t>GLYCOMACROPEPTIDE FORMULA with LONG CHAIN POLYUNSATURATED FATTY ACIDS and DOCOSAHEXAENOIC ACID and LOW IN PHENYLALANINE</w:t>
            </w:r>
          </w:p>
          <w:p w:rsidR="00103564" w:rsidRPr="00103564" w:rsidRDefault="00103564" w:rsidP="00407870">
            <w:pPr>
              <w:rPr>
                <w:rFonts w:ascii="Arial" w:hAnsi="Arial" w:cs="Arial"/>
              </w:rPr>
            </w:pPr>
          </w:p>
          <w:p w:rsidR="00103564" w:rsidRPr="00103564" w:rsidRDefault="00103564" w:rsidP="00407870">
            <w:pPr>
              <w:rPr>
                <w:rFonts w:ascii="Arial" w:hAnsi="Arial" w:cs="Arial"/>
              </w:rPr>
            </w:pPr>
            <w:r w:rsidRPr="00103564">
              <w:rPr>
                <w:rFonts w:ascii="Arial" w:hAnsi="Arial" w:cs="Arial"/>
              </w:rPr>
              <w:t>Sachets containing oral powder 27 g, 30 (PKU Sphere 15)</w:t>
            </w:r>
          </w:p>
          <w:p w:rsidR="00103564" w:rsidRPr="00103564" w:rsidRDefault="00103564" w:rsidP="00407870">
            <w:pPr>
              <w:rPr>
                <w:rFonts w:ascii="Arial" w:hAnsi="Arial" w:cs="Arial"/>
              </w:rPr>
            </w:pPr>
            <w:r w:rsidRPr="00103564">
              <w:rPr>
                <w:rFonts w:ascii="Arial" w:hAnsi="Arial" w:cs="Arial"/>
              </w:rPr>
              <w:t>Sachets containing oral powder 35 g, 30 (PKU Sphere 20)</w:t>
            </w:r>
          </w:p>
          <w:p w:rsidR="00103564" w:rsidRPr="00103564" w:rsidRDefault="00103564" w:rsidP="00407870">
            <w:pPr>
              <w:rPr>
                <w:rFonts w:ascii="Arial" w:hAnsi="Arial" w:cs="Arial"/>
              </w:rPr>
            </w:pPr>
          </w:p>
          <w:p w:rsidR="00103564" w:rsidRPr="00103564" w:rsidRDefault="00103564" w:rsidP="00407870">
            <w:pPr>
              <w:rPr>
                <w:rFonts w:ascii="Arial" w:hAnsi="Arial" w:cs="Arial"/>
              </w:rPr>
            </w:pPr>
            <w:r w:rsidRPr="00103564">
              <w:rPr>
                <w:rFonts w:ascii="Arial" w:hAnsi="Arial" w:cs="Arial"/>
              </w:rPr>
              <w:t>PKU Sphere® 15</w:t>
            </w:r>
          </w:p>
          <w:p w:rsidR="00103564" w:rsidRPr="00103564" w:rsidRDefault="00103564" w:rsidP="00407870">
            <w:pPr>
              <w:rPr>
                <w:rFonts w:ascii="Arial" w:hAnsi="Arial" w:cs="Arial"/>
              </w:rPr>
            </w:pPr>
            <w:r w:rsidRPr="00103564">
              <w:rPr>
                <w:rFonts w:ascii="Arial" w:hAnsi="Arial" w:cs="Arial"/>
              </w:rPr>
              <w:t>PKU Sphere® 20</w:t>
            </w:r>
          </w:p>
          <w:p w:rsidR="00103564" w:rsidRPr="00103564" w:rsidRDefault="00103564" w:rsidP="00407870">
            <w:pPr>
              <w:rPr>
                <w:rFonts w:ascii="Arial" w:hAnsi="Arial" w:cs="Arial"/>
              </w:rPr>
            </w:pPr>
          </w:p>
          <w:p w:rsidR="00103564" w:rsidRPr="00103564" w:rsidRDefault="00103564" w:rsidP="00407870">
            <w:pPr>
              <w:rPr>
                <w:rFonts w:ascii="Arial" w:hAnsi="Arial" w:cs="Arial"/>
              </w:rPr>
            </w:pPr>
            <w:r w:rsidRPr="00103564">
              <w:rPr>
                <w:rFonts w:ascii="Arial" w:hAnsi="Arial" w:cs="Arial"/>
              </w:rPr>
              <w:t>Vitaflo Australia Pty Ltd</w:t>
            </w:r>
          </w:p>
          <w:p w:rsidR="00103564" w:rsidRPr="00103564" w:rsidRDefault="00103564" w:rsidP="00407870">
            <w:pPr>
              <w:rPr>
                <w:rFonts w:ascii="Arial" w:hAnsi="Arial" w:cs="Arial"/>
              </w:rPr>
            </w:pPr>
          </w:p>
          <w:p w:rsidR="00103564" w:rsidRPr="00103564" w:rsidRDefault="00103564" w:rsidP="00407870">
            <w:pPr>
              <w:rPr>
                <w:rFonts w:ascii="Arial" w:hAnsi="Arial" w:cs="Arial"/>
              </w:rPr>
            </w:pPr>
            <w:r w:rsidRPr="00103564">
              <w:rPr>
                <w:rFonts w:ascii="Arial" w:hAnsi="Arial" w:cs="Arial"/>
                <w:color w:val="000000"/>
              </w:rPr>
              <w:t>New listing</w:t>
            </w:r>
            <w:r w:rsidRPr="00103564">
              <w:rPr>
                <w:rFonts w:ascii="Arial" w:hAnsi="Arial" w:cs="Arial"/>
                <w:color w:val="000000"/>
              </w:rPr>
              <w:br/>
            </w:r>
            <w:r w:rsidRPr="00103564">
              <w:rPr>
                <w:rFonts w:ascii="Arial" w:hAnsi="Arial" w:cs="Arial"/>
                <w:color w:val="000000"/>
              </w:rPr>
              <w:br/>
              <w:t>(Minor Submission)</w:t>
            </w:r>
          </w:p>
        </w:tc>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ED02FE">
            <w:pPr>
              <w:rPr>
                <w:rFonts w:ascii="Arial" w:hAnsi="Arial" w:cs="Arial"/>
                <w:color w:val="000000"/>
              </w:rPr>
            </w:pPr>
            <w:r w:rsidRPr="00103564">
              <w:rPr>
                <w:rFonts w:ascii="Arial" w:hAnsi="Arial" w:cs="Arial"/>
                <w:color w:val="000000"/>
              </w:rPr>
              <w:t>Phenylketonuria</w:t>
            </w:r>
          </w:p>
        </w:tc>
        <w:tc>
          <w:tcPr>
            <w:tcW w:w="286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30634">
            <w:pPr>
              <w:spacing w:after="240"/>
              <w:rPr>
                <w:rFonts w:ascii="Arial" w:hAnsi="Arial" w:cs="Arial"/>
                <w:color w:val="000000"/>
              </w:rPr>
            </w:pPr>
            <w:r w:rsidRPr="00103564">
              <w:rPr>
                <w:rFonts w:ascii="Arial" w:hAnsi="Arial" w:cs="Arial"/>
                <w:color w:val="000000"/>
              </w:rPr>
              <w:t>To request a name change to the current PBS listed 'PKU Sphere' and request a Restricted Benefit listing of a new form of glycomacropeptide formula (PKU Sphere15).</w:t>
            </w:r>
          </w:p>
        </w:tc>
        <w:tc>
          <w:tcPr>
            <w:tcW w:w="6586" w:type="dxa"/>
            <w:tcBorders>
              <w:top w:val="single" w:sz="4" w:space="0" w:color="auto"/>
              <w:left w:val="single" w:sz="4" w:space="0" w:color="auto"/>
              <w:bottom w:val="single" w:sz="4" w:space="0" w:color="auto"/>
              <w:right w:val="single" w:sz="4" w:space="0" w:color="auto"/>
            </w:tcBorders>
          </w:tcPr>
          <w:p w:rsidR="00103564" w:rsidRPr="00103564" w:rsidRDefault="00103564" w:rsidP="00743123">
            <w:pPr>
              <w:rPr>
                <w:rFonts w:ascii="Arial" w:hAnsi="Arial" w:cs="Arial"/>
                <w:color w:val="000000"/>
              </w:rPr>
            </w:pPr>
            <w:r w:rsidRPr="00103564">
              <w:rPr>
                <w:rFonts w:ascii="Arial" w:hAnsi="Arial" w:cs="Arial"/>
                <w:color w:val="000000"/>
              </w:rPr>
              <w:t xml:space="preserve">The PBAC recommended the listing of PKU Sphere15® as a Restricted Benefit for the dietary management of phenylketonuria on a cost-minimisation basis against Camino Pro Bettermilk® at an equivalent price per gram of protein equivalent. </w:t>
            </w:r>
          </w:p>
        </w:tc>
      </w:tr>
      <w:tr w:rsidR="00103564" w:rsidRPr="00103564" w:rsidTr="00003DA2">
        <w:trPr>
          <w:cantSplit/>
          <w:trHeight w:val="430"/>
        </w:trPr>
        <w:tc>
          <w:tcPr>
            <w:tcW w:w="304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BF6584">
            <w:pPr>
              <w:rPr>
                <w:rFonts w:ascii="Arial" w:hAnsi="Arial" w:cs="Arial"/>
              </w:rPr>
            </w:pPr>
            <w:r w:rsidRPr="00103564">
              <w:rPr>
                <w:rFonts w:ascii="Arial" w:hAnsi="Arial" w:cs="Arial"/>
              </w:rPr>
              <w:lastRenderedPageBreak/>
              <w:t xml:space="preserve">GUANFACINE </w:t>
            </w:r>
          </w:p>
          <w:p w:rsidR="00103564" w:rsidRPr="00103564" w:rsidRDefault="00103564" w:rsidP="00BF6584">
            <w:pPr>
              <w:rPr>
                <w:rFonts w:ascii="Arial" w:hAnsi="Arial" w:cs="Arial"/>
              </w:rPr>
            </w:pPr>
          </w:p>
          <w:p w:rsidR="00103564" w:rsidRPr="00103564" w:rsidRDefault="00103564" w:rsidP="00BF6584">
            <w:pPr>
              <w:rPr>
                <w:rFonts w:ascii="Arial" w:hAnsi="Arial" w:cs="Arial"/>
              </w:rPr>
            </w:pPr>
            <w:r w:rsidRPr="00103564">
              <w:rPr>
                <w:rFonts w:ascii="Arial" w:hAnsi="Arial" w:cs="Arial"/>
              </w:rPr>
              <w:t xml:space="preserve">Tablet containing guanfacine hydrochloride 1 mg </w:t>
            </w:r>
          </w:p>
          <w:p w:rsidR="00103564" w:rsidRPr="00103564" w:rsidRDefault="00103564" w:rsidP="00BF6584">
            <w:pPr>
              <w:rPr>
                <w:rFonts w:ascii="Arial" w:hAnsi="Arial" w:cs="Arial"/>
              </w:rPr>
            </w:pPr>
          </w:p>
          <w:p w:rsidR="00103564" w:rsidRPr="00103564" w:rsidRDefault="00103564" w:rsidP="00BF6584">
            <w:pPr>
              <w:rPr>
                <w:rFonts w:ascii="Arial" w:hAnsi="Arial" w:cs="Arial"/>
              </w:rPr>
            </w:pPr>
            <w:r w:rsidRPr="00103564">
              <w:rPr>
                <w:rFonts w:ascii="Arial" w:hAnsi="Arial" w:cs="Arial"/>
              </w:rPr>
              <w:t xml:space="preserve">Tablet containing guanfacine hydrochloride 2 mg </w:t>
            </w:r>
          </w:p>
          <w:p w:rsidR="00103564" w:rsidRPr="00103564" w:rsidRDefault="00103564" w:rsidP="00BF6584">
            <w:pPr>
              <w:rPr>
                <w:rFonts w:ascii="Arial" w:hAnsi="Arial" w:cs="Arial"/>
              </w:rPr>
            </w:pPr>
          </w:p>
          <w:p w:rsidR="00103564" w:rsidRPr="00103564" w:rsidRDefault="00103564" w:rsidP="00BF6584">
            <w:pPr>
              <w:rPr>
                <w:rFonts w:ascii="Arial" w:hAnsi="Arial" w:cs="Arial"/>
              </w:rPr>
            </w:pPr>
            <w:r w:rsidRPr="00103564">
              <w:rPr>
                <w:rFonts w:ascii="Arial" w:hAnsi="Arial" w:cs="Arial"/>
              </w:rPr>
              <w:t xml:space="preserve">Tablet containing guanfacine hydrochloride 3 mg </w:t>
            </w:r>
          </w:p>
          <w:p w:rsidR="00103564" w:rsidRPr="00103564" w:rsidRDefault="00103564" w:rsidP="00BF6584">
            <w:pPr>
              <w:rPr>
                <w:rFonts w:ascii="Arial" w:hAnsi="Arial" w:cs="Arial"/>
              </w:rPr>
            </w:pPr>
          </w:p>
          <w:p w:rsidR="00103564" w:rsidRPr="00103564" w:rsidRDefault="00103564" w:rsidP="00BF6584">
            <w:pPr>
              <w:rPr>
                <w:rFonts w:ascii="Arial" w:hAnsi="Arial" w:cs="Arial"/>
              </w:rPr>
            </w:pPr>
            <w:r w:rsidRPr="00103564">
              <w:rPr>
                <w:rFonts w:ascii="Arial" w:hAnsi="Arial" w:cs="Arial"/>
              </w:rPr>
              <w:t xml:space="preserve">Tablet containing guanfacine hydrochloride 4 mg </w:t>
            </w:r>
          </w:p>
          <w:p w:rsidR="00103564" w:rsidRPr="00103564" w:rsidRDefault="00103564" w:rsidP="00BF6584">
            <w:pPr>
              <w:rPr>
                <w:rFonts w:ascii="Arial" w:hAnsi="Arial" w:cs="Arial"/>
              </w:rPr>
            </w:pPr>
          </w:p>
          <w:p w:rsidR="00103564" w:rsidRPr="00103564" w:rsidRDefault="00103564" w:rsidP="00BF6584">
            <w:pPr>
              <w:rPr>
                <w:rFonts w:ascii="Arial" w:hAnsi="Arial" w:cs="Arial"/>
              </w:rPr>
            </w:pPr>
            <w:r w:rsidRPr="00103564">
              <w:rPr>
                <w:rFonts w:ascii="Arial" w:hAnsi="Arial" w:cs="Arial"/>
              </w:rPr>
              <w:t>Intuniv®</w:t>
            </w:r>
          </w:p>
          <w:p w:rsidR="00103564" w:rsidRPr="00103564" w:rsidRDefault="00103564" w:rsidP="00BF6584">
            <w:pPr>
              <w:rPr>
                <w:rFonts w:ascii="Arial" w:hAnsi="Arial" w:cs="Arial"/>
              </w:rPr>
            </w:pPr>
            <w:r w:rsidRPr="00103564">
              <w:rPr>
                <w:rFonts w:ascii="Arial" w:hAnsi="Arial" w:cs="Arial"/>
              </w:rPr>
              <w:t xml:space="preserve"> </w:t>
            </w:r>
          </w:p>
          <w:p w:rsidR="00103564" w:rsidRPr="00103564" w:rsidRDefault="00103564" w:rsidP="00BF6584">
            <w:pPr>
              <w:rPr>
                <w:rFonts w:ascii="Arial" w:hAnsi="Arial" w:cs="Arial"/>
              </w:rPr>
            </w:pPr>
            <w:r w:rsidRPr="00103564">
              <w:rPr>
                <w:rFonts w:ascii="Arial" w:hAnsi="Arial" w:cs="Arial"/>
              </w:rPr>
              <w:t>Shire Australia Pty Ltd</w:t>
            </w:r>
          </w:p>
          <w:p w:rsidR="00103564" w:rsidRPr="00103564" w:rsidRDefault="00103564" w:rsidP="00BF6584">
            <w:pPr>
              <w:rPr>
                <w:rFonts w:ascii="Arial" w:hAnsi="Arial" w:cs="Arial"/>
              </w:rPr>
            </w:pPr>
          </w:p>
          <w:p w:rsidR="00103564" w:rsidRPr="00103564" w:rsidRDefault="00103564" w:rsidP="00BF6584">
            <w:pPr>
              <w:rPr>
                <w:rFonts w:ascii="Arial" w:hAnsi="Arial" w:cs="Arial"/>
              </w:rPr>
            </w:pPr>
            <w:r w:rsidRPr="00103564">
              <w:rPr>
                <w:rFonts w:ascii="Arial" w:hAnsi="Arial" w:cs="Arial"/>
              </w:rPr>
              <w:t>New listing</w:t>
            </w:r>
          </w:p>
          <w:p w:rsidR="00103564" w:rsidRPr="00103564" w:rsidRDefault="00103564" w:rsidP="00BF6584">
            <w:pPr>
              <w:rPr>
                <w:rFonts w:ascii="Arial" w:hAnsi="Arial" w:cs="Arial"/>
              </w:rPr>
            </w:pPr>
          </w:p>
          <w:p w:rsidR="00103564" w:rsidRPr="00103564" w:rsidRDefault="00103564" w:rsidP="00407870">
            <w:pPr>
              <w:rPr>
                <w:rFonts w:ascii="Arial" w:hAnsi="Arial" w:cs="Arial"/>
              </w:rPr>
            </w:pPr>
            <w:r w:rsidRPr="00103564">
              <w:rPr>
                <w:rFonts w:ascii="Arial" w:hAnsi="Arial" w:cs="Arial"/>
              </w:rPr>
              <w:t>(Major Submission)</w:t>
            </w:r>
          </w:p>
        </w:tc>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ED02FE">
            <w:pPr>
              <w:rPr>
                <w:rFonts w:ascii="Arial" w:hAnsi="Arial" w:cs="Arial"/>
                <w:color w:val="000000"/>
              </w:rPr>
            </w:pPr>
            <w:r w:rsidRPr="00103564">
              <w:rPr>
                <w:rFonts w:ascii="Arial" w:hAnsi="Arial" w:cs="Arial"/>
                <w:color w:val="000000"/>
              </w:rPr>
              <w:t>Attention deficit hyperactivity disorder (ADHD)</w:t>
            </w:r>
          </w:p>
        </w:tc>
        <w:tc>
          <w:tcPr>
            <w:tcW w:w="286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03564">
            <w:pPr>
              <w:spacing w:after="240"/>
              <w:rPr>
                <w:rFonts w:ascii="Arial" w:hAnsi="Arial" w:cs="Arial"/>
                <w:color w:val="000000"/>
              </w:rPr>
            </w:pPr>
            <w:r w:rsidRPr="00103564">
              <w:rPr>
                <w:rFonts w:ascii="Arial" w:hAnsi="Arial" w:cs="Arial"/>
                <w:color w:val="000000"/>
              </w:rPr>
              <w:t>To request an Authority Required listing of guanfacine for the treatment of ADHD in patients aged 6-18 years who are contraindicated to or have withdrawn from dexamfetamine, methylphenidate or lisdexamfetamine therapy; or as add-on therapy following an unsatisfactory response to optimised stimulant therapy.</w:t>
            </w:r>
          </w:p>
        </w:tc>
        <w:tc>
          <w:tcPr>
            <w:tcW w:w="6586" w:type="dxa"/>
            <w:tcBorders>
              <w:top w:val="single" w:sz="4" w:space="0" w:color="auto"/>
              <w:left w:val="single" w:sz="4" w:space="0" w:color="auto"/>
              <w:bottom w:val="single" w:sz="4" w:space="0" w:color="auto"/>
              <w:right w:val="single" w:sz="4" w:space="0" w:color="auto"/>
            </w:tcBorders>
          </w:tcPr>
          <w:p w:rsidR="00103564" w:rsidRPr="00103564" w:rsidRDefault="00103564" w:rsidP="00B37AAA">
            <w:pPr>
              <w:rPr>
                <w:rFonts w:ascii="Arial" w:hAnsi="Arial" w:cs="Arial"/>
                <w:color w:val="000000"/>
              </w:rPr>
            </w:pPr>
            <w:r w:rsidRPr="00103564">
              <w:rPr>
                <w:rFonts w:ascii="Arial" w:hAnsi="Arial" w:cs="Arial"/>
                <w:color w:val="000000"/>
              </w:rPr>
              <w:t>The PBAC recommended the listing of guanfacine on a cost-minimisation basis with atomoxetine for the treatment of patients with attention deficit hyperactivity disorder (ADHD) who are contraindicated or intolerant to stimulant therapy. The PBAC did not recommend the listing of guanfacine as adjunctive therapy in patients who have failed to achieve an adequate response to stimulants given the uncertain clinical significance of the trial outcomes and the uncertain cost-effectiveness. The PBAC did not recommend the listing of guanfacine as monotherapy in patients who have failed to achieve an adequate response to stimulants as the evidence presented did not support a listing in that population.</w:t>
            </w:r>
          </w:p>
          <w:p w:rsidR="00103564" w:rsidRPr="00103564" w:rsidRDefault="00103564" w:rsidP="00B37AAA">
            <w:pPr>
              <w:rPr>
                <w:rFonts w:ascii="Arial" w:hAnsi="Arial" w:cs="Arial"/>
                <w:color w:val="000000"/>
              </w:rPr>
            </w:pPr>
          </w:p>
          <w:p w:rsidR="00103564" w:rsidRPr="00103564" w:rsidRDefault="00103564" w:rsidP="00B37AAA">
            <w:pPr>
              <w:rPr>
                <w:rFonts w:ascii="Arial" w:hAnsi="Arial" w:cs="Arial"/>
                <w:color w:val="000000"/>
              </w:rPr>
            </w:pPr>
            <w:r w:rsidRPr="00103564">
              <w:rPr>
                <w:rFonts w:ascii="Arial" w:hAnsi="Arial" w:cs="Arial"/>
                <w:color w:val="000000"/>
              </w:rPr>
              <w:t>For the population contraindicated or intolerant to stimulants, the PBAC noted the trend toward superior efficacy and inferior safety of guanfacine in comparison with atomoxetine, based on Trial 316, and accepted the request for cost-minimisation.</w:t>
            </w:r>
          </w:p>
          <w:p w:rsidR="00103564" w:rsidRPr="00103564" w:rsidRDefault="00103564" w:rsidP="00B37AAA">
            <w:pPr>
              <w:rPr>
                <w:rFonts w:ascii="Arial" w:hAnsi="Arial" w:cs="Arial"/>
                <w:color w:val="000000"/>
              </w:rPr>
            </w:pPr>
          </w:p>
          <w:p w:rsidR="00103564" w:rsidRPr="00103564" w:rsidRDefault="00103564" w:rsidP="00743123">
            <w:pPr>
              <w:rPr>
                <w:rFonts w:ascii="Arial" w:hAnsi="Arial" w:cs="Arial"/>
                <w:color w:val="000000"/>
              </w:rPr>
            </w:pPr>
            <w:r w:rsidRPr="00103564">
              <w:rPr>
                <w:rFonts w:ascii="Arial" w:hAnsi="Arial" w:cs="Arial"/>
                <w:color w:val="000000"/>
              </w:rPr>
              <w:t>The PBAC noted that for adjunctive therapy in patients who have failed to achieve an adequate response to stimulants, Trial 313 showed statistically significant improvements for guanfacine+stimulants over placebo+stimulants for all outcomes, although the change in ADHD score was possibly not clinically significant. However, the PBAC considered the economic model presented was uncertain and the eligible population under the proposed restriction would be difficult to contain. Overall, the ICER was not acceptable at the price proposed.</w:t>
            </w:r>
          </w:p>
        </w:tc>
      </w:tr>
      <w:tr w:rsidR="00103564" w:rsidRPr="00103564" w:rsidTr="00003DA2">
        <w:trPr>
          <w:cantSplit/>
          <w:trHeight w:val="430"/>
        </w:trPr>
        <w:tc>
          <w:tcPr>
            <w:tcW w:w="304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2004A8">
            <w:pPr>
              <w:rPr>
                <w:rFonts w:ascii="Arial" w:hAnsi="Arial" w:cs="Arial"/>
                <w:color w:val="000000"/>
              </w:rPr>
            </w:pPr>
            <w:r w:rsidRPr="00103564">
              <w:rPr>
                <w:rFonts w:ascii="Arial" w:hAnsi="Arial" w:cs="Arial"/>
                <w:color w:val="000000"/>
              </w:rPr>
              <w:lastRenderedPageBreak/>
              <w:t>HUMAN PAPILLOMAVIRUS 9</w:t>
            </w:r>
            <w:r w:rsidRPr="00103564">
              <w:rPr>
                <w:rFonts w:ascii="Arial" w:hAnsi="Arial" w:cs="Arial"/>
                <w:color w:val="000000"/>
              </w:rPr>
              <w:noBreakHyphen/>
              <w:t>VALENT VACCINE</w:t>
            </w:r>
          </w:p>
          <w:p w:rsidR="00103564" w:rsidRPr="00103564" w:rsidRDefault="00103564" w:rsidP="002004A8">
            <w:pPr>
              <w:rPr>
                <w:rFonts w:ascii="Arial" w:hAnsi="Arial" w:cs="Arial"/>
                <w:color w:val="000000"/>
              </w:rPr>
            </w:pPr>
          </w:p>
          <w:p w:rsidR="00103564" w:rsidRPr="00103564" w:rsidRDefault="00103564" w:rsidP="002004A8">
            <w:pPr>
              <w:rPr>
                <w:rFonts w:ascii="Arial" w:hAnsi="Arial" w:cs="Arial"/>
                <w:color w:val="000000"/>
              </w:rPr>
            </w:pPr>
            <w:r w:rsidRPr="00103564">
              <w:rPr>
                <w:rFonts w:ascii="Arial" w:hAnsi="Arial" w:cs="Arial"/>
                <w:color w:val="000000"/>
              </w:rPr>
              <w:t xml:space="preserve">Injection 0.5 mL, pre-filled syringe </w:t>
            </w:r>
          </w:p>
          <w:p w:rsidR="00103564" w:rsidRPr="00103564" w:rsidRDefault="00103564" w:rsidP="002004A8">
            <w:pPr>
              <w:rPr>
                <w:rFonts w:ascii="Arial" w:hAnsi="Arial" w:cs="Arial"/>
                <w:color w:val="000000"/>
              </w:rPr>
            </w:pPr>
          </w:p>
          <w:p w:rsidR="00103564" w:rsidRPr="00103564" w:rsidRDefault="00103564" w:rsidP="002004A8">
            <w:pPr>
              <w:rPr>
                <w:rFonts w:ascii="Arial" w:hAnsi="Arial" w:cs="Arial"/>
                <w:color w:val="000000"/>
              </w:rPr>
            </w:pPr>
            <w:r w:rsidRPr="00103564">
              <w:rPr>
                <w:rFonts w:ascii="Arial" w:hAnsi="Arial" w:cs="Arial"/>
                <w:color w:val="000000"/>
              </w:rPr>
              <w:t xml:space="preserve">Gardasil® 9 </w:t>
            </w:r>
          </w:p>
          <w:p w:rsidR="00103564" w:rsidRPr="00103564" w:rsidRDefault="00103564" w:rsidP="002004A8">
            <w:pPr>
              <w:rPr>
                <w:rFonts w:ascii="Arial" w:hAnsi="Arial" w:cs="Arial"/>
                <w:color w:val="000000"/>
              </w:rPr>
            </w:pPr>
          </w:p>
          <w:p w:rsidR="00103564" w:rsidRPr="00103564" w:rsidRDefault="00103564" w:rsidP="002004A8">
            <w:pPr>
              <w:rPr>
                <w:rFonts w:ascii="Arial" w:hAnsi="Arial" w:cs="Arial"/>
                <w:color w:val="000000"/>
              </w:rPr>
            </w:pPr>
            <w:r w:rsidRPr="00103564">
              <w:rPr>
                <w:rFonts w:ascii="Arial" w:hAnsi="Arial" w:cs="Arial"/>
                <w:color w:val="000000"/>
              </w:rPr>
              <w:t>Seqirus (Australia) Pty Ltd</w:t>
            </w:r>
          </w:p>
          <w:p w:rsidR="00103564" w:rsidRPr="00103564" w:rsidRDefault="00103564" w:rsidP="002004A8">
            <w:pPr>
              <w:rPr>
                <w:rFonts w:ascii="Arial" w:hAnsi="Arial" w:cs="Arial"/>
                <w:color w:val="000000"/>
              </w:rPr>
            </w:pPr>
          </w:p>
          <w:p w:rsidR="00103564" w:rsidRPr="00103564" w:rsidRDefault="00103564" w:rsidP="002004A8">
            <w:pPr>
              <w:rPr>
                <w:rFonts w:ascii="Arial" w:hAnsi="Arial" w:cs="Arial"/>
                <w:color w:val="000000"/>
              </w:rPr>
            </w:pPr>
            <w:r w:rsidRPr="00103564">
              <w:rPr>
                <w:rFonts w:ascii="Arial" w:hAnsi="Arial" w:cs="Arial"/>
                <w:color w:val="000000"/>
              </w:rPr>
              <w:t>New listing</w:t>
            </w:r>
          </w:p>
          <w:p w:rsidR="00103564" w:rsidRPr="00103564" w:rsidRDefault="00103564" w:rsidP="002004A8">
            <w:pPr>
              <w:rPr>
                <w:rFonts w:ascii="Arial" w:hAnsi="Arial" w:cs="Arial"/>
                <w:color w:val="000000"/>
              </w:rPr>
            </w:pPr>
          </w:p>
          <w:p w:rsidR="00103564" w:rsidRPr="00103564" w:rsidRDefault="00103564" w:rsidP="002004A8">
            <w:pPr>
              <w:rPr>
                <w:rFonts w:ascii="Arial" w:hAnsi="Arial" w:cs="Arial"/>
                <w:color w:val="000000"/>
                <w:highlight w:val="yellow"/>
              </w:rPr>
            </w:pPr>
            <w:r w:rsidRPr="00103564">
              <w:rPr>
                <w:rFonts w:ascii="Arial" w:hAnsi="Arial" w:cs="Arial"/>
                <w:color w:val="000000"/>
              </w:rPr>
              <w:t>(Major Submission)</w:t>
            </w:r>
          </w:p>
        </w:tc>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ED02FE">
            <w:pPr>
              <w:rPr>
                <w:rFonts w:ascii="Arial" w:hAnsi="Arial" w:cs="Arial"/>
                <w:color w:val="000000"/>
                <w:highlight w:val="yellow"/>
              </w:rPr>
            </w:pPr>
            <w:r w:rsidRPr="00103564">
              <w:rPr>
                <w:rFonts w:ascii="Arial" w:hAnsi="Arial" w:cs="Arial"/>
                <w:color w:val="000000"/>
              </w:rPr>
              <w:t>Prevention of human papilloma virus (HPV)</w:t>
            </w:r>
          </w:p>
        </w:tc>
        <w:tc>
          <w:tcPr>
            <w:tcW w:w="286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30634">
            <w:pPr>
              <w:spacing w:after="240"/>
              <w:rPr>
                <w:rFonts w:ascii="Arial" w:hAnsi="Arial" w:cs="Arial"/>
                <w:color w:val="000000"/>
                <w:highlight w:val="yellow"/>
              </w:rPr>
            </w:pPr>
            <w:r w:rsidRPr="00103564">
              <w:rPr>
                <w:rFonts w:ascii="Arial" w:hAnsi="Arial" w:cs="Arial"/>
                <w:color w:val="000000"/>
              </w:rPr>
              <w:t>To request listing on the National Immunisation Program as a 2-dose schedule for females and males aged 12-13 years as part of a school age program for the prevention of HPV to replace the current 3-dose schedule of 4-valent HPV vaccine.</w:t>
            </w:r>
          </w:p>
        </w:tc>
        <w:tc>
          <w:tcPr>
            <w:tcW w:w="6586" w:type="dxa"/>
            <w:tcBorders>
              <w:top w:val="single" w:sz="4" w:space="0" w:color="auto"/>
              <w:left w:val="single" w:sz="4" w:space="0" w:color="auto"/>
              <w:bottom w:val="single" w:sz="4" w:space="0" w:color="auto"/>
              <w:right w:val="single" w:sz="4" w:space="0" w:color="auto"/>
            </w:tcBorders>
          </w:tcPr>
          <w:p w:rsidR="00103564" w:rsidRPr="00103564" w:rsidRDefault="00103564" w:rsidP="002004A8">
            <w:pPr>
              <w:rPr>
                <w:rFonts w:ascii="Arial" w:hAnsi="Arial" w:cs="Arial"/>
                <w:color w:val="000000"/>
              </w:rPr>
            </w:pPr>
            <w:r w:rsidRPr="00103564">
              <w:rPr>
                <w:rFonts w:ascii="Arial" w:hAnsi="Arial" w:cs="Arial"/>
                <w:color w:val="000000"/>
              </w:rPr>
              <w:t>The PBAC recommended that 9-valent human papillomavirus (9vHPV) vaccine (Gardasil® 9) be made available as a designated vaccine for the purpose of funding through the National Immunisation Program as a 2-dose schedule for 12-13 year olds as part of a school based immunisation program for the prevention of HPV types 6, 11, 16, 18, 31, 33, 45, 52 and 58. The recommendation was made on the basis of cost effectiveness compared with a 3 dose schedule of quadrivalent HPV (4vHPV) vaccine.</w:t>
            </w:r>
          </w:p>
          <w:p w:rsidR="00103564" w:rsidRPr="00103564" w:rsidRDefault="00103564" w:rsidP="002004A8">
            <w:pPr>
              <w:rPr>
                <w:rFonts w:ascii="Arial" w:hAnsi="Arial" w:cs="Arial"/>
                <w:color w:val="000000"/>
              </w:rPr>
            </w:pPr>
          </w:p>
          <w:p w:rsidR="00103564" w:rsidRPr="00103564" w:rsidRDefault="00103564" w:rsidP="002004A8">
            <w:pPr>
              <w:rPr>
                <w:rFonts w:ascii="Arial" w:hAnsi="Arial" w:cs="Arial"/>
                <w:color w:val="000000"/>
              </w:rPr>
            </w:pPr>
            <w:r w:rsidRPr="00103564">
              <w:rPr>
                <w:rFonts w:ascii="Arial" w:hAnsi="Arial" w:cs="Arial"/>
                <w:color w:val="000000"/>
              </w:rPr>
              <w:t>The PBAC accepted that the 2-dose 9vHPV vaccine schedule is likely to provide non inferior clinical protection against disease associated with 4vHPV types (6/11/16/18) and superior clinical protection against disease associated with 9v non4vHPV types (31/33/45/52/58), compared with the 3-dose 4vHPV vaccine schedule.</w:t>
            </w:r>
          </w:p>
          <w:p w:rsidR="00103564" w:rsidRPr="00103564" w:rsidRDefault="00103564" w:rsidP="00CE331A">
            <w:pPr>
              <w:rPr>
                <w:rFonts w:ascii="Arial" w:hAnsi="Arial" w:cs="Arial"/>
                <w:color w:val="000000"/>
                <w:highlight w:val="yellow"/>
              </w:rPr>
            </w:pPr>
          </w:p>
        </w:tc>
      </w:tr>
      <w:tr w:rsidR="00103564" w:rsidRPr="00103564" w:rsidTr="00003DA2">
        <w:trPr>
          <w:cantSplit/>
          <w:trHeight w:val="430"/>
        </w:trPr>
        <w:tc>
          <w:tcPr>
            <w:tcW w:w="304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407870">
            <w:pPr>
              <w:rPr>
                <w:rFonts w:ascii="Arial" w:hAnsi="Arial" w:cs="Arial"/>
              </w:rPr>
            </w:pPr>
            <w:r w:rsidRPr="00103564">
              <w:rPr>
                <w:rFonts w:ascii="Arial" w:hAnsi="Arial" w:cs="Arial"/>
              </w:rPr>
              <w:t>ICATIBANT</w:t>
            </w:r>
          </w:p>
          <w:p w:rsidR="00103564" w:rsidRPr="00103564" w:rsidRDefault="00103564" w:rsidP="00407870">
            <w:pPr>
              <w:rPr>
                <w:rFonts w:ascii="Arial" w:hAnsi="Arial" w:cs="Arial"/>
              </w:rPr>
            </w:pPr>
          </w:p>
          <w:p w:rsidR="00103564" w:rsidRPr="00103564" w:rsidRDefault="00103564" w:rsidP="00407870">
            <w:pPr>
              <w:rPr>
                <w:rFonts w:ascii="Arial" w:hAnsi="Arial" w:cs="Arial"/>
                <w:color w:val="000000"/>
              </w:rPr>
            </w:pPr>
            <w:r w:rsidRPr="00103564">
              <w:rPr>
                <w:rFonts w:ascii="Arial" w:hAnsi="Arial" w:cs="Arial"/>
                <w:color w:val="000000"/>
              </w:rPr>
              <w:t>Injection 30 mg (as acetate)</w:t>
            </w:r>
            <w:r w:rsidRPr="00103564">
              <w:rPr>
                <w:rFonts w:ascii="Arial" w:hAnsi="Arial" w:cs="Arial"/>
                <w:color w:val="000000"/>
              </w:rPr>
              <w:br/>
              <w:t>in 3 mL single use pre-filled</w:t>
            </w:r>
            <w:r w:rsidRPr="00103564">
              <w:rPr>
                <w:rFonts w:ascii="Arial" w:hAnsi="Arial" w:cs="Arial"/>
                <w:color w:val="000000"/>
              </w:rPr>
              <w:br/>
              <w:t>syringe</w:t>
            </w:r>
            <w:r w:rsidRPr="00103564">
              <w:rPr>
                <w:rFonts w:ascii="Arial" w:hAnsi="Arial" w:cs="Arial"/>
                <w:color w:val="000000"/>
              </w:rPr>
              <w:br/>
            </w:r>
            <w:r w:rsidRPr="00103564">
              <w:rPr>
                <w:rFonts w:ascii="Arial" w:hAnsi="Arial" w:cs="Arial"/>
                <w:color w:val="000000"/>
              </w:rPr>
              <w:br/>
              <w:t>Firazyr®</w:t>
            </w:r>
            <w:r w:rsidRPr="00103564">
              <w:rPr>
                <w:rFonts w:ascii="Arial" w:hAnsi="Arial" w:cs="Arial"/>
                <w:color w:val="000000"/>
              </w:rPr>
              <w:br/>
            </w:r>
            <w:r w:rsidRPr="00103564">
              <w:rPr>
                <w:rFonts w:ascii="Arial" w:hAnsi="Arial" w:cs="Arial"/>
                <w:color w:val="000000"/>
              </w:rPr>
              <w:br/>
              <w:t>Shire Australia Pty Ltd</w:t>
            </w:r>
          </w:p>
          <w:p w:rsidR="00103564" w:rsidRPr="00103564" w:rsidRDefault="00103564" w:rsidP="00407870">
            <w:pPr>
              <w:rPr>
                <w:rFonts w:ascii="Arial" w:hAnsi="Arial" w:cs="Arial"/>
                <w:color w:val="000000"/>
              </w:rPr>
            </w:pPr>
          </w:p>
          <w:p w:rsidR="00103564" w:rsidRPr="00103564" w:rsidRDefault="00103564" w:rsidP="00407870">
            <w:pPr>
              <w:rPr>
                <w:rFonts w:ascii="Arial" w:hAnsi="Arial" w:cs="Arial"/>
              </w:rPr>
            </w:pPr>
            <w:r w:rsidRPr="00103564">
              <w:rPr>
                <w:rFonts w:ascii="Arial" w:hAnsi="Arial" w:cs="Arial"/>
                <w:color w:val="000000"/>
              </w:rPr>
              <w:t>Change to listing</w:t>
            </w:r>
            <w:r w:rsidRPr="00103564">
              <w:rPr>
                <w:rFonts w:ascii="Arial" w:hAnsi="Arial" w:cs="Arial"/>
                <w:color w:val="000000"/>
              </w:rPr>
              <w:br/>
            </w:r>
            <w:r w:rsidRPr="00103564">
              <w:rPr>
                <w:rFonts w:ascii="Arial" w:hAnsi="Arial" w:cs="Arial"/>
                <w:color w:val="000000"/>
              </w:rPr>
              <w:br/>
              <w:t>(Minor Submission)</w:t>
            </w:r>
          </w:p>
        </w:tc>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ED02FE">
            <w:pPr>
              <w:rPr>
                <w:rFonts w:ascii="Arial" w:hAnsi="Arial" w:cs="Arial"/>
                <w:color w:val="000000"/>
              </w:rPr>
            </w:pPr>
            <w:r w:rsidRPr="00103564">
              <w:rPr>
                <w:rFonts w:ascii="Arial" w:hAnsi="Arial" w:cs="Arial"/>
                <w:color w:val="000000"/>
              </w:rPr>
              <w:t>Hereditary angioedema</w:t>
            </w:r>
          </w:p>
        </w:tc>
        <w:tc>
          <w:tcPr>
            <w:tcW w:w="286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30634">
            <w:pPr>
              <w:spacing w:after="240"/>
              <w:rPr>
                <w:rFonts w:ascii="Arial" w:hAnsi="Arial" w:cs="Arial"/>
                <w:color w:val="000000"/>
              </w:rPr>
            </w:pPr>
            <w:r w:rsidRPr="00103564">
              <w:rPr>
                <w:rFonts w:ascii="Arial" w:hAnsi="Arial" w:cs="Arial"/>
                <w:color w:val="000000"/>
              </w:rPr>
              <w:t>To request a change to the current Authority Required listing to limit any authorised increase in the maximum quantity to 12 per script.</w:t>
            </w:r>
          </w:p>
        </w:tc>
        <w:tc>
          <w:tcPr>
            <w:tcW w:w="6586" w:type="dxa"/>
            <w:tcBorders>
              <w:top w:val="single" w:sz="4" w:space="0" w:color="auto"/>
              <w:left w:val="single" w:sz="4" w:space="0" w:color="auto"/>
              <w:bottom w:val="single" w:sz="4" w:space="0" w:color="auto"/>
              <w:right w:val="single" w:sz="4" w:space="0" w:color="auto"/>
            </w:tcBorders>
          </w:tcPr>
          <w:p w:rsidR="00103564" w:rsidRPr="00103564" w:rsidRDefault="00103564" w:rsidP="005B1BF2">
            <w:pPr>
              <w:rPr>
                <w:rFonts w:ascii="Arial" w:hAnsi="Arial" w:cs="Arial"/>
                <w:color w:val="000000"/>
              </w:rPr>
            </w:pPr>
            <w:r w:rsidRPr="00103564">
              <w:rPr>
                <w:rFonts w:ascii="Arial" w:hAnsi="Arial" w:cs="Arial"/>
                <w:color w:val="000000"/>
              </w:rPr>
              <w:t xml:space="preserve">The PBAC recommended limiting increases in the maximum quantity to 12 injections per authority prescription on the basis that this would encourage further clinical review of patients experiencing a high frequency of attacks. </w:t>
            </w:r>
          </w:p>
        </w:tc>
      </w:tr>
      <w:tr w:rsidR="00103564" w:rsidRPr="00103564" w:rsidTr="00003DA2">
        <w:trPr>
          <w:cantSplit/>
          <w:trHeight w:val="430"/>
        </w:trPr>
        <w:tc>
          <w:tcPr>
            <w:tcW w:w="304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407870">
            <w:pPr>
              <w:rPr>
                <w:rFonts w:ascii="Arial" w:hAnsi="Arial" w:cs="Arial"/>
                <w:color w:val="000000"/>
              </w:rPr>
            </w:pPr>
            <w:r w:rsidRPr="00103564">
              <w:rPr>
                <w:rFonts w:ascii="Arial" w:hAnsi="Arial" w:cs="Arial"/>
              </w:rPr>
              <w:lastRenderedPageBreak/>
              <w:t>MANNITOL</w:t>
            </w:r>
            <w:r w:rsidRPr="00103564">
              <w:rPr>
                <w:rFonts w:ascii="Arial" w:hAnsi="Arial" w:cs="Arial"/>
                <w:color w:val="000000"/>
              </w:rPr>
              <w:t xml:space="preserve"> </w:t>
            </w:r>
          </w:p>
          <w:p w:rsidR="00103564" w:rsidRPr="00103564" w:rsidRDefault="00103564" w:rsidP="00407870">
            <w:pPr>
              <w:rPr>
                <w:rFonts w:ascii="Arial" w:hAnsi="Arial" w:cs="Arial"/>
                <w:color w:val="000000"/>
              </w:rPr>
            </w:pPr>
            <w:r w:rsidRPr="00103564">
              <w:rPr>
                <w:rFonts w:ascii="Arial" w:hAnsi="Arial" w:cs="Arial"/>
                <w:color w:val="000000"/>
              </w:rPr>
              <w:br/>
              <w:t>Pack containing 280 capsules containing powder for inhalation 40 mg and 2 inhalers</w:t>
            </w:r>
            <w:r w:rsidRPr="00103564">
              <w:rPr>
                <w:rFonts w:ascii="Arial" w:hAnsi="Arial" w:cs="Arial"/>
                <w:color w:val="000000"/>
              </w:rPr>
              <w:br/>
            </w:r>
            <w:r w:rsidRPr="00103564">
              <w:rPr>
                <w:rFonts w:ascii="Arial" w:hAnsi="Arial" w:cs="Arial"/>
                <w:color w:val="000000"/>
              </w:rPr>
              <w:br/>
              <w:t>Bronchitol®</w:t>
            </w:r>
            <w:r w:rsidRPr="00103564">
              <w:rPr>
                <w:rFonts w:ascii="Arial" w:hAnsi="Arial" w:cs="Arial"/>
                <w:color w:val="000000"/>
              </w:rPr>
              <w:br/>
            </w:r>
            <w:r w:rsidRPr="00103564">
              <w:rPr>
                <w:rFonts w:ascii="Arial" w:hAnsi="Arial" w:cs="Arial"/>
                <w:color w:val="000000"/>
              </w:rPr>
              <w:br/>
              <w:t>Pharmaxis Ltd</w:t>
            </w:r>
          </w:p>
          <w:p w:rsidR="00103564" w:rsidRPr="00103564" w:rsidRDefault="00103564" w:rsidP="00407870">
            <w:pPr>
              <w:rPr>
                <w:rFonts w:ascii="Arial" w:hAnsi="Arial" w:cs="Arial"/>
                <w:color w:val="000000"/>
              </w:rPr>
            </w:pPr>
          </w:p>
          <w:p w:rsidR="00103564" w:rsidRPr="00103564" w:rsidRDefault="00103564" w:rsidP="00407870">
            <w:pPr>
              <w:rPr>
                <w:rFonts w:ascii="Arial" w:hAnsi="Arial" w:cs="Arial"/>
              </w:rPr>
            </w:pPr>
            <w:r w:rsidRPr="00103564">
              <w:rPr>
                <w:rFonts w:ascii="Arial" w:hAnsi="Arial" w:cs="Arial"/>
                <w:color w:val="000000"/>
              </w:rPr>
              <w:t>Change to listing</w:t>
            </w:r>
            <w:r w:rsidRPr="00103564">
              <w:rPr>
                <w:rFonts w:ascii="Arial" w:hAnsi="Arial" w:cs="Arial"/>
                <w:color w:val="000000"/>
              </w:rPr>
              <w:br/>
            </w:r>
            <w:r w:rsidRPr="00103564">
              <w:rPr>
                <w:rFonts w:ascii="Arial" w:hAnsi="Arial" w:cs="Arial"/>
                <w:color w:val="000000"/>
              </w:rPr>
              <w:br/>
              <w:t>(Major Submission)</w:t>
            </w:r>
          </w:p>
        </w:tc>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ED02FE">
            <w:pPr>
              <w:rPr>
                <w:rFonts w:ascii="Arial" w:hAnsi="Arial" w:cs="Arial"/>
                <w:color w:val="000000"/>
              </w:rPr>
            </w:pPr>
            <w:r w:rsidRPr="00103564">
              <w:rPr>
                <w:rFonts w:ascii="Arial" w:hAnsi="Arial" w:cs="Arial"/>
                <w:color w:val="000000"/>
              </w:rPr>
              <w:t>Cystic fibrosis</w:t>
            </w:r>
          </w:p>
        </w:tc>
        <w:tc>
          <w:tcPr>
            <w:tcW w:w="286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30634">
            <w:pPr>
              <w:spacing w:after="240"/>
              <w:rPr>
                <w:rFonts w:ascii="Arial" w:hAnsi="Arial" w:cs="Arial"/>
                <w:color w:val="000000"/>
              </w:rPr>
            </w:pPr>
            <w:r w:rsidRPr="00103564">
              <w:rPr>
                <w:rFonts w:ascii="Arial" w:hAnsi="Arial" w:cs="Arial"/>
                <w:color w:val="000000"/>
              </w:rPr>
              <w:t>Resubmission to request a change to the current listing to allow for treatment in combination with dornase alfa in patients who are inadequately responsive to dornase alfa.</w:t>
            </w:r>
          </w:p>
        </w:tc>
        <w:tc>
          <w:tcPr>
            <w:tcW w:w="6586" w:type="dxa"/>
            <w:tcBorders>
              <w:top w:val="single" w:sz="4" w:space="0" w:color="auto"/>
              <w:left w:val="single" w:sz="4" w:space="0" w:color="auto"/>
              <w:bottom w:val="single" w:sz="4" w:space="0" w:color="auto"/>
              <w:right w:val="single" w:sz="4" w:space="0" w:color="auto"/>
            </w:tcBorders>
          </w:tcPr>
          <w:p w:rsidR="00103564" w:rsidRPr="00103564" w:rsidRDefault="00103564" w:rsidP="00E238C1">
            <w:pPr>
              <w:rPr>
                <w:rFonts w:ascii="Arial" w:hAnsi="Arial" w:cs="Arial"/>
                <w:color w:val="000000"/>
              </w:rPr>
            </w:pPr>
            <w:r w:rsidRPr="00103564">
              <w:rPr>
                <w:rFonts w:ascii="Arial" w:hAnsi="Arial" w:cs="Arial"/>
                <w:color w:val="000000"/>
              </w:rPr>
              <w:t>The PBAC recommended that the current Section 100 (Highly Specialised Drugs Program) listing of mannitol be amended to allow for PBS-subsidised use in combination with PBS-subsidised dornase alfa  (DNase) in patients who are inadequately responsive to monotherapy with DNase.</w:t>
            </w:r>
          </w:p>
          <w:p w:rsidR="00103564" w:rsidRPr="00103564" w:rsidRDefault="00103564" w:rsidP="00E238C1">
            <w:pPr>
              <w:rPr>
                <w:rFonts w:ascii="Arial" w:hAnsi="Arial" w:cs="Arial"/>
                <w:color w:val="000000"/>
              </w:rPr>
            </w:pPr>
          </w:p>
          <w:p w:rsidR="00103564" w:rsidRPr="00103564" w:rsidRDefault="00103564" w:rsidP="005F3C63">
            <w:pPr>
              <w:rPr>
                <w:rFonts w:ascii="Arial" w:hAnsi="Arial" w:cs="Arial"/>
                <w:color w:val="000000"/>
              </w:rPr>
            </w:pPr>
            <w:r w:rsidRPr="00103564">
              <w:rPr>
                <w:rFonts w:ascii="Arial" w:hAnsi="Arial" w:cs="Arial"/>
                <w:color w:val="000000"/>
              </w:rPr>
              <w:t>This recommendation was made in the context of the small additional patient population with complex needs, equity of access considerations regarding the current compassionate use arrangements, an expectation that clinicians are best placed to determine which patients will benefit from combination therapy.</w:t>
            </w:r>
          </w:p>
        </w:tc>
      </w:tr>
      <w:tr w:rsidR="00103564" w:rsidRPr="00103564" w:rsidTr="00003DA2">
        <w:trPr>
          <w:cantSplit/>
          <w:trHeight w:val="430"/>
        </w:trPr>
        <w:tc>
          <w:tcPr>
            <w:tcW w:w="304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F64D19">
            <w:pPr>
              <w:rPr>
                <w:rFonts w:ascii="Arial" w:hAnsi="Arial" w:cs="Arial"/>
              </w:rPr>
            </w:pPr>
            <w:r w:rsidRPr="00103564">
              <w:rPr>
                <w:rFonts w:ascii="Arial" w:hAnsi="Arial" w:cs="Arial"/>
              </w:rPr>
              <w:t xml:space="preserve">OCRELIZUMAB </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 xml:space="preserve">Solution concentrate for I.V. infusion 300 mg in 10 mL </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 xml:space="preserve">Ocrevus® </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Roche Products Pty Ltd</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New listing</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(Major Submission)</w:t>
            </w:r>
          </w:p>
        </w:tc>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ED02FE">
            <w:pPr>
              <w:rPr>
                <w:rFonts w:ascii="Arial" w:hAnsi="Arial" w:cs="Arial"/>
                <w:color w:val="000000"/>
              </w:rPr>
            </w:pPr>
            <w:r w:rsidRPr="00103564">
              <w:rPr>
                <w:rFonts w:ascii="Arial" w:hAnsi="Arial" w:cs="Arial"/>
                <w:color w:val="000000"/>
              </w:rPr>
              <w:t>Relapsing-remitting multiple sclerosis (RRMS)</w:t>
            </w:r>
          </w:p>
        </w:tc>
        <w:tc>
          <w:tcPr>
            <w:tcW w:w="286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30634">
            <w:pPr>
              <w:spacing w:after="240"/>
              <w:rPr>
                <w:rFonts w:ascii="Arial" w:hAnsi="Arial" w:cs="Arial"/>
                <w:color w:val="000000"/>
              </w:rPr>
            </w:pPr>
            <w:r w:rsidRPr="00103564">
              <w:rPr>
                <w:rFonts w:ascii="Arial" w:hAnsi="Arial" w:cs="Arial"/>
                <w:color w:val="000000"/>
              </w:rPr>
              <w:t>To request a Section 100 (Highly Specialised Drugs Program) Authority Required listing for the treatment of RRMS.</w:t>
            </w:r>
          </w:p>
        </w:tc>
        <w:tc>
          <w:tcPr>
            <w:tcW w:w="6586" w:type="dxa"/>
            <w:tcBorders>
              <w:top w:val="single" w:sz="4" w:space="0" w:color="auto"/>
              <w:left w:val="single" w:sz="4" w:space="0" w:color="auto"/>
              <w:bottom w:val="single" w:sz="4" w:space="0" w:color="auto"/>
              <w:right w:val="single" w:sz="4" w:space="0" w:color="auto"/>
            </w:tcBorders>
            <w:shd w:val="clear" w:color="auto" w:fill="auto"/>
          </w:tcPr>
          <w:p w:rsidR="00103564" w:rsidRPr="00103564" w:rsidRDefault="00103564" w:rsidP="00B67325">
            <w:pPr>
              <w:rPr>
                <w:rFonts w:ascii="Arial" w:hAnsi="Arial" w:cs="Arial"/>
                <w:color w:val="000000"/>
              </w:rPr>
            </w:pPr>
            <w:r w:rsidRPr="00103564">
              <w:rPr>
                <w:rFonts w:ascii="Arial" w:hAnsi="Arial" w:cs="Arial"/>
                <w:color w:val="000000"/>
              </w:rPr>
              <w:t>The PBAC recommended the listing of ocrelizumab for the treatment of relapsing-remitting multiple sclerosis (RRMS) on a cost-minimisation basis with fingolimod. The PBAC recommended that ocrelizumab on that basis that it should be available only under special arrangements under Section 100 (Highly Specialised Drugs Program – public and private hospital).</w:t>
            </w:r>
          </w:p>
          <w:p w:rsidR="00103564" w:rsidRPr="00103564" w:rsidRDefault="00103564" w:rsidP="00B67325">
            <w:pPr>
              <w:rPr>
                <w:rFonts w:ascii="Arial" w:hAnsi="Arial" w:cs="Arial"/>
                <w:color w:val="000000"/>
              </w:rPr>
            </w:pPr>
          </w:p>
          <w:p w:rsidR="00103564" w:rsidRPr="00103564" w:rsidRDefault="00103564" w:rsidP="00B67325">
            <w:pPr>
              <w:rPr>
                <w:rFonts w:ascii="Arial" w:hAnsi="Arial" w:cs="Arial"/>
                <w:color w:val="000000"/>
              </w:rPr>
            </w:pPr>
            <w:r w:rsidRPr="00103564">
              <w:rPr>
                <w:rFonts w:ascii="Arial" w:hAnsi="Arial" w:cs="Arial"/>
                <w:color w:val="000000"/>
              </w:rPr>
              <w:t>The PBAC considered that based on the evidence presented, the claim that ocrelizumab has non-inferior comparative efficacy to fingolimod was adequately supported.</w:t>
            </w:r>
          </w:p>
          <w:p w:rsidR="00103564" w:rsidRPr="00103564" w:rsidRDefault="00103564" w:rsidP="00B67325">
            <w:pPr>
              <w:rPr>
                <w:rFonts w:ascii="Arial" w:hAnsi="Arial" w:cs="Arial"/>
                <w:color w:val="000000"/>
              </w:rPr>
            </w:pPr>
          </w:p>
          <w:p w:rsidR="00103564" w:rsidRPr="00103564" w:rsidRDefault="00103564" w:rsidP="00743123">
            <w:pPr>
              <w:rPr>
                <w:rFonts w:ascii="Arial" w:hAnsi="Arial" w:cs="Arial"/>
                <w:color w:val="000000"/>
              </w:rPr>
            </w:pPr>
            <w:r w:rsidRPr="00103564">
              <w:rPr>
                <w:rFonts w:ascii="Arial" w:hAnsi="Arial" w:cs="Arial"/>
                <w:color w:val="000000"/>
              </w:rPr>
              <w:t>The PBAC anticipated that ocrelizumab is likely to substitute for all currently PBS listed medicines for RRMS.</w:t>
            </w:r>
          </w:p>
        </w:tc>
      </w:tr>
      <w:tr w:rsidR="00103564" w:rsidRPr="00103564" w:rsidTr="00003DA2">
        <w:trPr>
          <w:cantSplit/>
          <w:trHeight w:val="430"/>
        </w:trPr>
        <w:tc>
          <w:tcPr>
            <w:tcW w:w="304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F64D19">
            <w:pPr>
              <w:rPr>
                <w:rFonts w:ascii="Arial" w:hAnsi="Arial" w:cs="Arial"/>
              </w:rPr>
            </w:pPr>
            <w:r w:rsidRPr="00103564">
              <w:rPr>
                <w:rFonts w:ascii="Arial" w:hAnsi="Arial" w:cs="Arial"/>
              </w:rPr>
              <w:lastRenderedPageBreak/>
              <w:t xml:space="preserve">PERAMPANEL </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 xml:space="preserve">Tablet 2 mg (as hemisesquihydrate) </w:t>
            </w:r>
          </w:p>
          <w:p w:rsidR="00103564" w:rsidRPr="00103564" w:rsidRDefault="00103564" w:rsidP="00F64D19">
            <w:pPr>
              <w:rPr>
                <w:rFonts w:ascii="Arial" w:hAnsi="Arial" w:cs="Arial"/>
              </w:rPr>
            </w:pPr>
            <w:r w:rsidRPr="00103564">
              <w:rPr>
                <w:rFonts w:ascii="Arial" w:hAnsi="Arial" w:cs="Arial"/>
              </w:rPr>
              <w:t xml:space="preserve">Tablet 4 mg (as hemisesquihydrate) </w:t>
            </w:r>
          </w:p>
          <w:p w:rsidR="00103564" w:rsidRPr="00103564" w:rsidRDefault="00103564" w:rsidP="00F64D19">
            <w:pPr>
              <w:rPr>
                <w:rFonts w:ascii="Arial" w:hAnsi="Arial" w:cs="Arial"/>
              </w:rPr>
            </w:pPr>
            <w:r w:rsidRPr="00103564">
              <w:rPr>
                <w:rFonts w:ascii="Arial" w:hAnsi="Arial" w:cs="Arial"/>
              </w:rPr>
              <w:t xml:space="preserve">Tablet 6 mg (as hemisesquihydrate) </w:t>
            </w:r>
          </w:p>
          <w:p w:rsidR="00103564" w:rsidRPr="00103564" w:rsidRDefault="00103564" w:rsidP="00F64D19">
            <w:pPr>
              <w:rPr>
                <w:rFonts w:ascii="Arial" w:hAnsi="Arial" w:cs="Arial"/>
              </w:rPr>
            </w:pPr>
            <w:r w:rsidRPr="00103564">
              <w:rPr>
                <w:rFonts w:ascii="Arial" w:hAnsi="Arial" w:cs="Arial"/>
              </w:rPr>
              <w:t xml:space="preserve">Tablet 8 mg (as hemisesquihydrate) </w:t>
            </w:r>
          </w:p>
          <w:p w:rsidR="00103564" w:rsidRPr="00103564" w:rsidRDefault="00103564" w:rsidP="00F64D19">
            <w:pPr>
              <w:rPr>
                <w:rFonts w:ascii="Arial" w:hAnsi="Arial" w:cs="Arial"/>
              </w:rPr>
            </w:pPr>
            <w:r w:rsidRPr="00103564">
              <w:rPr>
                <w:rFonts w:ascii="Arial" w:hAnsi="Arial" w:cs="Arial"/>
              </w:rPr>
              <w:t xml:space="preserve">Tablet 10 mg (as hemisesquihydrate) </w:t>
            </w:r>
          </w:p>
          <w:p w:rsidR="00103564" w:rsidRPr="00103564" w:rsidRDefault="00103564" w:rsidP="00F64D19">
            <w:pPr>
              <w:rPr>
                <w:rFonts w:ascii="Arial" w:hAnsi="Arial" w:cs="Arial"/>
              </w:rPr>
            </w:pPr>
            <w:r w:rsidRPr="00103564">
              <w:rPr>
                <w:rFonts w:ascii="Arial" w:hAnsi="Arial" w:cs="Arial"/>
              </w:rPr>
              <w:t xml:space="preserve">Tablet 12 mg (as hemisesquihydrate) </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 xml:space="preserve">Fycompa® </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Eisai Australia Pty Ltd</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Change to listing</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(Major Submission)</w:t>
            </w:r>
          </w:p>
        </w:tc>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ED02FE">
            <w:pPr>
              <w:rPr>
                <w:rFonts w:ascii="Arial" w:hAnsi="Arial" w:cs="Arial"/>
                <w:color w:val="000000"/>
              </w:rPr>
            </w:pPr>
            <w:r w:rsidRPr="00103564">
              <w:rPr>
                <w:rFonts w:ascii="Arial" w:hAnsi="Arial" w:cs="Arial"/>
                <w:color w:val="000000"/>
              </w:rPr>
              <w:t>Epilepsy</w:t>
            </w:r>
          </w:p>
        </w:tc>
        <w:tc>
          <w:tcPr>
            <w:tcW w:w="286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30634">
            <w:pPr>
              <w:spacing w:after="240"/>
              <w:rPr>
                <w:rFonts w:ascii="Arial" w:hAnsi="Arial" w:cs="Arial"/>
                <w:color w:val="000000"/>
              </w:rPr>
            </w:pPr>
            <w:r w:rsidRPr="00103564">
              <w:rPr>
                <w:rFonts w:ascii="Arial" w:hAnsi="Arial" w:cs="Arial"/>
                <w:color w:val="000000"/>
              </w:rPr>
              <w:t>Resubmission to request an Authority Required (STREAMLINED) listing for perampanel for the treatment of idiopathic generalised epilepsy with primary generalised tonic-clonic seizures under certain conditions.</w:t>
            </w:r>
          </w:p>
        </w:tc>
        <w:tc>
          <w:tcPr>
            <w:tcW w:w="6586" w:type="dxa"/>
            <w:tcBorders>
              <w:top w:val="single" w:sz="4" w:space="0" w:color="auto"/>
              <w:left w:val="single" w:sz="4" w:space="0" w:color="auto"/>
              <w:bottom w:val="single" w:sz="4" w:space="0" w:color="auto"/>
              <w:right w:val="single" w:sz="4" w:space="0" w:color="auto"/>
            </w:tcBorders>
            <w:shd w:val="clear" w:color="auto" w:fill="auto"/>
          </w:tcPr>
          <w:p w:rsidR="00103564" w:rsidRPr="00103564" w:rsidRDefault="00103564" w:rsidP="002B3591">
            <w:pPr>
              <w:rPr>
                <w:rFonts w:ascii="Arial" w:hAnsi="Arial" w:cs="Arial"/>
                <w:color w:val="000000"/>
              </w:rPr>
            </w:pPr>
            <w:r w:rsidRPr="00103564">
              <w:rPr>
                <w:rFonts w:ascii="Arial" w:hAnsi="Arial" w:cs="Arial"/>
                <w:color w:val="000000"/>
              </w:rPr>
              <w:t xml:space="preserve">The PBAC recommended the listing of perampanel for the treatment of primary generalised tonic-clonic (PGTC) seizures in patients with idiopathic generalised epilepsy (IGE), on the basis of a mixed comparison against placebo in refractory patients who have failed to respond adequately to other anti-epileptic drugs (AED); and against other AEDs (valproate, lamotrigine, levetiracetam and topiramate) for refractory patients in whom perampanel will substitute for another AED. In making this recommendation the PBAC agreed that there was a clinical need for an additional treatment option for patients with PGTC seizures.  </w:t>
            </w:r>
          </w:p>
          <w:p w:rsidR="00103564" w:rsidRPr="00103564" w:rsidRDefault="00103564" w:rsidP="002B3591">
            <w:pPr>
              <w:rPr>
                <w:rFonts w:ascii="Arial" w:hAnsi="Arial" w:cs="Arial"/>
                <w:color w:val="000000"/>
              </w:rPr>
            </w:pPr>
          </w:p>
          <w:p w:rsidR="00103564" w:rsidRPr="00103564" w:rsidRDefault="00103564" w:rsidP="002B3591">
            <w:pPr>
              <w:rPr>
                <w:rFonts w:ascii="Arial" w:hAnsi="Arial" w:cs="Arial"/>
                <w:color w:val="000000"/>
              </w:rPr>
            </w:pPr>
            <w:r w:rsidRPr="00103564">
              <w:rPr>
                <w:rFonts w:ascii="Arial" w:hAnsi="Arial" w:cs="Arial"/>
                <w:color w:val="000000"/>
              </w:rPr>
              <w:t>The PBAC noted that the equi-effective doses were nominated as perampanel 8 mg/day, lamotrigine 300 mg/day, levetiracetam 2000 mg/day, topiramate 300 mg/day and valproate 1500 mg/day. The PBAC considered there was uncertainty around the equi-effective doses but that overall these doses provided a reasonable basis for the cost-minimisation analysis.</w:t>
            </w:r>
          </w:p>
          <w:p w:rsidR="00103564" w:rsidRPr="00103564" w:rsidRDefault="00103564" w:rsidP="002B3591">
            <w:pPr>
              <w:rPr>
                <w:rFonts w:ascii="Arial" w:hAnsi="Arial" w:cs="Arial"/>
                <w:color w:val="000000"/>
              </w:rPr>
            </w:pPr>
          </w:p>
          <w:p w:rsidR="00103564" w:rsidRPr="00103564" w:rsidRDefault="00103564" w:rsidP="00A158E1">
            <w:pPr>
              <w:rPr>
                <w:rFonts w:ascii="Arial" w:hAnsi="Arial" w:cs="Arial"/>
                <w:color w:val="000000"/>
              </w:rPr>
            </w:pPr>
            <w:r w:rsidRPr="00103564">
              <w:rPr>
                <w:rFonts w:ascii="Arial" w:hAnsi="Arial" w:cs="Arial"/>
                <w:color w:val="000000"/>
              </w:rPr>
              <w:t>The PBAC did not agree that the calculation of the weighted price presented in the submission was appropriate. The PBAC considered that the proportion of perapanel use in last-line vs earlier line treatment was likely to be 30-40% and 60-70% respectively.</w:t>
            </w:r>
          </w:p>
          <w:p w:rsidR="00103564" w:rsidRPr="00103564" w:rsidRDefault="00103564" w:rsidP="00A158E1">
            <w:pPr>
              <w:rPr>
                <w:rFonts w:ascii="Arial" w:hAnsi="Arial" w:cs="Arial"/>
                <w:color w:val="000000"/>
              </w:rPr>
            </w:pPr>
          </w:p>
          <w:p w:rsidR="00103564" w:rsidRPr="00103564" w:rsidRDefault="00103564" w:rsidP="00A158E1">
            <w:pPr>
              <w:rPr>
                <w:rFonts w:ascii="Arial" w:hAnsi="Arial" w:cs="Arial"/>
                <w:color w:val="000000"/>
              </w:rPr>
            </w:pPr>
          </w:p>
        </w:tc>
      </w:tr>
      <w:tr w:rsidR="00103564" w:rsidRPr="00103564" w:rsidTr="00103564">
        <w:trPr>
          <w:cantSplit/>
          <w:trHeight w:val="430"/>
        </w:trPr>
        <w:tc>
          <w:tcPr>
            <w:tcW w:w="304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B15C21">
            <w:pPr>
              <w:rPr>
                <w:rFonts w:ascii="Arial" w:hAnsi="Arial" w:cs="Arial"/>
              </w:rPr>
            </w:pPr>
            <w:r w:rsidRPr="00103564">
              <w:rPr>
                <w:rFonts w:ascii="Arial" w:hAnsi="Arial" w:cs="Arial"/>
              </w:rPr>
              <w:lastRenderedPageBreak/>
              <w:t xml:space="preserve">RITUXIMAB </w:t>
            </w:r>
          </w:p>
          <w:p w:rsidR="00103564" w:rsidRPr="00103564" w:rsidRDefault="00103564" w:rsidP="00B15C21">
            <w:pPr>
              <w:rPr>
                <w:rFonts w:ascii="Arial" w:hAnsi="Arial" w:cs="Arial"/>
              </w:rPr>
            </w:pPr>
          </w:p>
          <w:p w:rsidR="00103564" w:rsidRPr="00103564" w:rsidRDefault="00103564" w:rsidP="00B15C21">
            <w:pPr>
              <w:rPr>
                <w:rFonts w:ascii="Arial" w:hAnsi="Arial" w:cs="Arial"/>
              </w:rPr>
            </w:pPr>
            <w:r w:rsidRPr="00103564">
              <w:rPr>
                <w:rFonts w:ascii="Arial" w:hAnsi="Arial" w:cs="Arial"/>
              </w:rPr>
              <w:t xml:space="preserve">Solution for subcutaneous injection containing </w:t>
            </w:r>
          </w:p>
          <w:p w:rsidR="00103564" w:rsidRPr="00103564" w:rsidRDefault="00103564" w:rsidP="00B15C21">
            <w:pPr>
              <w:rPr>
                <w:rFonts w:ascii="Arial" w:hAnsi="Arial" w:cs="Arial"/>
              </w:rPr>
            </w:pPr>
            <w:r w:rsidRPr="00103564">
              <w:rPr>
                <w:rFonts w:ascii="Arial" w:hAnsi="Arial" w:cs="Arial"/>
              </w:rPr>
              <w:t xml:space="preserve">rituximab 1400 mg in 11.7 mL Solution for I.V. infusion 100 mg in 10 mL </w:t>
            </w:r>
          </w:p>
          <w:p w:rsidR="00103564" w:rsidRPr="00103564" w:rsidRDefault="00103564" w:rsidP="00B15C21">
            <w:pPr>
              <w:rPr>
                <w:rFonts w:ascii="Arial" w:hAnsi="Arial" w:cs="Arial"/>
              </w:rPr>
            </w:pPr>
            <w:r w:rsidRPr="00103564">
              <w:rPr>
                <w:rFonts w:ascii="Arial" w:hAnsi="Arial" w:cs="Arial"/>
              </w:rPr>
              <w:t xml:space="preserve">Solution for I.V. infusion 500 mg in 50 mL </w:t>
            </w:r>
          </w:p>
          <w:p w:rsidR="00103564" w:rsidRPr="00103564" w:rsidRDefault="00103564" w:rsidP="00B15C21">
            <w:pPr>
              <w:rPr>
                <w:rFonts w:ascii="Arial" w:hAnsi="Arial" w:cs="Arial"/>
              </w:rPr>
            </w:pPr>
          </w:p>
          <w:p w:rsidR="00103564" w:rsidRPr="00103564" w:rsidRDefault="00103564" w:rsidP="00B15C21">
            <w:pPr>
              <w:rPr>
                <w:rFonts w:ascii="Arial" w:hAnsi="Arial" w:cs="Arial"/>
              </w:rPr>
            </w:pPr>
            <w:r w:rsidRPr="00103564">
              <w:rPr>
                <w:rFonts w:ascii="Arial" w:hAnsi="Arial" w:cs="Arial"/>
              </w:rPr>
              <w:t xml:space="preserve">Mabthera® SC </w:t>
            </w:r>
          </w:p>
          <w:p w:rsidR="00103564" w:rsidRPr="00103564" w:rsidRDefault="00103564" w:rsidP="00B15C21">
            <w:pPr>
              <w:rPr>
                <w:rFonts w:ascii="Arial" w:hAnsi="Arial" w:cs="Arial"/>
              </w:rPr>
            </w:pPr>
            <w:r w:rsidRPr="00103564">
              <w:rPr>
                <w:rFonts w:ascii="Arial" w:hAnsi="Arial" w:cs="Arial"/>
              </w:rPr>
              <w:t>Mabthera®</w:t>
            </w:r>
          </w:p>
          <w:p w:rsidR="00103564" w:rsidRPr="00103564" w:rsidRDefault="00103564" w:rsidP="00B15C21">
            <w:pPr>
              <w:rPr>
                <w:rFonts w:ascii="Arial" w:hAnsi="Arial" w:cs="Arial"/>
              </w:rPr>
            </w:pPr>
          </w:p>
          <w:p w:rsidR="00103564" w:rsidRDefault="00103564" w:rsidP="00B15C21">
            <w:pPr>
              <w:rPr>
                <w:rFonts w:ascii="Arial" w:hAnsi="Arial" w:cs="Arial"/>
              </w:rPr>
            </w:pPr>
            <w:r w:rsidRPr="00103564">
              <w:rPr>
                <w:rFonts w:ascii="Arial" w:hAnsi="Arial" w:cs="Arial"/>
              </w:rPr>
              <w:t>Roche Products Pty Ltd</w:t>
            </w:r>
          </w:p>
          <w:p w:rsidR="00103564" w:rsidRDefault="00103564" w:rsidP="00B15C21">
            <w:pPr>
              <w:rPr>
                <w:rFonts w:ascii="Arial" w:hAnsi="Arial" w:cs="Arial"/>
              </w:rPr>
            </w:pPr>
          </w:p>
          <w:p w:rsidR="00103564" w:rsidRPr="00103564" w:rsidRDefault="00103564" w:rsidP="00B15C21">
            <w:pPr>
              <w:rPr>
                <w:rFonts w:ascii="Arial" w:hAnsi="Arial" w:cs="Arial"/>
              </w:rPr>
            </w:pPr>
            <w:r>
              <w:rPr>
                <w:rFonts w:ascii="Arial" w:hAnsi="Arial" w:cs="Arial"/>
              </w:rPr>
              <w:t>Change to listing</w:t>
            </w:r>
          </w:p>
          <w:p w:rsidR="00103564" w:rsidRPr="00103564" w:rsidRDefault="00103564" w:rsidP="00B15C21">
            <w:pPr>
              <w:rPr>
                <w:rFonts w:ascii="Arial" w:hAnsi="Arial" w:cs="Arial"/>
              </w:rPr>
            </w:pPr>
          </w:p>
          <w:p w:rsidR="00103564" w:rsidRPr="00103564" w:rsidRDefault="00103564" w:rsidP="00B15C21">
            <w:pPr>
              <w:rPr>
                <w:rFonts w:ascii="Arial" w:hAnsi="Arial" w:cs="Arial"/>
              </w:rPr>
            </w:pPr>
            <w:r w:rsidRPr="00103564">
              <w:rPr>
                <w:rFonts w:ascii="Arial" w:hAnsi="Arial" w:cs="Arial"/>
              </w:rPr>
              <w:t>(Minor Submission)</w:t>
            </w:r>
          </w:p>
        </w:tc>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B15C21">
            <w:pPr>
              <w:rPr>
                <w:rFonts w:ascii="Arial" w:hAnsi="Arial" w:cs="Arial"/>
                <w:color w:val="000000"/>
              </w:rPr>
            </w:pPr>
            <w:r w:rsidRPr="00103564">
              <w:rPr>
                <w:rFonts w:ascii="Arial" w:hAnsi="Arial" w:cs="Arial"/>
                <w:color w:val="000000"/>
              </w:rPr>
              <w:t>CD20 positive lymphoma</w:t>
            </w:r>
          </w:p>
        </w:tc>
        <w:tc>
          <w:tcPr>
            <w:tcW w:w="286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B15C21">
            <w:pPr>
              <w:spacing w:after="240"/>
              <w:rPr>
                <w:rFonts w:ascii="Arial" w:hAnsi="Arial" w:cs="Arial"/>
                <w:color w:val="000000"/>
              </w:rPr>
            </w:pPr>
            <w:r w:rsidRPr="00103564">
              <w:rPr>
                <w:rFonts w:ascii="Arial" w:hAnsi="Arial" w:cs="Arial"/>
                <w:color w:val="000000"/>
              </w:rPr>
              <w:t>To consider the available evidence for the consolidation of all existing listings of rituximab for CD20 positive lymphomas.</w:t>
            </w:r>
          </w:p>
        </w:tc>
        <w:tc>
          <w:tcPr>
            <w:tcW w:w="6586" w:type="dxa"/>
            <w:tcBorders>
              <w:top w:val="single" w:sz="4" w:space="0" w:color="auto"/>
              <w:left w:val="single" w:sz="4" w:space="0" w:color="auto"/>
              <w:bottom w:val="single" w:sz="4" w:space="0" w:color="auto"/>
              <w:right w:val="single" w:sz="4" w:space="0" w:color="auto"/>
            </w:tcBorders>
            <w:shd w:val="clear" w:color="auto" w:fill="auto"/>
          </w:tcPr>
          <w:p w:rsidR="00103564" w:rsidRPr="00103564" w:rsidRDefault="00103564" w:rsidP="00B15C21">
            <w:pPr>
              <w:rPr>
                <w:rFonts w:ascii="Arial" w:hAnsi="Arial" w:cs="Arial"/>
                <w:color w:val="000000"/>
              </w:rPr>
            </w:pPr>
            <w:r w:rsidRPr="00103564">
              <w:rPr>
                <w:rFonts w:ascii="Arial" w:hAnsi="Arial" w:cs="Arial"/>
                <w:color w:val="000000"/>
              </w:rPr>
              <w:t xml:space="preserve">The PBAC recommended a new, single, consolidated listing for rituximab as induction therapy in combination with PBS-subsidised chemotherapy for all CD20 positive lymphoid cancers. The PBAC also recommended a new continuing therapy listing for rituximab as maintenance therapy in combination with PBS-subsidised chemotherapy for CD20 positive acute lymphoblastic leukaemia. The PBAC recommended no change to the current PBS listings for rituximab as monotherapy for maintenance treatment of follicular B-cell non-Hodgkin’s lymphoma; and re-induction treatment of relapsed or refractory low-grade B-cell non-Hodgkin’s lymphoma. </w:t>
            </w:r>
          </w:p>
          <w:p w:rsidR="00103564" w:rsidRPr="00103564" w:rsidRDefault="00103564" w:rsidP="00B15C21">
            <w:pPr>
              <w:rPr>
                <w:rFonts w:ascii="Arial" w:hAnsi="Arial" w:cs="Arial"/>
                <w:color w:val="000000"/>
              </w:rPr>
            </w:pPr>
            <w:r w:rsidRPr="00103564">
              <w:rPr>
                <w:rFonts w:ascii="Arial" w:hAnsi="Arial" w:cs="Arial"/>
                <w:color w:val="000000"/>
              </w:rPr>
              <w:t>In making its decision, the PBAC recalled its review of the evidence for use of rituximab in combination with chemotherapy for patients at its July 2016 meeting. It also recalled prior input from the Haematology Society of Australia and New Zealand (HSANZ), the Australasian Leukaemia &amp; Lymphoma Group (ALLG), and consumers on the need to broaden the PBS listings, and noted the recent publication of evidence supporting use in CD20 positive acute lymphoblastic leukaemia.</w:t>
            </w:r>
          </w:p>
        </w:tc>
      </w:tr>
      <w:tr w:rsidR="00103564" w:rsidRPr="00103564" w:rsidTr="00003DA2">
        <w:trPr>
          <w:cantSplit/>
          <w:trHeight w:val="430"/>
        </w:trPr>
        <w:tc>
          <w:tcPr>
            <w:tcW w:w="304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F64D19">
            <w:pPr>
              <w:rPr>
                <w:rFonts w:ascii="Arial" w:hAnsi="Arial" w:cs="Arial"/>
              </w:rPr>
            </w:pPr>
            <w:r w:rsidRPr="00103564">
              <w:rPr>
                <w:rFonts w:ascii="Arial" w:hAnsi="Arial" w:cs="Arial"/>
              </w:rPr>
              <w:lastRenderedPageBreak/>
              <w:t xml:space="preserve">SOMATROPIN </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 xml:space="preserve">All forms and strengths </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All brands</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Endocrine Society of Australia; Australian Paediatric Endocrine Group</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Change to listing</w:t>
            </w:r>
          </w:p>
          <w:p w:rsidR="00103564" w:rsidRPr="00103564" w:rsidRDefault="00103564" w:rsidP="00F64D19">
            <w:pPr>
              <w:rPr>
                <w:rFonts w:ascii="Arial" w:hAnsi="Arial" w:cs="Arial"/>
              </w:rPr>
            </w:pPr>
          </w:p>
          <w:p w:rsidR="00103564" w:rsidRPr="00103564" w:rsidRDefault="00103564" w:rsidP="00703645">
            <w:pPr>
              <w:rPr>
                <w:rFonts w:ascii="Arial" w:hAnsi="Arial" w:cs="Arial"/>
              </w:rPr>
            </w:pPr>
            <w:r w:rsidRPr="00103564">
              <w:rPr>
                <w:rFonts w:ascii="Arial" w:hAnsi="Arial" w:cs="Arial"/>
                <w:color w:val="000000"/>
              </w:rPr>
              <w:t>(Minor Submission)</w:t>
            </w:r>
          </w:p>
        </w:tc>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ED02FE">
            <w:pPr>
              <w:rPr>
                <w:rFonts w:ascii="Arial" w:hAnsi="Arial" w:cs="Arial"/>
                <w:color w:val="000000"/>
              </w:rPr>
            </w:pPr>
            <w:r w:rsidRPr="00103564">
              <w:rPr>
                <w:rFonts w:ascii="Arial" w:hAnsi="Arial" w:cs="Arial"/>
                <w:color w:val="000000"/>
              </w:rPr>
              <w:t>Severe growth hormone deficiency</w:t>
            </w:r>
          </w:p>
        </w:tc>
        <w:tc>
          <w:tcPr>
            <w:tcW w:w="286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30634">
            <w:pPr>
              <w:spacing w:after="240"/>
              <w:rPr>
                <w:rFonts w:ascii="Arial" w:hAnsi="Arial" w:cs="Arial"/>
                <w:color w:val="000000"/>
              </w:rPr>
            </w:pPr>
            <w:r w:rsidRPr="00103564">
              <w:rPr>
                <w:rFonts w:ascii="Arial" w:hAnsi="Arial" w:cs="Arial"/>
                <w:color w:val="000000"/>
              </w:rPr>
              <w:t>Resubmission to request a Section 100 (Growth Hormone) Authority Required listing for the treatment of adults with severe growth hormone deficiency and substantially impaired quality of life at baseline.</w:t>
            </w:r>
          </w:p>
        </w:tc>
        <w:tc>
          <w:tcPr>
            <w:tcW w:w="6586" w:type="dxa"/>
            <w:tcBorders>
              <w:top w:val="single" w:sz="4" w:space="0" w:color="auto"/>
              <w:left w:val="single" w:sz="4" w:space="0" w:color="auto"/>
              <w:bottom w:val="single" w:sz="4" w:space="0" w:color="auto"/>
              <w:right w:val="single" w:sz="4" w:space="0" w:color="auto"/>
            </w:tcBorders>
            <w:shd w:val="clear" w:color="auto" w:fill="auto"/>
          </w:tcPr>
          <w:p w:rsidR="00103564" w:rsidRPr="00103564" w:rsidRDefault="00103564" w:rsidP="00130842">
            <w:pPr>
              <w:rPr>
                <w:rFonts w:ascii="Arial" w:hAnsi="Arial" w:cs="Arial"/>
                <w:color w:val="000000"/>
              </w:rPr>
            </w:pPr>
            <w:r w:rsidRPr="00103564">
              <w:rPr>
                <w:rFonts w:ascii="Arial" w:hAnsi="Arial" w:cs="Arial"/>
                <w:color w:val="000000"/>
              </w:rPr>
              <w:t xml:space="preserve">The PBAC recommended the listing of somatropin for the treatment of adults with severe growth hormone deficiency (GHD), and substantially impaired quality of life (QoL) at baseline, on the basis that it should be available only under special arrangements under Section 100 (Growth Hormone Program). The PBAC was satisfied that somatropin provides, for some patients, a significant improvement in efficacy over standard care. In November 2016, the PBAC had deferred its decision on listing this drug for this indication to seek further comparative analysis on the range of clinical benefits provided by somatropin, to clarify the proposed PBS restriction, and to allow the Department to discuss appropriate pricing in this setting with sponsors of somatropin products registered for use in adults. </w:t>
            </w:r>
          </w:p>
          <w:p w:rsidR="00103564" w:rsidRPr="00103564" w:rsidRDefault="00103564" w:rsidP="00130842">
            <w:pPr>
              <w:rPr>
                <w:rFonts w:ascii="Arial" w:hAnsi="Arial" w:cs="Arial"/>
                <w:color w:val="000000"/>
              </w:rPr>
            </w:pPr>
          </w:p>
          <w:p w:rsidR="00103564" w:rsidRPr="00103564" w:rsidRDefault="00103564" w:rsidP="00743123">
            <w:pPr>
              <w:rPr>
                <w:rFonts w:ascii="Arial" w:hAnsi="Arial" w:cs="Arial"/>
                <w:color w:val="000000"/>
              </w:rPr>
            </w:pPr>
            <w:r w:rsidRPr="00103564">
              <w:rPr>
                <w:rFonts w:ascii="Arial" w:hAnsi="Arial" w:cs="Arial"/>
                <w:color w:val="000000"/>
              </w:rPr>
              <w:t xml:space="preserve">In its consideration of the present submission, the PBAC noted the narrative review of evidence in relation to the effects of somatropin on body composition, bone mineral density, cardiovascular risk, cardiorespiratory function, safety and various QoL assessment instruments. Although non-comparative, the PBAC nonetheless found that this evidence supported its previous findings concerning the clinical need and benefit of this therapy. The PBAC maintained its concerns regarding the November 2016 model inputs, which had introduced uncertainty into the ICER calculations. However, the PBAC also recalled its view that, given the high uncertainty in quantifying the clinical benefit of somatropin treatment, a reduction in drug cost would address some of the uncertainty in the cost-effectiveness of somatropin in this setting.  The PBAC therefore advised that its uncertainty would be mitigated, and the cost-effectiveness of somatropin in this setting would be acceptable, at a lower ICER. </w:t>
            </w:r>
          </w:p>
        </w:tc>
      </w:tr>
      <w:tr w:rsidR="00103564" w:rsidRPr="00103564" w:rsidTr="00003DA2">
        <w:trPr>
          <w:cantSplit/>
          <w:trHeight w:val="430"/>
        </w:trPr>
        <w:tc>
          <w:tcPr>
            <w:tcW w:w="304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30634">
            <w:pPr>
              <w:rPr>
                <w:rFonts w:ascii="Arial" w:hAnsi="Arial" w:cs="Arial"/>
              </w:rPr>
            </w:pPr>
            <w:r w:rsidRPr="00103564">
              <w:rPr>
                <w:rFonts w:ascii="Arial" w:hAnsi="Arial" w:cs="Arial"/>
              </w:rPr>
              <w:lastRenderedPageBreak/>
              <w:t>TRIGLYCERIDES MEDIUM CHAIN FORMULA</w:t>
            </w:r>
          </w:p>
          <w:p w:rsidR="00103564" w:rsidRPr="00103564" w:rsidRDefault="00103564" w:rsidP="00130634">
            <w:pPr>
              <w:rPr>
                <w:rFonts w:ascii="Arial" w:hAnsi="Arial" w:cs="Arial"/>
              </w:rPr>
            </w:pPr>
          </w:p>
          <w:p w:rsidR="00103564" w:rsidRPr="00103564" w:rsidRDefault="00103564" w:rsidP="00130634">
            <w:pPr>
              <w:rPr>
                <w:rFonts w:ascii="Arial" w:hAnsi="Arial" w:cs="Arial"/>
              </w:rPr>
            </w:pPr>
            <w:r w:rsidRPr="00103564">
              <w:rPr>
                <w:rFonts w:ascii="Arial" w:hAnsi="Arial" w:cs="Arial"/>
              </w:rPr>
              <w:t>Oral powder 400 g (Monogen)</w:t>
            </w:r>
          </w:p>
          <w:p w:rsidR="00103564" w:rsidRPr="00103564" w:rsidRDefault="00103564" w:rsidP="00130634">
            <w:pPr>
              <w:rPr>
                <w:rFonts w:ascii="Arial" w:hAnsi="Arial" w:cs="Arial"/>
              </w:rPr>
            </w:pPr>
          </w:p>
          <w:p w:rsidR="00103564" w:rsidRPr="00103564" w:rsidRDefault="00103564" w:rsidP="00130634">
            <w:pPr>
              <w:rPr>
                <w:rFonts w:ascii="Arial" w:hAnsi="Arial" w:cs="Arial"/>
              </w:rPr>
            </w:pPr>
            <w:r w:rsidRPr="00103564">
              <w:rPr>
                <w:rFonts w:ascii="Arial" w:hAnsi="Arial" w:cs="Arial"/>
              </w:rPr>
              <w:t>Monogen®</w:t>
            </w:r>
          </w:p>
          <w:p w:rsidR="00103564" w:rsidRPr="00103564" w:rsidRDefault="00103564" w:rsidP="00130634">
            <w:pPr>
              <w:rPr>
                <w:rFonts w:ascii="Arial" w:hAnsi="Arial" w:cs="Arial"/>
              </w:rPr>
            </w:pPr>
          </w:p>
          <w:p w:rsidR="00103564" w:rsidRPr="00103564" w:rsidRDefault="00103564" w:rsidP="00130634">
            <w:pPr>
              <w:rPr>
                <w:rFonts w:ascii="Arial" w:hAnsi="Arial" w:cs="Arial"/>
              </w:rPr>
            </w:pPr>
            <w:r w:rsidRPr="00103564">
              <w:rPr>
                <w:rFonts w:ascii="Arial" w:hAnsi="Arial" w:cs="Arial"/>
              </w:rPr>
              <w:t>Nutricia Australia Pty Ltd</w:t>
            </w:r>
          </w:p>
          <w:p w:rsidR="00103564" w:rsidRPr="00103564" w:rsidRDefault="00103564" w:rsidP="00130634">
            <w:pPr>
              <w:rPr>
                <w:rFonts w:ascii="Arial" w:hAnsi="Arial" w:cs="Arial"/>
              </w:rPr>
            </w:pPr>
          </w:p>
          <w:p w:rsidR="00103564" w:rsidRPr="00103564" w:rsidRDefault="00103564" w:rsidP="00130634">
            <w:pPr>
              <w:rPr>
                <w:rFonts w:ascii="Arial" w:hAnsi="Arial" w:cs="Arial"/>
                <w:b/>
              </w:rPr>
            </w:pPr>
            <w:r w:rsidRPr="00103564">
              <w:rPr>
                <w:rFonts w:ascii="Arial" w:hAnsi="Arial" w:cs="Arial"/>
                <w:color w:val="000000"/>
              </w:rPr>
              <w:t>Change to listing</w:t>
            </w:r>
            <w:r w:rsidRPr="00103564">
              <w:rPr>
                <w:rFonts w:ascii="Arial" w:hAnsi="Arial" w:cs="Arial"/>
                <w:color w:val="000000"/>
              </w:rPr>
              <w:br/>
            </w:r>
            <w:r w:rsidRPr="00103564">
              <w:rPr>
                <w:rFonts w:ascii="Arial" w:hAnsi="Arial" w:cs="Arial"/>
                <w:color w:val="000000"/>
              </w:rPr>
              <w:br/>
              <w:t>(Minor Submission)</w:t>
            </w:r>
          </w:p>
        </w:tc>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ED02FE">
            <w:pPr>
              <w:rPr>
                <w:rFonts w:ascii="Arial" w:hAnsi="Arial" w:cs="Arial"/>
                <w:color w:val="000000"/>
              </w:rPr>
            </w:pPr>
            <w:r w:rsidRPr="00103564">
              <w:rPr>
                <w:rFonts w:ascii="Arial" w:hAnsi="Arial" w:cs="Arial"/>
                <w:color w:val="000000"/>
              </w:rPr>
              <w:t>Dietary management of conditions requiring a source of medium chain triglycerides</w:t>
            </w:r>
          </w:p>
        </w:tc>
        <w:tc>
          <w:tcPr>
            <w:tcW w:w="286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30634">
            <w:pPr>
              <w:spacing w:after="240"/>
              <w:rPr>
                <w:rFonts w:ascii="Arial" w:hAnsi="Arial" w:cs="Arial"/>
              </w:rPr>
            </w:pPr>
            <w:r w:rsidRPr="00103564">
              <w:rPr>
                <w:rFonts w:ascii="Arial" w:hAnsi="Arial" w:cs="Arial"/>
              </w:rPr>
              <w:t>To advise the PBAC of a change to the formulation of Monogen.</w:t>
            </w:r>
          </w:p>
        </w:tc>
        <w:tc>
          <w:tcPr>
            <w:tcW w:w="6586" w:type="dxa"/>
            <w:tcBorders>
              <w:top w:val="single" w:sz="4" w:space="0" w:color="auto"/>
              <w:left w:val="single" w:sz="4" w:space="0" w:color="auto"/>
              <w:bottom w:val="single" w:sz="4" w:space="0" w:color="auto"/>
              <w:right w:val="single" w:sz="4" w:space="0" w:color="auto"/>
            </w:tcBorders>
          </w:tcPr>
          <w:p w:rsidR="00103564" w:rsidRPr="00103564" w:rsidRDefault="00103564" w:rsidP="00743123">
            <w:pPr>
              <w:widowControl w:val="0"/>
              <w:ind w:left="138"/>
              <w:rPr>
                <w:rFonts w:ascii="Arial" w:hAnsi="Arial" w:cs="Arial"/>
              </w:rPr>
            </w:pPr>
            <w:r w:rsidRPr="00103564">
              <w:rPr>
                <w:rFonts w:ascii="Arial" w:hAnsi="Arial" w:cs="Arial"/>
              </w:rPr>
              <w:t xml:space="preserve">The PBAC recommended the continued listing of Monogen® for the dietary management of conditions requiring a source of medium chain triglycerides, with a change in nutritional profile. </w:t>
            </w:r>
          </w:p>
        </w:tc>
      </w:tr>
      <w:tr w:rsidR="00103564" w:rsidRPr="00103564" w:rsidTr="00003DA2">
        <w:trPr>
          <w:cantSplit/>
          <w:trHeight w:val="430"/>
        </w:trPr>
        <w:tc>
          <w:tcPr>
            <w:tcW w:w="304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2004A8">
            <w:pPr>
              <w:rPr>
                <w:rFonts w:ascii="Arial" w:hAnsi="Arial" w:cs="Arial"/>
                <w:color w:val="000000"/>
              </w:rPr>
            </w:pPr>
            <w:r w:rsidRPr="00103564">
              <w:rPr>
                <w:rFonts w:ascii="Arial" w:hAnsi="Arial" w:cs="Arial"/>
                <w:color w:val="000000"/>
              </w:rPr>
              <w:t>VENETOCLAX</w:t>
            </w:r>
          </w:p>
          <w:p w:rsidR="00103564" w:rsidRPr="00103564" w:rsidRDefault="00103564" w:rsidP="002004A8">
            <w:pPr>
              <w:rPr>
                <w:rFonts w:ascii="Arial" w:hAnsi="Arial" w:cs="Arial"/>
                <w:color w:val="000000"/>
              </w:rPr>
            </w:pPr>
          </w:p>
          <w:p w:rsidR="00103564" w:rsidRPr="00103564" w:rsidRDefault="00103564" w:rsidP="002004A8">
            <w:pPr>
              <w:rPr>
                <w:rFonts w:ascii="Arial" w:hAnsi="Arial" w:cs="Arial"/>
                <w:color w:val="000000"/>
              </w:rPr>
            </w:pPr>
            <w:r w:rsidRPr="00103564">
              <w:rPr>
                <w:rFonts w:ascii="Arial" w:hAnsi="Arial" w:cs="Arial"/>
                <w:color w:val="000000"/>
              </w:rPr>
              <w:t xml:space="preserve">Tablet 10 mg </w:t>
            </w:r>
          </w:p>
          <w:p w:rsidR="00103564" w:rsidRPr="00103564" w:rsidRDefault="00103564" w:rsidP="002004A8">
            <w:pPr>
              <w:rPr>
                <w:rFonts w:ascii="Arial" w:hAnsi="Arial" w:cs="Arial"/>
                <w:color w:val="000000"/>
              </w:rPr>
            </w:pPr>
            <w:r w:rsidRPr="00103564">
              <w:rPr>
                <w:rFonts w:ascii="Arial" w:hAnsi="Arial" w:cs="Arial"/>
                <w:color w:val="000000"/>
              </w:rPr>
              <w:t>Tablet 50 mg</w:t>
            </w:r>
          </w:p>
          <w:p w:rsidR="00103564" w:rsidRPr="00103564" w:rsidRDefault="00103564" w:rsidP="002004A8">
            <w:pPr>
              <w:rPr>
                <w:rFonts w:ascii="Arial" w:hAnsi="Arial" w:cs="Arial"/>
                <w:color w:val="000000"/>
              </w:rPr>
            </w:pPr>
            <w:r w:rsidRPr="00103564">
              <w:rPr>
                <w:rFonts w:ascii="Arial" w:hAnsi="Arial" w:cs="Arial"/>
                <w:color w:val="000000"/>
              </w:rPr>
              <w:t xml:space="preserve">Tablet 100 mg </w:t>
            </w:r>
          </w:p>
          <w:p w:rsidR="00103564" w:rsidRPr="00103564" w:rsidRDefault="00103564" w:rsidP="002004A8">
            <w:pPr>
              <w:rPr>
                <w:rFonts w:ascii="Arial" w:hAnsi="Arial" w:cs="Arial"/>
                <w:color w:val="000000"/>
              </w:rPr>
            </w:pPr>
          </w:p>
          <w:p w:rsidR="00103564" w:rsidRPr="00103564" w:rsidRDefault="00103564" w:rsidP="002004A8">
            <w:pPr>
              <w:rPr>
                <w:rFonts w:ascii="Arial" w:hAnsi="Arial" w:cs="Arial"/>
                <w:color w:val="000000"/>
              </w:rPr>
            </w:pPr>
            <w:r w:rsidRPr="00103564">
              <w:rPr>
                <w:rFonts w:ascii="Arial" w:hAnsi="Arial" w:cs="Arial"/>
                <w:color w:val="000000"/>
              </w:rPr>
              <w:t xml:space="preserve">Venclexta® </w:t>
            </w:r>
          </w:p>
          <w:p w:rsidR="00103564" w:rsidRPr="00103564" w:rsidRDefault="00103564" w:rsidP="002004A8">
            <w:pPr>
              <w:rPr>
                <w:rFonts w:ascii="Arial" w:hAnsi="Arial" w:cs="Arial"/>
                <w:color w:val="000000"/>
              </w:rPr>
            </w:pPr>
          </w:p>
          <w:p w:rsidR="00103564" w:rsidRPr="00103564" w:rsidRDefault="00103564" w:rsidP="002004A8">
            <w:pPr>
              <w:rPr>
                <w:rFonts w:ascii="Arial" w:hAnsi="Arial" w:cs="Arial"/>
                <w:color w:val="000000"/>
              </w:rPr>
            </w:pPr>
            <w:r w:rsidRPr="00103564">
              <w:rPr>
                <w:rFonts w:ascii="Arial" w:hAnsi="Arial" w:cs="Arial"/>
                <w:color w:val="000000"/>
              </w:rPr>
              <w:t>AbbVie Pty Ltd</w:t>
            </w:r>
          </w:p>
          <w:p w:rsidR="00103564" w:rsidRPr="00103564" w:rsidRDefault="00103564" w:rsidP="002004A8">
            <w:pPr>
              <w:rPr>
                <w:rFonts w:ascii="Arial" w:hAnsi="Arial" w:cs="Arial"/>
                <w:color w:val="000000"/>
              </w:rPr>
            </w:pPr>
          </w:p>
          <w:p w:rsidR="00103564" w:rsidRPr="00103564" w:rsidRDefault="00103564" w:rsidP="002004A8">
            <w:pPr>
              <w:rPr>
                <w:rFonts w:ascii="Arial" w:hAnsi="Arial" w:cs="Arial"/>
                <w:color w:val="000000"/>
              </w:rPr>
            </w:pPr>
            <w:r w:rsidRPr="00103564">
              <w:rPr>
                <w:rFonts w:ascii="Arial" w:hAnsi="Arial" w:cs="Arial"/>
                <w:color w:val="000000"/>
              </w:rPr>
              <w:t>New listing</w:t>
            </w:r>
          </w:p>
          <w:p w:rsidR="00103564" w:rsidRPr="00103564" w:rsidRDefault="00103564" w:rsidP="002004A8">
            <w:pPr>
              <w:rPr>
                <w:rFonts w:ascii="Arial" w:hAnsi="Arial" w:cs="Arial"/>
                <w:color w:val="000000"/>
              </w:rPr>
            </w:pPr>
          </w:p>
          <w:p w:rsidR="00103564" w:rsidRPr="00103564" w:rsidRDefault="00103564" w:rsidP="002004A8">
            <w:pPr>
              <w:rPr>
                <w:rFonts w:ascii="Arial" w:hAnsi="Arial" w:cs="Arial"/>
                <w:color w:val="000000"/>
                <w:highlight w:val="yellow"/>
              </w:rPr>
            </w:pPr>
            <w:r w:rsidRPr="00103564">
              <w:rPr>
                <w:rFonts w:ascii="Arial" w:hAnsi="Arial" w:cs="Arial"/>
                <w:color w:val="000000"/>
              </w:rPr>
              <w:t>(Minor Submission)</w:t>
            </w:r>
          </w:p>
        </w:tc>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ED02FE">
            <w:pPr>
              <w:rPr>
                <w:rFonts w:ascii="Arial" w:hAnsi="Arial" w:cs="Arial"/>
                <w:color w:val="000000"/>
                <w:highlight w:val="yellow"/>
              </w:rPr>
            </w:pPr>
            <w:r w:rsidRPr="00103564">
              <w:rPr>
                <w:rFonts w:ascii="Arial" w:hAnsi="Arial" w:cs="Arial"/>
                <w:color w:val="000000"/>
              </w:rPr>
              <w:t>Relapsed/refractory chronic lymphoid leukaemia (CLL)</w:t>
            </w:r>
          </w:p>
        </w:tc>
        <w:tc>
          <w:tcPr>
            <w:tcW w:w="286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30634">
            <w:pPr>
              <w:spacing w:after="240"/>
              <w:rPr>
                <w:rFonts w:ascii="Arial" w:hAnsi="Arial" w:cs="Arial"/>
                <w:color w:val="000000"/>
                <w:highlight w:val="yellow"/>
              </w:rPr>
            </w:pPr>
            <w:r w:rsidRPr="00103564">
              <w:rPr>
                <w:rFonts w:ascii="Arial" w:hAnsi="Arial" w:cs="Arial"/>
                <w:color w:val="000000"/>
              </w:rPr>
              <w:t>Resubmission to request an Authority Required listing for the treatment of relapsed/refractory CLL.</w:t>
            </w:r>
          </w:p>
        </w:tc>
        <w:tc>
          <w:tcPr>
            <w:tcW w:w="6586" w:type="dxa"/>
            <w:tcBorders>
              <w:top w:val="single" w:sz="4" w:space="0" w:color="auto"/>
              <w:left w:val="single" w:sz="4" w:space="0" w:color="auto"/>
              <w:bottom w:val="single" w:sz="4" w:space="0" w:color="auto"/>
              <w:right w:val="single" w:sz="4" w:space="0" w:color="auto"/>
            </w:tcBorders>
          </w:tcPr>
          <w:p w:rsidR="00103564" w:rsidRPr="00103564" w:rsidRDefault="008958E1" w:rsidP="002004A8">
            <w:pPr>
              <w:rPr>
                <w:rFonts w:ascii="Arial" w:hAnsi="Arial" w:cs="Arial"/>
                <w:color w:val="000000"/>
                <w:highlight w:val="yellow"/>
              </w:rPr>
            </w:pPr>
            <w:bookmarkStart w:id="0" w:name="_GoBack"/>
            <w:bookmarkEnd w:id="0"/>
            <w:r w:rsidRPr="008958E1">
              <w:rPr>
                <w:rFonts w:ascii="Arial" w:hAnsi="Arial" w:cs="Arial"/>
                <w:color w:val="000000"/>
              </w:rPr>
              <w:t>The PBAC recommended the listing of venetoclax. Given the uncertainty in regards to the comparative effectiveness and safety of venetoclax at this stage, the PBAC recommended venetoclax on a cost-minimisation basis with idelalisib in combination with rituximab for the treatment of relapsed or refractory chronic lymphocytic leukaemia (CLL) in patients who have failed a kinase inhibitor. The PBAC considered that, based on limited evidence, venetoclax was likely to be similar in terms of effectiveness to idelalisib with rituximab in this population with residual unmet clinical need. The PBAC rejected the request to list venetoclax as a second-line treatment option in patients with relapsed or refractory CLL who have a 17p deletion. The PBAC considered that there was an insufficient basis to justify that venetoclax could substitute for ibrutinib in this population.</w:t>
            </w:r>
          </w:p>
        </w:tc>
      </w:tr>
      <w:tr w:rsidR="00103564" w:rsidRPr="00103564" w:rsidTr="00003DA2">
        <w:trPr>
          <w:cantSplit/>
          <w:trHeight w:val="430"/>
        </w:trPr>
        <w:tc>
          <w:tcPr>
            <w:tcW w:w="304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F64D19">
            <w:pPr>
              <w:rPr>
                <w:rFonts w:ascii="Arial" w:hAnsi="Arial" w:cs="Arial"/>
              </w:rPr>
            </w:pPr>
            <w:r w:rsidRPr="00103564">
              <w:rPr>
                <w:rFonts w:ascii="Arial" w:hAnsi="Arial" w:cs="Arial"/>
              </w:rPr>
              <w:lastRenderedPageBreak/>
              <w:t>VITAMINS, MINERALS and TRACE ELEMENTS FORMULA</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 xml:space="preserve">Sachets containing oral powder </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7 g, 30 (Phlexy Vits)</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Phlexy Vits®</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Nutricia Australia Pty Ltd</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rPr>
              <w:t>New listing</w:t>
            </w:r>
          </w:p>
          <w:p w:rsidR="00103564" w:rsidRPr="00103564" w:rsidRDefault="00103564" w:rsidP="00F64D19">
            <w:pPr>
              <w:rPr>
                <w:rFonts w:ascii="Arial" w:hAnsi="Arial" w:cs="Arial"/>
              </w:rPr>
            </w:pPr>
          </w:p>
          <w:p w:rsidR="00103564" w:rsidRPr="00103564" w:rsidRDefault="00103564" w:rsidP="00F64D19">
            <w:pPr>
              <w:rPr>
                <w:rFonts w:ascii="Arial" w:hAnsi="Arial" w:cs="Arial"/>
              </w:rPr>
            </w:pPr>
            <w:r w:rsidRPr="00103564">
              <w:rPr>
                <w:rFonts w:ascii="Arial" w:hAnsi="Arial" w:cs="Arial"/>
                <w:color w:val="000000"/>
              </w:rPr>
              <w:t>(Minor Submission)</w:t>
            </w:r>
          </w:p>
        </w:tc>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ED02FE">
            <w:pPr>
              <w:rPr>
                <w:rFonts w:ascii="Arial" w:hAnsi="Arial" w:cs="Arial"/>
                <w:color w:val="000000"/>
              </w:rPr>
            </w:pPr>
            <w:r w:rsidRPr="00103564">
              <w:rPr>
                <w:rFonts w:ascii="Arial" w:hAnsi="Arial" w:cs="Arial"/>
                <w:color w:val="000000"/>
              </w:rPr>
              <w:t>Dietary management of conditions requiring a highly restrictive therapeutic diet</w:t>
            </w:r>
          </w:p>
        </w:tc>
        <w:tc>
          <w:tcPr>
            <w:tcW w:w="2865" w:type="dxa"/>
            <w:tcBorders>
              <w:top w:val="single" w:sz="4" w:space="0" w:color="auto"/>
              <w:left w:val="single" w:sz="4" w:space="0" w:color="auto"/>
              <w:bottom w:val="single" w:sz="4" w:space="0" w:color="auto"/>
              <w:right w:val="single" w:sz="4" w:space="0" w:color="auto"/>
            </w:tcBorders>
            <w:tcMar>
              <w:top w:w="28" w:type="dxa"/>
              <w:bottom w:w="28" w:type="dxa"/>
            </w:tcMar>
          </w:tcPr>
          <w:p w:rsidR="00103564" w:rsidRPr="00103564" w:rsidRDefault="00103564" w:rsidP="00130634">
            <w:pPr>
              <w:spacing w:after="240"/>
              <w:rPr>
                <w:rFonts w:ascii="Arial" w:hAnsi="Arial" w:cs="Arial"/>
                <w:color w:val="000000"/>
              </w:rPr>
            </w:pPr>
            <w:r w:rsidRPr="00103564">
              <w:rPr>
                <w:rFonts w:ascii="Arial" w:hAnsi="Arial" w:cs="Arial"/>
                <w:color w:val="000000"/>
              </w:rPr>
              <w:t>To request a Restricted Benefit listing of Phlexy Vits for patients requiring a highly restrictive therapeutic diet who have been unable to adequately meet vitamin, mineral and trace element needs with other proprietary vitamin and mineral preparations.</w:t>
            </w:r>
          </w:p>
        </w:tc>
        <w:tc>
          <w:tcPr>
            <w:tcW w:w="6586" w:type="dxa"/>
            <w:tcBorders>
              <w:top w:val="single" w:sz="4" w:space="0" w:color="auto"/>
              <w:left w:val="single" w:sz="4" w:space="0" w:color="auto"/>
              <w:bottom w:val="single" w:sz="4" w:space="0" w:color="auto"/>
              <w:right w:val="single" w:sz="4" w:space="0" w:color="auto"/>
            </w:tcBorders>
          </w:tcPr>
          <w:p w:rsidR="00103564" w:rsidRPr="00103564" w:rsidRDefault="00103564" w:rsidP="00E238C1">
            <w:pPr>
              <w:rPr>
                <w:rFonts w:ascii="Arial" w:hAnsi="Arial" w:cs="Arial"/>
                <w:color w:val="000000"/>
              </w:rPr>
            </w:pPr>
            <w:r w:rsidRPr="00103564">
              <w:rPr>
                <w:rFonts w:ascii="Arial" w:hAnsi="Arial" w:cs="Arial"/>
                <w:color w:val="000000"/>
              </w:rPr>
              <w:t xml:space="preserve">The PBAC recommended the Restricted Benefit listing of Phlexy-Vits® for the dietary management of conditions requiring a highly restrictive therapeutic diet for patients aged 3 years or older, on a cost-minimisation basis against FruitiVits® at an equivalent cost per sachet. </w:t>
            </w:r>
          </w:p>
        </w:tc>
      </w:tr>
    </w:tbl>
    <w:p w:rsidR="00E066EF" w:rsidRPr="00103564" w:rsidRDefault="00E066EF" w:rsidP="00844236">
      <w:pPr>
        <w:tabs>
          <w:tab w:val="left" w:pos="5210"/>
        </w:tabs>
        <w:rPr>
          <w:rFonts w:ascii="Arial" w:hAnsi="Arial" w:cs="Arial"/>
          <w:lang w:val="en-US"/>
        </w:rPr>
      </w:pPr>
    </w:p>
    <w:sectPr w:rsidR="00E066EF" w:rsidRPr="00103564" w:rsidSect="00CB2D1B">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EF0" w:rsidRDefault="00E75EF0">
      <w:r>
        <w:separator/>
      </w:r>
    </w:p>
  </w:endnote>
  <w:endnote w:type="continuationSeparator" w:id="0">
    <w:p w:rsidR="00E75EF0" w:rsidRDefault="00E7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Default="00C21AE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1AE1" w:rsidRDefault="00C21AE1"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Pr="00CE0CBC" w:rsidRDefault="00C21AE1"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D23321">
      <w:rPr>
        <w:rStyle w:val="PageNumber"/>
        <w:rFonts w:ascii="Arial" w:hAnsi="Arial" w:cs="Arial"/>
        <w:noProof/>
      </w:rPr>
      <w:t>13</w:t>
    </w:r>
    <w:r w:rsidRPr="00CE0CBC">
      <w:rPr>
        <w:rStyle w:val="PageNumber"/>
        <w:rFonts w:ascii="Arial" w:hAnsi="Arial" w:cs="Arial"/>
      </w:rPr>
      <w:fldChar w:fldCharType="end"/>
    </w:r>
  </w:p>
  <w:p w:rsidR="00C21AE1" w:rsidRDefault="00C21AE1"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EF0" w:rsidRDefault="00E75EF0">
      <w:r>
        <w:separator/>
      </w:r>
    </w:p>
  </w:footnote>
  <w:footnote w:type="continuationSeparator" w:id="0">
    <w:p w:rsidR="00E75EF0" w:rsidRDefault="00E75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38" w:rsidRPr="00730538" w:rsidRDefault="00730538" w:rsidP="00730538">
    <w:pPr>
      <w:pStyle w:val="Default"/>
      <w:rPr>
        <w:rFonts w:ascii="Arial" w:hAnsi="Arial" w:cs="Arial"/>
      </w:rPr>
    </w:pPr>
  </w:p>
  <w:p w:rsidR="00730538" w:rsidRDefault="00730538" w:rsidP="00730538">
    <w:pPr>
      <w:pStyle w:val="Header"/>
      <w:jc w:val="center"/>
    </w:pPr>
    <w:r>
      <w:rPr>
        <w:rFonts w:ascii="Arial" w:hAnsi="Arial" w:cs="Arial"/>
        <w:b/>
        <w:bCs/>
        <w:color w:val="000000"/>
      </w:rPr>
      <w:t>JULY 2017</w:t>
    </w:r>
    <w:r w:rsidRPr="00730538">
      <w:rPr>
        <w:rFonts w:ascii="Arial" w:hAnsi="Arial" w:cs="Arial"/>
        <w:b/>
        <w:bCs/>
        <w:color w:val="000000"/>
      </w:rPr>
      <w:t xml:space="preserve"> PBAC MEETING – POSITIVE RECOMMENDATIONS</w:t>
    </w:r>
  </w:p>
  <w:p w:rsidR="00C21AE1" w:rsidRDefault="00C21AE1" w:rsidP="007D408D">
    <w:pPr>
      <w:pStyle w:val="Header"/>
      <w:jc w:val="center"/>
      <w:rPr>
        <w:rFonts w:ascii="Arial" w:hAnsi="Arial" w:cs="Arial"/>
        <w:b/>
        <w:snapToGrid w:val="0"/>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31">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8"/>
  </w:num>
  <w:num w:numId="3">
    <w:abstractNumId w:val="27"/>
  </w:num>
  <w:num w:numId="4">
    <w:abstractNumId w:val="19"/>
  </w:num>
  <w:num w:numId="5">
    <w:abstractNumId w:val="15"/>
  </w:num>
  <w:num w:numId="6">
    <w:abstractNumId w:val="6"/>
  </w:num>
  <w:num w:numId="7">
    <w:abstractNumId w:val="2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32"/>
  </w:num>
  <w:num w:numId="12">
    <w:abstractNumId w:val="31"/>
  </w:num>
  <w:num w:numId="13">
    <w:abstractNumId w:val="7"/>
  </w:num>
  <w:num w:numId="14">
    <w:abstractNumId w:val="21"/>
  </w:num>
  <w:num w:numId="15">
    <w:abstractNumId w:val="10"/>
  </w:num>
  <w:num w:numId="16">
    <w:abstractNumId w:val="23"/>
  </w:num>
  <w:num w:numId="17">
    <w:abstractNumId w:val="2"/>
  </w:num>
  <w:num w:numId="18">
    <w:abstractNumId w:val="3"/>
  </w:num>
  <w:num w:numId="19">
    <w:abstractNumId w:val="11"/>
  </w:num>
  <w:num w:numId="20">
    <w:abstractNumId w:val="26"/>
  </w:num>
  <w:num w:numId="21">
    <w:abstractNumId w:val="20"/>
  </w:num>
  <w:num w:numId="22">
    <w:abstractNumId w:val="25"/>
  </w:num>
  <w:num w:numId="23">
    <w:abstractNumId w:val="1"/>
  </w:num>
  <w:num w:numId="24">
    <w:abstractNumId w:val="5"/>
  </w:num>
  <w:num w:numId="25">
    <w:abstractNumId w:val="22"/>
  </w:num>
  <w:num w:numId="26">
    <w:abstractNumId w:val="30"/>
  </w:num>
  <w:num w:numId="27">
    <w:abstractNumId w:val="13"/>
  </w:num>
  <w:num w:numId="28">
    <w:abstractNumId w:val="4"/>
  </w:num>
  <w:num w:numId="29">
    <w:abstractNumId w:val="9"/>
  </w:num>
  <w:num w:numId="30">
    <w:abstractNumId w:val="12"/>
  </w:num>
  <w:num w:numId="31">
    <w:abstractNumId w:val="18"/>
  </w:num>
  <w:num w:numId="32">
    <w:abstractNumId w:val="1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0F6"/>
    <w:rsid w:val="00002E16"/>
    <w:rsid w:val="000034C3"/>
    <w:rsid w:val="00003584"/>
    <w:rsid w:val="00003DA2"/>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EA7"/>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2361"/>
    <w:rsid w:val="000223D3"/>
    <w:rsid w:val="00022435"/>
    <w:rsid w:val="00022686"/>
    <w:rsid w:val="000228B1"/>
    <w:rsid w:val="0002300F"/>
    <w:rsid w:val="0002305C"/>
    <w:rsid w:val="00023228"/>
    <w:rsid w:val="00023817"/>
    <w:rsid w:val="0002401C"/>
    <w:rsid w:val="00024248"/>
    <w:rsid w:val="000245BC"/>
    <w:rsid w:val="0002470A"/>
    <w:rsid w:val="000252DE"/>
    <w:rsid w:val="0002564D"/>
    <w:rsid w:val="00025967"/>
    <w:rsid w:val="00025F56"/>
    <w:rsid w:val="00026F9B"/>
    <w:rsid w:val="0002716D"/>
    <w:rsid w:val="00027346"/>
    <w:rsid w:val="00030320"/>
    <w:rsid w:val="00031946"/>
    <w:rsid w:val="000322EC"/>
    <w:rsid w:val="00032AB9"/>
    <w:rsid w:val="00033D0B"/>
    <w:rsid w:val="00034086"/>
    <w:rsid w:val="00034121"/>
    <w:rsid w:val="000350A9"/>
    <w:rsid w:val="00035472"/>
    <w:rsid w:val="0003621F"/>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2580"/>
    <w:rsid w:val="0005440F"/>
    <w:rsid w:val="00055F6B"/>
    <w:rsid w:val="0005661F"/>
    <w:rsid w:val="00057006"/>
    <w:rsid w:val="000575B4"/>
    <w:rsid w:val="000601EA"/>
    <w:rsid w:val="000603CB"/>
    <w:rsid w:val="0006084C"/>
    <w:rsid w:val="000608FE"/>
    <w:rsid w:val="000615B0"/>
    <w:rsid w:val="00061E01"/>
    <w:rsid w:val="0006239E"/>
    <w:rsid w:val="0006295A"/>
    <w:rsid w:val="00063EAB"/>
    <w:rsid w:val="000643D0"/>
    <w:rsid w:val="00065195"/>
    <w:rsid w:val="00066976"/>
    <w:rsid w:val="000672D3"/>
    <w:rsid w:val="0006744F"/>
    <w:rsid w:val="00067A06"/>
    <w:rsid w:val="00067E91"/>
    <w:rsid w:val="00070612"/>
    <w:rsid w:val="000714CE"/>
    <w:rsid w:val="00071D67"/>
    <w:rsid w:val="00072584"/>
    <w:rsid w:val="00072F02"/>
    <w:rsid w:val="00074126"/>
    <w:rsid w:val="0007567B"/>
    <w:rsid w:val="00075B7E"/>
    <w:rsid w:val="00076287"/>
    <w:rsid w:val="00076297"/>
    <w:rsid w:val="00077F45"/>
    <w:rsid w:val="00080510"/>
    <w:rsid w:val="00081153"/>
    <w:rsid w:val="000812EE"/>
    <w:rsid w:val="00081966"/>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1C3"/>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0B19"/>
    <w:rsid w:val="000B1811"/>
    <w:rsid w:val="000B1A6E"/>
    <w:rsid w:val="000B21DD"/>
    <w:rsid w:val="000B2F97"/>
    <w:rsid w:val="000B3043"/>
    <w:rsid w:val="000B34FA"/>
    <w:rsid w:val="000B36FE"/>
    <w:rsid w:val="000B372D"/>
    <w:rsid w:val="000B38D3"/>
    <w:rsid w:val="000B5120"/>
    <w:rsid w:val="000B5B24"/>
    <w:rsid w:val="000B6487"/>
    <w:rsid w:val="000B7071"/>
    <w:rsid w:val="000B7A91"/>
    <w:rsid w:val="000B7F45"/>
    <w:rsid w:val="000C040A"/>
    <w:rsid w:val="000C0497"/>
    <w:rsid w:val="000C059E"/>
    <w:rsid w:val="000C0E21"/>
    <w:rsid w:val="000C1BA1"/>
    <w:rsid w:val="000C22B0"/>
    <w:rsid w:val="000C2786"/>
    <w:rsid w:val="000C3369"/>
    <w:rsid w:val="000C3CAA"/>
    <w:rsid w:val="000C45E3"/>
    <w:rsid w:val="000C56B4"/>
    <w:rsid w:val="000C5728"/>
    <w:rsid w:val="000C586F"/>
    <w:rsid w:val="000C5B48"/>
    <w:rsid w:val="000C661A"/>
    <w:rsid w:val="000C77A9"/>
    <w:rsid w:val="000D0D8B"/>
    <w:rsid w:val="000D14F1"/>
    <w:rsid w:val="000D1C61"/>
    <w:rsid w:val="000D203D"/>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C3A"/>
    <w:rsid w:val="000E21D8"/>
    <w:rsid w:val="000E2C73"/>
    <w:rsid w:val="000E2C8F"/>
    <w:rsid w:val="000E2EA3"/>
    <w:rsid w:val="000E4B3E"/>
    <w:rsid w:val="000E4CD8"/>
    <w:rsid w:val="000E539F"/>
    <w:rsid w:val="000E6CF9"/>
    <w:rsid w:val="000E73BD"/>
    <w:rsid w:val="000F069C"/>
    <w:rsid w:val="000F0B27"/>
    <w:rsid w:val="000F1D4F"/>
    <w:rsid w:val="000F2E82"/>
    <w:rsid w:val="000F3A4F"/>
    <w:rsid w:val="000F3D50"/>
    <w:rsid w:val="000F5D35"/>
    <w:rsid w:val="000F5DDE"/>
    <w:rsid w:val="000F5F02"/>
    <w:rsid w:val="001000EA"/>
    <w:rsid w:val="00100B0B"/>
    <w:rsid w:val="001025E7"/>
    <w:rsid w:val="0010275F"/>
    <w:rsid w:val="0010316E"/>
    <w:rsid w:val="00103564"/>
    <w:rsid w:val="001038BB"/>
    <w:rsid w:val="00103F76"/>
    <w:rsid w:val="00105880"/>
    <w:rsid w:val="00107038"/>
    <w:rsid w:val="00107219"/>
    <w:rsid w:val="001101E1"/>
    <w:rsid w:val="00110379"/>
    <w:rsid w:val="001103CF"/>
    <w:rsid w:val="00111F4C"/>
    <w:rsid w:val="0011290B"/>
    <w:rsid w:val="001129E8"/>
    <w:rsid w:val="00112BA9"/>
    <w:rsid w:val="0011385A"/>
    <w:rsid w:val="00113C76"/>
    <w:rsid w:val="00114588"/>
    <w:rsid w:val="00114964"/>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4E8"/>
    <w:rsid w:val="00130634"/>
    <w:rsid w:val="00130842"/>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CD7"/>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90B9C"/>
    <w:rsid w:val="00190D52"/>
    <w:rsid w:val="0019138B"/>
    <w:rsid w:val="001919D3"/>
    <w:rsid w:val="001925E9"/>
    <w:rsid w:val="00192900"/>
    <w:rsid w:val="0019319B"/>
    <w:rsid w:val="001935DE"/>
    <w:rsid w:val="00193C35"/>
    <w:rsid w:val="0019441C"/>
    <w:rsid w:val="001950D9"/>
    <w:rsid w:val="00195379"/>
    <w:rsid w:val="00196144"/>
    <w:rsid w:val="001971B1"/>
    <w:rsid w:val="001971EA"/>
    <w:rsid w:val="00197975"/>
    <w:rsid w:val="001A07AC"/>
    <w:rsid w:val="001A0DC8"/>
    <w:rsid w:val="001A14F5"/>
    <w:rsid w:val="001A1777"/>
    <w:rsid w:val="001A1A8A"/>
    <w:rsid w:val="001A2649"/>
    <w:rsid w:val="001A2B7C"/>
    <w:rsid w:val="001A307D"/>
    <w:rsid w:val="001A3986"/>
    <w:rsid w:val="001A3E19"/>
    <w:rsid w:val="001A4242"/>
    <w:rsid w:val="001A48FD"/>
    <w:rsid w:val="001A4F8B"/>
    <w:rsid w:val="001A6DEF"/>
    <w:rsid w:val="001A7A6A"/>
    <w:rsid w:val="001B049D"/>
    <w:rsid w:val="001B04E4"/>
    <w:rsid w:val="001B0553"/>
    <w:rsid w:val="001B1469"/>
    <w:rsid w:val="001B1577"/>
    <w:rsid w:val="001B1660"/>
    <w:rsid w:val="001B16C3"/>
    <w:rsid w:val="001B1838"/>
    <w:rsid w:val="001B1C67"/>
    <w:rsid w:val="001B2234"/>
    <w:rsid w:val="001B3984"/>
    <w:rsid w:val="001B3FE9"/>
    <w:rsid w:val="001B4293"/>
    <w:rsid w:val="001B46AE"/>
    <w:rsid w:val="001B54F0"/>
    <w:rsid w:val="001B5950"/>
    <w:rsid w:val="001B6AAD"/>
    <w:rsid w:val="001B71B5"/>
    <w:rsid w:val="001B78E2"/>
    <w:rsid w:val="001B7BF2"/>
    <w:rsid w:val="001B7EED"/>
    <w:rsid w:val="001C0289"/>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776D"/>
    <w:rsid w:val="001E77D9"/>
    <w:rsid w:val="001F0D67"/>
    <w:rsid w:val="001F0F1E"/>
    <w:rsid w:val="001F1A00"/>
    <w:rsid w:val="001F1B8A"/>
    <w:rsid w:val="001F2058"/>
    <w:rsid w:val="001F23BC"/>
    <w:rsid w:val="001F29C8"/>
    <w:rsid w:val="001F3474"/>
    <w:rsid w:val="001F391D"/>
    <w:rsid w:val="001F49C4"/>
    <w:rsid w:val="001F5561"/>
    <w:rsid w:val="001F5939"/>
    <w:rsid w:val="001F5A26"/>
    <w:rsid w:val="001F5B96"/>
    <w:rsid w:val="001F60DF"/>
    <w:rsid w:val="001F67F2"/>
    <w:rsid w:val="001F6895"/>
    <w:rsid w:val="001F6A3C"/>
    <w:rsid w:val="001F6DCB"/>
    <w:rsid w:val="001F7055"/>
    <w:rsid w:val="001F716B"/>
    <w:rsid w:val="001F7B95"/>
    <w:rsid w:val="001F7E44"/>
    <w:rsid w:val="001F7FE1"/>
    <w:rsid w:val="002004A8"/>
    <w:rsid w:val="002010D3"/>
    <w:rsid w:val="00201885"/>
    <w:rsid w:val="00202566"/>
    <w:rsid w:val="0020322B"/>
    <w:rsid w:val="002032C8"/>
    <w:rsid w:val="00203A75"/>
    <w:rsid w:val="0020409B"/>
    <w:rsid w:val="002060A5"/>
    <w:rsid w:val="002070E4"/>
    <w:rsid w:val="0020721C"/>
    <w:rsid w:val="002072C3"/>
    <w:rsid w:val="0020790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56F5"/>
    <w:rsid w:val="0023617F"/>
    <w:rsid w:val="00236374"/>
    <w:rsid w:val="00237E07"/>
    <w:rsid w:val="00237F8D"/>
    <w:rsid w:val="002400A1"/>
    <w:rsid w:val="00240222"/>
    <w:rsid w:val="002413C0"/>
    <w:rsid w:val="0024218B"/>
    <w:rsid w:val="002425FE"/>
    <w:rsid w:val="0024297B"/>
    <w:rsid w:val="00242CD9"/>
    <w:rsid w:val="0024349D"/>
    <w:rsid w:val="00243967"/>
    <w:rsid w:val="002444C2"/>
    <w:rsid w:val="00244BE9"/>
    <w:rsid w:val="0024530D"/>
    <w:rsid w:val="00245A74"/>
    <w:rsid w:val="00246A8F"/>
    <w:rsid w:val="00247154"/>
    <w:rsid w:val="0024727D"/>
    <w:rsid w:val="00250912"/>
    <w:rsid w:val="00250DBA"/>
    <w:rsid w:val="00251087"/>
    <w:rsid w:val="00251294"/>
    <w:rsid w:val="00251AD5"/>
    <w:rsid w:val="002523E5"/>
    <w:rsid w:val="00253058"/>
    <w:rsid w:val="00253764"/>
    <w:rsid w:val="00254ED9"/>
    <w:rsid w:val="002550D8"/>
    <w:rsid w:val="00256078"/>
    <w:rsid w:val="00256401"/>
    <w:rsid w:val="002564FB"/>
    <w:rsid w:val="00260361"/>
    <w:rsid w:val="0026049B"/>
    <w:rsid w:val="00260AAE"/>
    <w:rsid w:val="00260EFA"/>
    <w:rsid w:val="00261377"/>
    <w:rsid w:val="00261D0C"/>
    <w:rsid w:val="00261EFF"/>
    <w:rsid w:val="00262160"/>
    <w:rsid w:val="00262814"/>
    <w:rsid w:val="002629E0"/>
    <w:rsid w:val="00262E2E"/>
    <w:rsid w:val="00263174"/>
    <w:rsid w:val="00263457"/>
    <w:rsid w:val="00263EF4"/>
    <w:rsid w:val="00263F7F"/>
    <w:rsid w:val="002646E0"/>
    <w:rsid w:val="00264A64"/>
    <w:rsid w:val="00265FE9"/>
    <w:rsid w:val="0026773E"/>
    <w:rsid w:val="00270693"/>
    <w:rsid w:val="002723FD"/>
    <w:rsid w:val="0027256C"/>
    <w:rsid w:val="00272E01"/>
    <w:rsid w:val="00273015"/>
    <w:rsid w:val="002731A4"/>
    <w:rsid w:val="00274536"/>
    <w:rsid w:val="0027463A"/>
    <w:rsid w:val="0027487A"/>
    <w:rsid w:val="00274D0D"/>
    <w:rsid w:val="00274D8B"/>
    <w:rsid w:val="00275318"/>
    <w:rsid w:val="002766B0"/>
    <w:rsid w:val="00277572"/>
    <w:rsid w:val="00277812"/>
    <w:rsid w:val="002802A1"/>
    <w:rsid w:val="002803B8"/>
    <w:rsid w:val="002803E4"/>
    <w:rsid w:val="002808CA"/>
    <w:rsid w:val="00280926"/>
    <w:rsid w:val="00281B0A"/>
    <w:rsid w:val="00282CDE"/>
    <w:rsid w:val="00283073"/>
    <w:rsid w:val="0028348A"/>
    <w:rsid w:val="002837E8"/>
    <w:rsid w:val="00285478"/>
    <w:rsid w:val="0028663C"/>
    <w:rsid w:val="002905B5"/>
    <w:rsid w:val="00293203"/>
    <w:rsid w:val="0029329A"/>
    <w:rsid w:val="002935CF"/>
    <w:rsid w:val="00293A15"/>
    <w:rsid w:val="00295693"/>
    <w:rsid w:val="002969C0"/>
    <w:rsid w:val="002972D4"/>
    <w:rsid w:val="00297AEF"/>
    <w:rsid w:val="00297F02"/>
    <w:rsid w:val="002A0126"/>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591"/>
    <w:rsid w:val="002B3708"/>
    <w:rsid w:val="002B5625"/>
    <w:rsid w:val="002B5F9C"/>
    <w:rsid w:val="002B6147"/>
    <w:rsid w:val="002B7C88"/>
    <w:rsid w:val="002C0062"/>
    <w:rsid w:val="002C0170"/>
    <w:rsid w:val="002C0E18"/>
    <w:rsid w:val="002C2427"/>
    <w:rsid w:val="002C2773"/>
    <w:rsid w:val="002C2A4F"/>
    <w:rsid w:val="002C3502"/>
    <w:rsid w:val="002C397B"/>
    <w:rsid w:val="002C3B93"/>
    <w:rsid w:val="002C3BA0"/>
    <w:rsid w:val="002C436C"/>
    <w:rsid w:val="002C47C4"/>
    <w:rsid w:val="002C6E41"/>
    <w:rsid w:val="002C748E"/>
    <w:rsid w:val="002D0DDF"/>
    <w:rsid w:val="002D17A5"/>
    <w:rsid w:val="002D1AC7"/>
    <w:rsid w:val="002D347E"/>
    <w:rsid w:val="002D35CB"/>
    <w:rsid w:val="002D3D17"/>
    <w:rsid w:val="002D42A0"/>
    <w:rsid w:val="002D440D"/>
    <w:rsid w:val="002D4C8C"/>
    <w:rsid w:val="002D545A"/>
    <w:rsid w:val="002D59E5"/>
    <w:rsid w:val="002D5C23"/>
    <w:rsid w:val="002D5CBC"/>
    <w:rsid w:val="002D5DC3"/>
    <w:rsid w:val="002D6B4D"/>
    <w:rsid w:val="002D6CA4"/>
    <w:rsid w:val="002D7EF4"/>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1CF8"/>
    <w:rsid w:val="002F1FB6"/>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22B8"/>
    <w:rsid w:val="003023C4"/>
    <w:rsid w:val="003026B9"/>
    <w:rsid w:val="00302C73"/>
    <w:rsid w:val="003035B2"/>
    <w:rsid w:val="00303733"/>
    <w:rsid w:val="00303A2F"/>
    <w:rsid w:val="00303C94"/>
    <w:rsid w:val="00304BF7"/>
    <w:rsid w:val="00304FE8"/>
    <w:rsid w:val="0030506D"/>
    <w:rsid w:val="00305126"/>
    <w:rsid w:val="00305FA4"/>
    <w:rsid w:val="003065D6"/>
    <w:rsid w:val="00307C42"/>
    <w:rsid w:val="00310992"/>
    <w:rsid w:val="00311387"/>
    <w:rsid w:val="00311EEA"/>
    <w:rsid w:val="0031351E"/>
    <w:rsid w:val="00313537"/>
    <w:rsid w:val="003135CD"/>
    <w:rsid w:val="00313625"/>
    <w:rsid w:val="00313C59"/>
    <w:rsid w:val="00314373"/>
    <w:rsid w:val="00314425"/>
    <w:rsid w:val="003146EE"/>
    <w:rsid w:val="003153EA"/>
    <w:rsid w:val="00316745"/>
    <w:rsid w:val="00320015"/>
    <w:rsid w:val="00320263"/>
    <w:rsid w:val="0032080E"/>
    <w:rsid w:val="003209C7"/>
    <w:rsid w:val="00320AB2"/>
    <w:rsid w:val="003225D5"/>
    <w:rsid w:val="0032271E"/>
    <w:rsid w:val="003229A0"/>
    <w:rsid w:val="0032378E"/>
    <w:rsid w:val="00323C12"/>
    <w:rsid w:val="00323D04"/>
    <w:rsid w:val="003243CB"/>
    <w:rsid w:val="003245FB"/>
    <w:rsid w:val="003250E2"/>
    <w:rsid w:val="0032569E"/>
    <w:rsid w:val="00326522"/>
    <w:rsid w:val="00326943"/>
    <w:rsid w:val="003270BF"/>
    <w:rsid w:val="00327A0C"/>
    <w:rsid w:val="003301A3"/>
    <w:rsid w:val="0033063D"/>
    <w:rsid w:val="00331374"/>
    <w:rsid w:val="00332129"/>
    <w:rsid w:val="0033322F"/>
    <w:rsid w:val="00334912"/>
    <w:rsid w:val="00336FF2"/>
    <w:rsid w:val="003376B5"/>
    <w:rsid w:val="003376DF"/>
    <w:rsid w:val="003402DF"/>
    <w:rsid w:val="00340AC2"/>
    <w:rsid w:val="00340D16"/>
    <w:rsid w:val="00340EB5"/>
    <w:rsid w:val="00340EFB"/>
    <w:rsid w:val="00341361"/>
    <w:rsid w:val="003435A3"/>
    <w:rsid w:val="00343D26"/>
    <w:rsid w:val="00343D77"/>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798"/>
    <w:rsid w:val="003541D1"/>
    <w:rsid w:val="003548D7"/>
    <w:rsid w:val="003548F0"/>
    <w:rsid w:val="003549D1"/>
    <w:rsid w:val="00354D94"/>
    <w:rsid w:val="003550C7"/>
    <w:rsid w:val="003566E9"/>
    <w:rsid w:val="00357214"/>
    <w:rsid w:val="0035791D"/>
    <w:rsid w:val="00357DB9"/>
    <w:rsid w:val="00357FA8"/>
    <w:rsid w:val="00360CBD"/>
    <w:rsid w:val="00361072"/>
    <w:rsid w:val="00362461"/>
    <w:rsid w:val="003628AA"/>
    <w:rsid w:val="00362D37"/>
    <w:rsid w:val="00363C87"/>
    <w:rsid w:val="00363DA3"/>
    <w:rsid w:val="00364D63"/>
    <w:rsid w:val="00365105"/>
    <w:rsid w:val="0036579C"/>
    <w:rsid w:val="003657E7"/>
    <w:rsid w:val="00365E78"/>
    <w:rsid w:val="00366857"/>
    <w:rsid w:val="00370449"/>
    <w:rsid w:val="00370CFC"/>
    <w:rsid w:val="00370EE0"/>
    <w:rsid w:val="003713B0"/>
    <w:rsid w:val="00371B3D"/>
    <w:rsid w:val="00372F44"/>
    <w:rsid w:val="00374783"/>
    <w:rsid w:val="003750B5"/>
    <w:rsid w:val="00375135"/>
    <w:rsid w:val="00377224"/>
    <w:rsid w:val="003777B8"/>
    <w:rsid w:val="00377BAD"/>
    <w:rsid w:val="00381ACB"/>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5A04"/>
    <w:rsid w:val="0039607E"/>
    <w:rsid w:val="00397572"/>
    <w:rsid w:val="003A074E"/>
    <w:rsid w:val="003A0BC7"/>
    <w:rsid w:val="003A1CFF"/>
    <w:rsid w:val="003A2BB7"/>
    <w:rsid w:val="003A312D"/>
    <w:rsid w:val="003A4AB4"/>
    <w:rsid w:val="003A4C61"/>
    <w:rsid w:val="003A4D00"/>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22F"/>
    <w:rsid w:val="003B1AF6"/>
    <w:rsid w:val="003B1B75"/>
    <w:rsid w:val="003B253C"/>
    <w:rsid w:val="003B2FBC"/>
    <w:rsid w:val="003B32CC"/>
    <w:rsid w:val="003B35CB"/>
    <w:rsid w:val="003B4391"/>
    <w:rsid w:val="003B4DA2"/>
    <w:rsid w:val="003B4DDF"/>
    <w:rsid w:val="003B545C"/>
    <w:rsid w:val="003B57B7"/>
    <w:rsid w:val="003B5E19"/>
    <w:rsid w:val="003B64D8"/>
    <w:rsid w:val="003B78AC"/>
    <w:rsid w:val="003C08BD"/>
    <w:rsid w:val="003C1A62"/>
    <w:rsid w:val="003C1B40"/>
    <w:rsid w:val="003C2F43"/>
    <w:rsid w:val="003C318F"/>
    <w:rsid w:val="003C32FC"/>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E03C3"/>
    <w:rsid w:val="003E067B"/>
    <w:rsid w:val="003E11A4"/>
    <w:rsid w:val="003E1AD1"/>
    <w:rsid w:val="003E236D"/>
    <w:rsid w:val="003E2E8C"/>
    <w:rsid w:val="003E3009"/>
    <w:rsid w:val="003E308A"/>
    <w:rsid w:val="003E367A"/>
    <w:rsid w:val="003E37A4"/>
    <w:rsid w:val="003E4136"/>
    <w:rsid w:val="003E76CE"/>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870"/>
    <w:rsid w:val="00407D7D"/>
    <w:rsid w:val="00407ED3"/>
    <w:rsid w:val="00410B00"/>
    <w:rsid w:val="00410B24"/>
    <w:rsid w:val="00410E12"/>
    <w:rsid w:val="00410E3B"/>
    <w:rsid w:val="004115C8"/>
    <w:rsid w:val="0041228C"/>
    <w:rsid w:val="00413B3F"/>
    <w:rsid w:val="00413BE9"/>
    <w:rsid w:val="00413E03"/>
    <w:rsid w:val="004147E1"/>
    <w:rsid w:val="00414E73"/>
    <w:rsid w:val="00415367"/>
    <w:rsid w:val="004161C2"/>
    <w:rsid w:val="004170A6"/>
    <w:rsid w:val="004176BC"/>
    <w:rsid w:val="00420584"/>
    <w:rsid w:val="00421048"/>
    <w:rsid w:val="0042257F"/>
    <w:rsid w:val="00422A93"/>
    <w:rsid w:val="00422BB1"/>
    <w:rsid w:val="00424D21"/>
    <w:rsid w:val="00424F3C"/>
    <w:rsid w:val="00425C24"/>
    <w:rsid w:val="004273BF"/>
    <w:rsid w:val="004311FF"/>
    <w:rsid w:val="004314B6"/>
    <w:rsid w:val="00432447"/>
    <w:rsid w:val="00432D97"/>
    <w:rsid w:val="00432F21"/>
    <w:rsid w:val="00435431"/>
    <w:rsid w:val="0043544F"/>
    <w:rsid w:val="004362C0"/>
    <w:rsid w:val="00436425"/>
    <w:rsid w:val="004364E6"/>
    <w:rsid w:val="00436B27"/>
    <w:rsid w:val="0043712E"/>
    <w:rsid w:val="00437C96"/>
    <w:rsid w:val="004400BC"/>
    <w:rsid w:val="004409CC"/>
    <w:rsid w:val="004412E8"/>
    <w:rsid w:val="00441947"/>
    <w:rsid w:val="00443331"/>
    <w:rsid w:val="00443561"/>
    <w:rsid w:val="00443591"/>
    <w:rsid w:val="00444066"/>
    <w:rsid w:val="0044501E"/>
    <w:rsid w:val="00445587"/>
    <w:rsid w:val="00445B35"/>
    <w:rsid w:val="00445DFA"/>
    <w:rsid w:val="004462BD"/>
    <w:rsid w:val="004462FA"/>
    <w:rsid w:val="00446828"/>
    <w:rsid w:val="0044692E"/>
    <w:rsid w:val="0044732A"/>
    <w:rsid w:val="00450BC1"/>
    <w:rsid w:val="00451103"/>
    <w:rsid w:val="00451F2C"/>
    <w:rsid w:val="0045203F"/>
    <w:rsid w:val="004520DB"/>
    <w:rsid w:val="00452550"/>
    <w:rsid w:val="004525A5"/>
    <w:rsid w:val="00453228"/>
    <w:rsid w:val="00453DB2"/>
    <w:rsid w:val="00453F45"/>
    <w:rsid w:val="00454D4D"/>
    <w:rsid w:val="00454DFB"/>
    <w:rsid w:val="00454F1D"/>
    <w:rsid w:val="00455817"/>
    <w:rsid w:val="00455AE4"/>
    <w:rsid w:val="00457034"/>
    <w:rsid w:val="00457BAA"/>
    <w:rsid w:val="00457D74"/>
    <w:rsid w:val="00460981"/>
    <w:rsid w:val="004609DE"/>
    <w:rsid w:val="00461DC0"/>
    <w:rsid w:val="004628F0"/>
    <w:rsid w:val="00462D54"/>
    <w:rsid w:val="00462D63"/>
    <w:rsid w:val="00463886"/>
    <w:rsid w:val="004643B9"/>
    <w:rsid w:val="00464F36"/>
    <w:rsid w:val="0046568B"/>
    <w:rsid w:val="00466121"/>
    <w:rsid w:val="00466912"/>
    <w:rsid w:val="00466A77"/>
    <w:rsid w:val="00467686"/>
    <w:rsid w:val="00467792"/>
    <w:rsid w:val="004679AB"/>
    <w:rsid w:val="00471665"/>
    <w:rsid w:val="0047195F"/>
    <w:rsid w:val="00471A9E"/>
    <w:rsid w:val="00471B86"/>
    <w:rsid w:val="00472227"/>
    <w:rsid w:val="00472E9C"/>
    <w:rsid w:val="004732E6"/>
    <w:rsid w:val="00474927"/>
    <w:rsid w:val="00474FBE"/>
    <w:rsid w:val="0047540F"/>
    <w:rsid w:val="00475612"/>
    <w:rsid w:val="004772FF"/>
    <w:rsid w:val="00477DE8"/>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20DA"/>
    <w:rsid w:val="004A2509"/>
    <w:rsid w:val="004A294E"/>
    <w:rsid w:val="004A3391"/>
    <w:rsid w:val="004A3C39"/>
    <w:rsid w:val="004A3FAE"/>
    <w:rsid w:val="004A4225"/>
    <w:rsid w:val="004A4291"/>
    <w:rsid w:val="004A4D02"/>
    <w:rsid w:val="004A4F2D"/>
    <w:rsid w:val="004A5AFA"/>
    <w:rsid w:val="004A723C"/>
    <w:rsid w:val="004B17CE"/>
    <w:rsid w:val="004B1903"/>
    <w:rsid w:val="004B1A9C"/>
    <w:rsid w:val="004B1B15"/>
    <w:rsid w:val="004B1CB3"/>
    <w:rsid w:val="004B2241"/>
    <w:rsid w:val="004B27D6"/>
    <w:rsid w:val="004B2EBB"/>
    <w:rsid w:val="004B3490"/>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5B5"/>
    <w:rsid w:val="004C4A96"/>
    <w:rsid w:val="004C4C62"/>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4D96"/>
    <w:rsid w:val="004E5F45"/>
    <w:rsid w:val="004E6169"/>
    <w:rsid w:val="004E64DC"/>
    <w:rsid w:val="004E6F86"/>
    <w:rsid w:val="004E706A"/>
    <w:rsid w:val="004F0671"/>
    <w:rsid w:val="004F0C01"/>
    <w:rsid w:val="004F126D"/>
    <w:rsid w:val="004F15F3"/>
    <w:rsid w:val="004F23E5"/>
    <w:rsid w:val="004F24B5"/>
    <w:rsid w:val="004F2B02"/>
    <w:rsid w:val="004F2D1B"/>
    <w:rsid w:val="004F2E11"/>
    <w:rsid w:val="004F31BD"/>
    <w:rsid w:val="004F3B34"/>
    <w:rsid w:val="004F3E23"/>
    <w:rsid w:val="004F4767"/>
    <w:rsid w:val="004F498A"/>
    <w:rsid w:val="004F4C20"/>
    <w:rsid w:val="004F51B2"/>
    <w:rsid w:val="004F59C4"/>
    <w:rsid w:val="004F5D65"/>
    <w:rsid w:val="004F5F70"/>
    <w:rsid w:val="004F70F8"/>
    <w:rsid w:val="004F7230"/>
    <w:rsid w:val="004F77EE"/>
    <w:rsid w:val="004F7D7B"/>
    <w:rsid w:val="00501659"/>
    <w:rsid w:val="00501733"/>
    <w:rsid w:val="00501B75"/>
    <w:rsid w:val="00501C39"/>
    <w:rsid w:val="00502203"/>
    <w:rsid w:val="005027B8"/>
    <w:rsid w:val="00503D5D"/>
    <w:rsid w:val="00503F42"/>
    <w:rsid w:val="005054FD"/>
    <w:rsid w:val="00505A66"/>
    <w:rsid w:val="00506576"/>
    <w:rsid w:val="00506710"/>
    <w:rsid w:val="00506E86"/>
    <w:rsid w:val="0050702C"/>
    <w:rsid w:val="0050723E"/>
    <w:rsid w:val="00507403"/>
    <w:rsid w:val="00507430"/>
    <w:rsid w:val="005101E5"/>
    <w:rsid w:val="005110FB"/>
    <w:rsid w:val="00511D75"/>
    <w:rsid w:val="00512232"/>
    <w:rsid w:val="00513B7E"/>
    <w:rsid w:val="00514597"/>
    <w:rsid w:val="00514760"/>
    <w:rsid w:val="005150AB"/>
    <w:rsid w:val="005172E2"/>
    <w:rsid w:val="005175B3"/>
    <w:rsid w:val="0051769B"/>
    <w:rsid w:val="0052052F"/>
    <w:rsid w:val="00520571"/>
    <w:rsid w:val="00522C8A"/>
    <w:rsid w:val="00523AF8"/>
    <w:rsid w:val="00523F57"/>
    <w:rsid w:val="00523F8F"/>
    <w:rsid w:val="005248F8"/>
    <w:rsid w:val="00524E1E"/>
    <w:rsid w:val="005250F7"/>
    <w:rsid w:val="0052565F"/>
    <w:rsid w:val="00525C8D"/>
    <w:rsid w:val="00526E9C"/>
    <w:rsid w:val="005278F8"/>
    <w:rsid w:val="005300ED"/>
    <w:rsid w:val="00531706"/>
    <w:rsid w:val="00531B15"/>
    <w:rsid w:val="00532121"/>
    <w:rsid w:val="00532429"/>
    <w:rsid w:val="00532850"/>
    <w:rsid w:val="005328A9"/>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71A"/>
    <w:rsid w:val="005420CF"/>
    <w:rsid w:val="00542C2A"/>
    <w:rsid w:val="00543122"/>
    <w:rsid w:val="0054337D"/>
    <w:rsid w:val="005438E3"/>
    <w:rsid w:val="00543CAC"/>
    <w:rsid w:val="005440E4"/>
    <w:rsid w:val="00545BEC"/>
    <w:rsid w:val="00545ECC"/>
    <w:rsid w:val="005463C9"/>
    <w:rsid w:val="005468A5"/>
    <w:rsid w:val="00546A1D"/>
    <w:rsid w:val="00546C8E"/>
    <w:rsid w:val="00546CB9"/>
    <w:rsid w:val="00546E83"/>
    <w:rsid w:val="00550292"/>
    <w:rsid w:val="00551309"/>
    <w:rsid w:val="005517A4"/>
    <w:rsid w:val="00552426"/>
    <w:rsid w:val="00552934"/>
    <w:rsid w:val="00552F1A"/>
    <w:rsid w:val="0055363B"/>
    <w:rsid w:val="00553693"/>
    <w:rsid w:val="00553934"/>
    <w:rsid w:val="00553B71"/>
    <w:rsid w:val="00554C4D"/>
    <w:rsid w:val="00556A43"/>
    <w:rsid w:val="0056087F"/>
    <w:rsid w:val="0056121A"/>
    <w:rsid w:val="005614F5"/>
    <w:rsid w:val="00562195"/>
    <w:rsid w:val="00562575"/>
    <w:rsid w:val="0056261D"/>
    <w:rsid w:val="00562918"/>
    <w:rsid w:val="00563269"/>
    <w:rsid w:val="00564643"/>
    <w:rsid w:val="00564772"/>
    <w:rsid w:val="00566518"/>
    <w:rsid w:val="005669DA"/>
    <w:rsid w:val="00567613"/>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1BF2"/>
    <w:rsid w:val="005B2564"/>
    <w:rsid w:val="005B2E53"/>
    <w:rsid w:val="005B2F26"/>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E5D"/>
    <w:rsid w:val="005C76FD"/>
    <w:rsid w:val="005C7A6D"/>
    <w:rsid w:val="005C7DC3"/>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3769"/>
    <w:rsid w:val="005E3B68"/>
    <w:rsid w:val="005E4148"/>
    <w:rsid w:val="005E4455"/>
    <w:rsid w:val="005E4674"/>
    <w:rsid w:val="005E4AF5"/>
    <w:rsid w:val="005E4F30"/>
    <w:rsid w:val="005E511D"/>
    <w:rsid w:val="005E56C4"/>
    <w:rsid w:val="005E5CD3"/>
    <w:rsid w:val="005E6369"/>
    <w:rsid w:val="005E652A"/>
    <w:rsid w:val="005E68B2"/>
    <w:rsid w:val="005E6C14"/>
    <w:rsid w:val="005E6F87"/>
    <w:rsid w:val="005F043C"/>
    <w:rsid w:val="005F0593"/>
    <w:rsid w:val="005F1BE8"/>
    <w:rsid w:val="005F1C1F"/>
    <w:rsid w:val="005F2ABB"/>
    <w:rsid w:val="005F3375"/>
    <w:rsid w:val="005F354A"/>
    <w:rsid w:val="005F3C63"/>
    <w:rsid w:val="005F5B5B"/>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C2D"/>
    <w:rsid w:val="006101D8"/>
    <w:rsid w:val="006103A4"/>
    <w:rsid w:val="00610922"/>
    <w:rsid w:val="00611D8D"/>
    <w:rsid w:val="006122E2"/>
    <w:rsid w:val="006125AA"/>
    <w:rsid w:val="00613A9D"/>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558F"/>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912"/>
    <w:rsid w:val="00642C32"/>
    <w:rsid w:val="006433D0"/>
    <w:rsid w:val="00643467"/>
    <w:rsid w:val="00643A31"/>
    <w:rsid w:val="00643AAE"/>
    <w:rsid w:val="00644A9F"/>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1B12"/>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49D"/>
    <w:rsid w:val="006A0623"/>
    <w:rsid w:val="006A12AE"/>
    <w:rsid w:val="006A12E9"/>
    <w:rsid w:val="006A1BC6"/>
    <w:rsid w:val="006A217F"/>
    <w:rsid w:val="006A272F"/>
    <w:rsid w:val="006A2CFD"/>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041"/>
    <w:rsid w:val="006B212D"/>
    <w:rsid w:val="006B2489"/>
    <w:rsid w:val="006B3215"/>
    <w:rsid w:val="006B3348"/>
    <w:rsid w:val="006B3448"/>
    <w:rsid w:val="006B4F5C"/>
    <w:rsid w:val="006B5062"/>
    <w:rsid w:val="006B5725"/>
    <w:rsid w:val="006B6156"/>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2594"/>
    <w:rsid w:val="006D2BD4"/>
    <w:rsid w:val="006D407D"/>
    <w:rsid w:val="006D4750"/>
    <w:rsid w:val="006D477F"/>
    <w:rsid w:val="006D47BC"/>
    <w:rsid w:val="006D4ACA"/>
    <w:rsid w:val="006D5843"/>
    <w:rsid w:val="006D59EA"/>
    <w:rsid w:val="006D5FD5"/>
    <w:rsid w:val="006D6871"/>
    <w:rsid w:val="006D6CA2"/>
    <w:rsid w:val="006D71D3"/>
    <w:rsid w:val="006E1FB4"/>
    <w:rsid w:val="006E24D7"/>
    <w:rsid w:val="006E24E0"/>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22F7"/>
    <w:rsid w:val="006F29B4"/>
    <w:rsid w:val="006F5A8D"/>
    <w:rsid w:val="006F6DDA"/>
    <w:rsid w:val="006F7041"/>
    <w:rsid w:val="0070068B"/>
    <w:rsid w:val="00700990"/>
    <w:rsid w:val="00700CF4"/>
    <w:rsid w:val="007016BE"/>
    <w:rsid w:val="007025A3"/>
    <w:rsid w:val="007030B9"/>
    <w:rsid w:val="00703181"/>
    <w:rsid w:val="00703645"/>
    <w:rsid w:val="007042E7"/>
    <w:rsid w:val="007044EC"/>
    <w:rsid w:val="00704571"/>
    <w:rsid w:val="007048F0"/>
    <w:rsid w:val="007048F1"/>
    <w:rsid w:val="00705362"/>
    <w:rsid w:val="0070604E"/>
    <w:rsid w:val="0070718C"/>
    <w:rsid w:val="00710751"/>
    <w:rsid w:val="00711526"/>
    <w:rsid w:val="0071165C"/>
    <w:rsid w:val="00711CAD"/>
    <w:rsid w:val="0071201B"/>
    <w:rsid w:val="00714537"/>
    <w:rsid w:val="007147A8"/>
    <w:rsid w:val="007153F0"/>
    <w:rsid w:val="007154CF"/>
    <w:rsid w:val="007159A1"/>
    <w:rsid w:val="00716812"/>
    <w:rsid w:val="00716DC4"/>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538"/>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3123"/>
    <w:rsid w:val="00743A58"/>
    <w:rsid w:val="00743D1C"/>
    <w:rsid w:val="00743D29"/>
    <w:rsid w:val="0074406C"/>
    <w:rsid w:val="00744146"/>
    <w:rsid w:val="00744ACC"/>
    <w:rsid w:val="00745153"/>
    <w:rsid w:val="00745844"/>
    <w:rsid w:val="007460ED"/>
    <w:rsid w:val="0074661C"/>
    <w:rsid w:val="00746A2F"/>
    <w:rsid w:val="00746D3B"/>
    <w:rsid w:val="00746F4E"/>
    <w:rsid w:val="007472EF"/>
    <w:rsid w:val="00747669"/>
    <w:rsid w:val="00751097"/>
    <w:rsid w:val="00751BB0"/>
    <w:rsid w:val="00751E1F"/>
    <w:rsid w:val="0075296E"/>
    <w:rsid w:val="00752F33"/>
    <w:rsid w:val="0075319C"/>
    <w:rsid w:val="007531A5"/>
    <w:rsid w:val="007535E3"/>
    <w:rsid w:val="00753A92"/>
    <w:rsid w:val="00753FCB"/>
    <w:rsid w:val="007542B1"/>
    <w:rsid w:val="007550FE"/>
    <w:rsid w:val="00755A7C"/>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FA6"/>
    <w:rsid w:val="00781689"/>
    <w:rsid w:val="00781EF6"/>
    <w:rsid w:val="007822D6"/>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50E"/>
    <w:rsid w:val="007B1C29"/>
    <w:rsid w:val="007B2177"/>
    <w:rsid w:val="007B7BB1"/>
    <w:rsid w:val="007C0B47"/>
    <w:rsid w:val="007C1229"/>
    <w:rsid w:val="007C17AB"/>
    <w:rsid w:val="007C1DFF"/>
    <w:rsid w:val="007C1E1D"/>
    <w:rsid w:val="007C2145"/>
    <w:rsid w:val="007C2349"/>
    <w:rsid w:val="007C377C"/>
    <w:rsid w:val="007C3815"/>
    <w:rsid w:val="007C3B7F"/>
    <w:rsid w:val="007C5B20"/>
    <w:rsid w:val="007C65FA"/>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8AC"/>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5BB"/>
    <w:rsid w:val="00822609"/>
    <w:rsid w:val="00822B0C"/>
    <w:rsid w:val="00822C45"/>
    <w:rsid w:val="00823810"/>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5389"/>
    <w:rsid w:val="00835459"/>
    <w:rsid w:val="008356D1"/>
    <w:rsid w:val="008358DA"/>
    <w:rsid w:val="00836A2F"/>
    <w:rsid w:val="00836CC0"/>
    <w:rsid w:val="008373F3"/>
    <w:rsid w:val="00840350"/>
    <w:rsid w:val="00840409"/>
    <w:rsid w:val="0084055F"/>
    <w:rsid w:val="008405C8"/>
    <w:rsid w:val="0084098C"/>
    <w:rsid w:val="008411FD"/>
    <w:rsid w:val="0084138C"/>
    <w:rsid w:val="00841542"/>
    <w:rsid w:val="008429DB"/>
    <w:rsid w:val="00842BA8"/>
    <w:rsid w:val="0084324E"/>
    <w:rsid w:val="00844236"/>
    <w:rsid w:val="00844B2A"/>
    <w:rsid w:val="00844ED2"/>
    <w:rsid w:val="0084562E"/>
    <w:rsid w:val="00845CAA"/>
    <w:rsid w:val="0084736D"/>
    <w:rsid w:val="008479BC"/>
    <w:rsid w:val="00847C79"/>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5D21"/>
    <w:rsid w:val="0085729A"/>
    <w:rsid w:val="008575ED"/>
    <w:rsid w:val="00857F3D"/>
    <w:rsid w:val="008600E4"/>
    <w:rsid w:val="00860F08"/>
    <w:rsid w:val="008612F5"/>
    <w:rsid w:val="00861F9D"/>
    <w:rsid w:val="0086307F"/>
    <w:rsid w:val="00863113"/>
    <w:rsid w:val="008639AD"/>
    <w:rsid w:val="00863C1F"/>
    <w:rsid w:val="00863E8B"/>
    <w:rsid w:val="0086436B"/>
    <w:rsid w:val="00870856"/>
    <w:rsid w:val="008708CA"/>
    <w:rsid w:val="0087157B"/>
    <w:rsid w:val="00873845"/>
    <w:rsid w:val="00876522"/>
    <w:rsid w:val="00876AE3"/>
    <w:rsid w:val="008775DB"/>
    <w:rsid w:val="00877B07"/>
    <w:rsid w:val="00877B7A"/>
    <w:rsid w:val="00880EFA"/>
    <w:rsid w:val="00881791"/>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4573"/>
    <w:rsid w:val="008958E1"/>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2BA"/>
    <w:rsid w:val="008D04D0"/>
    <w:rsid w:val="008D1097"/>
    <w:rsid w:val="008D137F"/>
    <w:rsid w:val="008D1417"/>
    <w:rsid w:val="008D1F27"/>
    <w:rsid w:val="008D2746"/>
    <w:rsid w:val="008D2F95"/>
    <w:rsid w:val="008D384C"/>
    <w:rsid w:val="008D3EF5"/>
    <w:rsid w:val="008D483E"/>
    <w:rsid w:val="008D4BD7"/>
    <w:rsid w:val="008D56F1"/>
    <w:rsid w:val="008D6375"/>
    <w:rsid w:val="008E02E0"/>
    <w:rsid w:val="008E0670"/>
    <w:rsid w:val="008E114F"/>
    <w:rsid w:val="008E1153"/>
    <w:rsid w:val="008E1495"/>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629F"/>
    <w:rsid w:val="008F6537"/>
    <w:rsid w:val="00900590"/>
    <w:rsid w:val="00901459"/>
    <w:rsid w:val="00901C47"/>
    <w:rsid w:val="0090328B"/>
    <w:rsid w:val="009032E9"/>
    <w:rsid w:val="00903EFE"/>
    <w:rsid w:val="009040EB"/>
    <w:rsid w:val="0090437C"/>
    <w:rsid w:val="0090472D"/>
    <w:rsid w:val="00904DBE"/>
    <w:rsid w:val="0090518E"/>
    <w:rsid w:val="0090563D"/>
    <w:rsid w:val="00906EF4"/>
    <w:rsid w:val="00910D9D"/>
    <w:rsid w:val="00910F33"/>
    <w:rsid w:val="00911691"/>
    <w:rsid w:val="009118B0"/>
    <w:rsid w:val="009124E6"/>
    <w:rsid w:val="00913944"/>
    <w:rsid w:val="009147E0"/>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4C71"/>
    <w:rsid w:val="0092598F"/>
    <w:rsid w:val="00925FF9"/>
    <w:rsid w:val="00927E94"/>
    <w:rsid w:val="00930743"/>
    <w:rsid w:val="0093077E"/>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36F"/>
    <w:rsid w:val="00937D53"/>
    <w:rsid w:val="00937FBA"/>
    <w:rsid w:val="00940E29"/>
    <w:rsid w:val="0094325C"/>
    <w:rsid w:val="009443CE"/>
    <w:rsid w:val="00945766"/>
    <w:rsid w:val="009457AC"/>
    <w:rsid w:val="00945B1E"/>
    <w:rsid w:val="0094609D"/>
    <w:rsid w:val="00946484"/>
    <w:rsid w:val="00946970"/>
    <w:rsid w:val="00946B28"/>
    <w:rsid w:val="00947447"/>
    <w:rsid w:val="00947A1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90175"/>
    <w:rsid w:val="00990561"/>
    <w:rsid w:val="00991ED6"/>
    <w:rsid w:val="009920A0"/>
    <w:rsid w:val="00992E8A"/>
    <w:rsid w:val="00992E8D"/>
    <w:rsid w:val="009937FD"/>
    <w:rsid w:val="00994F4D"/>
    <w:rsid w:val="0099532E"/>
    <w:rsid w:val="0099582B"/>
    <w:rsid w:val="00995DAF"/>
    <w:rsid w:val="00995FC3"/>
    <w:rsid w:val="00996AA6"/>
    <w:rsid w:val="00997230"/>
    <w:rsid w:val="009A0274"/>
    <w:rsid w:val="009A035E"/>
    <w:rsid w:val="009A18AB"/>
    <w:rsid w:val="009A2D7C"/>
    <w:rsid w:val="009A30FE"/>
    <w:rsid w:val="009A4644"/>
    <w:rsid w:val="009A468E"/>
    <w:rsid w:val="009A480D"/>
    <w:rsid w:val="009A4908"/>
    <w:rsid w:val="009A6258"/>
    <w:rsid w:val="009A6B3A"/>
    <w:rsid w:val="009A76F7"/>
    <w:rsid w:val="009B00E1"/>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04E7"/>
    <w:rsid w:val="009D3D0D"/>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80B"/>
    <w:rsid w:val="009E5ADE"/>
    <w:rsid w:val="009E5BAE"/>
    <w:rsid w:val="009E5BF5"/>
    <w:rsid w:val="009E5D18"/>
    <w:rsid w:val="009E5F8E"/>
    <w:rsid w:val="009E699D"/>
    <w:rsid w:val="009F0DC3"/>
    <w:rsid w:val="009F1904"/>
    <w:rsid w:val="009F209E"/>
    <w:rsid w:val="009F2446"/>
    <w:rsid w:val="009F2BF4"/>
    <w:rsid w:val="009F2C12"/>
    <w:rsid w:val="009F385D"/>
    <w:rsid w:val="009F4B7F"/>
    <w:rsid w:val="009F5C78"/>
    <w:rsid w:val="009F6807"/>
    <w:rsid w:val="009F697A"/>
    <w:rsid w:val="009F6DAC"/>
    <w:rsid w:val="009F7309"/>
    <w:rsid w:val="009F763F"/>
    <w:rsid w:val="009F7748"/>
    <w:rsid w:val="009F7802"/>
    <w:rsid w:val="009F791B"/>
    <w:rsid w:val="009F79D5"/>
    <w:rsid w:val="009F7D96"/>
    <w:rsid w:val="00A007E7"/>
    <w:rsid w:val="00A035DE"/>
    <w:rsid w:val="00A035EA"/>
    <w:rsid w:val="00A04F59"/>
    <w:rsid w:val="00A05597"/>
    <w:rsid w:val="00A05B20"/>
    <w:rsid w:val="00A070DE"/>
    <w:rsid w:val="00A0718D"/>
    <w:rsid w:val="00A07468"/>
    <w:rsid w:val="00A0797A"/>
    <w:rsid w:val="00A07FED"/>
    <w:rsid w:val="00A105EC"/>
    <w:rsid w:val="00A10896"/>
    <w:rsid w:val="00A10C0A"/>
    <w:rsid w:val="00A11019"/>
    <w:rsid w:val="00A114E5"/>
    <w:rsid w:val="00A115CB"/>
    <w:rsid w:val="00A116B1"/>
    <w:rsid w:val="00A11A73"/>
    <w:rsid w:val="00A11A7E"/>
    <w:rsid w:val="00A11F1D"/>
    <w:rsid w:val="00A1253F"/>
    <w:rsid w:val="00A13C50"/>
    <w:rsid w:val="00A14331"/>
    <w:rsid w:val="00A145EB"/>
    <w:rsid w:val="00A14849"/>
    <w:rsid w:val="00A14AB2"/>
    <w:rsid w:val="00A14AC9"/>
    <w:rsid w:val="00A158E1"/>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58E0"/>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019"/>
    <w:rsid w:val="00A53497"/>
    <w:rsid w:val="00A536CB"/>
    <w:rsid w:val="00A542F8"/>
    <w:rsid w:val="00A55A47"/>
    <w:rsid w:val="00A574BF"/>
    <w:rsid w:val="00A579F8"/>
    <w:rsid w:val="00A6000D"/>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1FE5"/>
    <w:rsid w:val="00A92A16"/>
    <w:rsid w:val="00A93154"/>
    <w:rsid w:val="00A93214"/>
    <w:rsid w:val="00A93552"/>
    <w:rsid w:val="00A93C27"/>
    <w:rsid w:val="00A93C2B"/>
    <w:rsid w:val="00A93DC1"/>
    <w:rsid w:val="00A94D8C"/>
    <w:rsid w:val="00A95EA8"/>
    <w:rsid w:val="00A96FC0"/>
    <w:rsid w:val="00A97BFA"/>
    <w:rsid w:val="00AA007C"/>
    <w:rsid w:val="00AA0B30"/>
    <w:rsid w:val="00AA25C9"/>
    <w:rsid w:val="00AA3726"/>
    <w:rsid w:val="00AA40AA"/>
    <w:rsid w:val="00AA4F09"/>
    <w:rsid w:val="00AA5C2A"/>
    <w:rsid w:val="00AA7A72"/>
    <w:rsid w:val="00AA7DCE"/>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6F61"/>
    <w:rsid w:val="00AB7601"/>
    <w:rsid w:val="00AB7957"/>
    <w:rsid w:val="00AB7A15"/>
    <w:rsid w:val="00AB7AB3"/>
    <w:rsid w:val="00AB7D9C"/>
    <w:rsid w:val="00AC1506"/>
    <w:rsid w:val="00AC1E53"/>
    <w:rsid w:val="00AC42FA"/>
    <w:rsid w:val="00AC455C"/>
    <w:rsid w:val="00AC4D66"/>
    <w:rsid w:val="00AC5C0E"/>
    <w:rsid w:val="00AC5FCE"/>
    <w:rsid w:val="00AC60EC"/>
    <w:rsid w:val="00AC615E"/>
    <w:rsid w:val="00AC62B7"/>
    <w:rsid w:val="00AC6BDA"/>
    <w:rsid w:val="00AC6E20"/>
    <w:rsid w:val="00AC7A38"/>
    <w:rsid w:val="00AD07F1"/>
    <w:rsid w:val="00AD08BD"/>
    <w:rsid w:val="00AD20E0"/>
    <w:rsid w:val="00AD2BE1"/>
    <w:rsid w:val="00AD3C49"/>
    <w:rsid w:val="00AD3D21"/>
    <w:rsid w:val="00AD4939"/>
    <w:rsid w:val="00AD68F8"/>
    <w:rsid w:val="00AE0B68"/>
    <w:rsid w:val="00AE10CD"/>
    <w:rsid w:val="00AE1499"/>
    <w:rsid w:val="00AE2D0A"/>
    <w:rsid w:val="00AE3725"/>
    <w:rsid w:val="00AE4E58"/>
    <w:rsid w:val="00AE5139"/>
    <w:rsid w:val="00AE54FA"/>
    <w:rsid w:val="00AE5C8B"/>
    <w:rsid w:val="00AE653E"/>
    <w:rsid w:val="00AE65CA"/>
    <w:rsid w:val="00AE65D9"/>
    <w:rsid w:val="00AE6800"/>
    <w:rsid w:val="00AE6CDA"/>
    <w:rsid w:val="00AE72FC"/>
    <w:rsid w:val="00AE751E"/>
    <w:rsid w:val="00AF0264"/>
    <w:rsid w:val="00AF16A0"/>
    <w:rsid w:val="00AF239F"/>
    <w:rsid w:val="00AF23AA"/>
    <w:rsid w:val="00AF23C2"/>
    <w:rsid w:val="00AF3040"/>
    <w:rsid w:val="00AF39BC"/>
    <w:rsid w:val="00AF4046"/>
    <w:rsid w:val="00AF51E5"/>
    <w:rsid w:val="00AF52E7"/>
    <w:rsid w:val="00AF5D55"/>
    <w:rsid w:val="00AF605B"/>
    <w:rsid w:val="00AF741B"/>
    <w:rsid w:val="00AF7453"/>
    <w:rsid w:val="00AF7C3D"/>
    <w:rsid w:val="00AF7E72"/>
    <w:rsid w:val="00B0115C"/>
    <w:rsid w:val="00B0432F"/>
    <w:rsid w:val="00B043ED"/>
    <w:rsid w:val="00B054FF"/>
    <w:rsid w:val="00B05CB6"/>
    <w:rsid w:val="00B0633F"/>
    <w:rsid w:val="00B070A0"/>
    <w:rsid w:val="00B07CC0"/>
    <w:rsid w:val="00B07D53"/>
    <w:rsid w:val="00B102F5"/>
    <w:rsid w:val="00B103BE"/>
    <w:rsid w:val="00B103E9"/>
    <w:rsid w:val="00B10C24"/>
    <w:rsid w:val="00B11586"/>
    <w:rsid w:val="00B11E6D"/>
    <w:rsid w:val="00B11FA4"/>
    <w:rsid w:val="00B12242"/>
    <w:rsid w:val="00B1393B"/>
    <w:rsid w:val="00B140D2"/>
    <w:rsid w:val="00B14CD1"/>
    <w:rsid w:val="00B15491"/>
    <w:rsid w:val="00B1562F"/>
    <w:rsid w:val="00B159D6"/>
    <w:rsid w:val="00B16D63"/>
    <w:rsid w:val="00B17629"/>
    <w:rsid w:val="00B21D6E"/>
    <w:rsid w:val="00B22C39"/>
    <w:rsid w:val="00B22DE0"/>
    <w:rsid w:val="00B23D2D"/>
    <w:rsid w:val="00B24FEA"/>
    <w:rsid w:val="00B25384"/>
    <w:rsid w:val="00B2540B"/>
    <w:rsid w:val="00B25B94"/>
    <w:rsid w:val="00B25FE6"/>
    <w:rsid w:val="00B26407"/>
    <w:rsid w:val="00B26CD6"/>
    <w:rsid w:val="00B27255"/>
    <w:rsid w:val="00B2749B"/>
    <w:rsid w:val="00B2763A"/>
    <w:rsid w:val="00B27A0A"/>
    <w:rsid w:val="00B30160"/>
    <w:rsid w:val="00B3068C"/>
    <w:rsid w:val="00B308B8"/>
    <w:rsid w:val="00B3155C"/>
    <w:rsid w:val="00B317DC"/>
    <w:rsid w:val="00B31E48"/>
    <w:rsid w:val="00B327F4"/>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AAA"/>
    <w:rsid w:val="00B37E95"/>
    <w:rsid w:val="00B4190C"/>
    <w:rsid w:val="00B41956"/>
    <w:rsid w:val="00B42A22"/>
    <w:rsid w:val="00B45535"/>
    <w:rsid w:val="00B4553C"/>
    <w:rsid w:val="00B4572C"/>
    <w:rsid w:val="00B459C8"/>
    <w:rsid w:val="00B45BAB"/>
    <w:rsid w:val="00B46975"/>
    <w:rsid w:val="00B472EC"/>
    <w:rsid w:val="00B52046"/>
    <w:rsid w:val="00B5259A"/>
    <w:rsid w:val="00B528DA"/>
    <w:rsid w:val="00B52CB1"/>
    <w:rsid w:val="00B53C9A"/>
    <w:rsid w:val="00B53D31"/>
    <w:rsid w:val="00B553DF"/>
    <w:rsid w:val="00B5563C"/>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CBD"/>
    <w:rsid w:val="00B66802"/>
    <w:rsid w:val="00B67325"/>
    <w:rsid w:val="00B67453"/>
    <w:rsid w:val="00B675F7"/>
    <w:rsid w:val="00B67A78"/>
    <w:rsid w:val="00B7086A"/>
    <w:rsid w:val="00B70A5F"/>
    <w:rsid w:val="00B70C27"/>
    <w:rsid w:val="00B70E97"/>
    <w:rsid w:val="00B715DC"/>
    <w:rsid w:val="00B71ACD"/>
    <w:rsid w:val="00B7211A"/>
    <w:rsid w:val="00B722FE"/>
    <w:rsid w:val="00B729F1"/>
    <w:rsid w:val="00B7300C"/>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88"/>
    <w:rsid w:val="00B952E7"/>
    <w:rsid w:val="00B95B2F"/>
    <w:rsid w:val="00B97356"/>
    <w:rsid w:val="00B97A6D"/>
    <w:rsid w:val="00BA0391"/>
    <w:rsid w:val="00BA060B"/>
    <w:rsid w:val="00BA079F"/>
    <w:rsid w:val="00BA0DCD"/>
    <w:rsid w:val="00BA2423"/>
    <w:rsid w:val="00BA34B1"/>
    <w:rsid w:val="00BA382E"/>
    <w:rsid w:val="00BA3830"/>
    <w:rsid w:val="00BA41E7"/>
    <w:rsid w:val="00BA42E0"/>
    <w:rsid w:val="00BA5792"/>
    <w:rsid w:val="00BA7701"/>
    <w:rsid w:val="00BA7BAB"/>
    <w:rsid w:val="00BA7BB5"/>
    <w:rsid w:val="00BA7C02"/>
    <w:rsid w:val="00BA7C73"/>
    <w:rsid w:val="00BB00C3"/>
    <w:rsid w:val="00BB01F3"/>
    <w:rsid w:val="00BB0741"/>
    <w:rsid w:val="00BB17AD"/>
    <w:rsid w:val="00BB292D"/>
    <w:rsid w:val="00BB300F"/>
    <w:rsid w:val="00BB369B"/>
    <w:rsid w:val="00BB3866"/>
    <w:rsid w:val="00BB3919"/>
    <w:rsid w:val="00BB3A56"/>
    <w:rsid w:val="00BB3E2E"/>
    <w:rsid w:val="00BB49CB"/>
    <w:rsid w:val="00BB4CAE"/>
    <w:rsid w:val="00BB6187"/>
    <w:rsid w:val="00BB67F1"/>
    <w:rsid w:val="00BB79C2"/>
    <w:rsid w:val="00BB7F0F"/>
    <w:rsid w:val="00BC0EC7"/>
    <w:rsid w:val="00BC1722"/>
    <w:rsid w:val="00BC194A"/>
    <w:rsid w:val="00BC2214"/>
    <w:rsid w:val="00BC2825"/>
    <w:rsid w:val="00BC2E96"/>
    <w:rsid w:val="00BC365F"/>
    <w:rsid w:val="00BC406F"/>
    <w:rsid w:val="00BC4C88"/>
    <w:rsid w:val="00BC4F84"/>
    <w:rsid w:val="00BC59CA"/>
    <w:rsid w:val="00BC6970"/>
    <w:rsid w:val="00BC6D81"/>
    <w:rsid w:val="00BC6F87"/>
    <w:rsid w:val="00BC734E"/>
    <w:rsid w:val="00BC7713"/>
    <w:rsid w:val="00BC7C93"/>
    <w:rsid w:val="00BC7F2A"/>
    <w:rsid w:val="00BD0286"/>
    <w:rsid w:val="00BD0A25"/>
    <w:rsid w:val="00BD1B3F"/>
    <w:rsid w:val="00BD33A9"/>
    <w:rsid w:val="00BD33BE"/>
    <w:rsid w:val="00BD3792"/>
    <w:rsid w:val="00BD3C72"/>
    <w:rsid w:val="00BD4E12"/>
    <w:rsid w:val="00BD5D4E"/>
    <w:rsid w:val="00BD7991"/>
    <w:rsid w:val="00BE0BDD"/>
    <w:rsid w:val="00BE21E3"/>
    <w:rsid w:val="00BE305B"/>
    <w:rsid w:val="00BE62B2"/>
    <w:rsid w:val="00BE6350"/>
    <w:rsid w:val="00BE6C24"/>
    <w:rsid w:val="00BE7287"/>
    <w:rsid w:val="00BE7C93"/>
    <w:rsid w:val="00BF0362"/>
    <w:rsid w:val="00BF0479"/>
    <w:rsid w:val="00BF0D73"/>
    <w:rsid w:val="00BF1D23"/>
    <w:rsid w:val="00BF1F82"/>
    <w:rsid w:val="00BF2520"/>
    <w:rsid w:val="00BF3470"/>
    <w:rsid w:val="00BF3B94"/>
    <w:rsid w:val="00BF3FF8"/>
    <w:rsid w:val="00BF4C53"/>
    <w:rsid w:val="00BF5294"/>
    <w:rsid w:val="00BF54DC"/>
    <w:rsid w:val="00BF5748"/>
    <w:rsid w:val="00BF6270"/>
    <w:rsid w:val="00BF6584"/>
    <w:rsid w:val="00BF67B7"/>
    <w:rsid w:val="00BF770B"/>
    <w:rsid w:val="00C00567"/>
    <w:rsid w:val="00C01510"/>
    <w:rsid w:val="00C01CEB"/>
    <w:rsid w:val="00C01F6E"/>
    <w:rsid w:val="00C03249"/>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9E"/>
    <w:rsid w:val="00C215D1"/>
    <w:rsid w:val="00C21AE1"/>
    <w:rsid w:val="00C223D1"/>
    <w:rsid w:val="00C22449"/>
    <w:rsid w:val="00C2248F"/>
    <w:rsid w:val="00C227C6"/>
    <w:rsid w:val="00C230F6"/>
    <w:rsid w:val="00C23F8A"/>
    <w:rsid w:val="00C24B05"/>
    <w:rsid w:val="00C25D31"/>
    <w:rsid w:val="00C265D0"/>
    <w:rsid w:val="00C26A6C"/>
    <w:rsid w:val="00C26FE5"/>
    <w:rsid w:val="00C3022B"/>
    <w:rsid w:val="00C30723"/>
    <w:rsid w:val="00C31756"/>
    <w:rsid w:val="00C31F7F"/>
    <w:rsid w:val="00C32186"/>
    <w:rsid w:val="00C32A3B"/>
    <w:rsid w:val="00C335AE"/>
    <w:rsid w:val="00C35C70"/>
    <w:rsid w:val="00C35E26"/>
    <w:rsid w:val="00C36684"/>
    <w:rsid w:val="00C36F0A"/>
    <w:rsid w:val="00C36F4F"/>
    <w:rsid w:val="00C372CB"/>
    <w:rsid w:val="00C4067A"/>
    <w:rsid w:val="00C41480"/>
    <w:rsid w:val="00C44052"/>
    <w:rsid w:val="00C44368"/>
    <w:rsid w:val="00C46111"/>
    <w:rsid w:val="00C46822"/>
    <w:rsid w:val="00C46CE5"/>
    <w:rsid w:val="00C50260"/>
    <w:rsid w:val="00C51395"/>
    <w:rsid w:val="00C51553"/>
    <w:rsid w:val="00C518A5"/>
    <w:rsid w:val="00C51A60"/>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47B4"/>
    <w:rsid w:val="00C65163"/>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5B40"/>
    <w:rsid w:val="00C7675A"/>
    <w:rsid w:val="00C76E9D"/>
    <w:rsid w:val="00C816DF"/>
    <w:rsid w:val="00C81C28"/>
    <w:rsid w:val="00C820EE"/>
    <w:rsid w:val="00C84713"/>
    <w:rsid w:val="00C84758"/>
    <w:rsid w:val="00C853AB"/>
    <w:rsid w:val="00C85F72"/>
    <w:rsid w:val="00C86896"/>
    <w:rsid w:val="00C876E1"/>
    <w:rsid w:val="00C87792"/>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77F"/>
    <w:rsid w:val="00CB2D1B"/>
    <w:rsid w:val="00CB310A"/>
    <w:rsid w:val="00CB3318"/>
    <w:rsid w:val="00CB3628"/>
    <w:rsid w:val="00CB407C"/>
    <w:rsid w:val="00CB46B4"/>
    <w:rsid w:val="00CB4940"/>
    <w:rsid w:val="00CB5D5B"/>
    <w:rsid w:val="00CB6D0C"/>
    <w:rsid w:val="00CB6E94"/>
    <w:rsid w:val="00CB7060"/>
    <w:rsid w:val="00CB77F2"/>
    <w:rsid w:val="00CB7DD6"/>
    <w:rsid w:val="00CC0438"/>
    <w:rsid w:val="00CC0563"/>
    <w:rsid w:val="00CC140D"/>
    <w:rsid w:val="00CC2270"/>
    <w:rsid w:val="00CC3277"/>
    <w:rsid w:val="00CC385B"/>
    <w:rsid w:val="00CC4207"/>
    <w:rsid w:val="00CC5222"/>
    <w:rsid w:val="00CC5775"/>
    <w:rsid w:val="00CC57E5"/>
    <w:rsid w:val="00CC62CD"/>
    <w:rsid w:val="00CC7881"/>
    <w:rsid w:val="00CC7971"/>
    <w:rsid w:val="00CD0422"/>
    <w:rsid w:val="00CD0982"/>
    <w:rsid w:val="00CD117F"/>
    <w:rsid w:val="00CD124B"/>
    <w:rsid w:val="00CD19CF"/>
    <w:rsid w:val="00CD2987"/>
    <w:rsid w:val="00CD2A22"/>
    <w:rsid w:val="00CD2A3D"/>
    <w:rsid w:val="00CD2D13"/>
    <w:rsid w:val="00CD2EE0"/>
    <w:rsid w:val="00CD400D"/>
    <w:rsid w:val="00CD40C7"/>
    <w:rsid w:val="00CD5885"/>
    <w:rsid w:val="00CD5D11"/>
    <w:rsid w:val="00CD63D3"/>
    <w:rsid w:val="00CD6924"/>
    <w:rsid w:val="00CD7055"/>
    <w:rsid w:val="00CD7340"/>
    <w:rsid w:val="00CE06B1"/>
    <w:rsid w:val="00CE0944"/>
    <w:rsid w:val="00CE0A76"/>
    <w:rsid w:val="00CE0CBC"/>
    <w:rsid w:val="00CE1F13"/>
    <w:rsid w:val="00CE3120"/>
    <w:rsid w:val="00CE331A"/>
    <w:rsid w:val="00CE3C60"/>
    <w:rsid w:val="00CE42DB"/>
    <w:rsid w:val="00CE4C6F"/>
    <w:rsid w:val="00CE52CC"/>
    <w:rsid w:val="00CE53F4"/>
    <w:rsid w:val="00CE5510"/>
    <w:rsid w:val="00CE5B5C"/>
    <w:rsid w:val="00CE5B69"/>
    <w:rsid w:val="00CE6071"/>
    <w:rsid w:val="00CE66E3"/>
    <w:rsid w:val="00CE793F"/>
    <w:rsid w:val="00CF0FA5"/>
    <w:rsid w:val="00CF15DD"/>
    <w:rsid w:val="00CF223D"/>
    <w:rsid w:val="00CF2824"/>
    <w:rsid w:val="00CF3526"/>
    <w:rsid w:val="00CF357F"/>
    <w:rsid w:val="00CF3A33"/>
    <w:rsid w:val="00CF3C7D"/>
    <w:rsid w:val="00CF45BF"/>
    <w:rsid w:val="00CF4755"/>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30A"/>
    <w:rsid w:val="00D0548B"/>
    <w:rsid w:val="00D05AEE"/>
    <w:rsid w:val="00D05D6E"/>
    <w:rsid w:val="00D06413"/>
    <w:rsid w:val="00D0648D"/>
    <w:rsid w:val="00D06EB9"/>
    <w:rsid w:val="00D1153F"/>
    <w:rsid w:val="00D11995"/>
    <w:rsid w:val="00D11BFB"/>
    <w:rsid w:val="00D11CFD"/>
    <w:rsid w:val="00D12432"/>
    <w:rsid w:val="00D133F6"/>
    <w:rsid w:val="00D13808"/>
    <w:rsid w:val="00D146FE"/>
    <w:rsid w:val="00D1581E"/>
    <w:rsid w:val="00D15D19"/>
    <w:rsid w:val="00D15D93"/>
    <w:rsid w:val="00D15DA1"/>
    <w:rsid w:val="00D15EEC"/>
    <w:rsid w:val="00D1635E"/>
    <w:rsid w:val="00D16380"/>
    <w:rsid w:val="00D163FF"/>
    <w:rsid w:val="00D166B5"/>
    <w:rsid w:val="00D16E87"/>
    <w:rsid w:val="00D17335"/>
    <w:rsid w:val="00D17F7B"/>
    <w:rsid w:val="00D2079E"/>
    <w:rsid w:val="00D21356"/>
    <w:rsid w:val="00D2142F"/>
    <w:rsid w:val="00D216EE"/>
    <w:rsid w:val="00D220B5"/>
    <w:rsid w:val="00D23321"/>
    <w:rsid w:val="00D233CD"/>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975"/>
    <w:rsid w:val="00D33A8C"/>
    <w:rsid w:val="00D33ED9"/>
    <w:rsid w:val="00D34D1F"/>
    <w:rsid w:val="00D35597"/>
    <w:rsid w:val="00D35689"/>
    <w:rsid w:val="00D36180"/>
    <w:rsid w:val="00D365FA"/>
    <w:rsid w:val="00D37093"/>
    <w:rsid w:val="00D40425"/>
    <w:rsid w:val="00D40BC3"/>
    <w:rsid w:val="00D40D6B"/>
    <w:rsid w:val="00D4129E"/>
    <w:rsid w:val="00D418A3"/>
    <w:rsid w:val="00D42946"/>
    <w:rsid w:val="00D43984"/>
    <w:rsid w:val="00D44230"/>
    <w:rsid w:val="00D4459D"/>
    <w:rsid w:val="00D46BE9"/>
    <w:rsid w:val="00D46FA2"/>
    <w:rsid w:val="00D47451"/>
    <w:rsid w:val="00D47947"/>
    <w:rsid w:val="00D50053"/>
    <w:rsid w:val="00D504FA"/>
    <w:rsid w:val="00D50F10"/>
    <w:rsid w:val="00D50F83"/>
    <w:rsid w:val="00D51256"/>
    <w:rsid w:val="00D512D8"/>
    <w:rsid w:val="00D51610"/>
    <w:rsid w:val="00D516DF"/>
    <w:rsid w:val="00D51A99"/>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648"/>
    <w:rsid w:val="00D66FDA"/>
    <w:rsid w:val="00D67292"/>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818"/>
    <w:rsid w:val="00D75E77"/>
    <w:rsid w:val="00D75F19"/>
    <w:rsid w:val="00D76A43"/>
    <w:rsid w:val="00D77AD8"/>
    <w:rsid w:val="00D80973"/>
    <w:rsid w:val="00D80BD8"/>
    <w:rsid w:val="00D82A2B"/>
    <w:rsid w:val="00D8301D"/>
    <w:rsid w:val="00D8473E"/>
    <w:rsid w:val="00D86255"/>
    <w:rsid w:val="00D863D1"/>
    <w:rsid w:val="00D864B6"/>
    <w:rsid w:val="00D872B7"/>
    <w:rsid w:val="00D8763A"/>
    <w:rsid w:val="00D87DCF"/>
    <w:rsid w:val="00D87F5B"/>
    <w:rsid w:val="00D90125"/>
    <w:rsid w:val="00D9057B"/>
    <w:rsid w:val="00D9096B"/>
    <w:rsid w:val="00D90ED1"/>
    <w:rsid w:val="00D91C34"/>
    <w:rsid w:val="00D925C5"/>
    <w:rsid w:val="00D9279F"/>
    <w:rsid w:val="00D940EE"/>
    <w:rsid w:val="00D94D1D"/>
    <w:rsid w:val="00D94E4C"/>
    <w:rsid w:val="00D95709"/>
    <w:rsid w:val="00D958A7"/>
    <w:rsid w:val="00D96C09"/>
    <w:rsid w:val="00D96D46"/>
    <w:rsid w:val="00D97B72"/>
    <w:rsid w:val="00D97CF6"/>
    <w:rsid w:val="00DA0AD6"/>
    <w:rsid w:val="00DA0BBE"/>
    <w:rsid w:val="00DA11AE"/>
    <w:rsid w:val="00DA16E5"/>
    <w:rsid w:val="00DA1BE9"/>
    <w:rsid w:val="00DA251F"/>
    <w:rsid w:val="00DA283D"/>
    <w:rsid w:val="00DA3E12"/>
    <w:rsid w:val="00DA4141"/>
    <w:rsid w:val="00DA417B"/>
    <w:rsid w:val="00DA45BD"/>
    <w:rsid w:val="00DA52EB"/>
    <w:rsid w:val="00DA58B2"/>
    <w:rsid w:val="00DA5CD6"/>
    <w:rsid w:val="00DA6868"/>
    <w:rsid w:val="00DA774D"/>
    <w:rsid w:val="00DA79C6"/>
    <w:rsid w:val="00DB0312"/>
    <w:rsid w:val="00DB115A"/>
    <w:rsid w:val="00DB1B88"/>
    <w:rsid w:val="00DB3213"/>
    <w:rsid w:val="00DB387C"/>
    <w:rsid w:val="00DB43F8"/>
    <w:rsid w:val="00DB46DA"/>
    <w:rsid w:val="00DB5A7F"/>
    <w:rsid w:val="00DB640B"/>
    <w:rsid w:val="00DB656B"/>
    <w:rsid w:val="00DB6A23"/>
    <w:rsid w:val="00DB75BE"/>
    <w:rsid w:val="00DB7D6B"/>
    <w:rsid w:val="00DC01DD"/>
    <w:rsid w:val="00DC0423"/>
    <w:rsid w:val="00DC29D6"/>
    <w:rsid w:val="00DC430F"/>
    <w:rsid w:val="00DC43B0"/>
    <w:rsid w:val="00DC478C"/>
    <w:rsid w:val="00DC47BF"/>
    <w:rsid w:val="00DC4CEC"/>
    <w:rsid w:val="00DC5055"/>
    <w:rsid w:val="00DC5F0A"/>
    <w:rsid w:val="00DC6348"/>
    <w:rsid w:val="00DC6447"/>
    <w:rsid w:val="00DC6F43"/>
    <w:rsid w:val="00DC7AD9"/>
    <w:rsid w:val="00DD0C80"/>
    <w:rsid w:val="00DD1629"/>
    <w:rsid w:val="00DD2409"/>
    <w:rsid w:val="00DD2798"/>
    <w:rsid w:val="00DD2A6B"/>
    <w:rsid w:val="00DD3A79"/>
    <w:rsid w:val="00DD4174"/>
    <w:rsid w:val="00DD418A"/>
    <w:rsid w:val="00DD452E"/>
    <w:rsid w:val="00DD4929"/>
    <w:rsid w:val="00DD6998"/>
    <w:rsid w:val="00DD7C1F"/>
    <w:rsid w:val="00DD7C32"/>
    <w:rsid w:val="00DE00A7"/>
    <w:rsid w:val="00DE0A7D"/>
    <w:rsid w:val="00DE0DC9"/>
    <w:rsid w:val="00DE12EF"/>
    <w:rsid w:val="00DE19AA"/>
    <w:rsid w:val="00DE367F"/>
    <w:rsid w:val="00DE3E2A"/>
    <w:rsid w:val="00DE5469"/>
    <w:rsid w:val="00DE5D83"/>
    <w:rsid w:val="00DE7DBA"/>
    <w:rsid w:val="00DE7FB5"/>
    <w:rsid w:val="00DF0953"/>
    <w:rsid w:val="00DF33E8"/>
    <w:rsid w:val="00DF354D"/>
    <w:rsid w:val="00DF3B05"/>
    <w:rsid w:val="00DF44BC"/>
    <w:rsid w:val="00DF46D2"/>
    <w:rsid w:val="00DF5209"/>
    <w:rsid w:val="00DF5300"/>
    <w:rsid w:val="00DF61C2"/>
    <w:rsid w:val="00DF649D"/>
    <w:rsid w:val="00DF7E21"/>
    <w:rsid w:val="00E00733"/>
    <w:rsid w:val="00E00948"/>
    <w:rsid w:val="00E00C13"/>
    <w:rsid w:val="00E00C41"/>
    <w:rsid w:val="00E01D40"/>
    <w:rsid w:val="00E024F6"/>
    <w:rsid w:val="00E0287E"/>
    <w:rsid w:val="00E02D84"/>
    <w:rsid w:val="00E037FD"/>
    <w:rsid w:val="00E03D0B"/>
    <w:rsid w:val="00E04271"/>
    <w:rsid w:val="00E04F16"/>
    <w:rsid w:val="00E053BA"/>
    <w:rsid w:val="00E0562D"/>
    <w:rsid w:val="00E05C05"/>
    <w:rsid w:val="00E06510"/>
    <w:rsid w:val="00E066EF"/>
    <w:rsid w:val="00E072B0"/>
    <w:rsid w:val="00E07C90"/>
    <w:rsid w:val="00E111E7"/>
    <w:rsid w:val="00E111F8"/>
    <w:rsid w:val="00E11C10"/>
    <w:rsid w:val="00E12618"/>
    <w:rsid w:val="00E129DF"/>
    <w:rsid w:val="00E12B5D"/>
    <w:rsid w:val="00E13435"/>
    <w:rsid w:val="00E13F23"/>
    <w:rsid w:val="00E143D4"/>
    <w:rsid w:val="00E14773"/>
    <w:rsid w:val="00E1521D"/>
    <w:rsid w:val="00E155E5"/>
    <w:rsid w:val="00E16E19"/>
    <w:rsid w:val="00E1769F"/>
    <w:rsid w:val="00E17930"/>
    <w:rsid w:val="00E20164"/>
    <w:rsid w:val="00E21AA6"/>
    <w:rsid w:val="00E21DF6"/>
    <w:rsid w:val="00E22387"/>
    <w:rsid w:val="00E223DC"/>
    <w:rsid w:val="00E2304B"/>
    <w:rsid w:val="00E2320D"/>
    <w:rsid w:val="00E23447"/>
    <w:rsid w:val="00E238C1"/>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92C"/>
    <w:rsid w:val="00E41DF6"/>
    <w:rsid w:val="00E420CB"/>
    <w:rsid w:val="00E44877"/>
    <w:rsid w:val="00E451B6"/>
    <w:rsid w:val="00E454AD"/>
    <w:rsid w:val="00E4671A"/>
    <w:rsid w:val="00E474DE"/>
    <w:rsid w:val="00E47920"/>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4584"/>
    <w:rsid w:val="00E95058"/>
    <w:rsid w:val="00E95C26"/>
    <w:rsid w:val="00E95CEA"/>
    <w:rsid w:val="00E95F71"/>
    <w:rsid w:val="00E967F1"/>
    <w:rsid w:val="00E97D20"/>
    <w:rsid w:val="00E97FE2"/>
    <w:rsid w:val="00E97FE6"/>
    <w:rsid w:val="00EA08E8"/>
    <w:rsid w:val="00EA1903"/>
    <w:rsid w:val="00EA1A5A"/>
    <w:rsid w:val="00EA2FC0"/>
    <w:rsid w:val="00EA3F5C"/>
    <w:rsid w:val="00EA4397"/>
    <w:rsid w:val="00EA499D"/>
    <w:rsid w:val="00EA4FFF"/>
    <w:rsid w:val="00EA54A1"/>
    <w:rsid w:val="00EA54AD"/>
    <w:rsid w:val="00EA58A0"/>
    <w:rsid w:val="00EA5AE3"/>
    <w:rsid w:val="00EA5C8C"/>
    <w:rsid w:val="00EA5ECB"/>
    <w:rsid w:val="00EA62F8"/>
    <w:rsid w:val="00EA6B56"/>
    <w:rsid w:val="00EA6D49"/>
    <w:rsid w:val="00EA7144"/>
    <w:rsid w:val="00EA7D0C"/>
    <w:rsid w:val="00EA7F0B"/>
    <w:rsid w:val="00EB0CCF"/>
    <w:rsid w:val="00EB114C"/>
    <w:rsid w:val="00EB18C0"/>
    <w:rsid w:val="00EB20F4"/>
    <w:rsid w:val="00EB2490"/>
    <w:rsid w:val="00EB3F05"/>
    <w:rsid w:val="00EB43BA"/>
    <w:rsid w:val="00EB56C4"/>
    <w:rsid w:val="00EB5955"/>
    <w:rsid w:val="00EB6662"/>
    <w:rsid w:val="00EB6E71"/>
    <w:rsid w:val="00EB7657"/>
    <w:rsid w:val="00EC05E1"/>
    <w:rsid w:val="00EC07BA"/>
    <w:rsid w:val="00EC08E4"/>
    <w:rsid w:val="00EC23D8"/>
    <w:rsid w:val="00EC242F"/>
    <w:rsid w:val="00EC3785"/>
    <w:rsid w:val="00EC3B2D"/>
    <w:rsid w:val="00EC3E5A"/>
    <w:rsid w:val="00EC458A"/>
    <w:rsid w:val="00EC51A1"/>
    <w:rsid w:val="00EC6178"/>
    <w:rsid w:val="00EC65DD"/>
    <w:rsid w:val="00EC6A56"/>
    <w:rsid w:val="00EC7166"/>
    <w:rsid w:val="00EC7E78"/>
    <w:rsid w:val="00ED02FE"/>
    <w:rsid w:val="00ED06AD"/>
    <w:rsid w:val="00ED0BED"/>
    <w:rsid w:val="00ED1232"/>
    <w:rsid w:val="00ED1A7F"/>
    <w:rsid w:val="00ED22C5"/>
    <w:rsid w:val="00ED3503"/>
    <w:rsid w:val="00ED35D8"/>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0AF"/>
    <w:rsid w:val="00EF274D"/>
    <w:rsid w:val="00EF34F6"/>
    <w:rsid w:val="00EF355D"/>
    <w:rsid w:val="00EF3725"/>
    <w:rsid w:val="00EF37B5"/>
    <w:rsid w:val="00EF388A"/>
    <w:rsid w:val="00EF3D14"/>
    <w:rsid w:val="00EF3EEE"/>
    <w:rsid w:val="00EF3F7E"/>
    <w:rsid w:val="00EF3F88"/>
    <w:rsid w:val="00EF75A6"/>
    <w:rsid w:val="00F0045E"/>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9E5"/>
    <w:rsid w:val="00F06CDD"/>
    <w:rsid w:val="00F06D5D"/>
    <w:rsid w:val="00F102AB"/>
    <w:rsid w:val="00F11AA5"/>
    <w:rsid w:val="00F11E55"/>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210C"/>
    <w:rsid w:val="00F231FB"/>
    <w:rsid w:val="00F243C4"/>
    <w:rsid w:val="00F243FF"/>
    <w:rsid w:val="00F25199"/>
    <w:rsid w:val="00F254D8"/>
    <w:rsid w:val="00F26955"/>
    <w:rsid w:val="00F26A46"/>
    <w:rsid w:val="00F26F86"/>
    <w:rsid w:val="00F271AB"/>
    <w:rsid w:val="00F2780A"/>
    <w:rsid w:val="00F30188"/>
    <w:rsid w:val="00F311C3"/>
    <w:rsid w:val="00F314EF"/>
    <w:rsid w:val="00F3167E"/>
    <w:rsid w:val="00F332B2"/>
    <w:rsid w:val="00F33DD2"/>
    <w:rsid w:val="00F33E94"/>
    <w:rsid w:val="00F33F0D"/>
    <w:rsid w:val="00F352BD"/>
    <w:rsid w:val="00F3589E"/>
    <w:rsid w:val="00F35DAE"/>
    <w:rsid w:val="00F36723"/>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4EC8"/>
    <w:rsid w:val="00F4504E"/>
    <w:rsid w:val="00F452E7"/>
    <w:rsid w:val="00F4670C"/>
    <w:rsid w:val="00F467C0"/>
    <w:rsid w:val="00F47C6B"/>
    <w:rsid w:val="00F503D2"/>
    <w:rsid w:val="00F505AC"/>
    <w:rsid w:val="00F50603"/>
    <w:rsid w:val="00F50C03"/>
    <w:rsid w:val="00F50F47"/>
    <w:rsid w:val="00F51899"/>
    <w:rsid w:val="00F51E43"/>
    <w:rsid w:val="00F51E44"/>
    <w:rsid w:val="00F5253A"/>
    <w:rsid w:val="00F5325B"/>
    <w:rsid w:val="00F53AF0"/>
    <w:rsid w:val="00F55337"/>
    <w:rsid w:val="00F55F0A"/>
    <w:rsid w:val="00F56456"/>
    <w:rsid w:val="00F5652C"/>
    <w:rsid w:val="00F575D1"/>
    <w:rsid w:val="00F57C49"/>
    <w:rsid w:val="00F57D6B"/>
    <w:rsid w:val="00F60A98"/>
    <w:rsid w:val="00F618C5"/>
    <w:rsid w:val="00F619E0"/>
    <w:rsid w:val="00F622E5"/>
    <w:rsid w:val="00F626FF"/>
    <w:rsid w:val="00F627D0"/>
    <w:rsid w:val="00F6380C"/>
    <w:rsid w:val="00F63E23"/>
    <w:rsid w:val="00F64D19"/>
    <w:rsid w:val="00F65D31"/>
    <w:rsid w:val="00F666A7"/>
    <w:rsid w:val="00F66A2E"/>
    <w:rsid w:val="00F67C31"/>
    <w:rsid w:val="00F67F09"/>
    <w:rsid w:val="00F706A0"/>
    <w:rsid w:val="00F70787"/>
    <w:rsid w:val="00F708C0"/>
    <w:rsid w:val="00F709F5"/>
    <w:rsid w:val="00F717CC"/>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079"/>
    <w:rsid w:val="00F824D5"/>
    <w:rsid w:val="00F82628"/>
    <w:rsid w:val="00F82D8E"/>
    <w:rsid w:val="00F8321D"/>
    <w:rsid w:val="00F83461"/>
    <w:rsid w:val="00F83585"/>
    <w:rsid w:val="00F83883"/>
    <w:rsid w:val="00F83ACF"/>
    <w:rsid w:val="00F8517B"/>
    <w:rsid w:val="00F853BE"/>
    <w:rsid w:val="00F87971"/>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74F"/>
    <w:rsid w:val="00FB1FEB"/>
    <w:rsid w:val="00FB28DA"/>
    <w:rsid w:val="00FB4250"/>
    <w:rsid w:val="00FB42B4"/>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63B"/>
    <w:rsid w:val="00FD1AB4"/>
    <w:rsid w:val="00FD1DDF"/>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F0644"/>
    <w:rsid w:val="00FF094E"/>
    <w:rsid w:val="00FF0A66"/>
    <w:rsid w:val="00FF1632"/>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uiPriority w:val="99"/>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qFormat/>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paragraph" w:customStyle="1" w:styleId="Char1">
    <w:name w:val="Char"/>
    <w:basedOn w:val="Normal"/>
    <w:rsid w:val="00130634"/>
    <w:pPr>
      <w:spacing w:after="160" w:line="240" w:lineRule="exact"/>
    </w:pPr>
    <w:rPr>
      <w:rFonts w:ascii="Verdana" w:eastAsia="MS Mincho" w:hAnsi="Verdana" w:cs="Verdana"/>
      <w:lang w:val="en-US" w:eastAsia="en-US"/>
    </w:rPr>
  </w:style>
  <w:style w:type="paragraph" w:customStyle="1" w:styleId="Char2">
    <w:name w:val="Char"/>
    <w:basedOn w:val="Normal"/>
    <w:rsid w:val="00DD1629"/>
    <w:pPr>
      <w:spacing w:after="160" w:line="240" w:lineRule="exact"/>
    </w:pPr>
    <w:rPr>
      <w:rFonts w:ascii="Verdana" w:eastAsia="MS Mincho" w:hAnsi="Verdana" w:cs="Verdana"/>
      <w:lang w:val="en-US" w:eastAsia="en-US"/>
    </w:rPr>
  </w:style>
  <w:style w:type="paragraph" w:customStyle="1" w:styleId="Char3">
    <w:name w:val="Char"/>
    <w:basedOn w:val="Normal"/>
    <w:rsid w:val="00407870"/>
    <w:pPr>
      <w:spacing w:after="160" w:line="240" w:lineRule="exact"/>
    </w:pPr>
    <w:rPr>
      <w:rFonts w:ascii="Verdana" w:eastAsia="MS Mincho" w:hAnsi="Verdana" w:cs="Verdana"/>
      <w:lang w:val="en-US" w:eastAsia="en-US"/>
    </w:rPr>
  </w:style>
  <w:style w:type="paragraph" w:customStyle="1" w:styleId="Char4">
    <w:name w:val="Char"/>
    <w:basedOn w:val="Normal"/>
    <w:rsid w:val="00F069E5"/>
    <w:pPr>
      <w:spacing w:after="160" w:line="240" w:lineRule="exact"/>
    </w:pPr>
    <w:rPr>
      <w:rFonts w:ascii="Verdana" w:eastAsia="MS Mincho" w:hAnsi="Verdana" w:cs="Verdana"/>
      <w:lang w:val="en-US" w:eastAsia="en-US"/>
    </w:rPr>
  </w:style>
  <w:style w:type="paragraph" w:customStyle="1" w:styleId="Char5">
    <w:name w:val="Char"/>
    <w:basedOn w:val="Normal"/>
    <w:rsid w:val="003E76CE"/>
    <w:pPr>
      <w:spacing w:after="160" w:line="240" w:lineRule="exact"/>
    </w:pPr>
    <w:rPr>
      <w:rFonts w:ascii="Verdana" w:eastAsia="MS Mincho" w:hAnsi="Verdana" w:cs="Verdana"/>
      <w:lang w:val="en-US" w:eastAsia="en-US"/>
    </w:rPr>
  </w:style>
  <w:style w:type="paragraph" w:customStyle="1" w:styleId="Char6">
    <w:name w:val="Char"/>
    <w:basedOn w:val="Normal"/>
    <w:rsid w:val="00881791"/>
    <w:pPr>
      <w:spacing w:after="160" w:line="240" w:lineRule="exact"/>
    </w:pPr>
    <w:rPr>
      <w:rFonts w:ascii="Verdana" w:eastAsia="MS Mincho" w:hAnsi="Verdana" w:cs="Verdana"/>
      <w:lang w:val="en-US" w:eastAsia="en-US"/>
    </w:rPr>
  </w:style>
  <w:style w:type="paragraph" w:customStyle="1" w:styleId="Char7">
    <w:name w:val="Char"/>
    <w:basedOn w:val="Normal"/>
    <w:rsid w:val="001B1660"/>
    <w:pPr>
      <w:spacing w:after="160" w:line="240" w:lineRule="exact"/>
    </w:pPr>
    <w:rPr>
      <w:rFonts w:ascii="Verdana" w:eastAsia="MS Mincho" w:hAnsi="Verdana" w:cs="Verdana"/>
      <w:lang w:val="en-US" w:eastAsia="en-US"/>
    </w:rPr>
  </w:style>
  <w:style w:type="paragraph" w:customStyle="1" w:styleId="Char8">
    <w:name w:val="Char"/>
    <w:basedOn w:val="Normal"/>
    <w:rsid w:val="00263174"/>
    <w:pPr>
      <w:spacing w:after="160" w:line="240" w:lineRule="exact"/>
    </w:pPr>
    <w:rPr>
      <w:rFonts w:ascii="Verdana" w:eastAsia="MS Mincho"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uiPriority w:val="99"/>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qFormat/>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paragraph" w:customStyle="1" w:styleId="Char1">
    <w:name w:val="Char"/>
    <w:basedOn w:val="Normal"/>
    <w:rsid w:val="00130634"/>
    <w:pPr>
      <w:spacing w:after="160" w:line="240" w:lineRule="exact"/>
    </w:pPr>
    <w:rPr>
      <w:rFonts w:ascii="Verdana" w:eastAsia="MS Mincho" w:hAnsi="Verdana" w:cs="Verdana"/>
      <w:lang w:val="en-US" w:eastAsia="en-US"/>
    </w:rPr>
  </w:style>
  <w:style w:type="paragraph" w:customStyle="1" w:styleId="Char2">
    <w:name w:val="Char"/>
    <w:basedOn w:val="Normal"/>
    <w:rsid w:val="00DD1629"/>
    <w:pPr>
      <w:spacing w:after="160" w:line="240" w:lineRule="exact"/>
    </w:pPr>
    <w:rPr>
      <w:rFonts w:ascii="Verdana" w:eastAsia="MS Mincho" w:hAnsi="Verdana" w:cs="Verdana"/>
      <w:lang w:val="en-US" w:eastAsia="en-US"/>
    </w:rPr>
  </w:style>
  <w:style w:type="paragraph" w:customStyle="1" w:styleId="Char3">
    <w:name w:val="Char"/>
    <w:basedOn w:val="Normal"/>
    <w:rsid w:val="00407870"/>
    <w:pPr>
      <w:spacing w:after="160" w:line="240" w:lineRule="exact"/>
    </w:pPr>
    <w:rPr>
      <w:rFonts w:ascii="Verdana" w:eastAsia="MS Mincho" w:hAnsi="Verdana" w:cs="Verdana"/>
      <w:lang w:val="en-US" w:eastAsia="en-US"/>
    </w:rPr>
  </w:style>
  <w:style w:type="paragraph" w:customStyle="1" w:styleId="Char4">
    <w:name w:val="Char"/>
    <w:basedOn w:val="Normal"/>
    <w:rsid w:val="00F069E5"/>
    <w:pPr>
      <w:spacing w:after="160" w:line="240" w:lineRule="exact"/>
    </w:pPr>
    <w:rPr>
      <w:rFonts w:ascii="Verdana" w:eastAsia="MS Mincho" w:hAnsi="Verdana" w:cs="Verdana"/>
      <w:lang w:val="en-US" w:eastAsia="en-US"/>
    </w:rPr>
  </w:style>
  <w:style w:type="paragraph" w:customStyle="1" w:styleId="Char5">
    <w:name w:val="Char"/>
    <w:basedOn w:val="Normal"/>
    <w:rsid w:val="003E76CE"/>
    <w:pPr>
      <w:spacing w:after="160" w:line="240" w:lineRule="exact"/>
    </w:pPr>
    <w:rPr>
      <w:rFonts w:ascii="Verdana" w:eastAsia="MS Mincho" w:hAnsi="Verdana" w:cs="Verdana"/>
      <w:lang w:val="en-US" w:eastAsia="en-US"/>
    </w:rPr>
  </w:style>
  <w:style w:type="paragraph" w:customStyle="1" w:styleId="Char6">
    <w:name w:val="Char"/>
    <w:basedOn w:val="Normal"/>
    <w:rsid w:val="00881791"/>
    <w:pPr>
      <w:spacing w:after="160" w:line="240" w:lineRule="exact"/>
    </w:pPr>
    <w:rPr>
      <w:rFonts w:ascii="Verdana" w:eastAsia="MS Mincho" w:hAnsi="Verdana" w:cs="Verdana"/>
      <w:lang w:val="en-US" w:eastAsia="en-US"/>
    </w:rPr>
  </w:style>
  <w:style w:type="paragraph" w:customStyle="1" w:styleId="Char7">
    <w:name w:val="Char"/>
    <w:basedOn w:val="Normal"/>
    <w:rsid w:val="001B1660"/>
    <w:pPr>
      <w:spacing w:after="160" w:line="240" w:lineRule="exact"/>
    </w:pPr>
    <w:rPr>
      <w:rFonts w:ascii="Verdana" w:eastAsia="MS Mincho" w:hAnsi="Verdana" w:cs="Verdana"/>
      <w:lang w:val="en-US" w:eastAsia="en-US"/>
    </w:rPr>
  </w:style>
  <w:style w:type="paragraph" w:customStyle="1" w:styleId="Char8">
    <w:name w:val="Char"/>
    <w:basedOn w:val="Normal"/>
    <w:rsid w:val="00263174"/>
    <w:pPr>
      <w:spacing w:after="160" w:line="240" w:lineRule="exact"/>
    </w:pPr>
    <w:rPr>
      <w:rFonts w:ascii="Verdana" w:eastAsia="MS Mincho"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284282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33784">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2304216">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2978229">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D52D6-0480-41E8-A07C-63493670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3740</Words>
  <Characters>22141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2017-07-24T03:27:00Z</dcterms:created>
  <dcterms:modified xsi:type="dcterms:W3CDTF">2017-08-17T23:09:00Z</dcterms:modified>
</cp:coreProperties>
</file>