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409"/>
        <w:gridCol w:w="3261"/>
        <w:gridCol w:w="6947"/>
      </w:tblGrid>
      <w:tr w:rsidR="00987FDA" w:rsidRPr="00F609BF" w:rsidTr="00F13F46">
        <w:trPr>
          <w:tblHeader/>
        </w:trPr>
        <w:tc>
          <w:tcPr>
            <w:tcW w:w="2694" w:type="dxa"/>
            <w:tcMar>
              <w:top w:w="28" w:type="dxa"/>
              <w:bottom w:w="28" w:type="dxa"/>
            </w:tcMar>
          </w:tcPr>
          <w:p w:rsidR="0065234B" w:rsidRDefault="002960C3" w:rsidP="002960C3">
            <w:pPr>
              <w:widowControl w:val="0"/>
              <w:jc w:val="center"/>
              <w:rPr>
                <w:rFonts w:ascii="Arial" w:hAnsi="Arial" w:cs="Arial"/>
                <w:b/>
              </w:rPr>
            </w:pPr>
            <w:bookmarkStart w:id="0" w:name="_GoBack"/>
            <w:bookmarkEnd w:id="0"/>
            <w:r w:rsidRPr="00F609BF">
              <w:rPr>
                <w:rFonts w:ascii="Arial" w:hAnsi="Arial" w:cs="Arial"/>
                <w:b/>
              </w:rPr>
              <w:t>DRUG NAME, FORM(S), STRENGTH(S)</w:t>
            </w:r>
            <w:r>
              <w:rPr>
                <w:rFonts w:ascii="Arial" w:hAnsi="Arial" w:cs="Arial"/>
                <w:b/>
              </w:rPr>
              <w:t>,</w:t>
            </w:r>
            <w:r w:rsidRPr="00F609BF">
              <w:rPr>
                <w:rFonts w:ascii="Arial" w:hAnsi="Arial" w:cs="Arial"/>
                <w:b/>
              </w:rPr>
              <w:t xml:space="preserve"> SPONSOR</w:t>
            </w:r>
            <w:r>
              <w:rPr>
                <w:rFonts w:ascii="Arial" w:hAnsi="Arial" w:cs="Arial"/>
                <w:b/>
              </w:rPr>
              <w:t>, TYPE OF SUBMISSION</w:t>
            </w:r>
          </w:p>
          <w:p w:rsidR="00257615" w:rsidRPr="00F609BF" w:rsidRDefault="00257615" w:rsidP="002960C3">
            <w:pPr>
              <w:widowControl w:val="0"/>
              <w:jc w:val="center"/>
              <w:rPr>
                <w:rFonts w:ascii="Arial" w:hAnsi="Arial" w:cs="Arial"/>
                <w:b/>
              </w:rPr>
            </w:pPr>
          </w:p>
        </w:tc>
        <w:tc>
          <w:tcPr>
            <w:tcW w:w="2409" w:type="dxa"/>
            <w:tcMar>
              <w:top w:w="28" w:type="dxa"/>
              <w:bottom w:w="28" w:type="dxa"/>
            </w:tcMar>
          </w:tcPr>
          <w:p w:rsidR="00987FDA" w:rsidRPr="00F609BF" w:rsidRDefault="002960C3" w:rsidP="002960C3">
            <w:pPr>
              <w:widowControl w:val="0"/>
              <w:jc w:val="center"/>
              <w:rPr>
                <w:rFonts w:ascii="Arial" w:hAnsi="Arial" w:cs="Arial"/>
                <w:b/>
                <w:snapToGrid w:val="0"/>
                <w:lang w:eastAsia="en-US"/>
              </w:rPr>
            </w:pPr>
            <w:r w:rsidRPr="00F609BF">
              <w:rPr>
                <w:rFonts w:ascii="Arial" w:hAnsi="Arial" w:cs="Arial"/>
                <w:b/>
                <w:snapToGrid w:val="0"/>
                <w:lang w:eastAsia="en-US"/>
              </w:rPr>
              <w:t>DRUG TYPE AND USE</w:t>
            </w:r>
          </w:p>
          <w:p w:rsidR="00987FDA" w:rsidRPr="00F609BF" w:rsidRDefault="00987FDA" w:rsidP="002960C3">
            <w:pPr>
              <w:widowControl w:val="0"/>
              <w:jc w:val="center"/>
              <w:rPr>
                <w:rFonts w:ascii="Arial" w:hAnsi="Arial" w:cs="Arial"/>
                <w:b/>
                <w:snapToGrid w:val="0"/>
                <w:lang w:eastAsia="en-US"/>
              </w:rPr>
            </w:pPr>
          </w:p>
        </w:tc>
        <w:tc>
          <w:tcPr>
            <w:tcW w:w="3261" w:type="dxa"/>
            <w:tcMar>
              <w:top w:w="28" w:type="dxa"/>
              <w:bottom w:w="28" w:type="dxa"/>
            </w:tcMar>
          </w:tcPr>
          <w:p w:rsidR="00987FDA" w:rsidRPr="00F609BF" w:rsidRDefault="002960C3" w:rsidP="002960C3">
            <w:pPr>
              <w:widowControl w:val="0"/>
              <w:jc w:val="center"/>
              <w:rPr>
                <w:rFonts w:ascii="Arial" w:hAnsi="Arial" w:cs="Arial"/>
                <w:b/>
                <w:snapToGrid w:val="0"/>
                <w:lang w:eastAsia="en-US"/>
              </w:rPr>
            </w:pPr>
            <w:r w:rsidRPr="00F609BF">
              <w:rPr>
                <w:rFonts w:ascii="Arial" w:hAnsi="Arial" w:cs="Arial"/>
                <w:b/>
                <w:snapToGrid w:val="0"/>
                <w:lang w:eastAsia="en-US"/>
              </w:rPr>
              <w:t>LISTING REQUESTED BY SPONSOR / PURPOSE OF SUBMISSION</w:t>
            </w:r>
          </w:p>
        </w:tc>
        <w:tc>
          <w:tcPr>
            <w:tcW w:w="6947" w:type="dxa"/>
          </w:tcPr>
          <w:p w:rsidR="00987FDA" w:rsidRPr="004F0BCC" w:rsidRDefault="00987FDA" w:rsidP="004F0BCC">
            <w:pPr>
              <w:pStyle w:val="Header"/>
              <w:jc w:val="both"/>
              <w:rPr>
                <w:rFonts w:ascii="Arial" w:hAnsi="Arial" w:cs="Arial"/>
                <w:b/>
                <w:snapToGrid w:val="0"/>
                <w:lang w:eastAsia="en-US"/>
              </w:rPr>
            </w:pPr>
            <w:r w:rsidRPr="004F0BCC">
              <w:rPr>
                <w:rFonts w:ascii="Arial" w:hAnsi="Arial" w:cs="Arial"/>
                <w:b/>
                <w:snapToGrid w:val="0"/>
                <w:lang w:eastAsia="en-US"/>
              </w:rPr>
              <w:t xml:space="preserve">PBAC </w:t>
            </w:r>
            <w:r w:rsidR="002960C3" w:rsidRPr="004F0BCC">
              <w:rPr>
                <w:rFonts w:ascii="Arial" w:hAnsi="Arial" w:cs="Arial"/>
                <w:b/>
                <w:snapToGrid w:val="0"/>
                <w:lang w:eastAsia="en-US"/>
              </w:rPr>
              <w:t>OUTCOME</w:t>
            </w:r>
          </w:p>
        </w:tc>
      </w:tr>
      <w:tr w:rsidR="002304EA" w:rsidRPr="00395B97" w:rsidTr="001B5EF7">
        <w:trPr>
          <w:trHeight w:val="3239"/>
        </w:trPr>
        <w:tc>
          <w:tcPr>
            <w:tcW w:w="2694" w:type="dxa"/>
            <w:vMerge w:val="restart"/>
            <w:tcMar>
              <w:top w:w="28" w:type="dxa"/>
              <w:bottom w:w="28" w:type="dxa"/>
            </w:tcMar>
          </w:tcPr>
          <w:p w:rsidR="002304EA" w:rsidRDefault="002304EA" w:rsidP="005524B8">
            <w:pPr>
              <w:rPr>
                <w:rFonts w:ascii="Arial" w:hAnsi="Arial" w:cs="Arial"/>
                <w:color w:val="000000"/>
              </w:rPr>
            </w:pPr>
            <w:r>
              <w:rPr>
                <w:rFonts w:ascii="Arial" w:hAnsi="Arial" w:cs="Arial"/>
                <w:color w:val="000000"/>
              </w:rPr>
              <w:t>ABATACEPT</w:t>
            </w:r>
            <w:r>
              <w:rPr>
                <w:rFonts w:ascii="Arial" w:hAnsi="Arial" w:cs="Arial"/>
                <w:color w:val="000000"/>
              </w:rPr>
              <w:br/>
            </w:r>
            <w:r>
              <w:rPr>
                <w:rFonts w:ascii="Arial" w:hAnsi="Arial" w:cs="Arial"/>
                <w:color w:val="000000"/>
              </w:rPr>
              <w:br/>
              <w:t xml:space="preserve">Injection 125 mg in 1 mL single dose </w:t>
            </w:r>
            <w:proofErr w:type="spellStart"/>
            <w:r>
              <w:rPr>
                <w:rFonts w:ascii="Arial" w:hAnsi="Arial" w:cs="Arial"/>
                <w:color w:val="000000"/>
              </w:rPr>
              <w:t>autoinjector</w:t>
            </w:r>
            <w:proofErr w:type="spellEnd"/>
            <w:r>
              <w:rPr>
                <w:rFonts w:ascii="Arial" w:hAnsi="Arial" w:cs="Arial"/>
                <w:color w:val="000000"/>
              </w:rPr>
              <w:br/>
              <w:t>Injection 125 mg in 1 mL single dose pre-filled syringe</w:t>
            </w:r>
            <w:r>
              <w:rPr>
                <w:rFonts w:ascii="Arial" w:hAnsi="Arial" w:cs="Arial"/>
                <w:color w:val="000000"/>
              </w:rPr>
              <w:br/>
              <w:t>Powder for I.V. infusion 250 mg</w:t>
            </w:r>
            <w:r>
              <w:rPr>
                <w:rFonts w:ascii="Arial" w:hAnsi="Arial" w:cs="Arial"/>
                <w:color w:val="000000"/>
              </w:rPr>
              <w:br/>
            </w:r>
            <w:r>
              <w:rPr>
                <w:rFonts w:ascii="Arial" w:hAnsi="Arial" w:cs="Arial"/>
                <w:color w:val="000000"/>
              </w:rPr>
              <w:br/>
            </w:r>
            <w:proofErr w:type="spellStart"/>
            <w:r>
              <w:rPr>
                <w:rFonts w:ascii="Arial" w:hAnsi="Arial" w:cs="Arial"/>
                <w:color w:val="000000"/>
              </w:rPr>
              <w:t>Orencia</w:t>
            </w:r>
            <w:proofErr w:type="spellEnd"/>
            <w:r>
              <w:rPr>
                <w:rFonts w:ascii="Arial" w:hAnsi="Arial" w:cs="Arial"/>
                <w:color w:val="000000"/>
              </w:rPr>
              <w:t>®</w:t>
            </w:r>
            <w:r>
              <w:rPr>
                <w:rFonts w:ascii="Arial" w:hAnsi="Arial" w:cs="Arial"/>
                <w:color w:val="000000"/>
              </w:rPr>
              <w:br/>
            </w:r>
            <w:proofErr w:type="spellStart"/>
            <w:r>
              <w:rPr>
                <w:rFonts w:ascii="Arial" w:hAnsi="Arial" w:cs="Arial"/>
                <w:color w:val="000000"/>
              </w:rPr>
              <w:t>Orencia</w:t>
            </w:r>
            <w:proofErr w:type="spellEnd"/>
            <w:r>
              <w:rPr>
                <w:rFonts w:ascii="Arial" w:hAnsi="Arial" w:cs="Arial"/>
                <w:color w:val="000000"/>
              </w:rPr>
              <w:t xml:space="preserve"> </w:t>
            </w:r>
            <w:proofErr w:type="spellStart"/>
            <w:r>
              <w:rPr>
                <w:rFonts w:ascii="Arial" w:hAnsi="Arial" w:cs="Arial"/>
                <w:color w:val="000000"/>
              </w:rPr>
              <w:t>ClickJect</w:t>
            </w:r>
            <w:proofErr w:type="spellEnd"/>
            <w:r>
              <w:rPr>
                <w:rFonts w:ascii="Arial" w:hAnsi="Arial" w:cs="Arial"/>
                <w:color w:val="000000"/>
              </w:rPr>
              <w:t>®</w:t>
            </w:r>
            <w:r>
              <w:rPr>
                <w:rFonts w:ascii="Arial" w:hAnsi="Arial" w:cs="Arial"/>
                <w:color w:val="000000"/>
              </w:rPr>
              <w:br/>
            </w:r>
            <w:r>
              <w:rPr>
                <w:rFonts w:ascii="Arial" w:hAnsi="Arial" w:cs="Arial"/>
                <w:color w:val="000000"/>
              </w:rPr>
              <w:br/>
              <w:t>Bristol-Myers Squibb Australia Pty Ltd</w:t>
            </w:r>
          </w:p>
          <w:p w:rsidR="002304EA" w:rsidRDefault="002304EA" w:rsidP="005524B8">
            <w:pPr>
              <w:rPr>
                <w:rFonts w:ascii="Arial" w:hAnsi="Arial" w:cs="Arial"/>
                <w:color w:val="000000"/>
              </w:rPr>
            </w:pPr>
          </w:p>
          <w:p w:rsidR="007B1DBC" w:rsidRDefault="002304EA" w:rsidP="002304EA">
            <w:pPr>
              <w:rPr>
                <w:rFonts w:ascii="Arial" w:hAnsi="Arial" w:cs="Arial"/>
                <w:color w:val="000000"/>
              </w:rPr>
            </w:pPr>
            <w:r>
              <w:rPr>
                <w:rFonts w:ascii="Arial" w:hAnsi="Arial" w:cs="Arial"/>
                <w:color w:val="000000"/>
              </w:rPr>
              <w:t xml:space="preserve">Change to listing </w:t>
            </w:r>
          </w:p>
          <w:p w:rsidR="002304EA" w:rsidRDefault="002304EA" w:rsidP="002304EA">
            <w:pPr>
              <w:rPr>
                <w:rFonts w:ascii="Arial" w:hAnsi="Arial" w:cs="Arial"/>
                <w:color w:val="000000"/>
              </w:rPr>
            </w:pPr>
            <w:r>
              <w:rPr>
                <w:rFonts w:ascii="Arial" w:hAnsi="Arial" w:cs="Arial"/>
                <w:color w:val="000000"/>
              </w:rPr>
              <w:t>(Major Submission)</w:t>
            </w:r>
          </w:p>
        </w:tc>
        <w:tc>
          <w:tcPr>
            <w:tcW w:w="2409" w:type="dxa"/>
            <w:vMerge w:val="restart"/>
          </w:tcPr>
          <w:p w:rsidR="002304EA" w:rsidRPr="00395B97" w:rsidRDefault="002304EA" w:rsidP="002A6AB9">
            <w:pPr>
              <w:rPr>
                <w:rFonts w:ascii="Arial" w:hAnsi="Arial" w:cs="Arial"/>
              </w:rPr>
            </w:pPr>
            <w:r>
              <w:rPr>
                <w:rFonts w:ascii="Arial" w:hAnsi="Arial" w:cs="Arial"/>
                <w:color w:val="000000"/>
              </w:rPr>
              <w:t>Psoriatic arthritis (</w:t>
            </w:r>
            <w:proofErr w:type="spellStart"/>
            <w:r>
              <w:rPr>
                <w:rFonts w:ascii="Arial" w:hAnsi="Arial" w:cs="Arial"/>
                <w:color w:val="000000"/>
              </w:rPr>
              <w:t>PsA</w:t>
            </w:r>
            <w:proofErr w:type="spellEnd"/>
            <w:r>
              <w:rPr>
                <w:rFonts w:ascii="Arial" w:hAnsi="Arial" w:cs="Arial"/>
                <w:color w:val="000000"/>
              </w:rPr>
              <w:t>)</w:t>
            </w:r>
          </w:p>
        </w:tc>
        <w:tc>
          <w:tcPr>
            <w:tcW w:w="3261" w:type="dxa"/>
            <w:tcMar>
              <w:top w:w="28" w:type="dxa"/>
              <w:bottom w:w="28" w:type="dxa"/>
            </w:tcMar>
          </w:tcPr>
          <w:p w:rsidR="002304EA" w:rsidRPr="004D56AB" w:rsidRDefault="002304EA" w:rsidP="004D56AB">
            <w:pPr>
              <w:rPr>
                <w:rFonts w:ascii="Arial" w:hAnsi="Arial" w:cs="Arial"/>
                <w:color w:val="000000"/>
              </w:rPr>
            </w:pPr>
            <w:r>
              <w:rPr>
                <w:rFonts w:ascii="Arial" w:hAnsi="Arial" w:cs="Arial"/>
                <w:color w:val="000000"/>
              </w:rPr>
              <w:t xml:space="preserve">To request an Authority Required listing for the treatment of patients with severe active </w:t>
            </w:r>
            <w:proofErr w:type="spellStart"/>
            <w:r>
              <w:rPr>
                <w:rFonts w:ascii="Arial" w:hAnsi="Arial" w:cs="Arial"/>
                <w:color w:val="000000"/>
              </w:rPr>
              <w:t>PsA.</w:t>
            </w:r>
            <w:proofErr w:type="spellEnd"/>
          </w:p>
        </w:tc>
        <w:tc>
          <w:tcPr>
            <w:tcW w:w="6947" w:type="dxa"/>
          </w:tcPr>
          <w:p w:rsidR="004F0BCC" w:rsidRPr="004F0BCC" w:rsidRDefault="004F0BCC" w:rsidP="004F0BCC">
            <w:pPr>
              <w:jc w:val="both"/>
              <w:rPr>
                <w:rFonts w:ascii="Arial" w:hAnsi="Arial" w:cs="Arial"/>
                <w:color w:val="000000"/>
                <w:sz w:val="24"/>
                <w:szCs w:val="24"/>
              </w:rPr>
            </w:pPr>
            <w:r w:rsidRPr="004F0BCC">
              <w:rPr>
                <w:rFonts w:ascii="Arial" w:hAnsi="Arial" w:cs="Arial"/>
                <w:color w:val="000000"/>
              </w:rPr>
              <w:t xml:space="preserve">The PBAC did not recommend </w:t>
            </w:r>
            <w:proofErr w:type="spellStart"/>
            <w:r w:rsidRPr="004F0BCC">
              <w:rPr>
                <w:rFonts w:ascii="Arial" w:hAnsi="Arial" w:cs="Arial"/>
                <w:color w:val="000000"/>
              </w:rPr>
              <w:t>abatacept</w:t>
            </w:r>
            <w:proofErr w:type="spellEnd"/>
            <w:r w:rsidRPr="004F0BCC">
              <w:rPr>
                <w:rFonts w:ascii="Arial" w:hAnsi="Arial" w:cs="Arial"/>
                <w:color w:val="000000"/>
              </w:rPr>
              <w:t xml:space="preserve"> for the treatment of adult patients with severe active Psoriatic Arthritis (</w:t>
            </w:r>
            <w:proofErr w:type="spellStart"/>
            <w:r w:rsidRPr="004F0BCC">
              <w:rPr>
                <w:rFonts w:ascii="Arial" w:hAnsi="Arial" w:cs="Arial"/>
                <w:color w:val="000000"/>
              </w:rPr>
              <w:t>PsA</w:t>
            </w:r>
            <w:proofErr w:type="spellEnd"/>
            <w:r w:rsidRPr="004F0BCC">
              <w:rPr>
                <w:rFonts w:ascii="Arial" w:hAnsi="Arial" w:cs="Arial"/>
                <w:color w:val="000000"/>
              </w:rPr>
              <w:t xml:space="preserve">) </w:t>
            </w:r>
            <w:r w:rsidR="007E41BF">
              <w:rPr>
                <w:rFonts w:ascii="Arial" w:hAnsi="Arial" w:cs="Arial"/>
                <w:color w:val="000000"/>
              </w:rPr>
              <w:t>because</w:t>
            </w:r>
            <w:r w:rsidRPr="004F0BCC">
              <w:rPr>
                <w:rFonts w:ascii="Arial" w:hAnsi="Arial" w:cs="Arial"/>
                <w:color w:val="000000"/>
              </w:rPr>
              <w:t xml:space="preserve"> the availability of alternative treatments and the clinical evidence did not support the claim of non-inferior efficacy to the nominated comparators (</w:t>
            </w:r>
            <w:proofErr w:type="spellStart"/>
            <w:r w:rsidRPr="004F0BCC">
              <w:rPr>
                <w:rFonts w:ascii="Arial" w:hAnsi="Arial" w:cs="Arial"/>
                <w:color w:val="000000"/>
              </w:rPr>
              <w:t>certolizumab</w:t>
            </w:r>
            <w:proofErr w:type="spellEnd"/>
            <w:r w:rsidRPr="004F0BCC">
              <w:rPr>
                <w:rFonts w:ascii="Arial" w:hAnsi="Arial" w:cs="Arial"/>
                <w:color w:val="000000"/>
              </w:rPr>
              <w:t xml:space="preserve">, </w:t>
            </w:r>
            <w:proofErr w:type="spellStart"/>
            <w:r w:rsidRPr="004F0BCC">
              <w:rPr>
                <w:rFonts w:ascii="Arial" w:hAnsi="Arial" w:cs="Arial"/>
                <w:color w:val="000000"/>
              </w:rPr>
              <w:t>ustekinumab</w:t>
            </w:r>
            <w:proofErr w:type="spellEnd"/>
            <w:r w:rsidRPr="004F0BCC">
              <w:rPr>
                <w:rFonts w:ascii="Arial" w:hAnsi="Arial" w:cs="Arial"/>
                <w:color w:val="000000"/>
              </w:rPr>
              <w:t xml:space="preserve"> and </w:t>
            </w:r>
            <w:proofErr w:type="spellStart"/>
            <w:r w:rsidRPr="004F0BCC">
              <w:rPr>
                <w:rFonts w:ascii="Arial" w:hAnsi="Arial" w:cs="Arial"/>
                <w:color w:val="000000"/>
              </w:rPr>
              <w:t>secukinumab</w:t>
            </w:r>
            <w:proofErr w:type="spellEnd"/>
            <w:r w:rsidRPr="004F0BCC">
              <w:rPr>
                <w:rFonts w:ascii="Arial" w:hAnsi="Arial" w:cs="Arial"/>
                <w:color w:val="000000"/>
              </w:rPr>
              <w:t>).</w:t>
            </w:r>
          </w:p>
          <w:p w:rsidR="00465782" w:rsidRPr="004F0BCC" w:rsidRDefault="00465782" w:rsidP="004F0BCC">
            <w:pPr>
              <w:jc w:val="both"/>
              <w:rPr>
                <w:rFonts w:ascii="Arial" w:hAnsi="Arial" w:cs="Arial"/>
                <w:iCs/>
              </w:rPr>
            </w:pPr>
          </w:p>
        </w:tc>
      </w:tr>
      <w:tr w:rsidR="002304EA" w:rsidRPr="00395B97" w:rsidTr="00170DE3">
        <w:trPr>
          <w:trHeight w:val="345"/>
        </w:trPr>
        <w:tc>
          <w:tcPr>
            <w:tcW w:w="2694" w:type="dxa"/>
            <w:vMerge/>
            <w:tcMar>
              <w:top w:w="28" w:type="dxa"/>
              <w:bottom w:w="28" w:type="dxa"/>
            </w:tcMar>
          </w:tcPr>
          <w:p w:rsidR="002304EA" w:rsidRPr="001C1D66" w:rsidRDefault="002304EA" w:rsidP="0053482B">
            <w:pPr>
              <w:rPr>
                <w:rFonts w:ascii="Arial" w:hAnsi="Arial" w:cs="Arial"/>
                <w:color w:val="000000"/>
              </w:rPr>
            </w:pPr>
          </w:p>
        </w:tc>
        <w:tc>
          <w:tcPr>
            <w:tcW w:w="2409" w:type="dxa"/>
            <w:vMerge/>
          </w:tcPr>
          <w:p w:rsidR="002304EA" w:rsidRPr="001C1D66" w:rsidRDefault="002304EA" w:rsidP="002A6AB9">
            <w:pPr>
              <w:rPr>
                <w:rFonts w:ascii="Arial" w:hAnsi="Arial" w:cs="Arial"/>
                <w:color w:val="000000"/>
              </w:rPr>
            </w:pPr>
          </w:p>
        </w:tc>
        <w:tc>
          <w:tcPr>
            <w:tcW w:w="3261" w:type="dxa"/>
            <w:tcBorders>
              <w:bottom w:val="single" w:sz="4" w:space="0" w:color="auto"/>
            </w:tcBorders>
            <w:tcMar>
              <w:top w:w="28" w:type="dxa"/>
              <w:bottom w:w="28" w:type="dxa"/>
            </w:tcMar>
          </w:tcPr>
          <w:p w:rsidR="002304EA" w:rsidRDefault="002304EA" w:rsidP="00476F5F">
            <w:pPr>
              <w:rPr>
                <w:rFonts w:ascii="Arial" w:hAnsi="Arial" w:cs="Arial"/>
                <w:color w:val="000000"/>
              </w:rPr>
            </w:pPr>
            <w:r w:rsidRPr="00395B97">
              <w:rPr>
                <w:rFonts w:ascii="Arial" w:hAnsi="Arial" w:cs="Arial"/>
                <w:snapToGrid w:val="0"/>
                <w:lang w:eastAsia="en-US"/>
              </w:rPr>
              <w:t>Sponsor Comment:</w:t>
            </w:r>
          </w:p>
        </w:tc>
        <w:tc>
          <w:tcPr>
            <w:tcW w:w="6947" w:type="dxa"/>
          </w:tcPr>
          <w:p w:rsidR="002304EA" w:rsidRPr="00F97C5D" w:rsidRDefault="00F97C5D" w:rsidP="0031270A">
            <w:pPr>
              <w:pStyle w:val="ListParagraph"/>
              <w:ind w:left="0"/>
              <w:jc w:val="both"/>
              <w:rPr>
                <w:rFonts w:ascii="Arial" w:hAnsi="Arial" w:cs="Arial"/>
                <w:iCs/>
                <w:sz w:val="20"/>
                <w:szCs w:val="20"/>
              </w:rPr>
            </w:pPr>
            <w:r w:rsidRPr="00F97C5D">
              <w:rPr>
                <w:rFonts w:ascii="Arial" w:hAnsi="Arial" w:cs="Arial"/>
                <w:sz w:val="20"/>
                <w:szCs w:val="20"/>
              </w:rPr>
              <w:t>The sponsor had no comment.</w:t>
            </w:r>
          </w:p>
        </w:tc>
      </w:tr>
      <w:tr w:rsidR="002304EA" w:rsidRPr="00395B97" w:rsidTr="00170DE3">
        <w:trPr>
          <w:trHeight w:val="42"/>
        </w:trPr>
        <w:tc>
          <w:tcPr>
            <w:tcW w:w="2694" w:type="dxa"/>
            <w:vMerge w:val="restart"/>
            <w:tcMar>
              <w:top w:w="28" w:type="dxa"/>
              <w:bottom w:w="28" w:type="dxa"/>
            </w:tcMar>
          </w:tcPr>
          <w:p w:rsidR="002304EA" w:rsidRDefault="002304EA" w:rsidP="005524B8">
            <w:pPr>
              <w:rPr>
                <w:rFonts w:ascii="Arial" w:hAnsi="Arial" w:cs="Arial"/>
                <w:color w:val="000000"/>
              </w:rPr>
            </w:pPr>
            <w:r>
              <w:rPr>
                <w:rFonts w:ascii="Arial" w:hAnsi="Arial" w:cs="Arial"/>
                <w:color w:val="000000"/>
              </w:rPr>
              <w:t>ARGININE</w:t>
            </w:r>
            <w:r>
              <w:rPr>
                <w:rFonts w:ascii="Arial" w:hAnsi="Arial" w:cs="Arial"/>
                <w:color w:val="000000"/>
              </w:rPr>
              <w:br/>
            </w:r>
            <w:r>
              <w:rPr>
                <w:rFonts w:ascii="Arial" w:hAnsi="Arial" w:cs="Arial"/>
                <w:color w:val="000000"/>
              </w:rPr>
              <w:br/>
              <w:t>Tablet 500 mg</w:t>
            </w:r>
            <w:r>
              <w:rPr>
                <w:rFonts w:ascii="Arial" w:hAnsi="Arial" w:cs="Arial"/>
                <w:color w:val="000000"/>
              </w:rPr>
              <w:br/>
            </w:r>
            <w:r>
              <w:rPr>
                <w:rFonts w:ascii="Arial" w:hAnsi="Arial" w:cs="Arial"/>
                <w:color w:val="000000"/>
              </w:rPr>
              <w:br/>
              <w:t>Arginine Easy®</w:t>
            </w:r>
            <w:r>
              <w:rPr>
                <w:rFonts w:ascii="Arial" w:hAnsi="Arial" w:cs="Arial"/>
                <w:color w:val="000000"/>
              </w:rPr>
              <w:br/>
            </w:r>
            <w:r>
              <w:rPr>
                <w:rFonts w:ascii="Arial" w:hAnsi="Arial" w:cs="Arial"/>
                <w:color w:val="000000"/>
              </w:rPr>
              <w:br/>
            </w:r>
            <w:proofErr w:type="spellStart"/>
            <w:r>
              <w:rPr>
                <w:rFonts w:ascii="Arial" w:hAnsi="Arial" w:cs="Arial"/>
                <w:color w:val="000000"/>
              </w:rPr>
              <w:t>Orpharma</w:t>
            </w:r>
            <w:proofErr w:type="spellEnd"/>
            <w:r>
              <w:rPr>
                <w:rFonts w:ascii="Arial" w:hAnsi="Arial" w:cs="Arial"/>
                <w:color w:val="000000"/>
              </w:rPr>
              <w:t xml:space="preserve"> Pty Ltd</w:t>
            </w:r>
          </w:p>
          <w:p w:rsidR="002304EA" w:rsidRDefault="002304EA" w:rsidP="005524B8">
            <w:pPr>
              <w:rPr>
                <w:rFonts w:ascii="Arial" w:hAnsi="Arial" w:cs="Arial"/>
                <w:color w:val="000000"/>
              </w:rPr>
            </w:pPr>
          </w:p>
          <w:p w:rsidR="007B1DBC" w:rsidRDefault="002304EA" w:rsidP="002304EA">
            <w:pPr>
              <w:rPr>
                <w:rFonts w:ascii="Arial" w:hAnsi="Arial" w:cs="Arial"/>
                <w:color w:val="000000"/>
              </w:rPr>
            </w:pPr>
            <w:r>
              <w:rPr>
                <w:rFonts w:ascii="Arial" w:hAnsi="Arial" w:cs="Arial"/>
                <w:color w:val="000000"/>
              </w:rPr>
              <w:t>New listing</w:t>
            </w:r>
          </w:p>
          <w:p w:rsidR="002304EA" w:rsidRDefault="002304EA" w:rsidP="002304EA">
            <w:pPr>
              <w:rPr>
                <w:rFonts w:ascii="Arial" w:hAnsi="Arial" w:cs="Arial"/>
                <w:color w:val="000000"/>
              </w:rPr>
            </w:pPr>
            <w:r>
              <w:rPr>
                <w:rFonts w:ascii="Arial" w:hAnsi="Arial" w:cs="Arial"/>
                <w:color w:val="000000"/>
              </w:rPr>
              <w:t>(Minor Submission)</w:t>
            </w:r>
          </w:p>
        </w:tc>
        <w:tc>
          <w:tcPr>
            <w:tcW w:w="2409" w:type="dxa"/>
            <w:vMerge w:val="restart"/>
            <w:tcBorders>
              <w:right w:val="single" w:sz="4" w:space="0" w:color="auto"/>
            </w:tcBorders>
          </w:tcPr>
          <w:p w:rsidR="002304EA" w:rsidRDefault="002304EA" w:rsidP="002A6AB9">
            <w:pPr>
              <w:rPr>
                <w:rFonts w:ascii="Arial" w:hAnsi="Arial" w:cs="Arial"/>
                <w:color w:val="000000"/>
              </w:rPr>
            </w:pPr>
            <w:r>
              <w:rPr>
                <w:rFonts w:ascii="Arial" w:hAnsi="Arial" w:cs="Arial"/>
                <w:color w:val="000000"/>
              </w:rPr>
              <w:t>Urea cycle disorders (UCD)</w:t>
            </w:r>
          </w:p>
        </w:tc>
        <w:tc>
          <w:tcPr>
            <w:tcW w:w="3261" w:type="dxa"/>
            <w:tcBorders>
              <w:top w:val="single" w:sz="4" w:space="0" w:color="auto"/>
              <w:left w:val="single" w:sz="4" w:space="0" w:color="auto"/>
              <w:bottom w:val="single" w:sz="4" w:space="0" w:color="auto"/>
              <w:right w:val="single" w:sz="4" w:space="0" w:color="auto"/>
            </w:tcBorders>
            <w:tcMar>
              <w:top w:w="28" w:type="dxa"/>
              <w:bottom w:w="28" w:type="dxa"/>
            </w:tcMar>
          </w:tcPr>
          <w:p w:rsidR="002304EA" w:rsidRPr="00E42E4E" w:rsidRDefault="002304EA" w:rsidP="0053482B">
            <w:pPr>
              <w:rPr>
                <w:rFonts w:ascii="Arial" w:hAnsi="Arial" w:cs="Arial"/>
                <w:color w:val="000000"/>
              </w:rPr>
            </w:pPr>
            <w:r w:rsidRPr="00E42E4E">
              <w:rPr>
                <w:rFonts w:ascii="Arial" w:hAnsi="Arial" w:cs="Arial"/>
                <w:color w:val="000000"/>
              </w:rPr>
              <w:t>To request a Restricted Benefit listing for the treatment of UCD.</w:t>
            </w:r>
          </w:p>
        </w:tc>
        <w:tc>
          <w:tcPr>
            <w:tcW w:w="6947" w:type="dxa"/>
            <w:tcBorders>
              <w:left w:val="single" w:sz="4" w:space="0" w:color="auto"/>
            </w:tcBorders>
          </w:tcPr>
          <w:p w:rsidR="00465782" w:rsidRPr="00CF0553" w:rsidRDefault="00170DE3" w:rsidP="00CF0553">
            <w:pPr>
              <w:jc w:val="both"/>
              <w:rPr>
                <w:rFonts w:ascii="Arial" w:hAnsi="Arial" w:cs="Arial"/>
                <w:color w:val="000000"/>
              </w:rPr>
            </w:pPr>
            <w:r w:rsidRPr="00E42E4E">
              <w:rPr>
                <w:rFonts w:ascii="Arial" w:hAnsi="Arial" w:cs="Arial"/>
                <w:color w:val="000000"/>
              </w:rPr>
              <w:t>The PBAC did not recommend the listing of arginine 500 mg tablets on the basis of inappropriately high and undocumented protein content in the formulation and a lack of clinical need for an additional formulation of arginine on the PBS. The Committee noted the advice of the Nutritional Products Working Party (NPWP), which stated the levels of protein in Arginine Easy may account for up to 20% of daily protein intake in some patients, and agreed this could be detrimental to patients on highly restricted protein diets</w:t>
            </w:r>
            <w:r w:rsidR="00465782" w:rsidRPr="00E42E4E">
              <w:rPr>
                <w:rFonts w:ascii="Arial" w:hAnsi="Arial" w:cs="Arial"/>
                <w:color w:val="000000"/>
              </w:rPr>
              <w:t>,</w:t>
            </w:r>
            <w:r w:rsidRPr="00E42E4E">
              <w:rPr>
                <w:rFonts w:ascii="Arial" w:hAnsi="Arial" w:cs="Arial"/>
                <w:color w:val="000000"/>
              </w:rPr>
              <w:t xml:space="preserve"> further </w:t>
            </w:r>
            <w:r w:rsidR="00465782" w:rsidRPr="00E42E4E">
              <w:rPr>
                <w:rFonts w:ascii="Arial" w:hAnsi="Arial" w:cs="Arial"/>
                <w:color w:val="000000"/>
              </w:rPr>
              <w:t xml:space="preserve">complicating the </w:t>
            </w:r>
            <w:r w:rsidRPr="00E42E4E">
              <w:rPr>
                <w:rFonts w:ascii="Arial" w:hAnsi="Arial" w:cs="Arial"/>
                <w:color w:val="000000"/>
              </w:rPr>
              <w:t>management of conditions which already require complex and restrictive dietary management.</w:t>
            </w:r>
          </w:p>
        </w:tc>
      </w:tr>
      <w:tr w:rsidR="002304EA" w:rsidRPr="00395B97" w:rsidTr="00170DE3">
        <w:trPr>
          <w:trHeight w:val="440"/>
        </w:trPr>
        <w:tc>
          <w:tcPr>
            <w:tcW w:w="2694" w:type="dxa"/>
            <w:vMerge/>
            <w:tcMar>
              <w:top w:w="28" w:type="dxa"/>
              <w:bottom w:w="28" w:type="dxa"/>
            </w:tcMar>
          </w:tcPr>
          <w:p w:rsidR="002304EA" w:rsidRPr="00E01B22" w:rsidRDefault="002304EA" w:rsidP="00F13F46">
            <w:pPr>
              <w:rPr>
                <w:rFonts w:ascii="Arial" w:hAnsi="Arial" w:cs="Arial"/>
                <w:color w:val="000000"/>
              </w:rPr>
            </w:pPr>
          </w:p>
        </w:tc>
        <w:tc>
          <w:tcPr>
            <w:tcW w:w="2409" w:type="dxa"/>
            <w:vMerge/>
          </w:tcPr>
          <w:p w:rsidR="002304EA" w:rsidRPr="00E01B22" w:rsidRDefault="002304EA" w:rsidP="00F13F46">
            <w:pPr>
              <w:pStyle w:val="Default"/>
              <w:rPr>
                <w:rFonts w:ascii="Arial" w:hAnsi="Arial" w:cs="Arial"/>
                <w:sz w:val="20"/>
                <w:szCs w:val="20"/>
              </w:rPr>
            </w:pPr>
          </w:p>
        </w:tc>
        <w:tc>
          <w:tcPr>
            <w:tcW w:w="3261" w:type="dxa"/>
            <w:tcBorders>
              <w:top w:val="single" w:sz="4" w:space="0" w:color="auto"/>
            </w:tcBorders>
            <w:tcMar>
              <w:top w:w="28" w:type="dxa"/>
              <w:bottom w:w="28" w:type="dxa"/>
            </w:tcMar>
          </w:tcPr>
          <w:p w:rsidR="002304EA" w:rsidRPr="00E42E4E" w:rsidRDefault="002304EA" w:rsidP="00476F5F">
            <w:pPr>
              <w:rPr>
                <w:rFonts w:ascii="Arial" w:hAnsi="Arial" w:cs="Arial"/>
                <w:color w:val="000000"/>
              </w:rPr>
            </w:pPr>
            <w:r w:rsidRPr="00E42E4E">
              <w:rPr>
                <w:rFonts w:ascii="Arial" w:hAnsi="Arial" w:cs="Arial"/>
                <w:snapToGrid w:val="0"/>
                <w:lang w:eastAsia="en-US"/>
              </w:rPr>
              <w:t>Sponsor Comment:</w:t>
            </w:r>
          </w:p>
        </w:tc>
        <w:tc>
          <w:tcPr>
            <w:tcW w:w="6947" w:type="dxa"/>
          </w:tcPr>
          <w:p w:rsidR="002304EA" w:rsidRPr="00E42E4E" w:rsidDel="00D35F49" w:rsidRDefault="00E42E4E" w:rsidP="0031270A">
            <w:pPr>
              <w:pStyle w:val="ListParagraph"/>
              <w:ind w:left="0" w:firstLine="2"/>
              <w:jc w:val="both"/>
              <w:rPr>
                <w:rFonts w:ascii="Arial" w:hAnsi="Arial" w:cs="Arial"/>
                <w:iCs/>
                <w:sz w:val="20"/>
                <w:szCs w:val="20"/>
              </w:rPr>
            </w:pPr>
            <w:r>
              <w:rPr>
                <w:rFonts w:ascii="Arial" w:hAnsi="Arial" w:cs="Arial"/>
                <w:iCs/>
                <w:sz w:val="20"/>
                <w:szCs w:val="20"/>
              </w:rPr>
              <w:t>The s</w:t>
            </w:r>
            <w:r w:rsidRPr="00E42E4E">
              <w:rPr>
                <w:rFonts w:ascii="Arial" w:hAnsi="Arial" w:cs="Arial"/>
                <w:iCs/>
                <w:sz w:val="20"/>
                <w:szCs w:val="20"/>
              </w:rPr>
              <w:t xml:space="preserve">ponsor recognises that a high protein content can be detrimental to patients if their diet is not properly </w:t>
            </w:r>
            <w:proofErr w:type="gramStart"/>
            <w:r w:rsidRPr="00E42E4E">
              <w:rPr>
                <w:rFonts w:ascii="Arial" w:hAnsi="Arial" w:cs="Arial"/>
                <w:iCs/>
                <w:sz w:val="20"/>
                <w:szCs w:val="20"/>
              </w:rPr>
              <w:t>managed,</w:t>
            </w:r>
            <w:proofErr w:type="gramEnd"/>
            <w:r w:rsidRPr="00E42E4E">
              <w:rPr>
                <w:rFonts w:ascii="Arial" w:hAnsi="Arial" w:cs="Arial"/>
                <w:iCs/>
                <w:sz w:val="20"/>
                <w:szCs w:val="20"/>
              </w:rPr>
              <w:t xml:space="preserve"> however there remains a clinical need for such dosage form as a number of centres in Australia currently provide their own tablet formulations for UCDs.</w:t>
            </w:r>
          </w:p>
        </w:tc>
      </w:tr>
      <w:tr w:rsidR="00F97C5D" w:rsidRPr="00395B97" w:rsidTr="00CF0553">
        <w:trPr>
          <w:trHeight w:val="6499"/>
        </w:trPr>
        <w:tc>
          <w:tcPr>
            <w:tcW w:w="2694" w:type="dxa"/>
            <w:vMerge w:val="restart"/>
            <w:tcMar>
              <w:top w:w="28" w:type="dxa"/>
              <w:bottom w:w="28" w:type="dxa"/>
            </w:tcMar>
          </w:tcPr>
          <w:p w:rsidR="00F97C5D" w:rsidRPr="00B139DD" w:rsidRDefault="00F97C5D" w:rsidP="00B139DD">
            <w:pPr>
              <w:keepNext/>
              <w:rPr>
                <w:rFonts w:ascii="Arial" w:hAnsi="Arial" w:cs="Arial"/>
                <w:color w:val="000000"/>
              </w:rPr>
            </w:pPr>
            <w:r w:rsidRPr="00B139DD">
              <w:rPr>
                <w:rFonts w:ascii="Arial" w:hAnsi="Arial" w:cs="Arial"/>
                <w:color w:val="000000"/>
              </w:rPr>
              <w:lastRenderedPageBreak/>
              <w:t>BOTULINUM TOXIN TYPE A PURIFIED NEUROTOXIN COMPLEX</w:t>
            </w:r>
            <w:r w:rsidRPr="00B139DD">
              <w:rPr>
                <w:rFonts w:ascii="Arial" w:hAnsi="Arial" w:cs="Arial"/>
                <w:color w:val="000000"/>
              </w:rPr>
              <w:br/>
            </w:r>
            <w:r w:rsidRPr="00B139DD">
              <w:rPr>
                <w:rFonts w:ascii="Arial" w:hAnsi="Arial" w:cs="Arial"/>
                <w:color w:val="000000"/>
              </w:rPr>
              <w:br/>
              <w:t>Lyophilised powder for injection 100 units</w:t>
            </w:r>
            <w:r w:rsidRPr="00B139DD">
              <w:rPr>
                <w:rFonts w:ascii="Arial" w:hAnsi="Arial" w:cs="Arial"/>
                <w:color w:val="000000"/>
              </w:rPr>
              <w:br/>
            </w:r>
            <w:r w:rsidRPr="00B139DD">
              <w:rPr>
                <w:rFonts w:ascii="Arial" w:hAnsi="Arial" w:cs="Arial"/>
                <w:color w:val="000000"/>
              </w:rPr>
              <w:br/>
              <w:t xml:space="preserve">Botox® </w:t>
            </w:r>
            <w:r w:rsidRPr="00B139DD">
              <w:rPr>
                <w:rFonts w:ascii="Arial" w:hAnsi="Arial" w:cs="Arial"/>
                <w:color w:val="000000"/>
              </w:rPr>
              <w:br/>
            </w:r>
            <w:r w:rsidRPr="00B139DD">
              <w:rPr>
                <w:rFonts w:ascii="Arial" w:hAnsi="Arial" w:cs="Arial"/>
                <w:color w:val="000000"/>
              </w:rPr>
              <w:br/>
              <w:t>Allergan Australia Pty Limited</w:t>
            </w:r>
          </w:p>
          <w:p w:rsidR="00F97C5D" w:rsidRPr="00B139DD" w:rsidRDefault="00F97C5D" w:rsidP="00B139DD">
            <w:pPr>
              <w:keepNext/>
              <w:rPr>
                <w:rFonts w:ascii="Arial" w:hAnsi="Arial" w:cs="Arial"/>
                <w:color w:val="000000"/>
              </w:rPr>
            </w:pPr>
          </w:p>
          <w:p w:rsidR="00ED788B" w:rsidRDefault="00F97C5D" w:rsidP="00F97C5D">
            <w:pPr>
              <w:rPr>
                <w:rFonts w:ascii="Arial" w:hAnsi="Arial" w:cs="Arial"/>
                <w:color w:val="000000"/>
              </w:rPr>
            </w:pPr>
            <w:r w:rsidRPr="00B139DD">
              <w:rPr>
                <w:rFonts w:ascii="Arial" w:hAnsi="Arial" w:cs="Arial"/>
                <w:color w:val="000000"/>
              </w:rPr>
              <w:t>Change to recommended listing</w:t>
            </w:r>
          </w:p>
          <w:p w:rsidR="00ED788B" w:rsidRDefault="00ED788B" w:rsidP="00F97C5D">
            <w:pPr>
              <w:rPr>
                <w:rFonts w:ascii="Arial" w:hAnsi="Arial" w:cs="Arial"/>
                <w:color w:val="000000"/>
              </w:rPr>
            </w:pPr>
          </w:p>
          <w:p w:rsidR="00F97C5D" w:rsidRPr="007F7D95" w:rsidRDefault="00F97C5D" w:rsidP="00F97C5D">
            <w:pPr>
              <w:rPr>
                <w:rFonts w:ascii="Arial" w:hAnsi="Arial" w:cs="Arial"/>
                <w:color w:val="000000"/>
              </w:rPr>
            </w:pPr>
            <w:r w:rsidRPr="00B139DD">
              <w:rPr>
                <w:rFonts w:ascii="Arial" w:hAnsi="Arial" w:cs="Arial"/>
                <w:color w:val="000000"/>
              </w:rPr>
              <w:t>(Major Submission)</w:t>
            </w:r>
          </w:p>
        </w:tc>
        <w:tc>
          <w:tcPr>
            <w:tcW w:w="2409" w:type="dxa"/>
            <w:vMerge w:val="restart"/>
          </w:tcPr>
          <w:p w:rsidR="00F97C5D" w:rsidRPr="00597810" w:rsidRDefault="00F97C5D" w:rsidP="00597810">
            <w:pPr>
              <w:pStyle w:val="Default"/>
              <w:rPr>
                <w:rFonts w:ascii="Arial" w:hAnsi="Arial" w:cs="Arial"/>
              </w:rPr>
            </w:pPr>
            <w:r w:rsidRPr="00597810">
              <w:rPr>
                <w:rFonts w:ascii="Arial" w:hAnsi="Arial" w:cs="Arial"/>
                <w:sz w:val="20"/>
                <w:szCs w:val="20"/>
              </w:rPr>
              <w:t xml:space="preserve">Chronic migraine </w:t>
            </w:r>
          </w:p>
          <w:p w:rsidR="00F97C5D" w:rsidRPr="00A62A65" w:rsidRDefault="00F97C5D" w:rsidP="00597810">
            <w:pPr>
              <w:pStyle w:val="ListParagraph"/>
              <w:keepNext/>
              <w:ind w:left="175"/>
              <w:rPr>
                <w:rFonts w:ascii="Arial" w:hAnsi="Arial" w:cs="Arial"/>
                <w:sz w:val="20"/>
                <w:szCs w:val="20"/>
              </w:rPr>
            </w:pPr>
          </w:p>
        </w:tc>
        <w:tc>
          <w:tcPr>
            <w:tcW w:w="3261" w:type="dxa"/>
            <w:tcMar>
              <w:top w:w="28" w:type="dxa"/>
              <w:bottom w:w="28" w:type="dxa"/>
            </w:tcMar>
          </w:tcPr>
          <w:p w:rsidR="00F97C5D" w:rsidRPr="007F7D95" w:rsidRDefault="00F97C5D" w:rsidP="00F97C5D">
            <w:pPr>
              <w:rPr>
                <w:rFonts w:ascii="Arial" w:hAnsi="Arial" w:cs="Arial"/>
                <w:color w:val="000000"/>
              </w:rPr>
            </w:pPr>
            <w:r w:rsidRPr="00B139DD">
              <w:rPr>
                <w:rFonts w:ascii="Arial" w:hAnsi="Arial" w:cs="Arial"/>
                <w:color w:val="000000"/>
              </w:rPr>
              <w:t>To request a revision to the existing risk sharing arrangements.</w:t>
            </w:r>
          </w:p>
        </w:tc>
        <w:tc>
          <w:tcPr>
            <w:tcW w:w="6947" w:type="dxa"/>
          </w:tcPr>
          <w:p w:rsidR="00F97C5D" w:rsidRPr="00B139DD" w:rsidRDefault="00F97C5D" w:rsidP="00B139DD">
            <w:pPr>
              <w:rPr>
                <w:rFonts w:ascii="Arial" w:hAnsi="Arial" w:cs="Arial"/>
                <w:color w:val="000000"/>
              </w:rPr>
            </w:pPr>
            <w:r w:rsidRPr="00B139DD">
              <w:rPr>
                <w:rFonts w:ascii="Arial" w:hAnsi="Arial" w:cs="Arial"/>
                <w:color w:val="000000"/>
              </w:rPr>
              <w:t>The PBAC rejected the request to revise the Risk Sharing Arrangement (RSA) relevant to the use of Botox under its PBS listing for the treatment of chronic migraine. The PBAC considered that the claim made by the submission that the RSA should be revised as the greater than predicted use of Botox was due to greater than expected efficacy, and hence was cost-effective, was not adequately supported by the evidence presented.</w:t>
            </w:r>
          </w:p>
          <w:p w:rsidR="00F97C5D" w:rsidRPr="00B139DD" w:rsidRDefault="00F97C5D" w:rsidP="00B139DD">
            <w:pPr>
              <w:rPr>
                <w:rFonts w:ascii="Arial" w:hAnsi="Arial" w:cs="Arial"/>
                <w:color w:val="000000"/>
              </w:rPr>
            </w:pPr>
            <w:r w:rsidRPr="00B139DD">
              <w:rPr>
                <w:rFonts w:ascii="Arial" w:hAnsi="Arial" w:cs="Arial"/>
                <w:color w:val="000000"/>
              </w:rPr>
              <w:br/>
              <w:t>The PBAC noted that the sponsor-funded Stark 2017 retrospective chart review served as the key evidentiary basis of the requested RSA revision, and considered that the study had a high risk of bias.</w:t>
            </w:r>
          </w:p>
          <w:p w:rsidR="00F97C5D" w:rsidRPr="00B139DD" w:rsidRDefault="00F97C5D" w:rsidP="00B139DD">
            <w:pPr>
              <w:rPr>
                <w:rFonts w:ascii="Arial" w:hAnsi="Arial" w:cs="Arial"/>
                <w:color w:val="000000"/>
              </w:rPr>
            </w:pPr>
            <w:r w:rsidRPr="00B139DD">
              <w:rPr>
                <w:rFonts w:ascii="Arial" w:hAnsi="Arial" w:cs="Arial"/>
                <w:color w:val="000000"/>
              </w:rPr>
              <w:br/>
              <w:t xml:space="preserve">The PBAC considered that, while the Stark 2017 study demonstrated higher continuation rates than the PREEMPT </w:t>
            </w:r>
            <w:proofErr w:type="gramStart"/>
            <w:r w:rsidRPr="00B139DD">
              <w:rPr>
                <w:rFonts w:ascii="Arial" w:hAnsi="Arial" w:cs="Arial"/>
                <w:color w:val="000000"/>
              </w:rPr>
              <w:t>trial,</w:t>
            </w:r>
            <w:proofErr w:type="gramEnd"/>
            <w:r w:rsidRPr="00B139DD">
              <w:rPr>
                <w:rFonts w:ascii="Arial" w:hAnsi="Arial" w:cs="Arial"/>
                <w:color w:val="000000"/>
              </w:rPr>
              <w:t xml:space="preserve"> the higher rate of continuation could potentially be attributed to other factors not directly associated with better than expected efficacy. The PBAC concluded that the evidence presented did not provide a reliable basis for a claim of greater efficacy of the use of Botox in chronic migraine than was observed in the PREEMPT trials.</w:t>
            </w:r>
          </w:p>
          <w:p w:rsidR="00F97C5D" w:rsidRPr="00170DE3" w:rsidRDefault="00F97C5D" w:rsidP="001B5EF7">
            <w:pPr>
              <w:rPr>
                <w:rFonts w:ascii="Arial" w:hAnsi="Arial" w:cs="Arial"/>
                <w:color w:val="000000"/>
              </w:rPr>
            </w:pPr>
            <w:r w:rsidRPr="00B139DD">
              <w:rPr>
                <w:rFonts w:ascii="Arial" w:hAnsi="Arial" w:cs="Arial"/>
                <w:color w:val="000000"/>
              </w:rPr>
              <w:br/>
              <w:t>As the PBAC considered the submission’s clinical claim was inadequately supported by the evidence provided, the committee did not accept that the approach taken to update the economic model with the results from the Stark 2017 retrospective chart review was valid. The PBAC did not accept that the data provided in the current updated model provided any greater certainty that the increased utilisation is cost effective or that the pattern of use is any more cost effective than originally anticipated. The PBAC therefore concluded there was an inadequate justification for the requested changes in the RSA structure and caps.</w:t>
            </w:r>
          </w:p>
        </w:tc>
      </w:tr>
      <w:tr w:rsidR="00F97C5D" w:rsidRPr="00395B97" w:rsidTr="00F97C5D">
        <w:trPr>
          <w:trHeight w:val="440"/>
        </w:trPr>
        <w:tc>
          <w:tcPr>
            <w:tcW w:w="2694" w:type="dxa"/>
            <w:vMerge/>
            <w:tcMar>
              <w:top w:w="28" w:type="dxa"/>
              <w:bottom w:w="28" w:type="dxa"/>
            </w:tcMar>
          </w:tcPr>
          <w:p w:rsidR="00F97C5D" w:rsidRPr="00B139DD" w:rsidRDefault="00F97C5D" w:rsidP="00B139DD">
            <w:pPr>
              <w:keepNext/>
              <w:rPr>
                <w:rFonts w:ascii="Arial" w:hAnsi="Arial" w:cs="Arial"/>
                <w:color w:val="000000"/>
              </w:rPr>
            </w:pPr>
          </w:p>
        </w:tc>
        <w:tc>
          <w:tcPr>
            <w:tcW w:w="2409" w:type="dxa"/>
            <w:vMerge/>
          </w:tcPr>
          <w:p w:rsidR="00F97C5D" w:rsidRPr="00597810" w:rsidRDefault="00F97C5D" w:rsidP="00597810">
            <w:pPr>
              <w:pStyle w:val="Default"/>
              <w:rPr>
                <w:rFonts w:ascii="Arial" w:hAnsi="Arial" w:cs="Arial"/>
                <w:sz w:val="20"/>
                <w:szCs w:val="20"/>
              </w:rPr>
            </w:pPr>
          </w:p>
        </w:tc>
        <w:tc>
          <w:tcPr>
            <w:tcW w:w="3261" w:type="dxa"/>
            <w:tcMar>
              <w:top w:w="28" w:type="dxa"/>
              <w:bottom w:w="28" w:type="dxa"/>
            </w:tcMar>
          </w:tcPr>
          <w:p w:rsidR="00F97C5D" w:rsidRPr="00B139DD" w:rsidRDefault="00F97C5D" w:rsidP="00476F5F">
            <w:pPr>
              <w:rPr>
                <w:rFonts w:ascii="Arial" w:hAnsi="Arial" w:cs="Arial"/>
                <w:color w:val="000000"/>
              </w:rPr>
            </w:pPr>
            <w:r>
              <w:rPr>
                <w:rFonts w:ascii="Arial" w:hAnsi="Arial" w:cs="Arial"/>
                <w:color w:val="000000"/>
              </w:rPr>
              <w:t>Sponsor comment:</w:t>
            </w:r>
          </w:p>
        </w:tc>
        <w:tc>
          <w:tcPr>
            <w:tcW w:w="6947" w:type="dxa"/>
          </w:tcPr>
          <w:p w:rsidR="00F97C5D" w:rsidRPr="00F97C5D" w:rsidRDefault="00F97C5D" w:rsidP="00AD1685">
            <w:pPr>
              <w:pStyle w:val="ListParagraph"/>
              <w:ind w:left="0"/>
              <w:jc w:val="both"/>
              <w:rPr>
                <w:rFonts w:ascii="Arial" w:hAnsi="Arial" w:cs="Arial"/>
                <w:iCs/>
                <w:sz w:val="20"/>
                <w:szCs w:val="20"/>
              </w:rPr>
            </w:pPr>
            <w:r w:rsidRPr="00F97C5D">
              <w:rPr>
                <w:rFonts w:ascii="Arial" w:hAnsi="Arial" w:cs="Arial"/>
                <w:sz w:val="20"/>
                <w:szCs w:val="20"/>
              </w:rPr>
              <w:t>The sponsor had no comment.</w:t>
            </w:r>
          </w:p>
        </w:tc>
      </w:tr>
      <w:tr w:rsidR="00F97C5D" w:rsidRPr="00395B97" w:rsidTr="007B5909">
        <w:trPr>
          <w:trHeight w:val="2672"/>
        </w:trPr>
        <w:tc>
          <w:tcPr>
            <w:tcW w:w="2694" w:type="dxa"/>
            <w:vMerge w:val="restart"/>
            <w:tcMar>
              <w:top w:w="28" w:type="dxa"/>
              <w:bottom w:w="28" w:type="dxa"/>
            </w:tcMar>
          </w:tcPr>
          <w:p w:rsidR="00F97C5D" w:rsidRDefault="00F97C5D" w:rsidP="005524B8">
            <w:pPr>
              <w:rPr>
                <w:rFonts w:ascii="Arial" w:hAnsi="Arial" w:cs="Arial"/>
                <w:color w:val="000000"/>
              </w:rPr>
            </w:pPr>
            <w:r w:rsidRPr="007F7D95">
              <w:rPr>
                <w:rFonts w:ascii="Arial" w:hAnsi="Arial" w:cs="Arial"/>
                <w:color w:val="000000"/>
              </w:rPr>
              <w:lastRenderedPageBreak/>
              <w:t>CALCIPOTRIOL with BETAMETHASONE</w:t>
            </w:r>
            <w:r w:rsidRPr="007F7D95">
              <w:rPr>
                <w:rFonts w:ascii="Arial" w:hAnsi="Arial" w:cs="Arial"/>
                <w:color w:val="000000"/>
              </w:rPr>
              <w:br/>
            </w:r>
            <w:r w:rsidRPr="007F7D95">
              <w:rPr>
                <w:rFonts w:ascii="Arial" w:hAnsi="Arial" w:cs="Arial"/>
                <w:color w:val="000000"/>
              </w:rPr>
              <w:br/>
              <w:t xml:space="preserve">Gel containing </w:t>
            </w:r>
            <w:proofErr w:type="spellStart"/>
            <w:r w:rsidRPr="007F7D95">
              <w:rPr>
                <w:rFonts w:ascii="Arial" w:hAnsi="Arial" w:cs="Arial"/>
                <w:color w:val="000000"/>
              </w:rPr>
              <w:t>calcipotriol</w:t>
            </w:r>
            <w:proofErr w:type="spellEnd"/>
            <w:r w:rsidRPr="007F7D95">
              <w:rPr>
                <w:rFonts w:ascii="Arial" w:hAnsi="Arial" w:cs="Arial"/>
                <w:color w:val="000000"/>
              </w:rPr>
              <w:t xml:space="preserve"> 50 micrograms with betamethasone 500 micrograms (as </w:t>
            </w:r>
            <w:proofErr w:type="spellStart"/>
            <w:r w:rsidRPr="007F7D95">
              <w:rPr>
                <w:rFonts w:ascii="Arial" w:hAnsi="Arial" w:cs="Arial"/>
                <w:color w:val="000000"/>
              </w:rPr>
              <w:t>dipropionate</w:t>
            </w:r>
            <w:proofErr w:type="spellEnd"/>
            <w:r w:rsidRPr="007F7D95">
              <w:rPr>
                <w:rFonts w:ascii="Arial" w:hAnsi="Arial" w:cs="Arial"/>
                <w:color w:val="000000"/>
              </w:rPr>
              <w:t>) per g, 60 g</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Daivobet</w:t>
            </w:r>
            <w:proofErr w:type="spellEnd"/>
            <w:r w:rsidRPr="007F7D95">
              <w:rPr>
                <w:rFonts w:ascii="Arial" w:hAnsi="Arial" w:cs="Arial"/>
                <w:color w:val="000000"/>
              </w:rPr>
              <w:t xml:space="preserve"> 50/500® Gel</w:t>
            </w:r>
            <w:r w:rsidRPr="007F7D95">
              <w:rPr>
                <w:rFonts w:ascii="Arial" w:hAnsi="Arial" w:cs="Arial"/>
                <w:color w:val="000000"/>
              </w:rPr>
              <w:br/>
            </w:r>
            <w:r w:rsidRPr="007F7D95">
              <w:rPr>
                <w:rFonts w:ascii="Arial" w:hAnsi="Arial" w:cs="Arial"/>
                <w:color w:val="000000"/>
              </w:rPr>
              <w:br/>
              <w:t>Leo Pharma Pty Ltd</w:t>
            </w:r>
          </w:p>
          <w:p w:rsidR="00F97C5D" w:rsidRDefault="00F97C5D" w:rsidP="005524B8">
            <w:pPr>
              <w:rPr>
                <w:rFonts w:ascii="Arial" w:hAnsi="Arial" w:cs="Arial"/>
                <w:color w:val="000000"/>
              </w:rPr>
            </w:pPr>
          </w:p>
          <w:p w:rsidR="00F97C5D" w:rsidRDefault="00F97C5D" w:rsidP="002304EA">
            <w:pPr>
              <w:rPr>
                <w:rFonts w:ascii="Arial" w:hAnsi="Arial" w:cs="Arial"/>
                <w:color w:val="000000"/>
              </w:rPr>
            </w:pPr>
            <w:r>
              <w:rPr>
                <w:rFonts w:ascii="Arial" w:hAnsi="Arial" w:cs="Arial"/>
                <w:color w:val="000000"/>
              </w:rPr>
              <w:t xml:space="preserve">Change to listing </w:t>
            </w:r>
          </w:p>
          <w:p w:rsidR="003D42EE" w:rsidRDefault="003D42EE" w:rsidP="002304EA">
            <w:pPr>
              <w:rPr>
                <w:rFonts w:ascii="Arial" w:hAnsi="Arial" w:cs="Arial"/>
                <w:color w:val="000000"/>
              </w:rPr>
            </w:pPr>
          </w:p>
          <w:p w:rsidR="00F97C5D" w:rsidRPr="007F7D95" w:rsidRDefault="00F97C5D" w:rsidP="002304EA">
            <w:pPr>
              <w:rPr>
                <w:rFonts w:ascii="Arial" w:hAnsi="Arial" w:cs="Arial"/>
                <w:color w:val="000000"/>
              </w:rPr>
            </w:pPr>
            <w:r w:rsidRPr="007F7D95">
              <w:rPr>
                <w:rFonts w:ascii="Arial" w:hAnsi="Arial" w:cs="Arial"/>
                <w:color w:val="000000"/>
              </w:rPr>
              <w:t>(Minor Submission)</w:t>
            </w:r>
          </w:p>
        </w:tc>
        <w:tc>
          <w:tcPr>
            <w:tcW w:w="2409" w:type="dxa"/>
            <w:vMerge w:val="restart"/>
          </w:tcPr>
          <w:p w:rsidR="00F97C5D" w:rsidRPr="007F7D95" w:rsidRDefault="00F97C5D" w:rsidP="005524B8">
            <w:pPr>
              <w:rPr>
                <w:rFonts w:ascii="Arial" w:hAnsi="Arial" w:cs="Arial"/>
                <w:color w:val="000000"/>
              </w:rPr>
            </w:pPr>
            <w:r w:rsidRPr="007F7D95">
              <w:rPr>
                <w:rFonts w:ascii="Arial" w:hAnsi="Arial" w:cs="Arial"/>
                <w:color w:val="000000"/>
              </w:rPr>
              <w:t>Chronic stable plaque type psoriasis vulgaris</w:t>
            </w:r>
          </w:p>
        </w:tc>
        <w:tc>
          <w:tcPr>
            <w:tcW w:w="3261" w:type="dxa"/>
            <w:tcMar>
              <w:top w:w="28" w:type="dxa"/>
              <w:bottom w:w="28" w:type="dxa"/>
            </w:tcMar>
          </w:tcPr>
          <w:p w:rsidR="00F97C5D" w:rsidRPr="007F7D95" w:rsidRDefault="00F97C5D" w:rsidP="005524B8">
            <w:pPr>
              <w:rPr>
                <w:rFonts w:ascii="Arial" w:hAnsi="Arial" w:cs="Arial"/>
                <w:color w:val="000000"/>
              </w:rPr>
            </w:pPr>
            <w:r w:rsidRPr="007F7D95">
              <w:rPr>
                <w:rFonts w:ascii="Arial" w:hAnsi="Arial" w:cs="Arial"/>
                <w:color w:val="000000"/>
              </w:rPr>
              <w:t>To request additional Authority Required (STREAMLINED)</w:t>
            </w:r>
            <w:r>
              <w:rPr>
                <w:rFonts w:ascii="Arial" w:hAnsi="Arial" w:cs="Arial"/>
                <w:color w:val="000000"/>
              </w:rPr>
              <w:t xml:space="preserve"> listings with increased maximum </w:t>
            </w:r>
            <w:r w:rsidRPr="007F7D95">
              <w:rPr>
                <w:rFonts w:ascii="Arial" w:hAnsi="Arial" w:cs="Arial"/>
                <w:color w:val="000000"/>
              </w:rPr>
              <w:t>qua</w:t>
            </w:r>
            <w:r>
              <w:rPr>
                <w:rFonts w:ascii="Arial" w:hAnsi="Arial" w:cs="Arial"/>
                <w:color w:val="000000"/>
              </w:rPr>
              <w:t>ntities based on per</w:t>
            </w:r>
            <w:r w:rsidRPr="007F7D95">
              <w:rPr>
                <w:rFonts w:ascii="Arial" w:hAnsi="Arial" w:cs="Arial"/>
                <w:color w:val="000000"/>
              </w:rPr>
              <w:t>centage of Body Surface Area (BSA) to be treated.</w:t>
            </w:r>
          </w:p>
        </w:tc>
        <w:tc>
          <w:tcPr>
            <w:tcW w:w="6947" w:type="dxa"/>
          </w:tcPr>
          <w:p w:rsidR="00F97C5D" w:rsidRPr="00D13819" w:rsidRDefault="00F97C5D" w:rsidP="00804C7F">
            <w:pPr>
              <w:rPr>
                <w:rFonts w:ascii="Arial" w:hAnsi="Arial" w:cs="Arial"/>
                <w:color w:val="000000"/>
              </w:rPr>
            </w:pPr>
            <w:r w:rsidRPr="00170DE3">
              <w:rPr>
                <w:rFonts w:ascii="Arial" w:hAnsi="Arial" w:cs="Arial"/>
                <w:color w:val="000000"/>
              </w:rPr>
              <w:t xml:space="preserve">The PBAC did not recommend amending the listing of </w:t>
            </w:r>
            <w:proofErr w:type="spellStart"/>
            <w:r w:rsidRPr="00170DE3">
              <w:rPr>
                <w:rFonts w:ascii="Arial" w:hAnsi="Arial" w:cs="Arial"/>
                <w:color w:val="000000"/>
              </w:rPr>
              <w:t>calcipotriol</w:t>
            </w:r>
            <w:proofErr w:type="spellEnd"/>
            <w:r w:rsidRPr="00170DE3">
              <w:rPr>
                <w:rFonts w:ascii="Arial" w:hAnsi="Arial" w:cs="Arial"/>
                <w:color w:val="000000"/>
              </w:rPr>
              <w:t xml:space="preserve"> 0.005% with betamethasone </w:t>
            </w:r>
            <w:proofErr w:type="spellStart"/>
            <w:r w:rsidRPr="00170DE3">
              <w:rPr>
                <w:rFonts w:ascii="Arial" w:hAnsi="Arial" w:cs="Arial"/>
                <w:color w:val="000000"/>
              </w:rPr>
              <w:t>dipropionate</w:t>
            </w:r>
            <w:proofErr w:type="spellEnd"/>
            <w:r w:rsidRPr="00170DE3">
              <w:rPr>
                <w:rFonts w:ascii="Arial" w:hAnsi="Arial" w:cs="Arial"/>
                <w:color w:val="000000"/>
              </w:rPr>
              <w:t xml:space="preserve"> 0.05% gel</w:t>
            </w:r>
            <w:proofErr w:type="gramStart"/>
            <w:r w:rsidRPr="00170DE3">
              <w:rPr>
                <w:rFonts w:ascii="Arial" w:hAnsi="Arial" w:cs="Arial"/>
                <w:color w:val="000000"/>
              </w:rPr>
              <w:t>,  to</w:t>
            </w:r>
            <w:proofErr w:type="gramEnd"/>
            <w:r w:rsidRPr="00170DE3">
              <w:rPr>
                <w:rFonts w:ascii="Arial" w:hAnsi="Arial" w:cs="Arial"/>
                <w:color w:val="000000"/>
              </w:rPr>
              <w:t xml:space="preserve"> </w:t>
            </w:r>
            <w:r>
              <w:rPr>
                <w:rFonts w:ascii="Arial" w:hAnsi="Arial" w:cs="Arial"/>
                <w:color w:val="000000"/>
              </w:rPr>
              <w:t>allow</w:t>
            </w:r>
            <w:r w:rsidRPr="00170DE3">
              <w:rPr>
                <w:rFonts w:ascii="Arial" w:hAnsi="Arial" w:cs="Arial"/>
                <w:color w:val="000000"/>
              </w:rPr>
              <w:t xml:space="preserve"> access to increased quantities based on the proportion of body surface area affected by psoriasis.</w:t>
            </w:r>
            <w:r>
              <w:rPr>
                <w:rFonts w:ascii="Arial" w:hAnsi="Arial" w:cs="Arial"/>
                <w:color w:val="000000"/>
              </w:rPr>
              <w:t xml:space="preserve"> </w:t>
            </w:r>
            <w:r w:rsidRPr="00170DE3">
              <w:rPr>
                <w:rFonts w:ascii="Arial" w:hAnsi="Arial" w:cs="Arial"/>
                <w:color w:val="000000"/>
              </w:rPr>
              <w:t xml:space="preserve">In making its decision, the PBAC did not consider that there was sufficient clinical need for the amendment as utilisation data indicated the majority of patients were covered by existing arrangements, and for the limited number of patients who require increased quantities of </w:t>
            </w:r>
            <w:proofErr w:type="spellStart"/>
            <w:r w:rsidRPr="00170DE3">
              <w:rPr>
                <w:rFonts w:ascii="Arial" w:hAnsi="Arial" w:cs="Arial"/>
                <w:color w:val="000000"/>
              </w:rPr>
              <w:t>calcipotriol</w:t>
            </w:r>
            <w:proofErr w:type="spellEnd"/>
            <w:r w:rsidRPr="00170DE3">
              <w:rPr>
                <w:rFonts w:ascii="Arial" w:hAnsi="Arial" w:cs="Arial"/>
                <w:color w:val="000000"/>
              </w:rPr>
              <w:t xml:space="preserve"> with betamethasone </w:t>
            </w:r>
            <w:proofErr w:type="spellStart"/>
            <w:r w:rsidRPr="00170DE3">
              <w:rPr>
                <w:rFonts w:ascii="Arial" w:hAnsi="Arial" w:cs="Arial"/>
                <w:color w:val="000000"/>
              </w:rPr>
              <w:t>dipropionate</w:t>
            </w:r>
            <w:proofErr w:type="spellEnd"/>
            <w:r w:rsidRPr="00170DE3">
              <w:rPr>
                <w:rFonts w:ascii="Arial" w:hAnsi="Arial" w:cs="Arial"/>
                <w:color w:val="000000"/>
              </w:rPr>
              <w:t xml:space="preserve">, access is available via an Authority PBS prescription. The PBAC also considered that broader access to larger quantities may potentially increase the risk of toxicity associated with </w:t>
            </w:r>
            <w:proofErr w:type="spellStart"/>
            <w:r w:rsidRPr="00170DE3">
              <w:rPr>
                <w:rFonts w:ascii="Arial" w:hAnsi="Arial" w:cs="Arial"/>
                <w:color w:val="000000"/>
              </w:rPr>
              <w:t>calcipotriol</w:t>
            </w:r>
            <w:proofErr w:type="spellEnd"/>
            <w:r w:rsidRPr="00170DE3">
              <w:rPr>
                <w:rFonts w:ascii="Arial" w:hAnsi="Arial" w:cs="Arial"/>
                <w:color w:val="000000"/>
              </w:rPr>
              <w:t xml:space="preserve">.  </w:t>
            </w:r>
          </w:p>
        </w:tc>
      </w:tr>
      <w:tr w:rsidR="00F97C5D" w:rsidRPr="00395B97" w:rsidTr="004F0BCC">
        <w:trPr>
          <w:trHeight w:val="465"/>
        </w:trPr>
        <w:tc>
          <w:tcPr>
            <w:tcW w:w="2694" w:type="dxa"/>
            <w:vMerge/>
            <w:tcBorders>
              <w:bottom w:val="single" w:sz="4" w:space="0" w:color="auto"/>
            </w:tcBorders>
            <w:tcMar>
              <w:top w:w="28" w:type="dxa"/>
              <w:bottom w:w="28" w:type="dxa"/>
            </w:tcMar>
          </w:tcPr>
          <w:p w:rsidR="00F97C5D" w:rsidRPr="001C1D66" w:rsidRDefault="00F97C5D" w:rsidP="0053482B">
            <w:pPr>
              <w:rPr>
                <w:rFonts w:ascii="Arial" w:hAnsi="Arial" w:cs="Arial"/>
                <w:color w:val="000000"/>
              </w:rPr>
            </w:pPr>
          </w:p>
        </w:tc>
        <w:tc>
          <w:tcPr>
            <w:tcW w:w="2409" w:type="dxa"/>
            <w:vMerge/>
            <w:tcBorders>
              <w:bottom w:val="single" w:sz="4" w:space="0" w:color="auto"/>
            </w:tcBorders>
          </w:tcPr>
          <w:p w:rsidR="00F97C5D" w:rsidRPr="001C1D66" w:rsidRDefault="00F97C5D" w:rsidP="002A6AB9">
            <w:pPr>
              <w:rPr>
                <w:rFonts w:ascii="Arial" w:hAnsi="Arial" w:cs="Arial"/>
                <w:color w:val="000000"/>
              </w:rPr>
            </w:pPr>
          </w:p>
        </w:tc>
        <w:tc>
          <w:tcPr>
            <w:tcW w:w="3261" w:type="dxa"/>
            <w:tcBorders>
              <w:bottom w:val="single" w:sz="4" w:space="0" w:color="auto"/>
            </w:tcBorders>
            <w:tcMar>
              <w:top w:w="28" w:type="dxa"/>
              <w:bottom w:w="28" w:type="dxa"/>
            </w:tcMar>
          </w:tcPr>
          <w:p w:rsidR="00F97C5D" w:rsidRDefault="00F97C5D" w:rsidP="00476F5F">
            <w:pPr>
              <w:rPr>
                <w:rFonts w:ascii="Arial" w:hAnsi="Arial" w:cs="Arial"/>
              </w:rPr>
            </w:pPr>
            <w:r w:rsidRPr="00BF16B4">
              <w:rPr>
                <w:rFonts w:ascii="Arial" w:hAnsi="Arial" w:cs="Arial"/>
              </w:rPr>
              <w:t>Sponsor Comment:</w:t>
            </w:r>
          </w:p>
        </w:tc>
        <w:tc>
          <w:tcPr>
            <w:tcW w:w="6947" w:type="dxa"/>
            <w:tcBorders>
              <w:bottom w:val="single" w:sz="4" w:space="0" w:color="auto"/>
            </w:tcBorders>
          </w:tcPr>
          <w:p w:rsidR="00F97C5D" w:rsidRPr="00F97C5D" w:rsidRDefault="00F97C5D" w:rsidP="00AD1685">
            <w:pPr>
              <w:pStyle w:val="ListParagraph"/>
              <w:ind w:left="0"/>
              <w:jc w:val="both"/>
              <w:rPr>
                <w:rFonts w:ascii="Arial" w:hAnsi="Arial" w:cs="Arial"/>
                <w:iCs/>
                <w:sz w:val="20"/>
                <w:szCs w:val="20"/>
              </w:rPr>
            </w:pPr>
            <w:r w:rsidRPr="00F97C5D">
              <w:rPr>
                <w:rFonts w:ascii="Arial" w:hAnsi="Arial" w:cs="Arial"/>
                <w:sz w:val="20"/>
                <w:szCs w:val="20"/>
              </w:rPr>
              <w:t>The sponsor had no comment.</w:t>
            </w:r>
          </w:p>
        </w:tc>
      </w:tr>
      <w:tr w:rsidR="00F97C5D" w:rsidRPr="00395B97" w:rsidTr="00F97C5D">
        <w:trPr>
          <w:trHeight w:val="2639"/>
        </w:trPr>
        <w:tc>
          <w:tcPr>
            <w:tcW w:w="2694" w:type="dxa"/>
            <w:vMerge w:val="restart"/>
            <w:tcMar>
              <w:top w:w="28" w:type="dxa"/>
              <w:bottom w:w="28" w:type="dxa"/>
            </w:tcMar>
          </w:tcPr>
          <w:p w:rsidR="00F97C5D" w:rsidRDefault="00F97C5D" w:rsidP="005524B8">
            <w:pPr>
              <w:rPr>
                <w:rFonts w:ascii="Arial" w:hAnsi="Arial" w:cs="Arial"/>
                <w:color w:val="000000"/>
              </w:rPr>
            </w:pPr>
            <w:r w:rsidRPr="004966A5">
              <w:rPr>
                <w:rFonts w:ascii="Arial" w:hAnsi="Arial" w:cs="Arial"/>
                <w:color w:val="000000"/>
              </w:rPr>
              <w:t xml:space="preserve">ECULIZUMAB </w:t>
            </w:r>
          </w:p>
          <w:p w:rsidR="00F97C5D" w:rsidRDefault="00F97C5D" w:rsidP="005524B8">
            <w:pPr>
              <w:rPr>
                <w:rFonts w:ascii="Arial" w:hAnsi="Arial" w:cs="Arial"/>
                <w:color w:val="000000"/>
              </w:rPr>
            </w:pPr>
          </w:p>
          <w:p w:rsidR="00F97C5D" w:rsidRDefault="00F97C5D" w:rsidP="005524B8">
            <w:pPr>
              <w:rPr>
                <w:rFonts w:ascii="Arial" w:hAnsi="Arial" w:cs="Arial"/>
                <w:color w:val="000000"/>
              </w:rPr>
            </w:pPr>
            <w:r w:rsidRPr="004966A5">
              <w:rPr>
                <w:rFonts w:ascii="Arial" w:hAnsi="Arial" w:cs="Arial"/>
                <w:color w:val="000000"/>
              </w:rPr>
              <w:t xml:space="preserve">Solution concentrate for </w:t>
            </w:r>
          </w:p>
          <w:p w:rsidR="00F97C5D" w:rsidRDefault="00F97C5D" w:rsidP="005524B8">
            <w:pPr>
              <w:rPr>
                <w:rFonts w:ascii="Arial" w:hAnsi="Arial" w:cs="Arial"/>
                <w:color w:val="000000"/>
              </w:rPr>
            </w:pPr>
            <w:r w:rsidRPr="004966A5">
              <w:rPr>
                <w:rFonts w:ascii="Arial" w:hAnsi="Arial" w:cs="Arial"/>
                <w:color w:val="000000"/>
              </w:rPr>
              <w:t xml:space="preserve">I.V. infusion </w:t>
            </w:r>
          </w:p>
          <w:p w:rsidR="00F97C5D" w:rsidRDefault="00F97C5D" w:rsidP="005524B8">
            <w:pPr>
              <w:rPr>
                <w:rFonts w:ascii="Arial" w:hAnsi="Arial" w:cs="Arial"/>
                <w:color w:val="000000"/>
              </w:rPr>
            </w:pPr>
            <w:r w:rsidRPr="004966A5">
              <w:rPr>
                <w:rFonts w:ascii="Arial" w:hAnsi="Arial" w:cs="Arial"/>
                <w:color w:val="000000"/>
              </w:rPr>
              <w:t xml:space="preserve">300 mg in 30 mL </w:t>
            </w:r>
          </w:p>
          <w:p w:rsidR="00F97C5D" w:rsidRDefault="00F97C5D" w:rsidP="005524B8">
            <w:pPr>
              <w:rPr>
                <w:rFonts w:ascii="Arial" w:hAnsi="Arial" w:cs="Arial"/>
                <w:color w:val="000000"/>
              </w:rPr>
            </w:pPr>
          </w:p>
          <w:p w:rsidR="00F97C5D" w:rsidRDefault="00F97C5D" w:rsidP="005524B8">
            <w:pPr>
              <w:rPr>
                <w:rFonts w:ascii="Arial" w:hAnsi="Arial" w:cs="Arial"/>
                <w:color w:val="000000"/>
              </w:rPr>
            </w:pPr>
            <w:proofErr w:type="spellStart"/>
            <w:r w:rsidRPr="004966A5">
              <w:rPr>
                <w:rFonts w:ascii="Arial" w:hAnsi="Arial" w:cs="Arial"/>
                <w:color w:val="000000"/>
              </w:rPr>
              <w:t>Soliris</w:t>
            </w:r>
            <w:proofErr w:type="spellEnd"/>
            <w:r w:rsidRPr="004966A5">
              <w:rPr>
                <w:rFonts w:ascii="Arial" w:hAnsi="Arial" w:cs="Arial"/>
                <w:color w:val="000000"/>
              </w:rPr>
              <w:t xml:space="preserve">® </w:t>
            </w:r>
          </w:p>
          <w:p w:rsidR="00F97C5D" w:rsidRDefault="00F97C5D" w:rsidP="005524B8">
            <w:pPr>
              <w:rPr>
                <w:rFonts w:ascii="Arial" w:hAnsi="Arial" w:cs="Arial"/>
                <w:color w:val="000000"/>
              </w:rPr>
            </w:pPr>
          </w:p>
          <w:p w:rsidR="00F97C5D" w:rsidRDefault="00F97C5D" w:rsidP="005524B8">
            <w:pPr>
              <w:rPr>
                <w:rFonts w:ascii="Arial" w:hAnsi="Arial" w:cs="Arial"/>
                <w:color w:val="000000"/>
              </w:rPr>
            </w:pPr>
            <w:r w:rsidRPr="004966A5">
              <w:rPr>
                <w:rFonts w:ascii="Arial" w:hAnsi="Arial" w:cs="Arial"/>
                <w:color w:val="000000"/>
              </w:rPr>
              <w:t>Alexion Pharmaceuticals Australasia Pty Limited</w:t>
            </w:r>
          </w:p>
          <w:p w:rsidR="00F97C5D" w:rsidRDefault="00F97C5D" w:rsidP="005524B8">
            <w:pPr>
              <w:rPr>
                <w:rFonts w:ascii="Arial" w:hAnsi="Arial" w:cs="Arial"/>
                <w:color w:val="000000"/>
              </w:rPr>
            </w:pPr>
          </w:p>
          <w:p w:rsidR="00F97C5D" w:rsidRDefault="00F97C5D" w:rsidP="004966A5">
            <w:pPr>
              <w:pStyle w:val="Default"/>
              <w:rPr>
                <w:rFonts w:ascii="Arial" w:hAnsi="Arial" w:cs="Arial"/>
                <w:sz w:val="20"/>
                <w:szCs w:val="20"/>
              </w:rPr>
            </w:pPr>
            <w:r w:rsidRPr="004966A5">
              <w:rPr>
                <w:rFonts w:ascii="Arial" w:hAnsi="Arial" w:cs="Arial"/>
                <w:sz w:val="20"/>
                <w:szCs w:val="20"/>
              </w:rPr>
              <w:t>Change to recommended listing</w:t>
            </w:r>
          </w:p>
          <w:p w:rsidR="003D42EE" w:rsidRDefault="003D42EE" w:rsidP="004966A5">
            <w:pPr>
              <w:pStyle w:val="Default"/>
              <w:rPr>
                <w:rFonts w:ascii="Arial" w:hAnsi="Arial" w:cs="Arial"/>
                <w:sz w:val="20"/>
                <w:szCs w:val="20"/>
              </w:rPr>
            </w:pPr>
          </w:p>
          <w:p w:rsidR="00F97C5D" w:rsidRPr="004F0BCC" w:rsidRDefault="00F97C5D" w:rsidP="004F0BCC">
            <w:pPr>
              <w:pStyle w:val="Default"/>
              <w:rPr>
                <w:rFonts w:ascii="Arial" w:hAnsi="Arial" w:cs="Arial"/>
                <w:sz w:val="20"/>
                <w:szCs w:val="20"/>
              </w:rPr>
            </w:pPr>
            <w:r w:rsidRPr="004966A5">
              <w:rPr>
                <w:rFonts w:ascii="Arial" w:hAnsi="Arial" w:cs="Arial"/>
                <w:sz w:val="20"/>
                <w:szCs w:val="20"/>
              </w:rPr>
              <w:t xml:space="preserve">(Minor Submission) </w:t>
            </w:r>
          </w:p>
        </w:tc>
        <w:tc>
          <w:tcPr>
            <w:tcW w:w="2409" w:type="dxa"/>
            <w:vMerge w:val="restart"/>
          </w:tcPr>
          <w:p w:rsidR="00F97C5D" w:rsidRDefault="00F97C5D" w:rsidP="005524B8">
            <w:pPr>
              <w:rPr>
                <w:rFonts w:ascii="Arial" w:hAnsi="Arial" w:cs="Arial"/>
                <w:color w:val="000000"/>
              </w:rPr>
            </w:pPr>
            <w:r w:rsidRPr="004966A5">
              <w:rPr>
                <w:rFonts w:ascii="Arial" w:hAnsi="Arial" w:cs="Arial"/>
                <w:color w:val="000000"/>
              </w:rPr>
              <w:t>Atypical haemolytic uraemic syndrome (</w:t>
            </w:r>
            <w:proofErr w:type="spellStart"/>
            <w:r w:rsidRPr="004966A5">
              <w:rPr>
                <w:rFonts w:ascii="Arial" w:hAnsi="Arial" w:cs="Arial"/>
                <w:color w:val="000000"/>
              </w:rPr>
              <w:t>aHUS</w:t>
            </w:r>
            <w:proofErr w:type="spellEnd"/>
            <w:r w:rsidRPr="004966A5">
              <w:rPr>
                <w:rFonts w:ascii="Arial" w:hAnsi="Arial" w:cs="Arial"/>
                <w:color w:val="000000"/>
              </w:rPr>
              <w:t>) in end stage renal disease (ESRD)</w:t>
            </w:r>
          </w:p>
        </w:tc>
        <w:tc>
          <w:tcPr>
            <w:tcW w:w="3261" w:type="dxa"/>
            <w:tcMar>
              <w:top w:w="28" w:type="dxa"/>
              <w:bottom w:w="28" w:type="dxa"/>
            </w:tcMar>
          </w:tcPr>
          <w:p w:rsidR="00F97C5D" w:rsidRDefault="00F97C5D" w:rsidP="005524B8">
            <w:pPr>
              <w:rPr>
                <w:rFonts w:ascii="Arial" w:hAnsi="Arial" w:cs="Arial"/>
                <w:color w:val="000000"/>
              </w:rPr>
            </w:pPr>
            <w:r w:rsidRPr="004966A5">
              <w:rPr>
                <w:rFonts w:ascii="Arial" w:hAnsi="Arial" w:cs="Arial"/>
                <w:color w:val="000000"/>
              </w:rPr>
              <w:t xml:space="preserve">To request an extension in the recommended </w:t>
            </w:r>
            <w:proofErr w:type="spellStart"/>
            <w:r w:rsidRPr="004966A5">
              <w:rPr>
                <w:rFonts w:ascii="Arial" w:hAnsi="Arial" w:cs="Arial"/>
                <w:color w:val="000000"/>
              </w:rPr>
              <w:t>eculizumab</w:t>
            </w:r>
            <w:proofErr w:type="spellEnd"/>
            <w:r w:rsidRPr="004966A5">
              <w:rPr>
                <w:rFonts w:ascii="Arial" w:hAnsi="Arial" w:cs="Arial"/>
                <w:color w:val="000000"/>
              </w:rPr>
              <w:t xml:space="preserve"> treatment duration for patients with </w:t>
            </w:r>
            <w:proofErr w:type="spellStart"/>
            <w:r w:rsidRPr="004966A5">
              <w:rPr>
                <w:rFonts w:ascii="Arial" w:hAnsi="Arial" w:cs="Arial"/>
                <w:color w:val="000000"/>
              </w:rPr>
              <w:t>aHUS</w:t>
            </w:r>
            <w:proofErr w:type="spellEnd"/>
            <w:r w:rsidRPr="004966A5">
              <w:rPr>
                <w:rFonts w:ascii="Arial" w:hAnsi="Arial" w:cs="Arial"/>
                <w:color w:val="000000"/>
              </w:rPr>
              <w:t xml:space="preserve"> in ESRD who are eligible for a renal transplant.</w:t>
            </w:r>
          </w:p>
        </w:tc>
        <w:tc>
          <w:tcPr>
            <w:tcW w:w="6947" w:type="dxa"/>
          </w:tcPr>
          <w:p w:rsidR="00476F5F" w:rsidRDefault="00F97C5D" w:rsidP="00465782">
            <w:pPr>
              <w:rPr>
                <w:rFonts w:ascii="Arial" w:hAnsi="Arial" w:cs="Arial"/>
                <w:color w:val="000000"/>
              </w:rPr>
            </w:pPr>
            <w:r w:rsidRPr="001B5EF7">
              <w:rPr>
                <w:rFonts w:ascii="Arial" w:hAnsi="Arial" w:cs="Arial"/>
                <w:color w:val="000000"/>
              </w:rPr>
              <w:t xml:space="preserve">The PBAC did not recommend increasing the treatment duration of PBS-subsidised </w:t>
            </w:r>
            <w:proofErr w:type="spellStart"/>
            <w:r w:rsidRPr="001B5EF7">
              <w:rPr>
                <w:rFonts w:ascii="Arial" w:hAnsi="Arial" w:cs="Arial"/>
                <w:color w:val="000000"/>
              </w:rPr>
              <w:t>eculizumab</w:t>
            </w:r>
            <w:proofErr w:type="spellEnd"/>
            <w:r w:rsidRPr="001B5EF7">
              <w:rPr>
                <w:rFonts w:ascii="Arial" w:hAnsi="Arial" w:cs="Arial"/>
                <w:color w:val="000000"/>
              </w:rPr>
              <w:t xml:space="preserve"> for prophylactic use in patients with end stage renal disease due to atypical haemolytic uraemic syndrome (</w:t>
            </w:r>
            <w:proofErr w:type="spellStart"/>
            <w:r w:rsidRPr="001B5EF7">
              <w:rPr>
                <w:rFonts w:ascii="Arial" w:hAnsi="Arial" w:cs="Arial"/>
                <w:color w:val="000000"/>
              </w:rPr>
              <w:t>aHUS</w:t>
            </w:r>
            <w:proofErr w:type="spellEnd"/>
            <w:r w:rsidRPr="001B5EF7">
              <w:rPr>
                <w:rFonts w:ascii="Arial" w:hAnsi="Arial" w:cs="Arial"/>
                <w:color w:val="000000"/>
              </w:rPr>
              <w:t xml:space="preserve">) in the renal transplant period. The evidence presented to support the longer duration of treatment than previously recommended by the PBAC did not </w:t>
            </w:r>
            <w:r>
              <w:rPr>
                <w:rFonts w:ascii="Arial" w:hAnsi="Arial" w:cs="Arial"/>
                <w:color w:val="000000"/>
              </w:rPr>
              <w:t>adequately support the proposed change</w:t>
            </w:r>
            <w:r w:rsidRPr="001B5EF7">
              <w:rPr>
                <w:rFonts w:ascii="Arial" w:hAnsi="Arial" w:cs="Arial"/>
                <w:color w:val="000000"/>
              </w:rPr>
              <w:t xml:space="preserve"> and did not prove</w:t>
            </w:r>
            <w:r>
              <w:rPr>
                <w:rFonts w:ascii="Arial" w:hAnsi="Arial" w:cs="Arial"/>
                <w:color w:val="000000"/>
              </w:rPr>
              <w:t xml:space="preserve"> a</w:t>
            </w:r>
            <w:r w:rsidRPr="001B5EF7">
              <w:rPr>
                <w:rFonts w:ascii="Arial" w:hAnsi="Arial" w:cs="Arial"/>
                <w:color w:val="000000"/>
              </w:rPr>
              <w:t xml:space="preserve"> substantial incremental benefit. As such, the PBAC re-affirmed its July 2017 recommendation that </w:t>
            </w:r>
            <w:proofErr w:type="spellStart"/>
            <w:r w:rsidRPr="001B5EF7">
              <w:rPr>
                <w:rFonts w:ascii="Arial" w:hAnsi="Arial" w:cs="Arial"/>
                <w:color w:val="000000"/>
              </w:rPr>
              <w:t>eculizumab</w:t>
            </w:r>
            <w:proofErr w:type="spellEnd"/>
            <w:r w:rsidRPr="001B5EF7">
              <w:rPr>
                <w:rFonts w:ascii="Arial" w:hAnsi="Arial" w:cs="Arial"/>
                <w:color w:val="000000"/>
              </w:rPr>
              <w:t xml:space="preserve"> should be available for a maximum duration of three months in this setting (ten weeks of which would be PBS-subsidised). The PBAC noted that patients with a recurrence of </w:t>
            </w:r>
            <w:proofErr w:type="spellStart"/>
            <w:r w:rsidRPr="001B5EF7">
              <w:rPr>
                <w:rFonts w:ascii="Arial" w:hAnsi="Arial" w:cs="Arial"/>
                <w:color w:val="000000"/>
              </w:rPr>
              <w:t>aHUS</w:t>
            </w:r>
            <w:proofErr w:type="spellEnd"/>
            <w:r w:rsidRPr="001B5EF7">
              <w:rPr>
                <w:rFonts w:ascii="Arial" w:hAnsi="Arial" w:cs="Arial"/>
                <w:color w:val="000000"/>
              </w:rPr>
              <w:t xml:space="preserve"> after this time would be eligible for </w:t>
            </w:r>
            <w:proofErr w:type="spellStart"/>
            <w:r w:rsidRPr="001B5EF7">
              <w:rPr>
                <w:rFonts w:ascii="Arial" w:hAnsi="Arial" w:cs="Arial"/>
                <w:color w:val="000000"/>
              </w:rPr>
              <w:t>eculizumab</w:t>
            </w:r>
            <w:proofErr w:type="spellEnd"/>
            <w:r w:rsidRPr="001B5EF7">
              <w:rPr>
                <w:rFonts w:ascii="Arial" w:hAnsi="Arial" w:cs="Arial"/>
                <w:color w:val="000000"/>
              </w:rPr>
              <w:t xml:space="preserve"> under the current listing.</w:t>
            </w:r>
          </w:p>
          <w:p w:rsidR="00DE38E8" w:rsidRDefault="00DE38E8" w:rsidP="00465782">
            <w:pPr>
              <w:rPr>
                <w:rFonts w:ascii="Arial" w:hAnsi="Arial" w:cs="Arial"/>
                <w:color w:val="000000"/>
              </w:rPr>
            </w:pPr>
          </w:p>
          <w:p w:rsidR="00DE38E8" w:rsidRDefault="00DE38E8" w:rsidP="00465782">
            <w:pPr>
              <w:rPr>
                <w:rFonts w:ascii="Arial" w:hAnsi="Arial" w:cs="Arial"/>
                <w:color w:val="000000"/>
              </w:rPr>
            </w:pPr>
          </w:p>
          <w:p w:rsidR="00DE38E8" w:rsidRDefault="00DE38E8" w:rsidP="00465782">
            <w:pPr>
              <w:rPr>
                <w:rFonts w:ascii="Arial" w:hAnsi="Arial" w:cs="Arial"/>
                <w:color w:val="000000"/>
              </w:rPr>
            </w:pPr>
          </w:p>
          <w:p w:rsidR="00DE38E8" w:rsidRDefault="00DE38E8" w:rsidP="00465782">
            <w:pPr>
              <w:rPr>
                <w:rFonts w:ascii="Arial" w:hAnsi="Arial" w:cs="Arial"/>
                <w:color w:val="000000"/>
              </w:rPr>
            </w:pPr>
          </w:p>
          <w:p w:rsidR="00DE38E8" w:rsidRDefault="00DE38E8" w:rsidP="00465782">
            <w:pPr>
              <w:rPr>
                <w:rFonts w:ascii="Arial" w:hAnsi="Arial" w:cs="Arial"/>
                <w:color w:val="000000"/>
              </w:rPr>
            </w:pPr>
          </w:p>
          <w:p w:rsidR="00DE38E8" w:rsidRDefault="00DE38E8" w:rsidP="00465782">
            <w:pPr>
              <w:rPr>
                <w:rFonts w:ascii="Arial" w:hAnsi="Arial" w:cs="Arial"/>
                <w:color w:val="000000"/>
              </w:rPr>
            </w:pPr>
          </w:p>
          <w:p w:rsidR="00476F5F" w:rsidRPr="003D3AD3" w:rsidRDefault="00476F5F" w:rsidP="00465782">
            <w:pPr>
              <w:rPr>
                <w:rFonts w:ascii="Arial" w:hAnsi="Arial" w:cs="Arial"/>
                <w:color w:val="000000"/>
              </w:rPr>
            </w:pPr>
          </w:p>
        </w:tc>
      </w:tr>
      <w:tr w:rsidR="00F97C5D" w:rsidRPr="00395B97" w:rsidTr="00F97C5D">
        <w:trPr>
          <w:trHeight w:val="545"/>
        </w:trPr>
        <w:tc>
          <w:tcPr>
            <w:tcW w:w="2694" w:type="dxa"/>
            <w:vMerge/>
            <w:tcBorders>
              <w:bottom w:val="single" w:sz="4" w:space="0" w:color="auto"/>
            </w:tcBorders>
            <w:tcMar>
              <w:top w:w="28" w:type="dxa"/>
              <w:bottom w:w="28" w:type="dxa"/>
            </w:tcMar>
          </w:tcPr>
          <w:p w:rsidR="00F97C5D" w:rsidRPr="004966A5" w:rsidRDefault="00F97C5D" w:rsidP="005524B8">
            <w:pPr>
              <w:rPr>
                <w:rFonts w:ascii="Arial" w:hAnsi="Arial" w:cs="Arial"/>
                <w:color w:val="000000"/>
              </w:rPr>
            </w:pPr>
          </w:p>
        </w:tc>
        <w:tc>
          <w:tcPr>
            <w:tcW w:w="2409" w:type="dxa"/>
            <w:vMerge/>
            <w:tcBorders>
              <w:bottom w:val="single" w:sz="4" w:space="0" w:color="auto"/>
            </w:tcBorders>
          </w:tcPr>
          <w:p w:rsidR="00F97C5D" w:rsidRPr="004966A5" w:rsidRDefault="00F97C5D" w:rsidP="005524B8">
            <w:pPr>
              <w:rPr>
                <w:rFonts w:ascii="Arial" w:hAnsi="Arial" w:cs="Arial"/>
                <w:color w:val="000000"/>
              </w:rPr>
            </w:pPr>
          </w:p>
        </w:tc>
        <w:tc>
          <w:tcPr>
            <w:tcW w:w="3261" w:type="dxa"/>
            <w:tcBorders>
              <w:bottom w:val="single" w:sz="4" w:space="0" w:color="auto"/>
            </w:tcBorders>
            <w:tcMar>
              <w:top w:w="28" w:type="dxa"/>
              <w:bottom w:w="28" w:type="dxa"/>
            </w:tcMar>
          </w:tcPr>
          <w:p w:rsidR="00F97C5D" w:rsidRPr="00B930DC" w:rsidRDefault="00F97C5D" w:rsidP="00476F5F">
            <w:pPr>
              <w:keepNext/>
              <w:keepLines/>
              <w:widowControl w:val="0"/>
              <w:rPr>
                <w:rFonts w:ascii="Arial" w:hAnsi="Arial" w:cs="Arial"/>
                <w:color w:val="000000"/>
              </w:rPr>
            </w:pPr>
            <w:r w:rsidRPr="00B930DC">
              <w:rPr>
                <w:rFonts w:ascii="Arial" w:hAnsi="Arial" w:cs="Arial"/>
              </w:rPr>
              <w:t>Sponsor Comment:</w:t>
            </w:r>
          </w:p>
        </w:tc>
        <w:tc>
          <w:tcPr>
            <w:tcW w:w="6947" w:type="dxa"/>
            <w:tcBorders>
              <w:bottom w:val="single" w:sz="4" w:space="0" w:color="auto"/>
            </w:tcBorders>
          </w:tcPr>
          <w:p w:rsidR="00F97C5D" w:rsidRPr="00B930DC" w:rsidRDefault="00F97C5D" w:rsidP="00476F5F">
            <w:pPr>
              <w:keepNext/>
              <w:keepLines/>
              <w:widowControl w:val="0"/>
              <w:rPr>
                <w:rFonts w:ascii="Arial" w:hAnsi="Arial" w:cs="Arial"/>
                <w:color w:val="000000"/>
              </w:rPr>
            </w:pPr>
            <w:r w:rsidRPr="00B930DC">
              <w:rPr>
                <w:rFonts w:ascii="Arial" w:hAnsi="Arial" w:cs="Arial"/>
                <w:color w:val="000000"/>
              </w:rPr>
              <w:t xml:space="preserve">Alexion is disappointed that the PBAC has not modified the previous recommendation to treat patients with </w:t>
            </w:r>
            <w:proofErr w:type="spellStart"/>
            <w:r w:rsidRPr="00B930DC">
              <w:rPr>
                <w:rFonts w:ascii="Arial" w:hAnsi="Arial" w:cs="Arial"/>
                <w:color w:val="000000"/>
              </w:rPr>
              <w:t>aHUS</w:t>
            </w:r>
            <w:proofErr w:type="spellEnd"/>
            <w:r w:rsidRPr="00B930DC">
              <w:rPr>
                <w:rFonts w:ascii="Arial" w:hAnsi="Arial" w:cs="Arial"/>
                <w:color w:val="000000"/>
              </w:rPr>
              <w:t xml:space="preserve"> undergoing renal transplant for longer than 3 months with </w:t>
            </w:r>
            <w:proofErr w:type="spellStart"/>
            <w:r w:rsidRPr="00B930DC">
              <w:rPr>
                <w:rFonts w:ascii="Arial" w:hAnsi="Arial" w:cs="Arial"/>
                <w:color w:val="000000"/>
              </w:rPr>
              <w:t>Soliris</w:t>
            </w:r>
            <w:proofErr w:type="spellEnd"/>
            <w:r w:rsidRPr="00B930DC">
              <w:rPr>
                <w:rFonts w:ascii="Arial" w:hAnsi="Arial" w:cs="Arial"/>
                <w:color w:val="000000"/>
              </w:rPr>
              <w:t xml:space="preserve"> (</w:t>
            </w:r>
            <w:proofErr w:type="spellStart"/>
            <w:r w:rsidRPr="00B930DC">
              <w:rPr>
                <w:rFonts w:ascii="Arial" w:hAnsi="Arial" w:cs="Arial"/>
                <w:color w:val="000000"/>
              </w:rPr>
              <w:t>eculizumab</w:t>
            </w:r>
            <w:proofErr w:type="spellEnd"/>
            <w:r w:rsidRPr="00B930DC">
              <w:rPr>
                <w:rFonts w:ascii="Arial" w:hAnsi="Arial" w:cs="Arial"/>
                <w:color w:val="000000"/>
              </w:rPr>
              <w:t xml:space="preserve">). Alexion is, however, committed to ensuring that patients with </w:t>
            </w:r>
            <w:proofErr w:type="spellStart"/>
            <w:proofErr w:type="gramStart"/>
            <w:r w:rsidRPr="00B930DC">
              <w:rPr>
                <w:rFonts w:ascii="Arial" w:hAnsi="Arial" w:cs="Arial"/>
                <w:color w:val="000000"/>
              </w:rPr>
              <w:t>aHUS</w:t>
            </w:r>
            <w:proofErr w:type="spellEnd"/>
            <w:proofErr w:type="gramEnd"/>
            <w:r w:rsidRPr="00B930DC">
              <w:rPr>
                <w:rFonts w:ascii="Arial" w:hAnsi="Arial" w:cs="Arial"/>
                <w:color w:val="000000"/>
              </w:rPr>
              <w:t xml:space="preserve"> who require </w:t>
            </w:r>
            <w:proofErr w:type="spellStart"/>
            <w:r w:rsidRPr="00B930DC">
              <w:rPr>
                <w:rFonts w:ascii="Arial" w:hAnsi="Arial" w:cs="Arial"/>
                <w:color w:val="000000"/>
              </w:rPr>
              <w:t>Soliris</w:t>
            </w:r>
            <w:proofErr w:type="spellEnd"/>
            <w:r w:rsidRPr="00B930DC">
              <w:rPr>
                <w:rFonts w:ascii="Arial" w:hAnsi="Arial" w:cs="Arial"/>
                <w:color w:val="000000"/>
              </w:rPr>
              <w:t xml:space="preserve"> to facilitate a renal transplant, now receive rapid access to therapy, and have the ability to access therapy again should </w:t>
            </w:r>
            <w:r w:rsidRPr="00F97C5D">
              <w:rPr>
                <w:rFonts w:ascii="Arial" w:eastAsiaTheme="minorHAnsi" w:hAnsi="Arial" w:cs="Arial"/>
                <w:szCs w:val="22"/>
              </w:rPr>
              <w:t xml:space="preserve">thrombotic </w:t>
            </w:r>
            <w:proofErr w:type="spellStart"/>
            <w:r w:rsidRPr="00F97C5D">
              <w:rPr>
                <w:rFonts w:ascii="Arial" w:eastAsiaTheme="minorHAnsi" w:hAnsi="Arial" w:cs="Arial"/>
                <w:szCs w:val="22"/>
              </w:rPr>
              <w:t>microangiopathy</w:t>
            </w:r>
            <w:proofErr w:type="spellEnd"/>
            <w:r w:rsidRPr="00F97C5D">
              <w:rPr>
                <w:rFonts w:ascii="Arial" w:eastAsiaTheme="minorHAnsi" w:hAnsi="Arial" w:cs="Arial"/>
                <w:szCs w:val="22"/>
              </w:rPr>
              <w:t xml:space="preserve"> </w:t>
            </w:r>
            <w:r>
              <w:rPr>
                <w:rFonts w:asciiTheme="minorHAnsi" w:eastAsiaTheme="minorHAnsi" w:hAnsiTheme="minorHAnsi" w:cstheme="minorBidi"/>
                <w:szCs w:val="22"/>
              </w:rPr>
              <w:t>(</w:t>
            </w:r>
            <w:r w:rsidRPr="00B930DC">
              <w:rPr>
                <w:rFonts w:ascii="Arial" w:hAnsi="Arial" w:cs="Arial"/>
                <w:color w:val="000000"/>
              </w:rPr>
              <w:t>TMA</w:t>
            </w:r>
            <w:r>
              <w:rPr>
                <w:rFonts w:ascii="Arial" w:hAnsi="Arial" w:cs="Arial"/>
                <w:color w:val="000000"/>
              </w:rPr>
              <w:t>)</w:t>
            </w:r>
            <w:r w:rsidRPr="00B930DC">
              <w:rPr>
                <w:rFonts w:ascii="Arial" w:hAnsi="Arial" w:cs="Arial"/>
                <w:color w:val="000000"/>
              </w:rPr>
              <w:t xml:space="preserve"> represent in the graft.  As such</w:t>
            </w:r>
            <w:r>
              <w:rPr>
                <w:rFonts w:ascii="Arial" w:hAnsi="Arial" w:cs="Arial"/>
                <w:color w:val="000000"/>
              </w:rPr>
              <w:t>,</w:t>
            </w:r>
            <w:r w:rsidRPr="00B930DC">
              <w:rPr>
                <w:rFonts w:ascii="Arial" w:hAnsi="Arial" w:cs="Arial"/>
                <w:color w:val="000000"/>
              </w:rPr>
              <w:t xml:space="preserve"> Alexion look forward to working with the Department of Health and Government to ensure an expedited review of the risk sharing agreements proposed by Alexion and to ensure urgent funded access to </w:t>
            </w:r>
            <w:proofErr w:type="spellStart"/>
            <w:r w:rsidRPr="00B930DC">
              <w:rPr>
                <w:rFonts w:ascii="Arial" w:hAnsi="Arial" w:cs="Arial"/>
                <w:color w:val="000000"/>
              </w:rPr>
              <w:t>Soliris</w:t>
            </w:r>
            <w:proofErr w:type="spellEnd"/>
            <w:r w:rsidRPr="00B930DC">
              <w:rPr>
                <w:rFonts w:ascii="Arial" w:hAnsi="Arial" w:cs="Arial"/>
                <w:color w:val="000000"/>
              </w:rPr>
              <w:t xml:space="preserve"> for patients with </w:t>
            </w:r>
            <w:proofErr w:type="spellStart"/>
            <w:r w:rsidRPr="00B930DC">
              <w:rPr>
                <w:rFonts w:ascii="Arial" w:hAnsi="Arial" w:cs="Arial"/>
                <w:color w:val="000000"/>
              </w:rPr>
              <w:t>aHUS</w:t>
            </w:r>
            <w:proofErr w:type="spellEnd"/>
            <w:r w:rsidRPr="00B930DC">
              <w:rPr>
                <w:rFonts w:ascii="Arial" w:hAnsi="Arial" w:cs="Arial"/>
                <w:color w:val="000000"/>
              </w:rPr>
              <w:t xml:space="preserve"> to facilitate renal transplantation.  </w:t>
            </w:r>
          </w:p>
        </w:tc>
      </w:tr>
      <w:tr w:rsidR="00F97C5D" w:rsidRPr="00395B97" w:rsidTr="00CF0553">
        <w:trPr>
          <w:trHeight w:val="2782"/>
        </w:trPr>
        <w:tc>
          <w:tcPr>
            <w:tcW w:w="2694" w:type="dxa"/>
            <w:vMerge w:val="restart"/>
            <w:tcBorders>
              <w:top w:val="single" w:sz="4" w:space="0" w:color="auto"/>
            </w:tcBorders>
            <w:tcMar>
              <w:top w:w="28" w:type="dxa"/>
              <w:bottom w:w="28" w:type="dxa"/>
            </w:tcMar>
          </w:tcPr>
          <w:p w:rsidR="00F97C5D" w:rsidRDefault="00F97C5D" w:rsidP="005524B8">
            <w:pPr>
              <w:rPr>
                <w:rFonts w:ascii="Arial" w:hAnsi="Arial" w:cs="Arial"/>
                <w:color w:val="000000"/>
              </w:rPr>
            </w:pPr>
            <w:r>
              <w:rPr>
                <w:rFonts w:ascii="Arial" w:hAnsi="Arial" w:cs="Arial"/>
                <w:color w:val="000000"/>
              </w:rPr>
              <w:t>GUSELKUMAB</w:t>
            </w:r>
            <w:r>
              <w:rPr>
                <w:rFonts w:ascii="Arial" w:hAnsi="Arial" w:cs="Arial"/>
                <w:color w:val="000000"/>
              </w:rPr>
              <w:br/>
            </w:r>
            <w:r>
              <w:rPr>
                <w:rFonts w:ascii="Arial" w:hAnsi="Arial" w:cs="Arial"/>
                <w:color w:val="000000"/>
              </w:rPr>
              <w:br/>
              <w:t xml:space="preserve">Injection 100 mg in 1 mL single use pre-filled syringe </w:t>
            </w:r>
            <w:r>
              <w:rPr>
                <w:rFonts w:ascii="Arial" w:hAnsi="Arial" w:cs="Arial"/>
                <w:color w:val="000000"/>
              </w:rPr>
              <w:br/>
            </w:r>
            <w:r>
              <w:rPr>
                <w:rFonts w:ascii="Arial" w:hAnsi="Arial" w:cs="Arial"/>
                <w:color w:val="000000"/>
              </w:rPr>
              <w:br/>
            </w:r>
            <w:proofErr w:type="spellStart"/>
            <w:r>
              <w:rPr>
                <w:rFonts w:ascii="Arial" w:hAnsi="Arial" w:cs="Arial"/>
                <w:color w:val="000000"/>
              </w:rPr>
              <w:t>Tremfya</w:t>
            </w:r>
            <w:proofErr w:type="spellEnd"/>
            <w:r>
              <w:rPr>
                <w:rFonts w:ascii="Arial" w:hAnsi="Arial" w:cs="Arial"/>
                <w:color w:val="000000"/>
              </w:rPr>
              <w:t>®</w:t>
            </w:r>
            <w:r>
              <w:rPr>
                <w:rFonts w:ascii="Arial" w:hAnsi="Arial" w:cs="Arial"/>
                <w:color w:val="000000"/>
              </w:rPr>
              <w:br/>
            </w:r>
            <w:r>
              <w:rPr>
                <w:rFonts w:ascii="Arial" w:hAnsi="Arial" w:cs="Arial"/>
                <w:color w:val="000000"/>
              </w:rPr>
              <w:br/>
              <w:t>Janssen-</w:t>
            </w:r>
            <w:proofErr w:type="spellStart"/>
            <w:r>
              <w:rPr>
                <w:rFonts w:ascii="Arial" w:hAnsi="Arial" w:cs="Arial"/>
                <w:color w:val="000000"/>
              </w:rPr>
              <w:t>Cilag</w:t>
            </w:r>
            <w:proofErr w:type="spellEnd"/>
            <w:r>
              <w:rPr>
                <w:rFonts w:ascii="Arial" w:hAnsi="Arial" w:cs="Arial"/>
                <w:color w:val="000000"/>
              </w:rPr>
              <w:t xml:space="preserve"> Pty Ltd</w:t>
            </w:r>
          </w:p>
          <w:p w:rsidR="00F97C5D" w:rsidRDefault="00F97C5D" w:rsidP="005524B8">
            <w:pPr>
              <w:rPr>
                <w:rFonts w:ascii="Arial" w:hAnsi="Arial" w:cs="Arial"/>
                <w:color w:val="000000"/>
              </w:rPr>
            </w:pPr>
          </w:p>
          <w:p w:rsidR="00F97C5D" w:rsidRDefault="00F97C5D" w:rsidP="002304EA">
            <w:pPr>
              <w:rPr>
                <w:rFonts w:ascii="Arial" w:hAnsi="Arial" w:cs="Arial"/>
                <w:color w:val="000000"/>
              </w:rPr>
            </w:pPr>
            <w:r>
              <w:rPr>
                <w:rFonts w:ascii="Arial" w:hAnsi="Arial" w:cs="Arial"/>
                <w:color w:val="000000"/>
              </w:rPr>
              <w:t xml:space="preserve">New listing </w:t>
            </w:r>
          </w:p>
          <w:p w:rsidR="00F97C5D" w:rsidRDefault="00F97C5D" w:rsidP="002304EA">
            <w:pPr>
              <w:rPr>
                <w:rFonts w:ascii="Arial" w:hAnsi="Arial" w:cs="Arial"/>
                <w:color w:val="000000"/>
              </w:rPr>
            </w:pPr>
            <w:r>
              <w:rPr>
                <w:rFonts w:ascii="Arial" w:hAnsi="Arial" w:cs="Arial"/>
                <w:color w:val="000000"/>
              </w:rPr>
              <w:t>(Major Submission)</w:t>
            </w:r>
          </w:p>
        </w:tc>
        <w:tc>
          <w:tcPr>
            <w:tcW w:w="2409" w:type="dxa"/>
            <w:vMerge w:val="restart"/>
            <w:tcBorders>
              <w:top w:val="single" w:sz="4" w:space="0" w:color="auto"/>
            </w:tcBorders>
          </w:tcPr>
          <w:p w:rsidR="00F97C5D" w:rsidRDefault="00F97C5D" w:rsidP="005524B8">
            <w:pPr>
              <w:rPr>
                <w:rFonts w:ascii="Arial" w:hAnsi="Arial" w:cs="Arial"/>
                <w:color w:val="000000"/>
              </w:rPr>
            </w:pPr>
            <w:r>
              <w:rPr>
                <w:rFonts w:ascii="Arial" w:hAnsi="Arial" w:cs="Arial"/>
                <w:color w:val="000000"/>
              </w:rPr>
              <w:t>Severe chronic plaque psoriasis</w:t>
            </w:r>
          </w:p>
        </w:tc>
        <w:tc>
          <w:tcPr>
            <w:tcW w:w="3261" w:type="dxa"/>
            <w:tcBorders>
              <w:top w:val="single" w:sz="4" w:space="0" w:color="auto"/>
            </w:tcBorders>
            <w:tcMar>
              <w:top w:w="28" w:type="dxa"/>
              <w:bottom w:w="28" w:type="dxa"/>
            </w:tcMar>
          </w:tcPr>
          <w:p w:rsidR="00F97C5D" w:rsidRDefault="00F97C5D" w:rsidP="005524B8">
            <w:pPr>
              <w:rPr>
                <w:rFonts w:ascii="Arial" w:hAnsi="Arial" w:cs="Arial"/>
                <w:color w:val="000000"/>
              </w:rPr>
            </w:pPr>
            <w:r>
              <w:rPr>
                <w:rFonts w:ascii="Arial" w:hAnsi="Arial" w:cs="Arial"/>
                <w:color w:val="000000"/>
              </w:rPr>
              <w:t xml:space="preserve">To request an Authority Required listing for the treatment of severe chronic plaque psoriasis. </w:t>
            </w:r>
          </w:p>
        </w:tc>
        <w:tc>
          <w:tcPr>
            <w:tcW w:w="6947" w:type="dxa"/>
            <w:tcBorders>
              <w:top w:val="single" w:sz="4" w:space="0" w:color="auto"/>
            </w:tcBorders>
          </w:tcPr>
          <w:p w:rsidR="00F97C5D" w:rsidRPr="00CF0553" w:rsidRDefault="00F97C5D" w:rsidP="00804C7F">
            <w:pPr>
              <w:jc w:val="both"/>
              <w:rPr>
                <w:rFonts w:ascii="Arial" w:hAnsi="Arial" w:cs="Arial"/>
                <w:color w:val="000000"/>
              </w:rPr>
            </w:pPr>
            <w:r w:rsidRPr="003D3AD3">
              <w:rPr>
                <w:rFonts w:ascii="Arial" w:hAnsi="Arial" w:cs="Arial"/>
                <w:color w:val="000000"/>
              </w:rPr>
              <w:t xml:space="preserve">The PBAC did not recommend the Section 85 Authority Required listing of </w:t>
            </w:r>
            <w:proofErr w:type="spellStart"/>
            <w:r w:rsidRPr="003D3AD3">
              <w:rPr>
                <w:rFonts w:ascii="Arial" w:hAnsi="Arial" w:cs="Arial"/>
                <w:color w:val="000000"/>
              </w:rPr>
              <w:t>guselkumab</w:t>
            </w:r>
            <w:proofErr w:type="spellEnd"/>
            <w:r w:rsidRPr="003D3AD3">
              <w:rPr>
                <w:rFonts w:ascii="Arial" w:hAnsi="Arial" w:cs="Arial"/>
                <w:color w:val="000000"/>
              </w:rPr>
              <w:t xml:space="preserve"> for the treatment of severe chronic plaque psoriasis (CPP). In making its decision the PBAC considered that </w:t>
            </w:r>
            <w:proofErr w:type="spellStart"/>
            <w:r w:rsidRPr="003D3AD3">
              <w:rPr>
                <w:rFonts w:ascii="Arial" w:hAnsi="Arial" w:cs="Arial"/>
                <w:color w:val="000000"/>
              </w:rPr>
              <w:t>ustekinumab</w:t>
            </w:r>
            <w:proofErr w:type="spellEnd"/>
            <w:r w:rsidRPr="003D3AD3">
              <w:rPr>
                <w:rFonts w:ascii="Arial" w:hAnsi="Arial" w:cs="Arial"/>
                <w:color w:val="000000"/>
              </w:rPr>
              <w:t xml:space="preserve"> was an inappropriate choice as a main comparator. The PBAC considered that any of the biologic agents on the PBS for CPP may be replaced by </w:t>
            </w:r>
            <w:proofErr w:type="spellStart"/>
            <w:r w:rsidRPr="003D3AD3">
              <w:rPr>
                <w:rFonts w:ascii="Arial" w:hAnsi="Arial" w:cs="Arial"/>
                <w:color w:val="000000"/>
              </w:rPr>
              <w:t>guselkumab</w:t>
            </w:r>
            <w:proofErr w:type="spellEnd"/>
            <w:r w:rsidRPr="003D3AD3">
              <w:rPr>
                <w:rFonts w:ascii="Arial" w:hAnsi="Arial" w:cs="Arial"/>
                <w:color w:val="000000"/>
              </w:rPr>
              <w:t xml:space="preserve"> and hence be a relevant comparator. The PBAC agreed with ESC that infliximab was a relevant comparator, and considered that the indirect comparison presented in the Pre-PBAC response would need to be evaluated as part of a major submission. The PBAC noted the information referenced by ESC that suggested </w:t>
            </w:r>
            <w:proofErr w:type="spellStart"/>
            <w:r w:rsidRPr="003D3AD3">
              <w:rPr>
                <w:rFonts w:ascii="Arial" w:hAnsi="Arial" w:cs="Arial"/>
                <w:color w:val="000000"/>
              </w:rPr>
              <w:t>ixekizumab</w:t>
            </w:r>
            <w:proofErr w:type="spellEnd"/>
            <w:r w:rsidRPr="003D3AD3">
              <w:rPr>
                <w:rFonts w:ascii="Arial" w:hAnsi="Arial" w:cs="Arial"/>
                <w:color w:val="000000"/>
              </w:rPr>
              <w:t xml:space="preserve"> may be the most effective of the PBS listed biologics. Given this, the PBAC considered that a comparison versus </w:t>
            </w:r>
            <w:proofErr w:type="spellStart"/>
            <w:r w:rsidRPr="003D3AD3">
              <w:rPr>
                <w:rFonts w:ascii="Arial" w:hAnsi="Arial" w:cs="Arial"/>
                <w:color w:val="000000"/>
              </w:rPr>
              <w:t>ixekizumab</w:t>
            </w:r>
            <w:proofErr w:type="spellEnd"/>
            <w:r w:rsidRPr="003D3AD3">
              <w:rPr>
                <w:rFonts w:ascii="Arial" w:hAnsi="Arial" w:cs="Arial"/>
                <w:color w:val="000000"/>
              </w:rPr>
              <w:t xml:space="preserve"> would also be informative.</w:t>
            </w:r>
          </w:p>
        </w:tc>
      </w:tr>
      <w:tr w:rsidR="00F97C5D" w:rsidRPr="00395B97" w:rsidTr="002304EA">
        <w:trPr>
          <w:trHeight w:val="499"/>
        </w:trPr>
        <w:tc>
          <w:tcPr>
            <w:tcW w:w="2694" w:type="dxa"/>
            <w:vMerge/>
            <w:tcMar>
              <w:top w:w="28" w:type="dxa"/>
              <w:bottom w:w="28" w:type="dxa"/>
            </w:tcMar>
          </w:tcPr>
          <w:p w:rsidR="00F97C5D" w:rsidRPr="001C1D66" w:rsidRDefault="00F97C5D" w:rsidP="002A6AB9">
            <w:pPr>
              <w:rPr>
                <w:rFonts w:ascii="Arial" w:hAnsi="Arial" w:cs="Arial"/>
                <w:color w:val="000000"/>
              </w:rPr>
            </w:pPr>
          </w:p>
        </w:tc>
        <w:tc>
          <w:tcPr>
            <w:tcW w:w="2409" w:type="dxa"/>
            <w:vMerge/>
          </w:tcPr>
          <w:p w:rsidR="00F97C5D" w:rsidRPr="001C1D66" w:rsidRDefault="00F97C5D" w:rsidP="002A6AB9">
            <w:pPr>
              <w:rPr>
                <w:rFonts w:ascii="Arial" w:hAnsi="Arial" w:cs="Arial"/>
                <w:color w:val="000000"/>
              </w:rPr>
            </w:pPr>
          </w:p>
        </w:tc>
        <w:tc>
          <w:tcPr>
            <w:tcW w:w="3261" w:type="dxa"/>
            <w:tcMar>
              <w:top w:w="28" w:type="dxa"/>
              <w:bottom w:w="28" w:type="dxa"/>
            </w:tcMar>
          </w:tcPr>
          <w:p w:rsidR="00F97C5D" w:rsidRDefault="00F97C5D" w:rsidP="00476F5F">
            <w:pPr>
              <w:rPr>
                <w:rFonts w:ascii="Arial" w:hAnsi="Arial" w:cs="Arial"/>
                <w:color w:val="000000"/>
              </w:rPr>
            </w:pPr>
            <w:r w:rsidRPr="00395B97">
              <w:rPr>
                <w:rFonts w:ascii="Arial" w:hAnsi="Arial" w:cs="Arial"/>
                <w:snapToGrid w:val="0"/>
                <w:lang w:eastAsia="en-US"/>
              </w:rPr>
              <w:t>Sponsor Comment:</w:t>
            </w:r>
          </w:p>
        </w:tc>
        <w:tc>
          <w:tcPr>
            <w:tcW w:w="6947" w:type="dxa"/>
          </w:tcPr>
          <w:p w:rsidR="00F97C5D" w:rsidRPr="00E1052A" w:rsidRDefault="00F97C5D" w:rsidP="00E1052A">
            <w:pPr>
              <w:jc w:val="both"/>
              <w:rPr>
                <w:rFonts w:ascii="Arial" w:hAnsi="Arial" w:cs="Arial"/>
              </w:rPr>
            </w:pPr>
            <w:r w:rsidRPr="00E1052A">
              <w:rPr>
                <w:rFonts w:ascii="Arial" w:hAnsi="Arial" w:cs="Arial"/>
              </w:rPr>
              <w:t xml:space="preserve">Janssen were disappointed by this outcome, but will consider how best to address the PBAC’s request in order to have </w:t>
            </w:r>
            <w:proofErr w:type="spellStart"/>
            <w:r w:rsidRPr="00E1052A">
              <w:rPr>
                <w:rFonts w:ascii="Arial" w:hAnsi="Arial" w:cs="Arial"/>
              </w:rPr>
              <w:t>Tremfya</w:t>
            </w:r>
            <w:proofErr w:type="spellEnd"/>
            <w:r w:rsidRPr="00E1052A">
              <w:rPr>
                <w:rFonts w:ascii="Arial" w:hAnsi="Arial" w:cs="Arial"/>
              </w:rPr>
              <w:t xml:space="preserve"> available for patients on the PBS.</w:t>
            </w:r>
          </w:p>
        </w:tc>
      </w:tr>
      <w:tr w:rsidR="00F97C5D" w:rsidRPr="00395B97" w:rsidTr="00CF0553">
        <w:trPr>
          <w:trHeight w:val="4231"/>
        </w:trPr>
        <w:tc>
          <w:tcPr>
            <w:tcW w:w="2694" w:type="dxa"/>
            <w:vMerge w:val="restart"/>
            <w:tcMar>
              <w:top w:w="28" w:type="dxa"/>
              <w:bottom w:w="28" w:type="dxa"/>
            </w:tcMar>
          </w:tcPr>
          <w:p w:rsidR="00F97C5D" w:rsidRDefault="00F97C5D" w:rsidP="005524B8">
            <w:pPr>
              <w:rPr>
                <w:rFonts w:ascii="Arial" w:hAnsi="Arial" w:cs="Arial"/>
                <w:color w:val="000000"/>
              </w:rPr>
            </w:pPr>
            <w:r>
              <w:rPr>
                <w:rFonts w:ascii="Arial" w:hAnsi="Arial" w:cs="Arial"/>
                <w:color w:val="000000"/>
              </w:rPr>
              <w:lastRenderedPageBreak/>
              <w:t>INSULIN GLARGINE WITH LIXISENATIDE</w:t>
            </w:r>
          </w:p>
          <w:p w:rsidR="00F97C5D" w:rsidRDefault="00F97C5D" w:rsidP="005524B8">
            <w:pPr>
              <w:rPr>
                <w:rFonts w:ascii="Arial" w:hAnsi="Arial" w:cs="Arial"/>
                <w:color w:val="000000"/>
              </w:rPr>
            </w:pPr>
          </w:p>
          <w:p w:rsidR="00F97C5D" w:rsidRDefault="00F97C5D" w:rsidP="005524B8">
            <w:pPr>
              <w:rPr>
                <w:rFonts w:ascii="Arial" w:hAnsi="Arial" w:cs="Arial"/>
                <w:color w:val="000000"/>
              </w:rPr>
            </w:pPr>
            <w:r>
              <w:rPr>
                <w:rFonts w:ascii="Arial" w:hAnsi="Arial" w:cs="Arial"/>
                <w:color w:val="000000"/>
              </w:rPr>
              <w:br w:type="page"/>
            </w:r>
            <w:r>
              <w:rPr>
                <w:rFonts w:ascii="Arial" w:hAnsi="Arial" w:cs="Arial"/>
                <w:color w:val="000000"/>
              </w:rPr>
              <w:br w:type="page"/>
              <w:t xml:space="preserve">Injections (human analogue), cartridges, insulin glargine 100 units per mL with </w:t>
            </w:r>
            <w:proofErr w:type="spellStart"/>
            <w:r>
              <w:rPr>
                <w:rFonts w:ascii="Arial" w:hAnsi="Arial" w:cs="Arial"/>
                <w:color w:val="000000"/>
              </w:rPr>
              <w:t>lixisenatide</w:t>
            </w:r>
            <w:proofErr w:type="spellEnd"/>
            <w:r>
              <w:rPr>
                <w:rFonts w:ascii="Arial" w:hAnsi="Arial" w:cs="Arial"/>
                <w:color w:val="000000"/>
              </w:rPr>
              <w:t xml:space="preserve"> 50 microgram per mL, 3 mL, 5</w:t>
            </w:r>
          </w:p>
          <w:p w:rsidR="00F97C5D" w:rsidRDefault="00F97C5D" w:rsidP="005524B8">
            <w:pPr>
              <w:rPr>
                <w:rFonts w:ascii="Arial" w:hAnsi="Arial" w:cs="Arial"/>
                <w:color w:val="000000"/>
              </w:rPr>
            </w:pPr>
            <w:r>
              <w:rPr>
                <w:rFonts w:ascii="Arial" w:hAnsi="Arial" w:cs="Arial"/>
                <w:color w:val="000000"/>
              </w:rPr>
              <w:br w:type="page"/>
              <w:t xml:space="preserve">Injections (human analogue), cartridges, insulin glargine 100 units per mL with </w:t>
            </w:r>
            <w:proofErr w:type="spellStart"/>
            <w:r>
              <w:rPr>
                <w:rFonts w:ascii="Arial" w:hAnsi="Arial" w:cs="Arial"/>
                <w:color w:val="000000"/>
              </w:rPr>
              <w:t>lixisenatide</w:t>
            </w:r>
            <w:proofErr w:type="spellEnd"/>
            <w:r>
              <w:rPr>
                <w:rFonts w:ascii="Arial" w:hAnsi="Arial" w:cs="Arial"/>
                <w:color w:val="000000"/>
              </w:rPr>
              <w:t xml:space="preserve"> 33 microgram per mL, 3 mL, 5</w:t>
            </w:r>
            <w:r>
              <w:rPr>
                <w:rFonts w:ascii="Arial" w:hAnsi="Arial" w:cs="Arial"/>
                <w:color w:val="000000"/>
              </w:rPr>
              <w:br w:type="page"/>
            </w:r>
            <w:r>
              <w:rPr>
                <w:rFonts w:ascii="Arial" w:hAnsi="Arial" w:cs="Arial"/>
                <w:color w:val="000000"/>
              </w:rPr>
              <w:br w:type="page"/>
            </w:r>
          </w:p>
          <w:p w:rsidR="00F97C5D" w:rsidRDefault="00F97C5D" w:rsidP="005524B8">
            <w:pPr>
              <w:rPr>
                <w:rFonts w:ascii="Arial" w:hAnsi="Arial" w:cs="Arial"/>
                <w:color w:val="000000"/>
              </w:rPr>
            </w:pPr>
          </w:p>
          <w:p w:rsidR="00F97C5D" w:rsidRDefault="00F97C5D" w:rsidP="005524B8">
            <w:pPr>
              <w:rPr>
                <w:rFonts w:ascii="Arial" w:hAnsi="Arial" w:cs="Arial"/>
                <w:color w:val="000000"/>
              </w:rPr>
            </w:pPr>
            <w:proofErr w:type="spellStart"/>
            <w:r>
              <w:rPr>
                <w:rFonts w:ascii="Arial" w:hAnsi="Arial" w:cs="Arial"/>
                <w:color w:val="000000"/>
              </w:rPr>
              <w:t>Soliqua</w:t>
            </w:r>
            <w:proofErr w:type="spellEnd"/>
            <w:r>
              <w:rPr>
                <w:rFonts w:ascii="Arial" w:hAnsi="Arial" w:cs="Arial"/>
                <w:color w:val="000000"/>
              </w:rPr>
              <w:t>®</w:t>
            </w:r>
            <w:r>
              <w:rPr>
                <w:rFonts w:ascii="Arial" w:hAnsi="Arial" w:cs="Arial"/>
                <w:color w:val="000000"/>
              </w:rPr>
              <w:br w:type="page"/>
            </w:r>
            <w:r>
              <w:rPr>
                <w:rFonts w:ascii="Arial" w:hAnsi="Arial" w:cs="Arial"/>
                <w:color w:val="000000"/>
              </w:rPr>
              <w:br w:type="page"/>
            </w:r>
          </w:p>
          <w:p w:rsidR="00F97C5D" w:rsidRDefault="00F97C5D" w:rsidP="005524B8">
            <w:pPr>
              <w:rPr>
                <w:rFonts w:ascii="Arial" w:hAnsi="Arial" w:cs="Arial"/>
                <w:color w:val="000000"/>
              </w:rPr>
            </w:pPr>
          </w:p>
          <w:p w:rsidR="00F97C5D" w:rsidRDefault="00F97C5D" w:rsidP="005524B8">
            <w:pPr>
              <w:rPr>
                <w:rFonts w:ascii="Arial" w:hAnsi="Arial" w:cs="Arial"/>
                <w:color w:val="000000"/>
              </w:rPr>
            </w:pPr>
            <w:proofErr w:type="spellStart"/>
            <w:r>
              <w:rPr>
                <w:rFonts w:ascii="Arial" w:hAnsi="Arial" w:cs="Arial"/>
                <w:color w:val="000000"/>
              </w:rPr>
              <w:t>Sanofi-aventis</w:t>
            </w:r>
            <w:proofErr w:type="spellEnd"/>
            <w:r>
              <w:rPr>
                <w:rFonts w:ascii="Arial" w:hAnsi="Arial" w:cs="Arial"/>
                <w:color w:val="000000"/>
              </w:rPr>
              <w:t xml:space="preserve"> Australia Pty Ltd</w:t>
            </w:r>
          </w:p>
          <w:p w:rsidR="00F97C5D" w:rsidRDefault="00F97C5D" w:rsidP="005524B8">
            <w:pPr>
              <w:rPr>
                <w:rFonts w:ascii="Arial" w:hAnsi="Arial" w:cs="Arial"/>
                <w:color w:val="000000"/>
              </w:rPr>
            </w:pPr>
          </w:p>
          <w:p w:rsidR="00ED788B" w:rsidRDefault="00F97C5D" w:rsidP="00752B4C">
            <w:pPr>
              <w:rPr>
                <w:rFonts w:ascii="Arial" w:hAnsi="Arial" w:cs="Arial"/>
                <w:color w:val="000000"/>
              </w:rPr>
            </w:pPr>
            <w:r>
              <w:rPr>
                <w:rFonts w:ascii="Arial" w:hAnsi="Arial" w:cs="Arial"/>
                <w:color w:val="000000"/>
              </w:rPr>
              <w:t>New listing</w:t>
            </w:r>
            <w:r>
              <w:rPr>
                <w:rFonts w:ascii="Arial" w:hAnsi="Arial" w:cs="Arial"/>
                <w:color w:val="000000"/>
              </w:rPr>
              <w:br w:type="page"/>
            </w:r>
            <w:r>
              <w:rPr>
                <w:rFonts w:ascii="Arial" w:hAnsi="Arial" w:cs="Arial"/>
                <w:color w:val="000000"/>
              </w:rPr>
              <w:br w:type="page"/>
            </w:r>
            <w:r w:rsidR="00CF0553">
              <w:rPr>
                <w:rFonts w:ascii="Arial" w:hAnsi="Arial" w:cs="Arial"/>
                <w:color w:val="000000"/>
              </w:rPr>
              <w:t xml:space="preserve"> </w:t>
            </w:r>
          </w:p>
          <w:p w:rsidR="00F97C5D" w:rsidRDefault="00F97C5D" w:rsidP="00752B4C">
            <w:pPr>
              <w:rPr>
                <w:rFonts w:ascii="Arial" w:hAnsi="Arial" w:cs="Arial"/>
                <w:color w:val="000000"/>
              </w:rPr>
            </w:pPr>
            <w:r>
              <w:rPr>
                <w:rFonts w:ascii="Arial" w:hAnsi="Arial" w:cs="Arial"/>
                <w:color w:val="000000"/>
              </w:rPr>
              <w:t>(Major Submission)</w:t>
            </w:r>
          </w:p>
        </w:tc>
        <w:tc>
          <w:tcPr>
            <w:tcW w:w="2409" w:type="dxa"/>
            <w:vMerge w:val="restart"/>
          </w:tcPr>
          <w:p w:rsidR="00F97C5D" w:rsidRDefault="00F97C5D" w:rsidP="005524B8">
            <w:pPr>
              <w:rPr>
                <w:rFonts w:ascii="Arial" w:hAnsi="Arial" w:cs="Arial"/>
                <w:color w:val="000000"/>
              </w:rPr>
            </w:pPr>
            <w:r>
              <w:rPr>
                <w:rFonts w:ascii="Arial" w:hAnsi="Arial" w:cs="Arial"/>
                <w:color w:val="000000"/>
              </w:rPr>
              <w:t>Type 2 diabetes mellitus (T2DM)</w:t>
            </w:r>
          </w:p>
        </w:tc>
        <w:tc>
          <w:tcPr>
            <w:tcW w:w="3261" w:type="dxa"/>
            <w:tcMar>
              <w:top w:w="28" w:type="dxa"/>
              <w:bottom w:w="28" w:type="dxa"/>
            </w:tcMar>
          </w:tcPr>
          <w:p w:rsidR="00F97C5D" w:rsidRDefault="00F97C5D" w:rsidP="005524B8">
            <w:pPr>
              <w:rPr>
                <w:rFonts w:ascii="Arial" w:hAnsi="Arial" w:cs="Arial"/>
                <w:color w:val="000000"/>
              </w:rPr>
            </w:pPr>
            <w:r>
              <w:rPr>
                <w:rFonts w:ascii="Arial" w:hAnsi="Arial" w:cs="Arial"/>
                <w:color w:val="000000"/>
              </w:rPr>
              <w:t>To request an Authority Required (STREAMLINED) listing for the treatment of patients with T2DM who have inadequate glycaemic control with basal insulin.</w:t>
            </w:r>
          </w:p>
        </w:tc>
        <w:tc>
          <w:tcPr>
            <w:tcW w:w="6947" w:type="dxa"/>
          </w:tcPr>
          <w:p w:rsidR="00F97C5D" w:rsidRPr="004F0BCC" w:rsidRDefault="00F97C5D" w:rsidP="0031270A">
            <w:pPr>
              <w:jc w:val="both"/>
              <w:rPr>
                <w:rFonts w:ascii="Arial" w:hAnsi="Arial" w:cs="Arial"/>
              </w:rPr>
            </w:pPr>
            <w:r>
              <w:rPr>
                <w:rFonts w:ascii="Arial" w:hAnsi="Arial" w:cs="Arial"/>
              </w:rPr>
              <w:t xml:space="preserve">The PBAC did not recommend insulin glargine with </w:t>
            </w:r>
            <w:proofErr w:type="spellStart"/>
            <w:r>
              <w:rPr>
                <w:rFonts w:ascii="Arial" w:hAnsi="Arial" w:cs="Arial"/>
              </w:rPr>
              <w:t>lixisenatide</w:t>
            </w:r>
            <w:proofErr w:type="spellEnd"/>
            <w:r>
              <w:rPr>
                <w:rFonts w:ascii="Arial" w:hAnsi="Arial" w:cs="Arial"/>
              </w:rPr>
              <w:t xml:space="preserve"> fixed ratio combination (FRC) for the treatment of patients with Type 2 diabetes mellitus (T2DM) who have inadequate glycaemic control with basal insulin, on the basis that the equi-effective doses proposed in the submission were not accepted and hence there was no basis for determining the cost-effective price for insulin glargine with </w:t>
            </w:r>
            <w:proofErr w:type="spellStart"/>
            <w:r>
              <w:rPr>
                <w:rFonts w:ascii="Arial" w:hAnsi="Arial" w:cs="Arial"/>
              </w:rPr>
              <w:t>lixisenatide</w:t>
            </w:r>
            <w:proofErr w:type="spellEnd"/>
            <w:r>
              <w:rPr>
                <w:rFonts w:ascii="Arial" w:hAnsi="Arial" w:cs="Arial"/>
              </w:rPr>
              <w:t xml:space="preserve"> FRC.</w:t>
            </w:r>
            <w:r>
              <w:rPr>
                <w:rFonts w:ascii="Arial" w:hAnsi="Arial" w:cs="Arial"/>
              </w:rPr>
              <w:br/>
              <w:t>The submission presented an indirect comparison of two clinical trials (LIXILAN-L and GWCO). The PBAC noted differences across the trials with respect to when they were conducted, design (including that the LIXILAN-L trial had a run-in phase whereas the GWCO trial did not) and patient characteristics (including gender, ethnicity and insulin dose).</w:t>
            </w:r>
            <w:r>
              <w:rPr>
                <w:rFonts w:ascii="Arial" w:hAnsi="Arial" w:cs="Arial"/>
              </w:rPr>
              <w:br/>
              <w:t xml:space="preserve">The PBAC considered the claim of non-inferior comparative effectiveness to be uncertain, but may be reasonable given the key parameters which varied across the trials appear to not be treatment effect modifiers and non-inferiority was demonstrated with a 0.4% margin using the MAIC analysis. The PBAC did not accept the claimed insulin sparing effect. The PBAC considered that the claim of non-inferior comparative safety was reasonable.  </w:t>
            </w:r>
          </w:p>
        </w:tc>
      </w:tr>
      <w:tr w:rsidR="00F97C5D" w:rsidRPr="00395B97" w:rsidTr="00112B9E">
        <w:trPr>
          <w:trHeight w:val="345"/>
        </w:trPr>
        <w:tc>
          <w:tcPr>
            <w:tcW w:w="2694" w:type="dxa"/>
            <w:vMerge/>
            <w:tcMar>
              <w:top w:w="28" w:type="dxa"/>
              <w:bottom w:w="28" w:type="dxa"/>
            </w:tcMar>
          </w:tcPr>
          <w:p w:rsidR="00F97C5D" w:rsidRPr="001C1D66" w:rsidRDefault="00F97C5D" w:rsidP="00FC06CC">
            <w:pPr>
              <w:rPr>
                <w:rFonts w:ascii="Arial" w:hAnsi="Arial" w:cs="Arial"/>
                <w:color w:val="000000"/>
              </w:rPr>
            </w:pPr>
          </w:p>
        </w:tc>
        <w:tc>
          <w:tcPr>
            <w:tcW w:w="2409" w:type="dxa"/>
            <w:vMerge/>
          </w:tcPr>
          <w:p w:rsidR="00F97C5D" w:rsidRPr="001C1D66" w:rsidRDefault="00F97C5D" w:rsidP="002A6AB9">
            <w:pPr>
              <w:rPr>
                <w:rFonts w:ascii="Arial" w:hAnsi="Arial" w:cs="Arial"/>
                <w:color w:val="000000"/>
              </w:rPr>
            </w:pPr>
          </w:p>
        </w:tc>
        <w:tc>
          <w:tcPr>
            <w:tcW w:w="3261" w:type="dxa"/>
            <w:tcMar>
              <w:top w:w="28" w:type="dxa"/>
              <w:bottom w:w="28" w:type="dxa"/>
            </w:tcMar>
          </w:tcPr>
          <w:p w:rsidR="00F97C5D" w:rsidRDefault="00F97C5D" w:rsidP="00DE38E8">
            <w:pPr>
              <w:rPr>
                <w:rFonts w:ascii="Arial" w:hAnsi="Arial" w:cs="Arial"/>
              </w:rPr>
            </w:pPr>
            <w:r w:rsidRPr="00395B97">
              <w:rPr>
                <w:rFonts w:ascii="Arial" w:hAnsi="Arial" w:cs="Arial"/>
                <w:snapToGrid w:val="0"/>
                <w:lang w:eastAsia="en-US"/>
              </w:rPr>
              <w:t>Sponsor Comment:</w:t>
            </w:r>
          </w:p>
        </w:tc>
        <w:tc>
          <w:tcPr>
            <w:tcW w:w="6947" w:type="dxa"/>
          </w:tcPr>
          <w:p w:rsidR="00F97C5D" w:rsidRPr="001B1942" w:rsidRDefault="001B1942" w:rsidP="001B1942">
            <w:pPr>
              <w:rPr>
                <w:rFonts w:ascii="Arial" w:hAnsi="Arial" w:cs="Arial"/>
                <w:iCs/>
              </w:rPr>
            </w:pPr>
            <w:r w:rsidRPr="001B1942">
              <w:rPr>
                <w:rFonts w:ascii="Arial" w:hAnsi="Arial" w:cs="Arial"/>
                <w:iCs/>
              </w:rPr>
              <w:t xml:space="preserve">Sanofi will explore ways to address the issues raised by the PBAC in the hope of making </w:t>
            </w:r>
            <w:proofErr w:type="spellStart"/>
            <w:r w:rsidRPr="001B1942">
              <w:rPr>
                <w:rFonts w:ascii="Arial" w:hAnsi="Arial" w:cs="Arial"/>
                <w:iCs/>
              </w:rPr>
              <w:t>Soliqua</w:t>
            </w:r>
            <w:proofErr w:type="spellEnd"/>
            <w:r w:rsidRPr="001B1942">
              <w:rPr>
                <w:rFonts w:ascii="Arial" w:hAnsi="Arial" w:cs="Arial"/>
                <w:iCs/>
              </w:rPr>
              <w:t xml:space="preserve"> available for Australians with type II diabetes mellitus who would benefit from this product.</w:t>
            </w:r>
          </w:p>
        </w:tc>
      </w:tr>
      <w:tr w:rsidR="00F97C5D" w:rsidRPr="00395B97" w:rsidTr="00CF0553">
        <w:trPr>
          <w:trHeight w:val="545"/>
        </w:trPr>
        <w:tc>
          <w:tcPr>
            <w:tcW w:w="2694" w:type="dxa"/>
            <w:vMerge w:val="restart"/>
            <w:tcMar>
              <w:top w:w="28" w:type="dxa"/>
              <w:bottom w:w="28" w:type="dxa"/>
            </w:tcMar>
          </w:tcPr>
          <w:p w:rsidR="00F97C5D" w:rsidRDefault="00F97C5D" w:rsidP="00476F5F">
            <w:pPr>
              <w:pageBreakBefore/>
              <w:widowControl w:val="0"/>
              <w:rPr>
                <w:rFonts w:ascii="Arial" w:hAnsi="Arial" w:cs="Arial"/>
                <w:color w:val="000000"/>
              </w:rPr>
            </w:pPr>
            <w:r>
              <w:rPr>
                <w:rFonts w:ascii="Arial" w:hAnsi="Arial" w:cs="Arial"/>
                <w:color w:val="000000"/>
              </w:rPr>
              <w:lastRenderedPageBreak/>
              <w:t>LENALIDOMIDE</w:t>
            </w:r>
            <w:r>
              <w:rPr>
                <w:rFonts w:ascii="Arial" w:hAnsi="Arial" w:cs="Arial"/>
                <w:color w:val="000000"/>
              </w:rPr>
              <w:br w:type="page"/>
            </w:r>
            <w:r>
              <w:rPr>
                <w:rFonts w:ascii="Arial" w:hAnsi="Arial" w:cs="Arial"/>
                <w:color w:val="000000"/>
              </w:rPr>
              <w:br w:type="page"/>
            </w:r>
          </w:p>
          <w:p w:rsidR="00F97C5D" w:rsidRDefault="00F97C5D" w:rsidP="00476F5F">
            <w:pPr>
              <w:pageBreakBefore/>
              <w:widowControl w:val="0"/>
              <w:rPr>
                <w:rFonts w:ascii="Arial" w:hAnsi="Arial" w:cs="Arial"/>
                <w:color w:val="000000"/>
              </w:rPr>
            </w:pPr>
          </w:p>
          <w:p w:rsidR="00F97C5D" w:rsidRDefault="00F97C5D" w:rsidP="00476F5F">
            <w:pPr>
              <w:pageBreakBefore/>
              <w:widowControl w:val="0"/>
              <w:rPr>
                <w:rFonts w:ascii="Arial" w:hAnsi="Arial" w:cs="Arial"/>
                <w:color w:val="000000"/>
              </w:rPr>
            </w:pPr>
            <w:r>
              <w:rPr>
                <w:rFonts w:ascii="Arial" w:hAnsi="Arial" w:cs="Arial"/>
                <w:color w:val="000000"/>
              </w:rPr>
              <w:t>Capsule 5 mg</w:t>
            </w:r>
          </w:p>
          <w:p w:rsidR="00F97C5D" w:rsidRDefault="00F97C5D" w:rsidP="00476F5F">
            <w:pPr>
              <w:pageBreakBefore/>
              <w:widowControl w:val="0"/>
              <w:rPr>
                <w:rFonts w:ascii="Arial" w:hAnsi="Arial" w:cs="Arial"/>
                <w:color w:val="000000"/>
              </w:rPr>
            </w:pPr>
            <w:r>
              <w:rPr>
                <w:rFonts w:ascii="Arial" w:hAnsi="Arial" w:cs="Arial"/>
                <w:color w:val="000000"/>
              </w:rPr>
              <w:br w:type="page"/>
              <w:t>Capsule 10 mg</w:t>
            </w:r>
          </w:p>
          <w:p w:rsidR="00F97C5D" w:rsidRDefault="00F97C5D" w:rsidP="00476F5F">
            <w:pPr>
              <w:pageBreakBefore/>
              <w:widowControl w:val="0"/>
              <w:rPr>
                <w:rFonts w:ascii="Arial" w:hAnsi="Arial" w:cs="Arial"/>
                <w:color w:val="000000"/>
              </w:rPr>
            </w:pPr>
            <w:r>
              <w:rPr>
                <w:rFonts w:ascii="Arial" w:hAnsi="Arial" w:cs="Arial"/>
                <w:color w:val="000000"/>
              </w:rPr>
              <w:br w:type="page"/>
              <w:t>Capsule 15 mg</w:t>
            </w:r>
          </w:p>
          <w:p w:rsidR="00F97C5D" w:rsidRDefault="00F97C5D" w:rsidP="00476F5F">
            <w:pPr>
              <w:pageBreakBefore/>
              <w:widowControl w:val="0"/>
              <w:rPr>
                <w:rFonts w:ascii="Arial" w:hAnsi="Arial" w:cs="Arial"/>
                <w:color w:val="000000"/>
              </w:rPr>
            </w:pPr>
          </w:p>
          <w:p w:rsidR="00F97C5D" w:rsidRDefault="00F97C5D" w:rsidP="00476F5F">
            <w:pPr>
              <w:pageBreakBefore/>
              <w:widowControl w:val="0"/>
              <w:rPr>
                <w:rFonts w:ascii="Arial" w:hAnsi="Arial" w:cs="Arial"/>
                <w:color w:val="000000"/>
              </w:rPr>
            </w:pPr>
            <w:r>
              <w:rPr>
                <w:rFonts w:ascii="Arial" w:hAnsi="Arial" w:cs="Arial"/>
                <w:color w:val="000000"/>
              </w:rPr>
              <w:br w:type="page"/>
            </w:r>
            <w:r>
              <w:rPr>
                <w:rFonts w:ascii="Arial" w:hAnsi="Arial" w:cs="Arial"/>
                <w:color w:val="000000"/>
              </w:rPr>
              <w:br w:type="page"/>
            </w:r>
            <w:proofErr w:type="spellStart"/>
            <w:r>
              <w:rPr>
                <w:rFonts w:ascii="Arial" w:hAnsi="Arial" w:cs="Arial"/>
                <w:color w:val="000000"/>
              </w:rPr>
              <w:t>Revlimid</w:t>
            </w:r>
            <w:proofErr w:type="spellEnd"/>
            <w:r>
              <w:rPr>
                <w:rFonts w:ascii="Arial" w:hAnsi="Arial" w:cs="Arial"/>
                <w:color w:val="000000"/>
              </w:rPr>
              <w:t xml:space="preserve">® </w:t>
            </w:r>
            <w:r>
              <w:rPr>
                <w:rFonts w:ascii="Arial" w:hAnsi="Arial" w:cs="Arial"/>
                <w:color w:val="000000"/>
              </w:rPr>
              <w:br w:type="page"/>
            </w:r>
            <w:r>
              <w:rPr>
                <w:rFonts w:ascii="Arial" w:hAnsi="Arial" w:cs="Arial"/>
                <w:color w:val="000000"/>
              </w:rPr>
              <w:br w:type="page"/>
            </w:r>
          </w:p>
          <w:p w:rsidR="00F97C5D" w:rsidRDefault="00F97C5D" w:rsidP="00476F5F">
            <w:pPr>
              <w:pageBreakBefore/>
              <w:widowControl w:val="0"/>
              <w:rPr>
                <w:rFonts w:ascii="Arial" w:hAnsi="Arial" w:cs="Arial"/>
                <w:color w:val="000000"/>
              </w:rPr>
            </w:pPr>
          </w:p>
          <w:p w:rsidR="00F97C5D" w:rsidRDefault="00F97C5D" w:rsidP="00476F5F">
            <w:pPr>
              <w:pageBreakBefore/>
              <w:widowControl w:val="0"/>
              <w:rPr>
                <w:rFonts w:ascii="Arial" w:hAnsi="Arial" w:cs="Arial"/>
                <w:color w:val="000000"/>
              </w:rPr>
            </w:pPr>
            <w:r>
              <w:rPr>
                <w:rFonts w:ascii="Arial" w:hAnsi="Arial" w:cs="Arial"/>
                <w:color w:val="000000"/>
              </w:rPr>
              <w:t>Celgene Pty Ltd</w:t>
            </w:r>
          </w:p>
          <w:p w:rsidR="00F97C5D" w:rsidRDefault="00F97C5D" w:rsidP="00476F5F">
            <w:pPr>
              <w:pageBreakBefore/>
              <w:widowControl w:val="0"/>
              <w:rPr>
                <w:rFonts w:ascii="Arial" w:hAnsi="Arial" w:cs="Arial"/>
                <w:color w:val="000000"/>
              </w:rPr>
            </w:pPr>
          </w:p>
          <w:p w:rsidR="00F97C5D" w:rsidRDefault="00F97C5D" w:rsidP="00476F5F">
            <w:pPr>
              <w:pageBreakBefore/>
              <w:widowControl w:val="0"/>
              <w:rPr>
                <w:rFonts w:ascii="Arial" w:hAnsi="Arial" w:cs="Arial"/>
                <w:color w:val="000000"/>
              </w:rPr>
            </w:pPr>
            <w:r>
              <w:rPr>
                <w:rFonts w:ascii="Arial" w:hAnsi="Arial" w:cs="Arial"/>
                <w:color w:val="000000"/>
              </w:rPr>
              <w:t xml:space="preserve">Change to listing </w:t>
            </w:r>
            <w:r>
              <w:rPr>
                <w:rFonts w:ascii="Arial" w:hAnsi="Arial" w:cs="Arial"/>
                <w:color w:val="000000"/>
              </w:rPr>
              <w:br w:type="page"/>
            </w:r>
            <w:r>
              <w:rPr>
                <w:rFonts w:ascii="Arial" w:hAnsi="Arial" w:cs="Arial"/>
                <w:color w:val="000000"/>
              </w:rPr>
              <w:br w:type="page"/>
            </w:r>
          </w:p>
          <w:p w:rsidR="00F97C5D" w:rsidRDefault="00F97C5D" w:rsidP="00476F5F">
            <w:pPr>
              <w:pageBreakBefore/>
              <w:widowControl w:val="0"/>
              <w:rPr>
                <w:rFonts w:ascii="Arial" w:hAnsi="Arial" w:cs="Arial"/>
                <w:color w:val="000000"/>
              </w:rPr>
            </w:pPr>
            <w:r>
              <w:rPr>
                <w:rFonts w:ascii="Arial" w:hAnsi="Arial" w:cs="Arial"/>
                <w:color w:val="000000"/>
              </w:rPr>
              <w:t>(Major Submission)</w:t>
            </w:r>
          </w:p>
        </w:tc>
        <w:tc>
          <w:tcPr>
            <w:tcW w:w="2409" w:type="dxa"/>
            <w:vMerge w:val="restart"/>
          </w:tcPr>
          <w:p w:rsidR="00F97C5D" w:rsidRDefault="00F97C5D" w:rsidP="00476F5F">
            <w:pPr>
              <w:pageBreakBefore/>
              <w:widowControl w:val="0"/>
              <w:rPr>
                <w:rFonts w:ascii="Arial" w:hAnsi="Arial" w:cs="Arial"/>
                <w:color w:val="000000"/>
              </w:rPr>
            </w:pPr>
            <w:r>
              <w:rPr>
                <w:rFonts w:ascii="Arial" w:hAnsi="Arial" w:cs="Arial"/>
                <w:color w:val="000000"/>
              </w:rPr>
              <w:t>Multiple myeloma</w:t>
            </w:r>
          </w:p>
        </w:tc>
        <w:tc>
          <w:tcPr>
            <w:tcW w:w="3261" w:type="dxa"/>
            <w:tcMar>
              <w:top w:w="28" w:type="dxa"/>
              <w:bottom w:w="28" w:type="dxa"/>
            </w:tcMar>
          </w:tcPr>
          <w:p w:rsidR="00F97C5D" w:rsidRDefault="00F97C5D" w:rsidP="00476F5F">
            <w:pPr>
              <w:pageBreakBefore/>
              <w:widowControl w:val="0"/>
              <w:rPr>
                <w:rFonts w:ascii="Arial" w:hAnsi="Arial" w:cs="Arial"/>
                <w:color w:val="000000"/>
              </w:rPr>
            </w:pPr>
            <w:r>
              <w:rPr>
                <w:rFonts w:ascii="Arial" w:hAnsi="Arial" w:cs="Arial"/>
                <w:color w:val="000000"/>
              </w:rPr>
              <w:t xml:space="preserve">To request extension to the Section 100 (Highly Specialised Drug Program) Authority Required listing to include maintenance treatment of patients with newly diagnosed multiple myeloma who have undergone an autologous stem cell transplant. </w:t>
            </w:r>
          </w:p>
        </w:tc>
        <w:tc>
          <w:tcPr>
            <w:tcW w:w="6947" w:type="dxa"/>
          </w:tcPr>
          <w:p w:rsidR="00F97C5D" w:rsidRPr="00DB5EDB" w:rsidRDefault="00F97C5D" w:rsidP="00476F5F">
            <w:pPr>
              <w:pageBreakBefore/>
              <w:widowControl w:val="0"/>
              <w:spacing w:after="120"/>
              <w:rPr>
                <w:rFonts w:ascii="Arial" w:hAnsi="Arial" w:cs="Arial"/>
                <w:bCs/>
                <w:lang w:val="en-GB"/>
              </w:rPr>
            </w:pPr>
            <w:r w:rsidRPr="00DB5EDB">
              <w:rPr>
                <w:rFonts w:ascii="Arial" w:hAnsi="Arial" w:cs="Arial"/>
              </w:rPr>
              <w:t xml:space="preserve">The PBAC decided not to recommend the listing of </w:t>
            </w:r>
            <w:proofErr w:type="spellStart"/>
            <w:r w:rsidRPr="00DB5EDB">
              <w:rPr>
                <w:rFonts w:ascii="Arial" w:hAnsi="Arial" w:cs="Arial"/>
              </w:rPr>
              <w:t>lenalidomide</w:t>
            </w:r>
            <w:proofErr w:type="spellEnd"/>
            <w:r w:rsidRPr="00DB5EDB">
              <w:rPr>
                <w:rFonts w:ascii="Arial" w:hAnsi="Arial" w:cs="Arial"/>
              </w:rPr>
              <w:t xml:space="preserve"> for maintenance treatment of multiple myeloma following Autologous Stem Cell Transplant. </w:t>
            </w:r>
            <w:r w:rsidRPr="00DB5EDB">
              <w:rPr>
                <w:rFonts w:ascii="Arial" w:hAnsi="Arial" w:cs="Arial"/>
                <w:bCs/>
                <w:lang w:val="en-GB"/>
              </w:rPr>
              <w:t xml:space="preserve">The PBAC acknowledged the consumer comments received indicated a preference for </w:t>
            </w:r>
            <w:proofErr w:type="spellStart"/>
            <w:r w:rsidRPr="00DB5EDB">
              <w:rPr>
                <w:rFonts w:ascii="Arial" w:hAnsi="Arial" w:cs="Arial"/>
                <w:bCs/>
                <w:lang w:val="en-GB"/>
              </w:rPr>
              <w:t>lenalidomide</w:t>
            </w:r>
            <w:proofErr w:type="spellEnd"/>
            <w:r w:rsidRPr="00DB5EDB">
              <w:rPr>
                <w:rFonts w:ascii="Arial" w:hAnsi="Arial" w:cs="Arial"/>
                <w:bCs/>
                <w:lang w:val="en-GB"/>
              </w:rPr>
              <w:t xml:space="preserve"> treatment over thalidomide in the maintenance setting, particularly because of its lower rates of peripheral neuropathy. The PBAC accepted that there was evidence of improvements in progression free and overall survival compared to best-supportive care, but considered that the benefit of </w:t>
            </w:r>
            <w:proofErr w:type="spellStart"/>
            <w:r w:rsidRPr="00DB5EDB">
              <w:rPr>
                <w:rFonts w:ascii="Arial" w:hAnsi="Arial" w:cs="Arial"/>
                <w:bCs/>
                <w:lang w:val="en-GB"/>
              </w:rPr>
              <w:t>lenalidomide</w:t>
            </w:r>
            <w:proofErr w:type="spellEnd"/>
            <w:r w:rsidRPr="00DB5EDB">
              <w:rPr>
                <w:rFonts w:ascii="Arial" w:hAnsi="Arial" w:cs="Arial"/>
                <w:bCs/>
                <w:lang w:val="en-GB"/>
              </w:rPr>
              <w:t xml:space="preserve"> over thalidomide was not well established. For the comparison versus best-supportive care, the PBAC considered that the incremental cost-effectiveness was highly uncertain, due to concerns identified with the economic model. For the comparison versus thalidomide, the PBAC considered a cost</w:t>
            </w:r>
            <w:r w:rsidRPr="00DB5EDB">
              <w:rPr>
                <w:rFonts w:ascii="Arial" w:hAnsi="Arial" w:cs="Arial"/>
                <w:bCs/>
                <w:lang w:val="en-GB"/>
              </w:rPr>
              <w:noBreakHyphen/>
              <w:t>minimisation approach would be more appropriate than the cost</w:t>
            </w:r>
            <w:r w:rsidRPr="00DB5EDB">
              <w:rPr>
                <w:rFonts w:ascii="Arial" w:hAnsi="Arial" w:cs="Arial"/>
                <w:bCs/>
                <w:lang w:val="en-GB"/>
              </w:rPr>
              <w:noBreakHyphen/>
              <w:t xml:space="preserve">effectiveness model presented in the submission given the claim of superior efficacy for </w:t>
            </w:r>
            <w:proofErr w:type="spellStart"/>
            <w:r w:rsidRPr="00DB5EDB">
              <w:rPr>
                <w:rFonts w:ascii="Arial" w:hAnsi="Arial" w:cs="Arial"/>
                <w:bCs/>
                <w:lang w:val="en-GB"/>
              </w:rPr>
              <w:t>lenalidomide</w:t>
            </w:r>
            <w:proofErr w:type="spellEnd"/>
            <w:r w:rsidRPr="00DB5EDB">
              <w:rPr>
                <w:rFonts w:ascii="Arial" w:hAnsi="Arial" w:cs="Arial"/>
                <w:bCs/>
                <w:lang w:val="en-GB"/>
              </w:rPr>
              <w:t xml:space="preserve"> compared to thalidomide was inadequately supported by the evidence presented.</w:t>
            </w:r>
          </w:p>
        </w:tc>
      </w:tr>
      <w:tr w:rsidR="00F97C5D" w:rsidRPr="00395B97" w:rsidTr="00CF0553">
        <w:trPr>
          <w:trHeight w:val="328"/>
        </w:trPr>
        <w:tc>
          <w:tcPr>
            <w:tcW w:w="2694" w:type="dxa"/>
            <w:vMerge/>
            <w:tcMar>
              <w:top w:w="28" w:type="dxa"/>
              <w:bottom w:w="28" w:type="dxa"/>
            </w:tcMar>
          </w:tcPr>
          <w:p w:rsidR="00F97C5D" w:rsidRPr="001C1D66" w:rsidRDefault="00F97C5D" w:rsidP="00FC06CC">
            <w:pPr>
              <w:rPr>
                <w:rFonts w:ascii="Arial" w:hAnsi="Arial" w:cs="Arial"/>
                <w:color w:val="000000"/>
              </w:rPr>
            </w:pPr>
          </w:p>
        </w:tc>
        <w:tc>
          <w:tcPr>
            <w:tcW w:w="2409" w:type="dxa"/>
            <w:vMerge/>
          </w:tcPr>
          <w:p w:rsidR="00F97C5D" w:rsidRPr="001C1D66" w:rsidRDefault="00F97C5D" w:rsidP="002A6AB9">
            <w:pPr>
              <w:rPr>
                <w:rFonts w:ascii="Arial" w:hAnsi="Arial" w:cs="Arial"/>
                <w:color w:val="000000"/>
              </w:rPr>
            </w:pPr>
          </w:p>
        </w:tc>
        <w:tc>
          <w:tcPr>
            <w:tcW w:w="3261" w:type="dxa"/>
            <w:tcMar>
              <w:top w:w="28" w:type="dxa"/>
              <w:bottom w:w="28" w:type="dxa"/>
            </w:tcMar>
          </w:tcPr>
          <w:p w:rsidR="00F97C5D" w:rsidRDefault="00F97C5D" w:rsidP="00DE38E8">
            <w:pPr>
              <w:rPr>
                <w:rFonts w:ascii="Arial" w:hAnsi="Arial" w:cs="Arial"/>
                <w:color w:val="000000"/>
              </w:rPr>
            </w:pPr>
            <w:r w:rsidRPr="00395B97">
              <w:rPr>
                <w:rFonts w:ascii="Arial" w:hAnsi="Arial" w:cs="Arial"/>
                <w:snapToGrid w:val="0"/>
                <w:lang w:eastAsia="en-US"/>
              </w:rPr>
              <w:t>Sponsor Comment:</w:t>
            </w:r>
          </w:p>
        </w:tc>
        <w:tc>
          <w:tcPr>
            <w:tcW w:w="6947" w:type="dxa"/>
          </w:tcPr>
          <w:p w:rsidR="00F97C5D" w:rsidRPr="00494DE4" w:rsidRDefault="00CF0553" w:rsidP="0031270A">
            <w:pPr>
              <w:pStyle w:val="ListParagraph"/>
              <w:ind w:left="0"/>
              <w:jc w:val="both"/>
              <w:rPr>
                <w:rFonts w:ascii="Arial" w:hAnsi="Arial" w:cs="Arial"/>
                <w:iCs/>
                <w:sz w:val="20"/>
                <w:szCs w:val="20"/>
              </w:rPr>
            </w:pPr>
            <w:r w:rsidRPr="00F97C5D">
              <w:rPr>
                <w:rFonts w:ascii="Arial" w:hAnsi="Arial" w:cs="Arial"/>
                <w:sz w:val="20"/>
                <w:szCs w:val="20"/>
              </w:rPr>
              <w:t>The sponsor had no comment.</w:t>
            </w:r>
          </w:p>
        </w:tc>
      </w:tr>
      <w:tr w:rsidR="00F97C5D" w:rsidRPr="00395B97" w:rsidTr="00F13DD1">
        <w:trPr>
          <w:trHeight w:val="1438"/>
        </w:trPr>
        <w:tc>
          <w:tcPr>
            <w:tcW w:w="2694" w:type="dxa"/>
            <w:vMerge w:val="restart"/>
            <w:tcMar>
              <w:top w:w="28" w:type="dxa"/>
              <w:bottom w:w="28" w:type="dxa"/>
            </w:tcMar>
          </w:tcPr>
          <w:p w:rsidR="00F97C5D" w:rsidRDefault="00F97C5D" w:rsidP="005524B8">
            <w:pPr>
              <w:rPr>
                <w:rFonts w:ascii="Arial" w:hAnsi="Arial" w:cs="Arial"/>
                <w:color w:val="000000"/>
              </w:rPr>
            </w:pPr>
            <w:r w:rsidRPr="007F7D95">
              <w:rPr>
                <w:rFonts w:ascii="Arial" w:hAnsi="Arial" w:cs="Arial"/>
                <w:color w:val="000000"/>
              </w:rPr>
              <w:t>NANDROLONE DECANOATE</w:t>
            </w:r>
            <w:r w:rsidRPr="007F7D95">
              <w:rPr>
                <w:rFonts w:ascii="Arial" w:hAnsi="Arial" w:cs="Arial"/>
                <w:color w:val="000000"/>
              </w:rPr>
              <w:br/>
            </w:r>
            <w:r w:rsidRPr="007F7D95">
              <w:rPr>
                <w:rFonts w:ascii="Arial" w:hAnsi="Arial" w:cs="Arial"/>
                <w:color w:val="000000"/>
              </w:rPr>
              <w:br/>
              <w:t>Injection 50 mg in 1 mL ampoule</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Deca-Durabolin</w:t>
            </w:r>
            <w:proofErr w:type="spellEnd"/>
            <w:r w:rsidRPr="007F7D95">
              <w:rPr>
                <w:rFonts w:ascii="Arial" w:hAnsi="Arial" w:cs="Arial"/>
                <w:color w:val="000000"/>
              </w:rPr>
              <w:t>®</w:t>
            </w:r>
            <w:r w:rsidRPr="007F7D95">
              <w:rPr>
                <w:rFonts w:ascii="Arial" w:hAnsi="Arial" w:cs="Arial"/>
                <w:color w:val="000000"/>
              </w:rPr>
              <w:br/>
            </w:r>
            <w:r w:rsidRPr="007F7D95">
              <w:rPr>
                <w:rFonts w:ascii="Arial" w:hAnsi="Arial" w:cs="Arial"/>
                <w:color w:val="000000"/>
              </w:rPr>
              <w:br/>
              <w:t>Aspen Pharmacare Australia Pty Ltd</w:t>
            </w:r>
          </w:p>
          <w:p w:rsidR="00F97C5D" w:rsidRDefault="00F97C5D" w:rsidP="005524B8">
            <w:pPr>
              <w:rPr>
                <w:rFonts w:ascii="Arial" w:hAnsi="Arial" w:cs="Arial"/>
                <w:color w:val="000000"/>
              </w:rPr>
            </w:pPr>
          </w:p>
          <w:p w:rsidR="00F97C5D" w:rsidRDefault="00F97C5D" w:rsidP="00752B4C">
            <w:pPr>
              <w:rPr>
                <w:rFonts w:ascii="Arial" w:hAnsi="Arial" w:cs="Arial"/>
                <w:color w:val="000000"/>
              </w:rPr>
            </w:pPr>
            <w:r w:rsidRPr="007F7D95">
              <w:rPr>
                <w:rFonts w:ascii="Arial" w:hAnsi="Arial" w:cs="Arial"/>
                <w:color w:val="000000"/>
              </w:rPr>
              <w:t>New listing</w:t>
            </w:r>
          </w:p>
          <w:p w:rsidR="00F97C5D" w:rsidRPr="007F7D95" w:rsidRDefault="00F97C5D" w:rsidP="00752B4C">
            <w:pPr>
              <w:rPr>
                <w:rFonts w:ascii="Arial" w:hAnsi="Arial" w:cs="Arial"/>
                <w:color w:val="000000"/>
              </w:rPr>
            </w:pPr>
            <w:r w:rsidRPr="007F7D95">
              <w:rPr>
                <w:rFonts w:ascii="Arial" w:hAnsi="Arial" w:cs="Arial"/>
                <w:color w:val="000000"/>
              </w:rPr>
              <w:t>(Minor Submission)</w:t>
            </w:r>
          </w:p>
        </w:tc>
        <w:tc>
          <w:tcPr>
            <w:tcW w:w="2409" w:type="dxa"/>
            <w:vMerge w:val="restart"/>
          </w:tcPr>
          <w:p w:rsidR="00F97C5D" w:rsidRPr="007F7D95" w:rsidRDefault="00F97C5D" w:rsidP="005524B8">
            <w:pPr>
              <w:rPr>
                <w:rFonts w:ascii="Arial" w:hAnsi="Arial" w:cs="Arial"/>
                <w:color w:val="000000"/>
              </w:rPr>
            </w:pPr>
            <w:r w:rsidRPr="007F7D95">
              <w:rPr>
                <w:rFonts w:ascii="Arial" w:hAnsi="Arial" w:cs="Arial"/>
                <w:color w:val="000000"/>
              </w:rPr>
              <w:t>Osteoporosis</w:t>
            </w:r>
          </w:p>
        </w:tc>
        <w:tc>
          <w:tcPr>
            <w:tcW w:w="3261" w:type="dxa"/>
            <w:tcMar>
              <w:top w:w="28" w:type="dxa"/>
              <w:bottom w:w="28" w:type="dxa"/>
            </w:tcMar>
          </w:tcPr>
          <w:p w:rsidR="00F97C5D" w:rsidRPr="007F7D95" w:rsidRDefault="00F97C5D" w:rsidP="005524B8">
            <w:pPr>
              <w:rPr>
                <w:rFonts w:ascii="Arial" w:hAnsi="Arial" w:cs="Arial"/>
                <w:color w:val="000000"/>
              </w:rPr>
            </w:pPr>
            <w:r w:rsidRPr="007F7D95">
              <w:rPr>
                <w:rFonts w:ascii="Arial" w:hAnsi="Arial" w:cs="Arial"/>
                <w:color w:val="000000"/>
              </w:rPr>
              <w:t xml:space="preserve">To request an Authority Required listing of a new form of </w:t>
            </w:r>
            <w:proofErr w:type="spellStart"/>
            <w:r w:rsidRPr="007F7D95">
              <w:rPr>
                <w:rFonts w:ascii="Arial" w:hAnsi="Arial" w:cs="Arial"/>
                <w:color w:val="000000"/>
              </w:rPr>
              <w:t>nandrolone</w:t>
            </w:r>
            <w:proofErr w:type="spellEnd"/>
            <w:r w:rsidRPr="007F7D95">
              <w:rPr>
                <w:rFonts w:ascii="Arial" w:hAnsi="Arial" w:cs="Arial"/>
                <w:color w:val="000000"/>
              </w:rPr>
              <w:t xml:space="preserve"> </w:t>
            </w:r>
            <w:proofErr w:type="spellStart"/>
            <w:r w:rsidRPr="007F7D95">
              <w:rPr>
                <w:rFonts w:ascii="Arial" w:hAnsi="Arial" w:cs="Arial"/>
                <w:color w:val="000000"/>
              </w:rPr>
              <w:t>decanoate</w:t>
            </w:r>
            <w:proofErr w:type="spellEnd"/>
            <w:r w:rsidRPr="007F7D95">
              <w:rPr>
                <w:rFonts w:ascii="Arial" w:hAnsi="Arial" w:cs="Arial"/>
                <w:color w:val="000000"/>
              </w:rPr>
              <w:t xml:space="preserve"> for the treatment of osteoporosis.</w:t>
            </w:r>
          </w:p>
        </w:tc>
        <w:tc>
          <w:tcPr>
            <w:tcW w:w="6947" w:type="dxa"/>
          </w:tcPr>
          <w:p w:rsidR="00F97C5D" w:rsidRDefault="00F97C5D" w:rsidP="0031270A">
            <w:pPr>
              <w:jc w:val="both"/>
              <w:rPr>
                <w:rFonts w:ascii="Arial" w:hAnsi="Arial" w:cs="Arial"/>
                <w:bCs/>
                <w:szCs w:val="24"/>
                <w:highlight w:val="yellow"/>
              </w:rPr>
            </w:pPr>
            <w:r w:rsidRPr="00170DE3">
              <w:rPr>
                <w:rFonts w:ascii="Arial" w:hAnsi="Arial" w:cs="Arial"/>
                <w:color w:val="000000"/>
              </w:rPr>
              <w:t xml:space="preserve">The PBAC did not recommend the request of Authority Required listing of a new form of </w:t>
            </w:r>
            <w:proofErr w:type="spellStart"/>
            <w:r w:rsidRPr="00170DE3">
              <w:rPr>
                <w:rFonts w:ascii="Arial" w:hAnsi="Arial" w:cs="Arial"/>
                <w:color w:val="000000"/>
              </w:rPr>
              <w:t>nandrolone</w:t>
            </w:r>
            <w:proofErr w:type="spellEnd"/>
            <w:r w:rsidRPr="00170DE3">
              <w:rPr>
                <w:rFonts w:ascii="Arial" w:hAnsi="Arial" w:cs="Arial"/>
                <w:color w:val="000000"/>
              </w:rPr>
              <w:t xml:space="preserve"> </w:t>
            </w:r>
            <w:proofErr w:type="spellStart"/>
            <w:r w:rsidRPr="00170DE3">
              <w:rPr>
                <w:rFonts w:ascii="Arial" w:hAnsi="Arial" w:cs="Arial"/>
                <w:color w:val="000000"/>
              </w:rPr>
              <w:t>decanoate</w:t>
            </w:r>
            <w:proofErr w:type="spellEnd"/>
            <w:r w:rsidRPr="00170DE3">
              <w:rPr>
                <w:rFonts w:ascii="Arial" w:hAnsi="Arial" w:cs="Arial"/>
                <w:color w:val="000000"/>
              </w:rPr>
              <w:t xml:space="preserve"> on the basis that there was no clinical need for a new form of this drug on the PBS for the treatment of osteoporosis. In noting the lack of clinical need for </w:t>
            </w:r>
            <w:proofErr w:type="spellStart"/>
            <w:r w:rsidRPr="00170DE3">
              <w:rPr>
                <w:rFonts w:ascii="Arial" w:hAnsi="Arial" w:cs="Arial"/>
                <w:color w:val="000000"/>
              </w:rPr>
              <w:t>nandrolone</w:t>
            </w:r>
            <w:proofErr w:type="spellEnd"/>
            <w:r w:rsidRPr="00170DE3">
              <w:rPr>
                <w:rFonts w:ascii="Arial" w:hAnsi="Arial" w:cs="Arial"/>
                <w:color w:val="000000"/>
              </w:rPr>
              <w:t xml:space="preserve"> </w:t>
            </w:r>
            <w:proofErr w:type="spellStart"/>
            <w:r w:rsidRPr="00170DE3">
              <w:rPr>
                <w:rFonts w:ascii="Arial" w:hAnsi="Arial" w:cs="Arial"/>
                <w:color w:val="000000"/>
              </w:rPr>
              <w:t>decanoate</w:t>
            </w:r>
            <w:proofErr w:type="spellEnd"/>
            <w:r w:rsidRPr="00170DE3">
              <w:rPr>
                <w:rFonts w:ascii="Arial" w:hAnsi="Arial" w:cs="Arial"/>
                <w:color w:val="000000"/>
              </w:rPr>
              <w:t xml:space="preserve"> for the treatment of osteoporosis, the PBAC also agreed it had no objection to also delisting the existing PBS listed brand.</w:t>
            </w:r>
          </w:p>
          <w:p w:rsidR="00F97C5D" w:rsidRPr="00BF16B4" w:rsidRDefault="00F97C5D" w:rsidP="0031270A">
            <w:pPr>
              <w:jc w:val="both"/>
              <w:rPr>
                <w:rFonts w:ascii="Arial" w:hAnsi="Arial" w:cs="Arial"/>
                <w:bCs/>
                <w:szCs w:val="24"/>
                <w:highlight w:val="yellow"/>
              </w:rPr>
            </w:pPr>
          </w:p>
        </w:tc>
      </w:tr>
      <w:tr w:rsidR="00F97C5D" w:rsidRPr="00395B97" w:rsidTr="00576BD7">
        <w:trPr>
          <w:trHeight w:val="687"/>
        </w:trPr>
        <w:tc>
          <w:tcPr>
            <w:tcW w:w="2694" w:type="dxa"/>
            <w:vMerge/>
            <w:tcMar>
              <w:top w:w="28" w:type="dxa"/>
              <w:bottom w:w="28" w:type="dxa"/>
            </w:tcMar>
          </w:tcPr>
          <w:p w:rsidR="00F97C5D" w:rsidRPr="001C1D66" w:rsidRDefault="00F97C5D" w:rsidP="002A6AB9">
            <w:pPr>
              <w:rPr>
                <w:rFonts w:ascii="Arial" w:hAnsi="Arial" w:cs="Arial"/>
                <w:color w:val="000000"/>
              </w:rPr>
            </w:pPr>
          </w:p>
        </w:tc>
        <w:tc>
          <w:tcPr>
            <w:tcW w:w="2409" w:type="dxa"/>
            <w:vMerge/>
          </w:tcPr>
          <w:p w:rsidR="00F97C5D" w:rsidRPr="001C1D66" w:rsidRDefault="00F97C5D" w:rsidP="002A6AB9">
            <w:pPr>
              <w:rPr>
                <w:rFonts w:ascii="Arial" w:hAnsi="Arial" w:cs="Arial"/>
                <w:color w:val="000000"/>
              </w:rPr>
            </w:pPr>
          </w:p>
        </w:tc>
        <w:tc>
          <w:tcPr>
            <w:tcW w:w="3261" w:type="dxa"/>
            <w:tcMar>
              <w:top w:w="28" w:type="dxa"/>
              <w:bottom w:w="28" w:type="dxa"/>
            </w:tcMar>
          </w:tcPr>
          <w:p w:rsidR="00F97C5D" w:rsidRDefault="00F97C5D" w:rsidP="00DE38E8">
            <w:pPr>
              <w:rPr>
                <w:rFonts w:ascii="Arial" w:hAnsi="Arial" w:cs="Arial"/>
                <w:color w:val="000000"/>
              </w:rPr>
            </w:pPr>
            <w:r w:rsidRPr="00395B97">
              <w:rPr>
                <w:rFonts w:ascii="Arial" w:hAnsi="Arial" w:cs="Arial"/>
                <w:snapToGrid w:val="0"/>
                <w:lang w:eastAsia="en-US"/>
              </w:rPr>
              <w:t>Sponsor Comment:</w:t>
            </w:r>
          </w:p>
        </w:tc>
        <w:tc>
          <w:tcPr>
            <w:tcW w:w="6947" w:type="dxa"/>
            <w:shd w:val="clear" w:color="auto" w:fill="auto"/>
          </w:tcPr>
          <w:p w:rsidR="00F97C5D" w:rsidRPr="00576BD7" w:rsidRDefault="00F97C5D" w:rsidP="00576BD7">
            <w:pPr>
              <w:snapToGrid w:val="0"/>
              <w:spacing w:after="120"/>
              <w:contextualSpacing/>
              <w:jc w:val="both"/>
              <w:rPr>
                <w:rFonts w:ascii="Arial" w:hAnsi="Arial" w:cs="Arial"/>
              </w:rPr>
            </w:pPr>
            <w:r w:rsidRPr="00576BD7">
              <w:rPr>
                <w:rFonts w:ascii="Arial" w:hAnsi="Arial" w:cs="Arial"/>
                <w:color w:val="000000"/>
              </w:rPr>
              <w:t>T</w:t>
            </w:r>
            <w:r w:rsidRPr="00576BD7">
              <w:rPr>
                <w:rFonts w:ascii="Arial" w:hAnsi="Arial" w:cs="Arial"/>
              </w:rPr>
              <w:t xml:space="preserve">he use/indication of the product was subject </w:t>
            </w:r>
            <w:r w:rsidRPr="00576BD7">
              <w:rPr>
                <w:rFonts w:ascii="Arial" w:hAnsi="Arial" w:cs="Arial"/>
                <w:color w:val="000000"/>
              </w:rPr>
              <w:t xml:space="preserve">of </w:t>
            </w:r>
            <w:r w:rsidRPr="00576BD7">
              <w:rPr>
                <w:rFonts w:ascii="Arial" w:hAnsi="Arial" w:cs="Arial"/>
              </w:rPr>
              <w:t xml:space="preserve">evaluation during a PBAC meeting. No </w:t>
            </w:r>
            <w:r>
              <w:rPr>
                <w:rFonts w:ascii="Arial" w:hAnsi="Arial" w:cs="Arial"/>
              </w:rPr>
              <w:t>c</w:t>
            </w:r>
            <w:r w:rsidRPr="00576BD7">
              <w:rPr>
                <w:rFonts w:ascii="Arial" w:hAnsi="Arial" w:cs="Arial"/>
              </w:rPr>
              <w:t xml:space="preserve">linical data was submitted with the PBAC Minor submission. </w:t>
            </w:r>
            <w:r w:rsidRPr="00576BD7">
              <w:rPr>
                <w:rFonts w:ascii="Arial" w:hAnsi="Arial" w:cs="Arial"/>
                <w:color w:val="000000"/>
              </w:rPr>
              <w:t xml:space="preserve">PBAC decided to </w:t>
            </w:r>
            <w:r w:rsidRPr="00576BD7">
              <w:rPr>
                <w:rFonts w:ascii="Arial" w:hAnsi="Arial" w:cs="Arial"/>
              </w:rPr>
              <w:t>delete a ‘grandfather’ indication</w:t>
            </w:r>
            <w:r w:rsidRPr="00576BD7">
              <w:rPr>
                <w:rFonts w:ascii="Arial" w:hAnsi="Arial" w:cs="Arial"/>
                <w:color w:val="000000"/>
              </w:rPr>
              <w:t>.</w:t>
            </w:r>
          </w:p>
        </w:tc>
      </w:tr>
      <w:tr w:rsidR="00F97C5D" w:rsidRPr="00395B97" w:rsidTr="00F13DD1">
        <w:trPr>
          <w:trHeight w:val="1254"/>
        </w:trPr>
        <w:tc>
          <w:tcPr>
            <w:tcW w:w="2694" w:type="dxa"/>
            <w:vMerge w:val="restart"/>
            <w:tcMar>
              <w:top w:w="28" w:type="dxa"/>
              <w:bottom w:w="28" w:type="dxa"/>
            </w:tcMar>
          </w:tcPr>
          <w:p w:rsidR="00F97C5D" w:rsidRDefault="00F97C5D" w:rsidP="005524B8">
            <w:pPr>
              <w:rPr>
                <w:rFonts w:ascii="Arial" w:hAnsi="Arial" w:cs="Arial"/>
                <w:color w:val="000000"/>
              </w:rPr>
            </w:pPr>
            <w:r>
              <w:rPr>
                <w:rFonts w:ascii="Arial" w:hAnsi="Arial" w:cs="Arial"/>
                <w:color w:val="000000"/>
              </w:rPr>
              <w:lastRenderedPageBreak/>
              <w:t>REGORAFENIB</w:t>
            </w:r>
            <w:r>
              <w:rPr>
                <w:rFonts w:ascii="Arial" w:hAnsi="Arial" w:cs="Arial"/>
                <w:color w:val="000000"/>
              </w:rPr>
              <w:br/>
            </w:r>
            <w:r>
              <w:rPr>
                <w:rFonts w:ascii="Arial" w:hAnsi="Arial" w:cs="Arial"/>
                <w:color w:val="000000"/>
              </w:rPr>
              <w:br/>
              <w:t>Tablet 40 mg (as monohydrate)</w:t>
            </w:r>
            <w:r>
              <w:rPr>
                <w:rFonts w:ascii="Arial" w:hAnsi="Arial" w:cs="Arial"/>
                <w:color w:val="000000"/>
              </w:rPr>
              <w:br/>
            </w:r>
            <w:r>
              <w:rPr>
                <w:rFonts w:ascii="Arial" w:hAnsi="Arial" w:cs="Arial"/>
                <w:color w:val="000000"/>
              </w:rPr>
              <w:br/>
            </w:r>
            <w:proofErr w:type="spellStart"/>
            <w:r>
              <w:rPr>
                <w:rFonts w:ascii="Arial" w:hAnsi="Arial" w:cs="Arial"/>
                <w:color w:val="000000"/>
              </w:rPr>
              <w:t>Stivarga</w:t>
            </w:r>
            <w:proofErr w:type="spellEnd"/>
            <w:r>
              <w:rPr>
                <w:rFonts w:ascii="Arial" w:hAnsi="Arial" w:cs="Arial"/>
                <w:color w:val="000000"/>
              </w:rPr>
              <w:t>®</w:t>
            </w:r>
            <w:r>
              <w:rPr>
                <w:rFonts w:ascii="Arial" w:hAnsi="Arial" w:cs="Arial"/>
                <w:color w:val="000000"/>
              </w:rPr>
              <w:br/>
            </w:r>
            <w:r>
              <w:rPr>
                <w:rFonts w:ascii="Arial" w:hAnsi="Arial" w:cs="Arial"/>
                <w:color w:val="000000"/>
              </w:rPr>
              <w:br/>
              <w:t>Bayer Australia Ltd</w:t>
            </w:r>
          </w:p>
          <w:p w:rsidR="00F97C5D" w:rsidRDefault="00F97C5D" w:rsidP="005524B8">
            <w:pPr>
              <w:rPr>
                <w:rFonts w:ascii="Arial" w:hAnsi="Arial" w:cs="Arial"/>
                <w:color w:val="000000"/>
              </w:rPr>
            </w:pPr>
          </w:p>
          <w:p w:rsidR="00F97C5D" w:rsidRDefault="00F97C5D" w:rsidP="005524B8">
            <w:pPr>
              <w:rPr>
                <w:rFonts w:ascii="Arial" w:hAnsi="Arial" w:cs="Arial"/>
                <w:color w:val="000000"/>
              </w:rPr>
            </w:pPr>
            <w:r>
              <w:rPr>
                <w:rFonts w:ascii="Arial" w:hAnsi="Arial" w:cs="Arial"/>
                <w:color w:val="000000"/>
              </w:rPr>
              <w:t xml:space="preserve">New listing </w:t>
            </w:r>
          </w:p>
          <w:p w:rsidR="00F97C5D" w:rsidRDefault="00F97C5D" w:rsidP="005524B8">
            <w:pPr>
              <w:rPr>
                <w:rFonts w:ascii="Arial" w:hAnsi="Arial" w:cs="Arial"/>
                <w:color w:val="000000"/>
              </w:rPr>
            </w:pPr>
            <w:r>
              <w:rPr>
                <w:rFonts w:ascii="Arial" w:hAnsi="Arial" w:cs="Arial"/>
                <w:color w:val="000000"/>
              </w:rPr>
              <w:t>(Major Submission)</w:t>
            </w:r>
          </w:p>
        </w:tc>
        <w:tc>
          <w:tcPr>
            <w:tcW w:w="2409" w:type="dxa"/>
            <w:vMerge w:val="restart"/>
          </w:tcPr>
          <w:p w:rsidR="00F97C5D" w:rsidRDefault="00F97C5D" w:rsidP="005524B8">
            <w:pPr>
              <w:rPr>
                <w:rFonts w:ascii="Arial" w:hAnsi="Arial" w:cs="Arial"/>
                <w:color w:val="000000"/>
              </w:rPr>
            </w:pPr>
            <w:r>
              <w:rPr>
                <w:rFonts w:ascii="Arial" w:hAnsi="Arial" w:cs="Arial"/>
                <w:color w:val="000000"/>
              </w:rPr>
              <w:t>Hepatocellular carcinoma (HCC)</w:t>
            </w:r>
          </w:p>
        </w:tc>
        <w:tc>
          <w:tcPr>
            <w:tcW w:w="3261" w:type="dxa"/>
            <w:tcMar>
              <w:top w:w="28" w:type="dxa"/>
              <w:bottom w:w="28" w:type="dxa"/>
            </w:tcMar>
          </w:tcPr>
          <w:p w:rsidR="00F97C5D" w:rsidRDefault="00F97C5D" w:rsidP="005524B8">
            <w:pPr>
              <w:rPr>
                <w:rFonts w:ascii="Arial" w:hAnsi="Arial" w:cs="Arial"/>
                <w:color w:val="000000"/>
              </w:rPr>
            </w:pPr>
            <w:r>
              <w:rPr>
                <w:rFonts w:ascii="Arial" w:hAnsi="Arial" w:cs="Arial"/>
                <w:color w:val="000000"/>
              </w:rPr>
              <w:t xml:space="preserve">To request an Authority Required (STREAMLINED) listing for the treatment of patients with </w:t>
            </w:r>
            <w:proofErr w:type="spellStart"/>
            <w:r>
              <w:rPr>
                <w:rFonts w:ascii="Arial" w:hAnsi="Arial" w:cs="Arial"/>
                <w:color w:val="000000"/>
              </w:rPr>
              <w:t>unresectable</w:t>
            </w:r>
            <w:proofErr w:type="spellEnd"/>
            <w:r>
              <w:rPr>
                <w:rFonts w:ascii="Arial" w:hAnsi="Arial" w:cs="Arial"/>
                <w:color w:val="000000"/>
              </w:rPr>
              <w:t xml:space="preserve"> HCC who have progressed on </w:t>
            </w:r>
            <w:proofErr w:type="spellStart"/>
            <w:r>
              <w:rPr>
                <w:rFonts w:ascii="Arial" w:hAnsi="Arial" w:cs="Arial"/>
                <w:color w:val="000000"/>
              </w:rPr>
              <w:t>sorafenib</w:t>
            </w:r>
            <w:proofErr w:type="spellEnd"/>
            <w:r>
              <w:rPr>
                <w:rFonts w:ascii="Arial" w:hAnsi="Arial" w:cs="Arial"/>
                <w:color w:val="000000"/>
              </w:rPr>
              <w:t xml:space="preserve"> treatment.</w:t>
            </w:r>
          </w:p>
        </w:tc>
        <w:tc>
          <w:tcPr>
            <w:tcW w:w="6947" w:type="dxa"/>
          </w:tcPr>
          <w:p w:rsidR="00F97C5D" w:rsidRPr="00F13DD1" w:rsidRDefault="00F97C5D" w:rsidP="00F13DD1">
            <w:pPr>
              <w:jc w:val="both"/>
              <w:rPr>
                <w:rFonts w:ascii="Arial" w:hAnsi="Arial" w:cs="Arial"/>
                <w:color w:val="000000"/>
                <w:sz w:val="24"/>
                <w:szCs w:val="24"/>
              </w:rPr>
            </w:pPr>
            <w:r w:rsidRPr="00170DE3">
              <w:rPr>
                <w:rFonts w:ascii="Arial" w:hAnsi="Arial" w:cs="Arial"/>
                <w:color w:val="000000"/>
              </w:rPr>
              <w:t xml:space="preserve">The PBAC did not recommend regorafenib for patients with </w:t>
            </w:r>
            <w:proofErr w:type="spellStart"/>
            <w:r w:rsidRPr="00170DE3">
              <w:rPr>
                <w:rFonts w:ascii="Arial" w:hAnsi="Arial" w:cs="Arial"/>
                <w:color w:val="000000"/>
              </w:rPr>
              <w:t>unresectable</w:t>
            </w:r>
            <w:proofErr w:type="spellEnd"/>
            <w:r w:rsidRPr="00170DE3">
              <w:rPr>
                <w:rFonts w:ascii="Arial" w:hAnsi="Arial" w:cs="Arial"/>
                <w:color w:val="000000"/>
              </w:rPr>
              <w:t xml:space="preserve"> hepatocellular carcinoma who progressed following treatment with </w:t>
            </w:r>
            <w:proofErr w:type="spellStart"/>
            <w:r w:rsidRPr="00170DE3">
              <w:rPr>
                <w:rFonts w:ascii="Arial" w:hAnsi="Arial" w:cs="Arial"/>
                <w:color w:val="000000"/>
              </w:rPr>
              <w:t>sorafenib</w:t>
            </w:r>
            <w:proofErr w:type="spellEnd"/>
            <w:r w:rsidRPr="00170DE3">
              <w:rPr>
                <w:rFonts w:ascii="Arial" w:hAnsi="Arial" w:cs="Arial"/>
                <w:color w:val="000000"/>
              </w:rPr>
              <w:t xml:space="preserve"> on the basis of a high and uncertain incremental cost-effectiveness ratio. The PBAC considered that the toxicity associated with regorafenib was substantial, with a range of adverse events associated with regorafenib, which may be more frequent and severe in the proposed Australian population compared with the trial population. The PBAC considered that the improvement in overall survival was modest, that this improvement may not be realised in clinical practice due to the trial population being younger and fitter than the proposed PBS population, and should be considered in the context of the substantial toxicity associated with regorafenib treatment. The PBAC considered that the base case ICER was underestimated due to extrapolation of the regorafenib arm only, the method of extrapolation and the use of average utilities by health state rather than trial-based utilities.</w:t>
            </w:r>
          </w:p>
        </w:tc>
      </w:tr>
      <w:tr w:rsidR="00F97C5D" w:rsidRPr="00395B97" w:rsidTr="00752B4C">
        <w:trPr>
          <w:trHeight w:val="787"/>
        </w:trPr>
        <w:tc>
          <w:tcPr>
            <w:tcW w:w="2694" w:type="dxa"/>
            <w:vMerge/>
            <w:tcMar>
              <w:top w:w="28" w:type="dxa"/>
              <w:bottom w:w="28" w:type="dxa"/>
            </w:tcMar>
          </w:tcPr>
          <w:p w:rsidR="00F97C5D" w:rsidRPr="001C1D66" w:rsidRDefault="00F97C5D" w:rsidP="00FC06CC">
            <w:pPr>
              <w:rPr>
                <w:rFonts w:ascii="Arial" w:hAnsi="Arial" w:cs="Arial"/>
                <w:color w:val="000000"/>
              </w:rPr>
            </w:pPr>
          </w:p>
        </w:tc>
        <w:tc>
          <w:tcPr>
            <w:tcW w:w="2409" w:type="dxa"/>
            <w:vMerge/>
          </w:tcPr>
          <w:p w:rsidR="00F97C5D" w:rsidRPr="001C1D66" w:rsidRDefault="00F97C5D" w:rsidP="002A6AB9">
            <w:pPr>
              <w:rPr>
                <w:rFonts w:ascii="Arial" w:hAnsi="Arial" w:cs="Arial"/>
                <w:color w:val="000000"/>
              </w:rPr>
            </w:pPr>
          </w:p>
        </w:tc>
        <w:tc>
          <w:tcPr>
            <w:tcW w:w="3261" w:type="dxa"/>
            <w:tcMar>
              <w:top w:w="28" w:type="dxa"/>
              <w:bottom w:w="28" w:type="dxa"/>
            </w:tcMar>
          </w:tcPr>
          <w:p w:rsidR="00F97C5D" w:rsidRPr="00B573D2" w:rsidRDefault="00F97C5D" w:rsidP="00DE38E8">
            <w:pPr>
              <w:rPr>
                <w:rFonts w:ascii="Arial" w:hAnsi="Arial" w:cs="Arial"/>
              </w:rPr>
            </w:pPr>
            <w:r w:rsidRPr="00B573D2">
              <w:rPr>
                <w:rFonts w:ascii="Arial" w:hAnsi="Arial" w:cs="Arial"/>
                <w:snapToGrid w:val="0"/>
                <w:lang w:eastAsia="en-US"/>
              </w:rPr>
              <w:t>Sponsor Comment:</w:t>
            </w:r>
          </w:p>
        </w:tc>
        <w:tc>
          <w:tcPr>
            <w:tcW w:w="6947" w:type="dxa"/>
          </w:tcPr>
          <w:p w:rsidR="00F97C5D" w:rsidRPr="00B573D2" w:rsidRDefault="00F97C5D" w:rsidP="0031270A">
            <w:pPr>
              <w:pStyle w:val="ListParagraph"/>
              <w:ind w:left="0"/>
              <w:jc w:val="both"/>
              <w:rPr>
                <w:rFonts w:ascii="Arial" w:hAnsi="Arial" w:cs="Arial"/>
                <w:iCs/>
                <w:sz w:val="20"/>
                <w:szCs w:val="20"/>
              </w:rPr>
            </w:pPr>
            <w:r w:rsidRPr="00B573D2">
              <w:rPr>
                <w:rFonts w:ascii="Arial" w:hAnsi="Arial" w:cs="Arial"/>
                <w:color w:val="000000"/>
                <w:sz w:val="20"/>
                <w:szCs w:val="20"/>
                <w:lang w:val="en-US"/>
              </w:rPr>
              <w:t xml:space="preserve">Bayer remains committed to working with the PBAC to enable reimbursed access to regorafenib for Australian patients with </w:t>
            </w:r>
            <w:proofErr w:type="spellStart"/>
            <w:r w:rsidRPr="00B573D2">
              <w:rPr>
                <w:rFonts w:ascii="Arial" w:hAnsi="Arial" w:cs="Arial"/>
                <w:color w:val="000000"/>
                <w:sz w:val="20"/>
                <w:szCs w:val="20"/>
                <w:lang w:val="en-US"/>
              </w:rPr>
              <w:t>unresectable</w:t>
            </w:r>
            <w:proofErr w:type="spellEnd"/>
            <w:r w:rsidRPr="00B573D2">
              <w:rPr>
                <w:rFonts w:ascii="Arial" w:hAnsi="Arial" w:cs="Arial"/>
                <w:color w:val="000000"/>
                <w:sz w:val="20"/>
                <w:szCs w:val="20"/>
                <w:lang w:val="en-US"/>
              </w:rPr>
              <w:t xml:space="preserve"> hepatocellular carcinoma</w:t>
            </w:r>
          </w:p>
        </w:tc>
      </w:tr>
      <w:tr w:rsidR="00F97C5D" w:rsidRPr="00395B97" w:rsidTr="00CF0553">
        <w:trPr>
          <w:trHeight w:val="7208"/>
        </w:trPr>
        <w:tc>
          <w:tcPr>
            <w:tcW w:w="2694" w:type="dxa"/>
            <w:vMerge w:val="restart"/>
            <w:tcMar>
              <w:top w:w="28" w:type="dxa"/>
              <w:bottom w:w="28" w:type="dxa"/>
            </w:tcMar>
          </w:tcPr>
          <w:p w:rsidR="00F97C5D" w:rsidRDefault="00F97C5D" w:rsidP="00752B4C">
            <w:pPr>
              <w:keepNext/>
              <w:rPr>
                <w:rFonts w:ascii="Arial" w:hAnsi="Arial" w:cs="Arial"/>
                <w:color w:val="000000"/>
              </w:rPr>
            </w:pPr>
            <w:r>
              <w:rPr>
                <w:rFonts w:ascii="Arial" w:hAnsi="Arial" w:cs="Arial"/>
                <w:color w:val="000000"/>
              </w:rPr>
              <w:lastRenderedPageBreak/>
              <w:t xml:space="preserve">TIOTROPIUM </w:t>
            </w:r>
          </w:p>
          <w:p w:rsidR="00F97C5D" w:rsidRDefault="00F97C5D" w:rsidP="00752B4C">
            <w:pPr>
              <w:keepNext/>
              <w:rPr>
                <w:rFonts w:ascii="Arial" w:hAnsi="Arial" w:cs="Arial"/>
                <w:color w:val="000000"/>
              </w:rPr>
            </w:pPr>
            <w:r>
              <w:rPr>
                <w:rFonts w:ascii="Arial" w:hAnsi="Arial" w:cs="Arial"/>
                <w:color w:val="000000"/>
              </w:rPr>
              <w:br/>
              <w:t>Solution for oral inhalation 2.5 micrograms (as bromide monohydrate) per actuation (60 actuations)</w:t>
            </w:r>
            <w:r>
              <w:rPr>
                <w:rFonts w:ascii="Arial" w:hAnsi="Arial" w:cs="Arial"/>
                <w:color w:val="000000"/>
              </w:rPr>
              <w:br/>
            </w:r>
            <w:r>
              <w:rPr>
                <w:rFonts w:ascii="Arial" w:hAnsi="Arial" w:cs="Arial"/>
                <w:color w:val="000000"/>
              </w:rPr>
              <w:br/>
              <w:t xml:space="preserve">Spiriva </w:t>
            </w:r>
            <w:proofErr w:type="spellStart"/>
            <w:r>
              <w:rPr>
                <w:rFonts w:ascii="Arial" w:hAnsi="Arial" w:cs="Arial"/>
                <w:color w:val="000000"/>
              </w:rPr>
              <w:t>Respimat</w:t>
            </w:r>
            <w:proofErr w:type="spellEnd"/>
            <w:r>
              <w:rPr>
                <w:rFonts w:ascii="Arial" w:hAnsi="Arial" w:cs="Arial"/>
                <w:color w:val="000000"/>
              </w:rPr>
              <w:t>®</w:t>
            </w:r>
            <w:r>
              <w:rPr>
                <w:rFonts w:ascii="Arial" w:hAnsi="Arial" w:cs="Arial"/>
                <w:color w:val="000000"/>
              </w:rPr>
              <w:br/>
            </w:r>
            <w:r>
              <w:rPr>
                <w:rFonts w:ascii="Arial" w:hAnsi="Arial" w:cs="Arial"/>
                <w:color w:val="000000"/>
              </w:rPr>
              <w:br/>
            </w:r>
            <w:proofErr w:type="spellStart"/>
            <w:r>
              <w:rPr>
                <w:rFonts w:ascii="Arial" w:hAnsi="Arial" w:cs="Arial"/>
                <w:color w:val="000000"/>
              </w:rPr>
              <w:t>Boehringer</w:t>
            </w:r>
            <w:proofErr w:type="spellEnd"/>
            <w:r>
              <w:rPr>
                <w:rFonts w:ascii="Arial" w:hAnsi="Arial" w:cs="Arial"/>
                <w:color w:val="000000"/>
              </w:rPr>
              <w:t xml:space="preserve"> </w:t>
            </w:r>
            <w:proofErr w:type="spellStart"/>
            <w:r>
              <w:rPr>
                <w:rFonts w:ascii="Arial" w:hAnsi="Arial" w:cs="Arial"/>
                <w:color w:val="000000"/>
              </w:rPr>
              <w:t>Ingelheim</w:t>
            </w:r>
            <w:proofErr w:type="spellEnd"/>
            <w:r>
              <w:rPr>
                <w:rFonts w:ascii="Arial" w:hAnsi="Arial" w:cs="Arial"/>
                <w:color w:val="000000"/>
              </w:rPr>
              <w:t xml:space="preserve"> Pty Ltd</w:t>
            </w:r>
          </w:p>
          <w:p w:rsidR="00F97C5D" w:rsidRDefault="00F97C5D" w:rsidP="00752B4C">
            <w:pPr>
              <w:keepNext/>
              <w:rPr>
                <w:rFonts w:ascii="Arial" w:hAnsi="Arial" w:cs="Arial"/>
                <w:color w:val="000000"/>
              </w:rPr>
            </w:pPr>
          </w:p>
          <w:p w:rsidR="00F97C5D" w:rsidRDefault="00F97C5D" w:rsidP="00752B4C">
            <w:pPr>
              <w:keepNext/>
              <w:rPr>
                <w:rFonts w:ascii="Arial" w:hAnsi="Arial" w:cs="Arial"/>
                <w:color w:val="000000"/>
              </w:rPr>
            </w:pPr>
            <w:r>
              <w:rPr>
                <w:rFonts w:ascii="Arial" w:hAnsi="Arial" w:cs="Arial"/>
                <w:color w:val="000000"/>
              </w:rPr>
              <w:t xml:space="preserve">New listing </w:t>
            </w:r>
          </w:p>
          <w:p w:rsidR="00F97C5D" w:rsidRDefault="00F97C5D" w:rsidP="00752B4C">
            <w:pPr>
              <w:keepNext/>
              <w:rPr>
                <w:rFonts w:ascii="Arial" w:hAnsi="Arial" w:cs="Arial"/>
                <w:color w:val="000000"/>
              </w:rPr>
            </w:pPr>
            <w:r>
              <w:rPr>
                <w:rFonts w:ascii="Arial" w:hAnsi="Arial" w:cs="Arial"/>
                <w:color w:val="000000"/>
              </w:rPr>
              <w:t>(Major Submission)</w:t>
            </w:r>
          </w:p>
        </w:tc>
        <w:tc>
          <w:tcPr>
            <w:tcW w:w="2409" w:type="dxa"/>
            <w:vMerge w:val="restart"/>
          </w:tcPr>
          <w:p w:rsidR="00F97C5D" w:rsidRDefault="00F97C5D" w:rsidP="00752B4C">
            <w:pPr>
              <w:keepNext/>
              <w:rPr>
                <w:rFonts w:ascii="Arial" w:hAnsi="Arial" w:cs="Arial"/>
                <w:color w:val="000000"/>
              </w:rPr>
            </w:pPr>
            <w:r>
              <w:rPr>
                <w:rFonts w:ascii="Arial" w:hAnsi="Arial" w:cs="Arial"/>
                <w:color w:val="000000"/>
              </w:rPr>
              <w:t>Severe asthma</w:t>
            </w:r>
          </w:p>
        </w:tc>
        <w:tc>
          <w:tcPr>
            <w:tcW w:w="3261" w:type="dxa"/>
            <w:tcMar>
              <w:top w:w="28" w:type="dxa"/>
              <w:bottom w:w="28" w:type="dxa"/>
            </w:tcMar>
          </w:tcPr>
          <w:p w:rsidR="00F97C5D" w:rsidRDefault="00F97C5D" w:rsidP="00752B4C">
            <w:pPr>
              <w:keepNext/>
              <w:rPr>
                <w:rFonts w:ascii="Arial" w:hAnsi="Arial" w:cs="Arial"/>
                <w:color w:val="000000"/>
              </w:rPr>
            </w:pPr>
            <w:r>
              <w:rPr>
                <w:rFonts w:ascii="Arial" w:hAnsi="Arial" w:cs="Arial"/>
                <w:color w:val="000000"/>
              </w:rPr>
              <w:t>To request an Authority Required (STREAMLINED) listing for the treatment of severe asthma in children aged 6 years or older.</w:t>
            </w:r>
          </w:p>
        </w:tc>
        <w:tc>
          <w:tcPr>
            <w:tcW w:w="6947" w:type="dxa"/>
          </w:tcPr>
          <w:p w:rsidR="00F97C5D" w:rsidRPr="00CF0553" w:rsidRDefault="00F97C5D" w:rsidP="004F0BCC">
            <w:pPr>
              <w:jc w:val="both"/>
              <w:rPr>
                <w:rFonts w:ascii="Arial" w:hAnsi="Arial" w:cs="Arial"/>
                <w:color w:val="000000"/>
              </w:rPr>
            </w:pPr>
            <w:r w:rsidRPr="004F0BCC">
              <w:rPr>
                <w:rFonts w:ascii="Arial" w:hAnsi="Arial" w:cs="Arial"/>
                <w:color w:val="000000"/>
              </w:rPr>
              <w:t xml:space="preserve">The PBAC decided not to recommend the Authority Required (STREAMLINED) listing for tiotropium solution for inhalation in patients aged 6 to 17 years old with severe asthma. The PBAC considered the claim of superior </w:t>
            </w:r>
            <w:r>
              <w:rPr>
                <w:rFonts w:ascii="Arial" w:hAnsi="Arial" w:cs="Arial"/>
                <w:color w:val="000000"/>
              </w:rPr>
              <w:t xml:space="preserve">clinical </w:t>
            </w:r>
            <w:r w:rsidRPr="004F0BCC">
              <w:rPr>
                <w:rFonts w:ascii="Arial" w:hAnsi="Arial" w:cs="Arial"/>
                <w:color w:val="000000"/>
              </w:rPr>
              <w:t xml:space="preserve">effectiveness in comparison to placebo plus optimised asthma therapy to be questionable as there were several issues with the methodology and conclusions based on the clinical trials presented in the submission. The PBAC also considered the economic model based on a cost per symptomatic exacerbation avoided was problematic. The PBAC considered the primary outcome measure of the trials of </w:t>
            </w:r>
            <w:r w:rsidRPr="002A1DDC">
              <w:rPr>
                <w:rFonts w:ascii="Arial" w:hAnsi="Arial" w:cs="Arial"/>
                <w:color w:val="000000"/>
              </w:rPr>
              <w:t xml:space="preserve">Forced expiratory volume in one second </w:t>
            </w:r>
            <w:r>
              <w:rPr>
                <w:rFonts w:ascii="Arial" w:hAnsi="Arial" w:cs="Arial"/>
                <w:color w:val="000000"/>
              </w:rPr>
              <w:t>(</w:t>
            </w:r>
            <w:r w:rsidRPr="004F0BCC">
              <w:rPr>
                <w:rFonts w:ascii="Arial" w:hAnsi="Arial" w:cs="Arial"/>
                <w:color w:val="000000"/>
              </w:rPr>
              <w:t>FEV</w:t>
            </w:r>
            <w:r w:rsidRPr="004F0BCC">
              <w:rPr>
                <w:rFonts w:ascii="Arial" w:hAnsi="Arial" w:cs="Arial"/>
                <w:color w:val="000000"/>
                <w:vertAlign w:val="subscript"/>
              </w:rPr>
              <w:t>1</w:t>
            </w:r>
            <w:r w:rsidRPr="004F0BCC">
              <w:rPr>
                <w:rFonts w:ascii="Arial" w:hAnsi="Arial" w:cs="Arial"/>
                <w:color w:val="000000"/>
                <w:vertAlign w:val="subscript"/>
              </w:rPr>
              <w:softHyphen/>
            </w:r>
            <w:r>
              <w:rPr>
                <w:rFonts w:ascii="Arial" w:hAnsi="Arial" w:cs="Arial"/>
                <w:color w:val="000000"/>
              </w:rPr>
              <w:t>)</w:t>
            </w:r>
            <w:r w:rsidRPr="004F0BCC">
              <w:rPr>
                <w:rFonts w:ascii="Arial" w:hAnsi="Arial" w:cs="Arial"/>
                <w:color w:val="000000"/>
                <w:vertAlign w:val="subscript"/>
              </w:rPr>
              <w:t xml:space="preserve"> </w:t>
            </w:r>
            <w:r w:rsidRPr="004F0BCC">
              <w:rPr>
                <w:rFonts w:ascii="Arial" w:hAnsi="Arial" w:cs="Arial"/>
                <w:color w:val="000000"/>
              </w:rPr>
              <w:t xml:space="preserve">peak to be a short term effect, and advised that a bronchodilator response was not unexpected given that trial patients had been taking concomitant </w:t>
            </w:r>
            <w:r>
              <w:rPr>
                <w:rFonts w:ascii="Arial" w:hAnsi="Arial" w:cs="Arial"/>
                <w:bCs/>
                <w:color w:val="000000"/>
                <w:lang w:val="en"/>
              </w:rPr>
              <w:t>l</w:t>
            </w:r>
            <w:r w:rsidRPr="00804C7F">
              <w:rPr>
                <w:rFonts w:ascii="Arial" w:hAnsi="Arial" w:cs="Arial"/>
                <w:bCs/>
                <w:color w:val="000000"/>
                <w:lang w:val="en"/>
              </w:rPr>
              <w:t>ong-acting β adrenoceptor agonists</w:t>
            </w:r>
            <w:r>
              <w:rPr>
                <w:rFonts w:ascii="Arial" w:hAnsi="Arial" w:cs="Arial"/>
                <w:color w:val="000000"/>
              </w:rPr>
              <w:t xml:space="preserve"> (</w:t>
            </w:r>
            <w:r w:rsidRPr="004F0BCC">
              <w:rPr>
                <w:rFonts w:ascii="Arial" w:hAnsi="Arial" w:cs="Arial"/>
                <w:color w:val="000000"/>
              </w:rPr>
              <w:t>LABA</w:t>
            </w:r>
            <w:r>
              <w:rPr>
                <w:rFonts w:ascii="Arial" w:hAnsi="Arial" w:cs="Arial"/>
                <w:color w:val="000000"/>
              </w:rPr>
              <w:t>)</w:t>
            </w:r>
            <w:r w:rsidRPr="004F0BCC">
              <w:rPr>
                <w:rFonts w:ascii="Arial" w:hAnsi="Arial" w:cs="Arial"/>
                <w:color w:val="000000"/>
              </w:rPr>
              <w:t>, and that a longer period of follow-up may be required to detect an effect on exacerbations. FEV</w:t>
            </w:r>
            <w:r w:rsidRPr="004F0BCC">
              <w:rPr>
                <w:rFonts w:ascii="Arial" w:hAnsi="Arial" w:cs="Arial"/>
                <w:color w:val="000000"/>
                <w:vertAlign w:val="subscript"/>
              </w:rPr>
              <w:t>1</w:t>
            </w:r>
            <w:r w:rsidRPr="004F0BCC">
              <w:rPr>
                <w:rFonts w:ascii="Arial" w:hAnsi="Arial" w:cs="Arial"/>
                <w:color w:val="000000"/>
              </w:rPr>
              <w:t xml:space="preserve"> peak had not previously been accepted as a measure for asthma; however trough FEV</w:t>
            </w:r>
            <w:r w:rsidRPr="004F0BCC">
              <w:rPr>
                <w:rFonts w:ascii="Arial" w:hAnsi="Arial" w:cs="Arial"/>
                <w:color w:val="000000"/>
                <w:vertAlign w:val="subscript"/>
              </w:rPr>
              <w:t>1</w:t>
            </w:r>
            <w:r w:rsidRPr="004F0BCC">
              <w:rPr>
                <w:rFonts w:ascii="Arial" w:hAnsi="Arial" w:cs="Arial"/>
                <w:color w:val="000000"/>
                <w:vertAlign w:val="subscript"/>
              </w:rPr>
              <w:softHyphen/>
              <w:t xml:space="preserve"> </w:t>
            </w:r>
            <w:r w:rsidRPr="004F0BCC">
              <w:rPr>
                <w:rFonts w:ascii="Arial" w:hAnsi="Arial" w:cs="Arial"/>
                <w:color w:val="000000"/>
                <w:vertAlign w:val="subscript"/>
              </w:rPr>
              <w:softHyphen/>
            </w:r>
            <w:r w:rsidRPr="004F0BCC">
              <w:rPr>
                <w:rFonts w:ascii="Arial" w:hAnsi="Arial" w:cs="Arial"/>
                <w:color w:val="000000"/>
              </w:rPr>
              <w:t>had been accepted in the consideration of tiotropium in adults. Results of the secondary outcome of trough FEV</w:t>
            </w:r>
            <w:r w:rsidRPr="004F0BCC">
              <w:rPr>
                <w:rFonts w:ascii="Arial" w:hAnsi="Arial" w:cs="Arial"/>
                <w:color w:val="000000"/>
                <w:vertAlign w:val="subscript"/>
              </w:rPr>
              <w:t>1</w:t>
            </w:r>
            <w:r w:rsidRPr="004F0BCC">
              <w:rPr>
                <w:rFonts w:ascii="Arial" w:hAnsi="Arial" w:cs="Arial"/>
                <w:color w:val="000000"/>
                <w:vertAlign w:val="subscript"/>
              </w:rPr>
              <w:softHyphen/>
              <w:t xml:space="preserve"> </w:t>
            </w:r>
            <w:r w:rsidRPr="004F0BCC">
              <w:rPr>
                <w:rFonts w:ascii="Arial" w:hAnsi="Arial" w:cs="Arial"/>
                <w:color w:val="000000"/>
              </w:rPr>
              <w:t>did not show any clinically significant value in either of the 6-11 or 12-17 year age group trials. The PBAC noted that a statistically significant reduction in the rate of symptomatic exacerbations (non-severe and severe) was only found in the trial for patients aged 6 to 11 years, which was due only to the reduction in non-severe symptomatic exacerbations. The PBAC noted that symptomatic exacerbations was not the usual trial measure for a study of long term treatment for asthma, and that severe exacerbations was used in the consideration of tiotropium in the adult population. The PBAC noted that the rate of severe exacerbations was marginally higher, but not statistically significant, in the tiotropium arms compared to the placebo arms in both trials. The PBAC noted that the strong placebo responses suggested that adherence to maximal optimal asthma therapy was poor prior to the trials, especially in the 12-17 year age group, concluding that the addition of tiotropium to the dosing regimen was not likely be the most clinically appropriate approach.</w:t>
            </w:r>
          </w:p>
        </w:tc>
      </w:tr>
      <w:tr w:rsidR="00F97C5D" w:rsidRPr="00395B97" w:rsidTr="00CF0553">
        <w:trPr>
          <w:trHeight w:val="366"/>
        </w:trPr>
        <w:tc>
          <w:tcPr>
            <w:tcW w:w="2694" w:type="dxa"/>
            <w:vMerge/>
            <w:tcMar>
              <w:top w:w="28" w:type="dxa"/>
              <w:bottom w:w="28" w:type="dxa"/>
            </w:tcMar>
          </w:tcPr>
          <w:p w:rsidR="00F97C5D" w:rsidRPr="001C1D66" w:rsidRDefault="00F97C5D" w:rsidP="002A6AB9">
            <w:pPr>
              <w:rPr>
                <w:rFonts w:ascii="Arial" w:hAnsi="Arial" w:cs="Arial"/>
                <w:color w:val="000000"/>
              </w:rPr>
            </w:pPr>
          </w:p>
        </w:tc>
        <w:tc>
          <w:tcPr>
            <w:tcW w:w="2409" w:type="dxa"/>
            <w:vMerge/>
          </w:tcPr>
          <w:p w:rsidR="00F97C5D" w:rsidRPr="001C1D66" w:rsidRDefault="00F97C5D" w:rsidP="002A6AB9">
            <w:pPr>
              <w:rPr>
                <w:rFonts w:ascii="Arial" w:hAnsi="Arial" w:cs="Arial"/>
                <w:color w:val="000000"/>
              </w:rPr>
            </w:pPr>
          </w:p>
        </w:tc>
        <w:tc>
          <w:tcPr>
            <w:tcW w:w="3261" w:type="dxa"/>
            <w:tcMar>
              <w:top w:w="28" w:type="dxa"/>
              <w:bottom w:w="28" w:type="dxa"/>
            </w:tcMar>
          </w:tcPr>
          <w:p w:rsidR="00F97C5D" w:rsidRDefault="00F97C5D" w:rsidP="00DE38E8">
            <w:pPr>
              <w:rPr>
                <w:rFonts w:ascii="Arial" w:hAnsi="Arial" w:cs="Arial"/>
                <w:color w:val="000000"/>
              </w:rPr>
            </w:pPr>
            <w:r w:rsidRPr="00395B97">
              <w:rPr>
                <w:rFonts w:ascii="Arial" w:hAnsi="Arial" w:cs="Arial"/>
                <w:snapToGrid w:val="0"/>
                <w:lang w:eastAsia="en-US"/>
              </w:rPr>
              <w:t>Sponsor Comment:</w:t>
            </w:r>
          </w:p>
        </w:tc>
        <w:tc>
          <w:tcPr>
            <w:tcW w:w="6947" w:type="dxa"/>
          </w:tcPr>
          <w:p w:rsidR="00F97C5D" w:rsidRPr="006F5A35" w:rsidRDefault="00CF0553" w:rsidP="0031270A">
            <w:pPr>
              <w:spacing w:after="120"/>
              <w:jc w:val="both"/>
              <w:rPr>
                <w:rFonts w:ascii="Arial" w:hAnsi="Arial" w:cs="Arial"/>
                <w:color w:val="000000"/>
              </w:rPr>
            </w:pPr>
            <w:r w:rsidRPr="00F97C5D">
              <w:rPr>
                <w:rFonts w:ascii="Arial" w:hAnsi="Arial" w:cs="Arial"/>
              </w:rPr>
              <w:t>The sponsor had no comment.</w:t>
            </w:r>
          </w:p>
        </w:tc>
      </w:tr>
      <w:tr w:rsidR="00F97C5D" w:rsidRPr="00395B97" w:rsidTr="00CF0553">
        <w:trPr>
          <w:trHeight w:val="3097"/>
        </w:trPr>
        <w:tc>
          <w:tcPr>
            <w:tcW w:w="2694" w:type="dxa"/>
            <w:vMerge w:val="restart"/>
            <w:tcMar>
              <w:top w:w="28" w:type="dxa"/>
              <w:bottom w:w="28" w:type="dxa"/>
            </w:tcMar>
          </w:tcPr>
          <w:p w:rsidR="00F97C5D" w:rsidRDefault="00F97C5D" w:rsidP="005524B8">
            <w:pPr>
              <w:rPr>
                <w:rFonts w:ascii="Arial" w:hAnsi="Arial" w:cs="Arial"/>
                <w:color w:val="000000"/>
              </w:rPr>
            </w:pPr>
            <w:r>
              <w:rPr>
                <w:rFonts w:ascii="Arial" w:hAnsi="Arial" w:cs="Arial"/>
                <w:color w:val="000000"/>
              </w:rPr>
              <w:lastRenderedPageBreak/>
              <w:t>TRAMADOL HYDROCHLORIDE WITH PARACETAMOL</w:t>
            </w:r>
            <w:r>
              <w:rPr>
                <w:rFonts w:ascii="Arial" w:hAnsi="Arial" w:cs="Arial"/>
                <w:color w:val="000000"/>
              </w:rPr>
              <w:br/>
            </w:r>
            <w:r>
              <w:rPr>
                <w:rFonts w:ascii="Arial" w:hAnsi="Arial" w:cs="Arial"/>
                <w:color w:val="000000"/>
              </w:rPr>
              <w:br/>
              <w:t>Tablet containing tramadol hydrochloride 37.5 mg with paracetamol 325 mg</w:t>
            </w:r>
            <w:r>
              <w:rPr>
                <w:rFonts w:ascii="Arial" w:hAnsi="Arial" w:cs="Arial"/>
                <w:color w:val="000000"/>
              </w:rPr>
              <w:br/>
            </w:r>
            <w:r>
              <w:rPr>
                <w:rFonts w:ascii="Arial" w:hAnsi="Arial" w:cs="Arial"/>
                <w:color w:val="000000"/>
              </w:rPr>
              <w:br/>
            </w:r>
            <w:proofErr w:type="spellStart"/>
            <w:r>
              <w:rPr>
                <w:rFonts w:ascii="Arial" w:hAnsi="Arial" w:cs="Arial"/>
                <w:color w:val="000000"/>
              </w:rPr>
              <w:t>Zaldiar</w:t>
            </w:r>
            <w:proofErr w:type="spellEnd"/>
            <w:r>
              <w:rPr>
                <w:rFonts w:ascii="Arial" w:hAnsi="Arial" w:cs="Arial"/>
                <w:color w:val="000000"/>
              </w:rPr>
              <w:t>®</w:t>
            </w:r>
            <w:r>
              <w:rPr>
                <w:rFonts w:ascii="Arial" w:hAnsi="Arial" w:cs="Arial"/>
                <w:color w:val="000000"/>
              </w:rPr>
              <w:br/>
            </w:r>
            <w:r>
              <w:rPr>
                <w:rFonts w:ascii="Arial" w:hAnsi="Arial" w:cs="Arial"/>
                <w:color w:val="000000"/>
              </w:rPr>
              <w:br/>
              <w:t>Aspen Pharmacare Australia Pty Ltd</w:t>
            </w:r>
          </w:p>
          <w:p w:rsidR="00F97C5D" w:rsidRDefault="00F97C5D" w:rsidP="005524B8">
            <w:pPr>
              <w:rPr>
                <w:rFonts w:ascii="Arial" w:hAnsi="Arial" w:cs="Arial"/>
                <w:color w:val="000000"/>
              </w:rPr>
            </w:pPr>
          </w:p>
          <w:p w:rsidR="00F97C5D" w:rsidRDefault="00F97C5D" w:rsidP="005524B8">
            <w:pPr>
              <w:rPr>
                <w:rFonts w:ascii="Arial" w:hAnsi="Arial" w:cs="Arial"/>
                <w:color w:val="000000"/>
              </w:rPr>
            </w:pPr>
            <w:r>
              <w:rPr>
                <w:rFonts w:ascii="Arial" w:hAnsi="Arial" w:cs="Arial"/>
                <w:color w:val="000000"/>
              </w:rPr>
              <w:t xml:space="preserve">New listing </w:t>
            </w:r>
          </w:p>
          <w:p w:rsidR="00F97C5D" w:rsidRDefault="00F97C5D" w:rsidP="005524B8">
            <w:pPr>
              <w:rPr>
                <w:rFonts w:ascii="Arial" w:hAnsi="Arial" w:cs="Arial"/>
                <w:color w:val="000000"/>
              </w:rPr>
            </w:pPr>
            <w:r>
              <w:rPr>
                <w:rFonts w:ascii="Arial" w:hAnsi="Arial" w:cs="Arial"/>
                <w:color w:val="000000"/>
              </w:rPr>
              <w:t>(Major Submission)</w:t>
            </w:r>
          </w:p>
        </w:tc>
        <w:tc>
          <w:tcPr>
            <w:tcW w:w="2409" w:type="dxa"/>
            <w:vMerge w:val="restart"/>
          </w:tcPr>
          <w:p w:rsidR="00F97C5D" w:rsidRDefault="00F97C5D" w:rsidP="005524B8">
            <w:pPr>
              <w:rPr>
                <w:rFonts w:ascii="Arial" w:hAnsi="Arial" w:cs="Arial"/>
                <w:color w:val="000000"/>
              </w:rPr>
            </w:pPr>
            <w:r>
              <w:rPr>
                <w:rFonts w:ascii="Arial" w:hAnsi="Arial" w:cs="Arial"/>
                <w:color w:val="000000"/>
              </w:rPr>
              <w:t xml:space="preserve">Acute and chronic pain </w:t>
            </w:r>
          </w:p>
        </w:tc>
        <w:tc>
          <w:tcPr>
            <w:tcW w:w="3261" w:type="dxa"/>
            <w:tcMar>
              <w:top w:w="28" w:type="dxa"/>
              <w:bottom w:w="28" w:type="dxa"/>
            </w:tcMar>
          </w:tcPr>
          <w:p w:rsidR="00F97C5D" w:rsidRDefault="00F97C5D" w:rsidP="005524B8">
            <w:pPr>
              <w:rPr>
                <w:rFonts w:ascii="Arial" w:hAnsi="Arial" w:cs="Arial"/>
                <w:color w:val="000000"/>
              </w:rPr>
            </w:pPr>
            <w:r>
              <w:rPr>
                <w:rFonts w:ascii="Arial" w:hAnsi="Arial" w:cs="Arial"/>
                <w:color w:val="000000"/>
              </w:rPr>
              <w:t>To request a Restricted Benefit listing for the treatment of acute and chronic pain where aspirin and/or paracetamol alone are inappropriate or have failed.</w:t>
            </w:r>
          </w:p>
        </w:tc>
        <w:tc>
          <w:tcPr>
            <w:tcW w:w="6947" w:type="dxa"/>
          </w:tcPr>
          <w:p w:rsidR="00F97C5D" w:rsidRPr="00CF0553" w:rsidRDefault="00F97C5D" w:rsidP="004F0BCC">
            <w:pPr>
              <w:jc w:val="both"/>
              <w:rPr>
                <w:rFonts w:ascii="Arial" w:hAnsi="Arial" w:cs="Arial"/>
                <w:color w:val="000000"/>
              </w:rPr>
            </w:pPr>
            <w:r w:rsidRPr="004F0BCC">
              <w:rPr>
                <w:rFonts w:ascii="Arial" w:hAnsi="Arial" w:cs="Arial"/>
                <w:color w:val="000000"/>
              </w:rPr>
              <w:t xml:space="preserve">The PBAC did not recommend the fixed dose combination (FDC) of tramadol hydrochloride 37.5 mg with paracetamol 325 mg for patients with acute pain on the basis of extensive quality use of medicines problems, questionable clinical place for the FDC, an inappropriate comparator, and inadequately supported efficacy and safety compared with the relevant comparator. The PBAC considered there were significant quality use of medicines issues associated with dosing with the FDC and the potential for abuse. The PBAC considered that the nominated comparator (treatment likely to be replaced in practice) was not appropriate, and that comparative efficacy and safety against the appropriate comparator had therefore not been established. The PBAC considered that the savings claimed due to reduced adverse effects and GP visits were not well supported and are unlikely to be realised in practice. </w:t>
            </w:r>
          </w:p>
        </w:tc>
      </w:tr>
      <w:tr w:rsidR="00F97C5D" w:rsidRPr="00395B97" w:rsidTr="00F13DD1">
        <w:trPr>
          <w:trHeight w:val="1047"/>
        </w:trPr>
        <w:tc>
          <w:tcPr>
            <w:tcW w:w="2694" w:type="dxa"/>
            <w:vMerge/>
            <w:tcMar>
              <w:top w:w="28" w:type="dxa"/>
              <w:bottom w:w="28" w:type="dxa"/>
            </w:tcMar>
          </w:tcPr>
          <w:p w:rsidR="00F97C5D" w:rsidRPr="00272411" w:rsidRDefault="00F97C5D" w:rsidP="00272411">
            <w:pPr>
              <w:rPr>
                <w:rFonts w:ascii="Arial" w:hAnsi="Arial" w:cs="Arial"/>
                <w:color w:val="000000"/>
              </w:rPr>
            </w:pPr>
          </w:p>
        </w:tc>
        <w:tc>
          <w:tcPr>
            <w:tcW w:w="2409" w:type="dxa"/>
            <w:vMerge/>
          </w:tcPr>
          <w:p w:rsidR="00F97C5D" w:rsidRDefault="00F97C5D" w:rsidP="002A6AB9">
            <w:pPr>
              <w:rPr>
                <w:rFonts w:ascii="Arial" w:hAnsi="Arial" w:cs="Arial"/>
                <w:color w:val="000000"/>
              </w:rPr>
            </w:pPr>
          </w:p>
        </w:tc>
        <w:tc>
          <w:tcPr>
            <w:tcW w:w="3261" w:type="dxa"/>
            <w:tcMar>
              <w:top w:w="28" w:type="dxa"/>
              <w:bottom w:w="28" w:type="dxa"/>
            </w:tcMar>
          </w:tcPr>
          <w:p w:rsidR="00F97C5D" w:rsidRPr="002E11FA" w:rsidRDefault="00F97C5D" w:rsidP="00DE38E8">
            <w:pPr>
              <w:rPr>
                <w:rFonts w:ascii="Arial" w:hAnsi="Arial" w:cs="Arial"/>
                <w:color w:val="000000"/>
              </w:rPr>
            </w:pPr>
            <w:r w:rsidRPr="002E11FA">
              <w:rPr>
                <w:rFonts w:ascii="Arial" w:hAnsi="Arial" w:cs="Arial"/>
                <w:snapToGrid w:val="0"/>
                <w:lang w:eastAsia="en-US"/>
              </w:rPr>
              <w:t>Sponsor Comment:</w:t>
            </w:r>
          </w:p>
        </w:tc>
        <w:tc>
          <w:tcPr>
            <w:tcW w:w="6947" w:type="dxa"/>
          </w:tcPr>
          <w:p w:rsidR="00F97C5D" w:rsidRPr="00F13DD1" w:rsidRDefault="00F97C5D" w:rsidP="0031270A">
            <w:pPr>
              <w:widowControl w:val="0"/>
              <w:jc w:val="both"/>
              <w:rPr>
                <w:rFonts w:ascii="Arial" w:hAnsi="Arial" w:cs="Arial"/>
                <w:color w:val="000000"/>
              </w:rPr>
            </w:pPr>
            <w:r w:rsidRPr="002E11FA">
              <w:rPr>
                <w:rFonts w:ascii="Arial" w:hAnsi="Arial" w:cs="Arial"/>
                <w:color w:val="000000"/>
              </w:rPr>
              <w:t xml:space="preserve">Aspen disagrees with the views expressed by the PBAC.  Aspen continues to believe there is a clinical place for FDC’s in acute pain management, in particular </w:t>
            </w:r>
            <w:proofErr w:type="spellStart"/>
            <w:r w:rsidRPr="002E11FA">
              <w:rPr>
                <w:rFonts w:ascii="Arial" w:hAnsi="Arial" w:cs="Arial"/>
                <w:color w:val="000000"/>
              </w:rPr>
              <w:t>Zaldiar</w:t>
            </w:r>
            <w:proofErr w:type="spellEnd"/>
            <w:r w:rsidRPr="002E11FA">
              <w:rPr>
                <w:rFonts w:ascii="Arial" w:hAnsi="Arial" w:cs="Arial"/>
                <w:color w:val="000000"/>
              </w:rPr>
              <w:t xml:space="preserve"> given its proven efficacy and superior ADRs/AEs profile compared to tramadol 50 mg IR capsules.</w:t>
            </w:r>
          </w:p>
        </w:tc>
      </w:tr>
    </w:tbl>
    <w:p w:rsidR="00836A68" w:rsidRDefault="00836A68" w:rsidP="0031270A">
      <w:pPr>
        <w:tabs>
          <w:tab w:val="left" w:pos="5210"/>
        </w:tabs>
        <w:rPr>
          <w:rFonts w:ascii="Arial" w:hAnsi="Arial" w:cs="Arial"/>
          <w:lang w:val="en-US"/>
        </w:rPr>
      </w:pPr>
    </w:p>
    <w:sectPr w:rsidR="00836A68" w:rsidSect="00257615">
      <w:headerReference w:type="default" r:id="rId9"/>
      <w:footerReference w:type="even" r:id="rId10"/>
      <w:footerReference w:type="default" r:id="rId11"/>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404" w:rsidRDefault="00AD0404">
      <w:r>
        <w:separator/>
      </w:r>
    </w:p>
  </w:endnote>
  <w:endnote w:type="continuationSeparator" w:id="0">
    <w:p w:rsidR="00AD0404" w:rsidRDefault="00AD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1F3B" w:rsidRDefault="005E1F3B"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1B1942">
      <w:rPr>
        <w:rStyle w:val="PageNumber"/>
        <w:rFonts w:ascii="Arial" w:hAnsi="Arial" w:cs="Arial"/>
        <w:noProof/>
      </w:rPr>
      <w:t>1</w:t>
    </w:r>
    <w:r w:rsidRPr="00287C89">
      <w:rPr>
        <w:rStyle w:val="PageNumber"/>
        <w:rFonts w:ascii="Arial" w:hAnsi="Arial" w:cs="Arial"/>
      </w:rPr>
      <w:fldChar w:fldCharType="end"/>
    </w:r>
  </w:p>
  <w:p w:rsidR="005E1F3B" w:rsidRDefault="005E1F3B" w:rsidP="00FE2A81">
    <w:pPr>
      <w:pStyle w:val="Footer"/>
      <w:ind w:right="360"/>
    </w:pPr>
  </w:p>
  <w:p w:rsidR="00257615" w:rsidRDefault="00257615" w:rsidP="00FE2A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404" w:rsidRDefault="00AD0404">
      <w:r>
        <w:separator/>
      </w:r>
    </w:p>
  </w:footnote>
  <w:footnote w:type="continuationSeparator" w:id="0">
    <w:p w:rsidR="00AD0404" w:rsidRDefault="00AD0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56F" w:rsidRDefault="000B527F" w:rsidP="0071356F">
    <w:pPr>
      <w:pStyle w:val="Header"/>
      <w:jc w:val="center"/>
      <w:rPr>
        <w:rFonts w:ascii="Arial" w:hAnsi="Arial" w:cs="Arial"/>
        <w:b/>
      </w:rPr>
    </w:pPr>
    <w:r>
      <w:rPr>
        <w:rFonts w:ascii="Arial" w:hAnsi="Arial" w:cs="Arial"/>
        <w:b/>
      </w:rPr>
      <w:t>MARCH 2018</w:t>
    </w:r>
    <w:r w:rsidR="000E1E84">
      <w:rPr>
        <w:rFonts w:ascii="Arial" w:hAnsi="Arial" w:cs="Arial"/>
        <w:b/>
      </w:rPr>
      <w:t xml:space="preserve"> </w:t>
    </w:r>
    <w:r w:rsidR="0071356F" w:rsidRPr="0071356F">
      <w:rPr>
        <w:rFonts w:ascii="Arial" w:hAnsi="Arial" w:cs="Arial"/>
        <w:b/>
      </w:rPr>
      <w:t>PBAC OUTCOMES –</w:t>
    </w:r>
    <w:r w:rsidR="007F10B5">
      <w:rPr>
        <w:rFonts w:ascii="Arial" w:hAnsi="Arial" w:cs="Arial"/>
        <w:b/>
      </w:rPr>
      <w:t xml:space="preserve"> </w:t>
    </w:r>
    <w:r w:rsidR="0071356F" w:rsidRPr="0071356F">
      <w:rPr>
        <w:rFonts w:ascii="Arial" w:hAnsi="Arial" w:cs="Arial"/>
        <w:b/>
      </w:rPr>
      <w:t>1</w:t>
    </w:r>
    <w:r w:rsidR="0071356F" w:rsidRPr="0071356F">
      <w:rPr>
        <w:rFonts w:ascii="Arial" w:hAnsi="Arial" w:cs="Arial"/>
        <w:b/>
        <w:vertAlign w:val="superscript"/>
      </w:rPr>
      <w:t>ST</w:t>
    </w:r>
    <w:r w:rsidR="007F10B5">
      <w:rPr>
        <w:rFonts w:ascii="Arial" w:hAnsi="Arial" w:cs="Arial"/>
        <w:b/>
      </w:rPr>
      <w:t xml:space="preserve"> TIME</w:t>
    </w:r>
    <w:r w:rsidR="0071356F" w:rsidRPr="0071356F">
      <w:rPr>
        <w:rFonts w:ascii="Arial" w:hAnsi="Arial" w:cs="Arial"/>
        <w:b/>
      </w:rPr>
      <w:t xml:space="preserve"> DECISIONS NOT TO RECOMMEND</w:t>
    </w:r>
  </w:p>
  <w:p w:rsidR="00257615" w:rsidRPr="0071356F" w:rsidRDefault="00257615" w:rsidP="0071356F">
    <w:pPr>
      <w:pStyle w:val="Header"/>
      <w:jc w:val="cent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19552A6"/>
    <w:multiLevelType w:val="hybridMultilevel"/>
    <w:tmpl w:val="08AC294E"/>
    <w:lvl w:ilvl="0" w:tplc="BBA2D27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25321D"/>
    <w:multiLevelType w:val="hybridMultilevel"/>
    <w:tmpl w:val="902C696C"/>
    <w:lvl w:ilvl="0" w:tplc="785C05E4">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4AD1CFB"/>
    <w:multiLevelType w:val="hybridMultilevel"/>
    <w:tmpl w:val="F2844B36"/>
    <w:lvl w:ilvl="0" w:tplc="D10E7B6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5413B67"/>
    <w:multiLevelType w:val="hybridMultilevel"/>
    <w:tmpl w:val="232E0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nsid w:val="0E7A7F97"/>
    <w:multiLevelType w:val="hybridMultilevel"/>
    <w:tmpl w:val="3F96B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0A52E23"/>
    <w:multiLevelType w:val="hybridMultilevel"/>
    <w:tmpl w:val="0B86935C"/>
    <w:lvl w:ilvl="0" w:tplc="F28C9948">
      <w:start w:val="1"/>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ED1F15"/>
    <w:multiLevelType w:val="hybridMultilevel"/>
    <w:tmpl w:val="F6189D7C"/>
    <w:lvl w:ilvl="0" w:tplc="31341FC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854A8B"/>
    <w:multiLevelType w:val="hybridMultilevel"/>
    <w:tmpl w:val="DB5CF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3B754780"/>
    <w:multiLevelType w:val="hybridMultilevel"/>
    <w:tmpl w:val="88C8F8E4"/>
    <w:lvl w:ilvl="0" w:tplc="C06213B2">
      <w:start w:val="6"/>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8">
    <w:nsid w:val="3BE75950"/>
    <w:multiLevelType w:val="hybridMultilevel"/>
    <w:tmpl w:val="15F0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D8D7906"/>
    <w:multiLevelType w:val="hybridMultilevel"/>
    <w:tmpl w:val="499C7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3F030CD8"/>
    <w:multiLevelType w:val="hybridMultilevel"/>
    <w:tmpl w:val="87BCA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416745C0"/>
    <w:multiLevelType w:val="hybridMultilevel"/>
    <w:tmpl w:val="28E436AC"/>
    <w:lvl w:ilvl="0" w:tplc="3B4C541A">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4D5A39E7"/>
    <w:multiLevelType w:val="hybridMultilevel"/>
    <w:tmpl w:val="1F6245DE"/>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5">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8">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9">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D0D4E35"/>
    <w:multiLevelType w:val="hybridMultilevel"/>
    <w:tmpl w:val="8A7C4DAE"/>
    <w:lvl w:ilvl="0" w:tplc="A96E8B7C">
      <w:numFmt w:val="bullet"/>
      <w:lvlText w:val="-"/>
      <w:lvlJc w:val="left"/>
      <w:pPr>
        <w:ind w:left="1069" w:hanging="360"/>
      </w:pPr>
      <w:rPr>
        <w:rFonts w:ascii="Arial" w:eastAsia="Times New Roman" w:hAnsi="Arial" w:cs="Arial" w:hint="default"/>
        <w:i/>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3">
    <w:nsid w:val="6D122374"/>
    <w:multiLevelType w:val="hybridMultilevel"/>
    <w:tmpl w:val="B44A314A"/>
    <w:lvl w:ilvl="0" w:tplc="785C05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8103EB6"/>
    <w:multiLevelType w:val="hybridMultilevel"/>
    <w:tmpl w:val="3DA08E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6">
    <w:nsid w:val="784D033C"/>
    <w:multiLevelType w:val="multilevel"/>
    <w:tmpl w:val="072691B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B4A0C22"/>
    <w:multiLevelType w:val="multilevel"/>
    <w:tmpl w:val="9B1E4FD0"/>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30"/>
  </w:num>
  <w:num w:numId="3">
    <w:abstractNumId w:val="29"/>
  </w:num>
  <w:num w:numId="4">
    <w:abstractNumId w:val="23"/>
  </w:num>
  <w:num w:numId="5">
    <w:abstractNumId w:val="13"/>
  </w:num>
  <w:num w:numId="6">
    <w:abstractNumId w:val="8"/>
  </w:num>
  <w:num w:numId="7">
    <w:abstractNumId w:val="31"/>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4"/>
  </w:num>
  <w:num w:numId="11">
    <w:abstractNumId w:val="25"/>
  </w:num>
  <w:num w:numId="12">
    <w:abstractNumId w:val="27"/>
  </w:num>
  <w:num w:numId="13">
    <w:abstractNumId w:val="9"/>
  </w:num>
  <w:num w:numId="14">
    <w:abstractNumId w:val="26"/>
  </w:num>
  <w:num w:numId="15">
    <w:abstractNumId w:val="28"/>
  </w:num>
  <w:num w:numId="16">
    <w:abstractNumId w:val="24"/>
  </w:num>
  <w:num w:numId="17">
    <w:abstractNumId w:val="38"/>
  </w:num>
  <w:num w:numId="18">
    <w:abstractNumId w:val="40"/>
  </w:num>
  <w:num w:numId="19">
    <w:abstractNumId w:val="5"/>
  </w:num>
  <w:num w:numId="20">
    <w:abstractNumId w:val="14"/>
  </w:num>
  <w:num w:numId="21">
    <w:abstractNumId w:val="16"/>
  </w:num>
  <w:num w:numId="22">
    <w:abstractNumId w:val="36"/>
  </w:num>
  <w:num w:numId="23">
    <w:abstractNumId w:val="4"/>
  </w:num>
  <w:num w:numId="24">
    <w:abstractNumId w:val="19"/>
  </w:num>
  <w:num w:numId="25">
    <w:abstractNumId w:val="12"/>
  </w:num>
  <w:num w:numId="26">
    <w:abstractNumId w:val="10"/>
  </w:num>
  <w:num w:numId="27">
    <w:abstractNumId w:val="21"/>
  </w:num>
  <w:num w:numId="28">
    <w:abstractNumId w:val="22"/>
  </w:num>
  <w:num w:numId="29">
    <w:abstractNumId w:val="20"/>
  </w:num>
  <w:num w:numId="30">
    <w:abstractNumId w:val="39"/>
  </w:num>
  <w:num w:numId="31">
    <w:abstractNumId w:val="17"/>
  </w:num>
  <w:num w:numId="32">
    <w:abstractNumId w:val="32"/>
  </w:num>
  <w:num w:numId="33">
    <w:abstractNumId w:val="37"/>
  </w:num>
  <w:num w:numId="34">
    <w:abstractNumId w:val="35"/>
  </w:num>
  <w:num w:numId="35">
    <w:abstractNumId w:val="3"/>
  </w:num>
  <w:num w:numId="36">
    <w:abstractNumId w:val="33"/>
  </w:num>
  <w:num w:numId="37">
    <w:abstractNumId w:val="2"/>
  </w:num>
  <w:num w:numId="38">
    <w:abstractNumId w:val="18"/>
  </w:num>
  <w:num w:numId="39">
    <w:abstractNumId w:val="1"/>
  </w:num>
  <w:num w:numId="40">
    <w:abstractNumId w:val="7"/>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379"/>
    <w:rsid w:val="00010886"/>
    <w:rsid w:val="00010920"/>
    <w:rsid w:val="00010A12"/>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2A5F"/>
    <w:rsid w:val="00022BF5"/>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65B0"/>
    <w:rsid w:val="00036CF7"/>
    <w:rsid w:val="00037F52"/>
    <w:rsid w:val="0004019D"/>
    <w:rsid w:val="000407E0"/>
    <w:rsid w:val="00041467"/>
    <w:rsid w:val="0004160D"/>
    <w:rsid w:val="00041F3D"/>
    <w:rsid w:val="00042593"/>
    <w:rsid w:val="00042803"/>
    <w:rsid w:val="00043C1D"/>
    <w:rsid w:val="00044146"/>
    <w:rsid w:val="00044BB4"/>
    <w:rsid w:val="00046725"/>
    <w:rsid w:val="000468C0"/>
    <w:rsid w:val="00046DA2"/>
    <w:rsid w:val="00050273"/>
    <w:rsid w:val="00050762"/>
    <w:rsid w:val="000507B9"/>
    <w:rsid w:val="00051AF5"/>
    <w:rsid w:val="0005661F"/>
    <w:rsid w:val="00057006"/>
    <w:rsid w:val="000575B4"/>
    <w:rsid w:val="000601EA"/>
    <w:rsid w:val="000603CB"/>
    <w:rsid w:val="0006084C"/>
    <w:rsid w:val="000608FE"/>
    <w:rsid w:val="000615B0"/>
    <w:rsid w:val="00061E01"/>
    <w:rsid w:val="0006239E"/>
    <w:rsid w:val="000626A0"/>
    <w:rsid w:val="0006295A"/>
    <w:rsid w:val="000643D0"/>
    <w:rsid w:val="00065195"/>
    <w:rsid w:val="000672D3"/>
    <w:rsid w:val="0006744F"/>
    <w:rsid w:val="00067A06"/>
    <w:rsid w:val="00067E91"/>
    <w:rsid w:val="00070204"/>
    <w:rsid w:val="00070612"/>
    <w:rsid w:val="000714CE"/>
    <w:rsid w:val="00071D67"/>
    <w:rsid w:val="00072584"/>
    <w:rsid w:val="000728AC"/>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90385"/>
    <w:rsid w:val="00090D21"/>
    <w:rsid w:val="00090F42"/>
    <w:rsid w:val="00091262"/>
    <w:rsid w:val="00091380"/>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3B2"/>
    <w:rsid w:val="000A7C8A"/>
    <w:rsid w:val="000A7F23"/>
    <w:rsid w:val="000B1170"/>
    <w:rsid w:val="000B1811"/>
    <w:rsid w:val="000B1A6E"/>
    <w:rsid w:val="000B21DD"/>
    <w:rsid w:val="000B2F97"/>
    <w:rsid w:val="000B3043"/>
    <w:rsid w:val="000B34FA"/>
    <w:rsid w:val="000B36FE"/>
    <w:rsid w:val="000B372D"/>
    <w:rsid w:val="000B38D3"/>
    <w:rsid w:val="000B5120"/>
    <w:rsid w:val="000B527F"/>
    <w:rsid w:val="000B5B24"/>
    <w:rsid w:val="000B6487"/>
    <w:rsid w:val="000B7A91"/>
    <w:rsid w:val="000B7F45"/>
    <w:rsid w:val="000C040A"/>
    <w:rsid w:val="000C0497"/>
    <w:rsid w:val="000C0E21"/>
    <w:rsid w:val="000C1BA1"/>
    <w:rsid w:val="000C219D"/>
    <w:rsid w:val="000C22B0"/>
    <w:rsid w:val="000C2786"/>
    <w:rsid w:val="000C3369"/>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E84"/>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0F7390"/>
    <w:rsid w:val="001000EA"/>
    <w:rsid w:val="00100B0B"/>
    <w:rsid w:val="001025E7"/>
    <w:rsid w:val="0010275F"/>
    <w:rsid w:val="0010316E"/>
    <w:rsid w:val="001038BB"/>
    <w:rsid w:val="00103F76"/>
    <w:rsid w:val="00105880"/>
    <w:rsid w:val="00106286"/>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4021"/>
    <w:rsid w:val="00145D66"/>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0DE3"/>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B049D"/>
    <w:rsid w:val="001B04E4"/>
    <w:rsid w:val="001B0553"/>
    <w:rsid w:val="001B0636"/>
    <w:rsid w:val="001B1577"/>
    <w:rsid w:val="001B16C3"/>
    <w:rsid w:val="001B1838"/>
    <w:rsid w:val="001B1942"/>
    <w:rsid w:val="001B1C67"/>
    <w:rsid w:val="001B2234"/>
    <w:rsid w:val="001B3984"/>
    <w:rsid w:val="001B3FE9"/>
    <w:rsid w:val="001B46AE"/>
    <w:rsid w:val="001B54F0"/>
    <w:rsid w:val="001B5950"/>
    <w:rsid w:val="001B5EF7"/>
    <w:rsid w:val="001B6AAD"/>
    <w:rsid w:val="001B71B5"/>
    <w:rsid w:val="001B78E2"/>
    <w:rsid w:val="001B7BF2"/>
    <w:rsid w:val="001B7EED"/>
    <w:rsid w:val="001C0289"/>
    <w:rsid w:val="001C181C"/>
    <w:rsid w:val="001C1FF0"/>
    <w:rsid w:val="001C27AF"/>
    <w:rsid w:val="001C3033"/>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9BC"/>
    <w:rsid w:val="001E092F"/>
    <w:rsid w:val="001E0947"/>
    <w:rsid w:val="001E152C"/>
    <w:rsid w:val="001E24EA"/>
    <w:rsid w:val="001E25FF"/>
    <w:rsid w:val="001E35D6"/>
    <w:rsid w:val="001E411C"/>
    <w:rsid w:val="001E5979"/>
    <w:rsid w:val="001E5C38"/>
    <w:rsid w:val="001E70C9"/>
    <w:rsid w:val="001E776D"/>
    <w:rsid w:val="001E77D9"/>
    <w:rsid w:val="001E79E9"/>
    <w:rsid w:val="001F0401"/>
    <w:rsid w:val="001F0D67"/>
    <w:rsid w:val="001F1A00"/>
    <w:rsid w:val="001F1B8A"/>
    <w:rsid w:val="001F2058"/>
    <w:rsid w:val="001F23BC"/>
    <w:rsid w:val="001F29C8"/>
    <w:rsid w:val="001F2E04"/>
    <w:rsid w:val="001F3474"/>
    <w:rsid w:val="001F391D"/>
    <w:rsid w:val="001F49C4"/>
    <w:rsid w:val="001F5561"/>
    <w:rsid w:val="001F5939"/>
    <w:rsid w:val="001F5B96"/>
    <w:rsid w:val="001F5D85"/>
    <w:rsid w:val="001F67F2"/>
    <w:rsid w:val="001F6895"/>
    <w:rsid w:val="001F6A3C"/>
    <w:rsid w:val="001F6DCB"/>
    <w:rsid w:val="001F7055"/>
    <w:rsid w:val="001F716B"/>
    <w:rsid w:val="001F7B95"/>
    <w:rsid w:val="001F7E44"/>
    <w:rsid w:val="001F7FE1"/>
    <w:rsid w:val="002010D3"/>
    <w:rsid w:val="00201885"/>
    <w:rsid w:val="00202943"/>
    <w:rsid w:val="0020322B"/>
    <w:rsid w:val="002032C8"/>
    <w:rsid w:val="00203A75"/>
    <w:rsid w:val="0020409B"/>
    <w:rsid w:val="002060A5"/>
    <w:rsid w:val="002068F5"/>
    <w:rsid w:val="002070E4"/>
    <w:rsid w:val="0020721C"/>
    <w:rsid w:val="002072C3"/>
    <w:rsid w:val="00207813"/>
    <w:rsid w:val="0020790A"/>
    <w:rsid w:val="00207E86"/>
    <w:rsid w:val="00210594"/>
    <w:rsid w:val="00210F65"/>
    <w:rsid w:val="00212939"/>
    <w:rsid w:val="00212B8B"/>
    <w:rsid w:val="0021371C"/>
    <w:rsid w:val="002139E7"/>
    <w:rsid w:val="00213E21"/>
    <w:rsid w:val="002144A1"/>
    <w:rsid w:val="002147A6"/>
    <w:rsid w:val="00214D4B"/>
    <w:rsid w:val="00215739"/>
    <w:rsid w:val="002157B5"/>
    <w:rsid w:val="00216869"/>
    <w:rsid w:val="0021720D"/>
    <w:rsid w:val="0022016A"/>
    <w:rsid w:val="00220F03"/>
    <w:rsid w:val="00221057"/>
    <w:rsid w:val="002212CB"/>
    <w:rsid w:val="00221B4C"/>
    <w:rsid w:val="002226A9"/>
    <w:rsid w:val="0022277E"/>
    <w:rsid w:val="00223034"/>
    <w:rsid w:val="00223614"/>
    <w:rsid w:val="002238E6"/>
    <w:rsid w:val="00225CB8"/>
    <w:rsid w:val="00226E88"/>
    <w:rsid w:val="00226F8B"/>
    <w:rsid w:val="0022715D"/>
    <w:rsid w:val="002304EA"/>
    <w:rsid w:val="00230AF7"/>
    <w:rsid w:val="00230B76"/>
    <w:rsid w:val="00231068"/>
    <w:rsid w:val="00231F8F"/>
    <w:rsid w:val="00234FCD"/>
    <w:rsid w:val="00234FD9"/>
    <w:rsid w:val="00236374"/>
    <w:rsid w:val="00237E07"/>
    <w:rsid w:val="00237F8D"/>
    <w:rsid w:val="002400A1"/>
    <w:rsid w:val="00240222"/>
    <w:rsid w:val="00240365"/>
    <w:rsid w:val="0024218B"/>
    <w:rsid w:val="002425FE"/>
    <w:rsid w:val="00242CD9"/>
    <w:rsid w:val="0024349D"/>
    <w:rsid w:val="00243967"/>
    <w:rsid w:val="0024424C"/>
    <w:rsid w:val="002444C2"/>
    <w:rsid w:val="00244BE9"/>
    <w:rsid w:val="0024530D"/>
    <w:rsid w:val="00245A74"/>
    <w:rsid w:val="00246A8F"/>
    <w:rsid w:val="0024727D"/>
    <w:rsid w:val="00250912"/>
    <w:rsid w:val="00250DBA"/>
    <w:rsid w:val="00251087"/>
    <w:rsid w:val="00251294"/>
    <w:rsid w:val="00251AD5"/>
    <w:rsid w:val="002523E5"/>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5FE9"/>
    <w:rsid w:val="0026773E"/>
    <w:rsid w:val="0027218C"/>
    <w:rsid w:val="002723FD"/>
    <w:rsid w:val="00272411"/>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5478"/>
    <w:rsid w:val="0028663C"/>
    <w:rsid w:val="00287C89"/>
    <w:rsid w:val="002905B5"/>
    <w:rsid w:val="002911D8"/>
    <w:rsid w:val="00293203"/>
    <w:rsid w:val="0029329A"/>
    <w:rsid w:val="00293A15"/>
    <w:rsid w:val="00295693"/>
    <w:rsid w:val="002960C3"/>
    <w:rsid w:val="00296670"/>
    <w:rsid w:val="002969C0"/>
    <w:rsid w:val="002972D4"/>
    <w:rsid w:val="00297AEF"/>
    <w:rsid w:val="00297F02"/>
    <w:rsid w:val="002A06E1"/>
    <w:rsid w:val="002A1DDC"/>
    <w:rsid w:val="002A21E8"/>
    <w:rsid w:val="002A3220"/>
    <w:rsid w:val="002A3596"/>
    <w:rsid w:val="002A3AA9"/>
    <w:rsid w:val="002A4F44"/>
    <w:rsid w:val="002A58F4"/>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C0170"/>
    <w:rsid w:val="002C0E18"/>
    <w:rsid w:val="002C2427"/>
    <w:rsid w:val="002C2773"/>
    <w:rsid w:val="002C2A4F"/>
    <w:rsid w:val="002C3502"/>
    <w:rsid w:val="002C397B"/>
    <w:rsid w:val="002C3BA0"/>
    <w:rsid w:val="002C436C"/>
    <w:rsid w:val="002C47C4"/>
    <w:rsid w:val="002C6E41"/>
    <w:rsid w:val="002C748E"/>
    <w:rsid w:val="002C7D3C"/>
    <w:rsid w:val="002D0DDF"/>
    <w:rsid w:val="002D17A5"/>
    <w:rsid w:val="002D1AC7"/>
    <w:rsid w:val="002D347E"/>
    <w:rsid w:val="002D3D17"/>
    <w:rsid w:val="002D42A0"/>
    <w:rsid w:val="002D440D"/>
    <w:rsid w:val="002D4C8C"/>
    <w:rsid w:val="002D545A"/>
    <w:rsid w:val="002D59E5"/>
    <w:rsid w:val="002D5C23"/>
    <w:rsid w:val="002D5CBC"/>
    <w:rsid w:val="002D5DC3"/>
    <w:rsid w:val="002D6B4D"/>
    <w:rsid w:val="002E11FA"/>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4CA2"/>
    <w:rsid w:val="002F51B3"/>
    <w:rsid w:val="002F527B"/>
    <w:rsid w:val="002F5306"/>
    <w:rsid w:val="002F5570"/>
    <w:rsid w:val="002F5792"/>
    <w:rsid w:val="002F5C9A"/>
    <w:rsid w:val="002F6254"/>
    <w:rsid w:val="002F6432"/>
    <w:rsid w:val="002F64A0"/>
    <w:rsid w:val="002F69EB"/>
    <w:rsid w:val="002F6D11"/>
    <w:rsid w:val="002F6FC4"/>
    <w:rsid w:val="002F7255"/>
    <w:rsid w:val="00300450"/>
    <w:rsid w:val="003005AA"/>
    <w:rsid w:val="00300EA5"/>
    <w:rsid w:val="003022B8"/>
    <w:rsid w:val="003023C4"/>
    <w:rsid w:val="003023EB"/>
    <w:rsid w:val="003026B9"/>
    <w:rsid w:val="00302C73"/>
    <w:rsid w:val="003035B2"/>
    <w:rsid w:val="00303733"/>
    <w:rsid w:val="00303A2F"/>
    <w:rsid w:val="00303C94"/>
    <w:rsid w:val="00304BF7"/>
    <w:rsid w:val="00304FE8"/>
    <w:rsid w:val="0030527B"/>
    <w:rsid w:val="00305FA4"/>
    <w:rsid w:val="00310992"/>
    <w:rsid w:val="00311387"/>
    <w:rsid w:val="00311EEA"/>
    <w:rsid w:val="0031270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353"/>
    <w:rsid w:val="0033063D"/>
    <w:rsid w:val="00331DCA"/>
    <w:rsid w:val="00332129"/>
    <w:rsid w:val="0033322F"/>
    <w:rsid w:val="00334912"/>
    <w:rsid w:val="00335779"/>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62D"/>
    <w:rsid w:val="00352CFB"/>
    <w:rsid w:val="00352F20"/>
    <w:rsid w:val="003530B9"/>
    <w:rsid w:val="00353798"/>
    <w:rsid w:val="003541D1"/>
    <w:rsid w:val="003548D7"/>
    <w:rsid w:val="003548F0"/>
    <w:rsid w:val="00354D94"/>
    <w:rsid w:val="003550C7"/>
    <w:rsid w:val="0035630E"/>
    <w:rsid w:val="003566E9"/>
    <w:rsid w:val="00357214"/>
    <w:rsid w:val="0035791D"/>
    <w:rsid w:val="00360CBD"/>
    <w:rsid w:val="00361072"/>
    <w:rsid w:val="00362461"/>
    <w:rsid w:val="003628AA"/>
    <w:rsid w:val="00362D37"/>
    <w:rsid w:val="00363DA3"/>
    <w:rsid w:val="003647E2"/>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0CB0"/>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5B97"/>
    <w:rsid w:val="00397572"/>
    <w:rsid w:val="003A074E"/>
    <w:rsid w:val="003A1CFF"/>
    <w:rsid w:val="003A2BB7"/>
    <w:rsid w:val="003A312D"/>
    <w:rsid w:val="003A4AB4"/>
    <w:rsid w:val="003A4C61"/>
    <w:rsid w:val="003A546F"/>
    <w:rsid w:val="003A565B"/>
    <w:rsid w:val="003A5C29"/>
    <w:rsid w:val="003A5DEB"/>
    <w:rsid w:val="003A5F75"/>
    <w:rsid w:val="003A61D4"/>
    <w:rsid w:val="003A6240"/>
    <w:rsid w:val="003A648B"/>
    <w:rsid w:val="003A6A14"/>
    <w:rsid w:val="003A72E4"/>
    <w:rsid w:val="003A7535"/>
    <w:rsid w:val="003A7616"/>
    <w:rsid w:val="003A799B"/>
    <w:rsid w:val="003A7D18"/>
    <w:rsid w:val="003B00C2"/>
    <w:rsid w:val="003B07D1"/>
    <w:rsid w:val="003B08EC"/>
    <w:rsid w:val="003B1AF6"/>
    <w:rsid w:val="003B1B75"/>
    <w:rsid w:val="003B2FBC"/>
    <w:rsid w:val="003B32CC"/>
    <w:rsid w:val="003B35CB"/>
    <w:rsid w:val="003B3A80"/>
    <w:rsid w:val="003B4DA2"/>
    <w:rsid w:val="003B4DDF"/>
    <w:rsid w:val="003B545C"/>
    <w:rsid w:val="003B57B7"/>
    <w:rsid w:val="003B5E19"/>
    <w:rsid w:val="003B64D8"/>
    <w:rsid w:val="003B78AC"/>
    <w:rsid w:val="003C08BD"/>
    <w:rsid w:val="003C1A62"/>
    <w:rsid w:val="003C2B1A"/>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AD3"/>
    <w:rsid w:val="003D3CD1"/>
    <w:rsid w:val="003D42EE"/>
    <w:rsid w:val="003D489A"/>
    <w:rsid w:val="003D4EA6"/>
    <w:rsid w:val="003D5944"/>
    <w:rsid w:val="003D5D05"/>
    <w:rsid w:val="003D5ECA"/>
    <w:rsid w:val="003D5FB6"/>
    <w:rsid w:val="003D6CBF"/>
    <w:rsid w:val="003D72CC"/>
    <w:rsid w:val="003D7D05"/>
    <w:rsid w:val="003E03C3"/>
    <w:rsid w:val="003E067B"/>
    <w:rsid w:val="003E11A4"/>
    <w:rsid w:val="003E1AD1"/>
    <w:rsid w:val="003E236D"/>
    <w:rsid w:val="003E2E8C"/>
    <w:rsid w:val="003E3009"/>
    <w:rsid w:val="003E308A"/>
    <w:rsid w:val="003E367A"/>
    <w:rsid w:val="003E37A4"/>
    <w:rsid w:val="003E4136"/>
    <w:rsid w:val="003E4E45"/>
    <w:rsid w:val="003E61CB"/>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087"/>
    <w:rsid w:val="00403EDA"/>
    <w:rsid w:val="00403F18"/>
    <w:rsid w:val="00403F44"/>
    <w:rsid w:val="0040409C"/>
    <w:rsid w:val="00404A45"/>
    <w:rsid w:val="004058B8"/>
    <w:rsid w:val="00405B3F"/>
    <w:rsid w:val="00406113"/>
    <w:rsid w:val="004063C4"/>
    <w:rsid w:val="004070C7"/>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17FB8"/>
    <w:rsid w:val="00420560"/>
    <w:rsid w:val="00420584"/>
    <w:rsid w:val="00421048"/>
    <w:rsid w:val="00422A93"/>
    <w:rsid w:val="00422BB1"/>
    <w:rsid w:val="00424D21"/>
    <w:rsid w:val="00424F3C"/>
    <w:rsid w:val="00425C24"/>
    <w:rsid w:val="004273BF"/>
    <w:rsid w:val="00427E8C"/>
    <w:rsid w:val="004311FF"/>
    <w:rsid w:val="004314B6"/>
    <w:rsid w:val="00432447"/>
    <w:rsid w:val="00432D97"/>
    <w:rsid w:val="00432F21"/>
    <w:rsid w:val="004349D9"/>
    <w:rsid w:val="0043544F"/>
    <w:rsid w:val="004362C0"/>
    <w:rsid w:val="00436425"/>
    <w:rsid w:val="004364E6"/>
    <w:rsid w:val="00436B27"/>
    <w:rsid w:val="0043712E"/>
    <w:rsid w:val="004400BC"/>
    <w:rsid w:val="004412E8"/>
    <w:rsid w:val="00441947"/>
    <w:rsid w:val="00443331"/>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283B"/>
    <w:rsid w:val="00453228"/>
    <w:rsid w:val="00453DB2"/>
    <w:rsid w:val="00453F45"/>
    <w:rsid w:val="00454D4D"/>
    <w:rsid w:val="00454F1D"/>
    <w:rsid w:val="00455817"/>
    <w:rsid w:val="00455982"/>
    <w:rsid w:val="00455AE4"/>
    <w:rsid w:val="00457034"/>
    <w:rsid w:val="00457BAA"/>
    <w:rsid w:val="00460981"/>
    <w:rsid w:val="004609DE"/>
    <w:rsid w:val="00461DC0"/>
    <w:rsid w:val="004628F0"/>
    <w:rsid w:val="00462D54"/>
    <w:rsid w:val="00462D63"/>
    <w:rsid w:val="00463886"/>
    <w:rsid w:val="00464F36"/>
    <w:rsid w:val="0046568B"/>
    <w:rsid w:val="00465782"/>
    <w:rsid w:val="00465C1F"/>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6F5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2E29"/>
    <w:rsid w:val="00493577"/>
    <w:rsid w:val="00494307"/>
    <w:rsid w:val="00494B3B"/>
    <w:rsid w:val="00494DE4"/>
    <w:rsid w:val="00495665"/>
    <w:rsid w:val="004963FE"/>
    <w:rsid w:val="004966A5"/>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1D41"/>
    <w:rsid w:val="004B2241"/>
    <w:rsid w:val="004B27D6"/>
    <w:rsid w:val="004B2EBB"/>
    <w:rsid w:val="004B36DF"/>
    <w:rsid w:val="004B3C81"/>
    <w:rsid w:val="004B47F4"/>
    <w:rsid w:val="004B50CC"/>
    <w:rsid w:val="004B5825"/>
    <w:rsid w:val="004B6415"/>
    <w:rsid w:val="004B64FA"/>
    <w:rsid w:val="004B758A"/>
    <w:rsid w:val="004B7F9F"/>
    <w:rsid w:val="004C06CE"/>
    <w:rsid w:val="004C099B"/>
    <w:rsid w:val="004C0DB4"/>
    <w:rsid w:val="004C33E8"/>
    <w:rsid w:val="004C4A96"/>
    <w:rsid w:val="004C4E5F"/>
    <w:rsid w:val="004C5875"/>
    <w:rsid w:val="004C5F28"/>
    <w:rsid w:val="004C6997"/>
    <w:rsid w:val="004C6CDB"/>
    <w:rsid w:val="004C723F"/>
    <w:rsid w:val="004C7C36"/>
    <w:rsid w:val="004C7D16"/>
    <w:rsid w:val="004D0132"/>
    <w:rsid w:val="004D080F"/>
    <w:rsid w:val="004D185E"/>
    <w:rsid w:val="004D29F9"/>
    <w:rsid w:val="004D4B61"/>
    <w:rsid w:val="004D56AB"/>
    <w:rsid w:val="004D606D"/>
    <w:rsid w:val="004D6B20"/>
    <w:rsid w:val="004D6C2F"/>
    <w:rsid w:val="004D71FE"/>
    <w:rsid w:val="004D72CE"/>
    <w:rsid w:val="004D7A80"/>
    <w:rsid w:val="004D7CA3"/>
    <w:rsid w:val="004E0388"/>
    <w:rsid w:val="004E0894"/>
    <w:rsid w:val="004E135A"/>
    <w:rsid w:val="004E1574"/>
    <w:rsid w:val="004E1C50"/>
    <w:rsid w:val="004E20EE"/>
    <w:rsid w:val="004E251F"/>
    <w:rsid w:val="004E2B23"/>
    <w:rsid w:val="004E3390"/>
    <w:rsid w:val="004E416F"/>
    <w:rsid w:val="004E424D"/>
    <w:rsid w:val="004E5F45"/>
    <w:rsid w:val="004E64DC"/>
    <w:rsid w:val="004E6F86"/>
    <w:rsid w:val="004E706A"/>
    <w:rsid w:val="004F0671"/>
    <w:rsid w:val="004F0BCC"/>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403"/>
    <w:rsid w:val="00507430"/>
    <w:rsid w:val="005101E5"/>
    <w:rsid w:val="00511D75"/>
    <w:rsid w:val="00511FF2"/>
    <w:rsid w:val="00512232"/>
    <w:rsid w:val="00513B7E"/>
    <w:rsid w:val="00514597"/>
    <w:rsid w:val="005150AB"/>
    <w:rsid w:val="0051769B"/>
    <w:rsid w:val="0052052F"/>
    <w:rsid w:val="00520571"/>
    <w:rsid w:val="00522C8A"/>
    <w:rsid w:val="005237D0"/>
    <w:rsid w:val="00523AF8"/>
    <w:rsid w:val="00523F57"/>
    <w:rsid w:val="00523F8F"/>
    <w:rsid w:val="005248F8"/>
    <w:rsid w:val="00524E1E"/>
    <w:rsid w:val="0052565F"/>
    <w:rsid w:val="00526E9C"/>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482B"/>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66A"/>
    <w:rsid w:val="005468A5"/>
    <w:rsid w:val="00546A1D"/>
    <w:rsid w:val="00546C8E"/>
    <w:rsid w:val="00546CB9"/>
    <w:rsid w:val="00546E83"/>
    <w:rsid w:val="00547725"/>
    <w:rsid w:val="00550292"/>
    <w:rsid w:val="00551309"/>
    <w:rsid w:val="00552426"/>
    <w:rsid w:val="00552F1A"/>
    <w:rsid w:val="0055363B"/>
    <w:rsid w:val="00553693"/>
    <w:rsid w:val="00553934"/>
    <w:rsid w:val="00553B71"/>
    <w:rsid w:val="00554C4D"/>
    <w:rsid w:val="00556A43"/>
    <w:rsid w:val="0056087F"/>
    <w:rsid w:val="0056121A"/>
    <w:rsid w:val="00562195"/>
    <w:rsid w:val="0056261D"/>
    <w:rsid w:val="00562918"/>
    <w:rsid w:val="00563269"/>
    <w:rsid w:val="00564643"/>
    <w:rsid w:val="00564772"/>
    <w:rsid w:val="00566518"/>
    <w:rsid w:val="005669DA"/>
    <w:rsid w:val="00567613"/>
    <w:rsid w:val="00571640"/>
    <w:rsid w:val="00571902"/>
    <w:rsid w:val="0057194C"/>
    <w:rsid w:val="005720AF"/>
    <w:rsid w:val="00572283"/>
    <w:rsid w:val="00572F6B"/>
    <w:rsid w:val="00573604"/>
    <w:rsid w:val="00573DE2"/>
    <w:rsid w:val="00573F29"/>
    <w:rsid w:val="00574949"/>
    <w:rsid w:val="00574AD1"/>
    <w:rsid w:val="005767F1"/>
    <w:rsid w:val="00576A92"/>
    <w:rsid w:val="00576BD7"/>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60BC"/>
    <w:rsid w:val="00587129"/>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76F"/>
    <w:rsid w:val="005969F6"/>
    <w:rsid w:val="00596FEB"/>
    <w:rsid w:val="00597810"/>
    <w:rsid w:val="00597A00"/>
    <w:rsid w:val="00597AB3"/>
    <w:rsid w:val="00597DBB"/>
    <w:rsid w:val="005A118A"/>
    <w:rsid w:val="005A1897"/>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1051"/>
    <w:rsid w:val="005C1B46"/>
    <w:rsid w:val="005C1F7E"/>
    <w:rsid w:val="005C2057"/>
    <w:rsid w:val="005C20A0"/>
    <w:rsid w:val="005C2EF2"/>
    <w:rsid w:val="005C3AE2"/>
    <w:rsid w:val="005C5258"/>
    <w:rsid w:val="005C57F7"/>
    <w:rsid w:val="005C76FD"/>
    <w:rsid w:val="005C7A6D"/>
    <w:rsid w:val="005C7DC3"/>
    <w:rsid w:val="005D0714"/>
    <w:rsid w:val="005D0DAF"/>
    <w:rsid w:val="005D0DFE"/>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0A09"/>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2E8"/>
    <w:rsid w:val="00607C2D"/>
    <w:rsid w:val="006103A4"/>
    <w:rsid w:val="00610922"/>
    <w:rsid w:val="00611D8D"/>
    <w:rsid w:val="006122E2"/>
    <w:rsid w:val="006125AA"/>
    <w:rsid w:val="00613E9D"/>
    <w:rsid w:val="0061423C"/>
    <w:rsid w:val="0061427C"/>
    <w:rsid w:val="006153E8"/>
    <w:rsid w:val="00615FAB"/>
    <w:rsid w:val="006169BB"/>
    <w:rsid w:val="00616F11"/>
    <w:rsid w:val="006177F0"/>
    <w:rsid w:val="0062005F"/>
    <w:rsid w:val="00620165"/>
    <w:rsid w:val="006201DC"/>
    <w:rsid w:val="00620985"/>
    <w:rsid w:val="00620BD5"/>
    <w:rsid w:val="00621B17"/>
    <w:rsid w:val="00622289"/>
    <w:rsid w:val="00622543"/>
    <w:rsid w:val="00622643"/>
    <w:rsid w:val="00623312"/>
    <w:rsid w:val="0062351E"/>
    <w:rsid w:val="00623E92"/>
    <w:rsid w:val="00623E93"/>
    <w:rsid w:val="00624322"/>
    <w:rsid w:val="00624406"/>
    <w:rsid w:val="006248E3"/>
    <w:rsid w:val="00625D3D"/>
    <w:rsid w:val="00625DB6"/>
    <w:rsid w:val="00626CAC"/>
    <w:rsid w:val="00627AD4"/>
    <w:rsid w:val="00630F33"/>
    <w:rsid w:val="006312A4"/>
    <w:rsid w:val="006312F8"/>
    <w:rsid w:val="006313C9"/>
    <w:rsid w:val="006317D2"/>
    <w:rsid w:val="00631C0F"/>
    <w:rsid w:val="006337EA"/>
    <w:rsid w:val="006348ED"/>
    <w:rsid w:val="00636A18"/>
    <w:rsid w:val="00636C52"/>
    <w:rsid w:val="0063771E"/>
    <w:rsid w:val="006406A6"/>
    <w:rsid w:val="00640A5A"/>
    <w:rsid w:val="00640C80"/>
    <w:rsid w:val="00640E6C"/>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A30"/>
    <w:rsid w:val="00664B40"/>
    <w:rsid w:val="006652FD"/>
    <w:rsid w:val="00665679"/>
    <w:rsid w:val="0066568C"/>
    <w:rsid w:val="0066590A"/>
    <w:rsid w:val="00665DB7"/>
    <w:rsid w:val="00666370"/>
    <w:rsid w:val="0066646F"/>
    <w:rsid w:val="00666775"/>
    <w:rsid w:val="00666A5B"/>
    <w:rsid w:val="00666F3B"/>
    <w:rsid w:val="00670EFB"/>
    <w:rsid w:val="00671380"/>
    <w:rsid w:val="006713F9"/>
    <w:rsid w:val="00672F3E"/>
    <w:rsid w:val="00673BF2"/>
    <w:rsid w:val="00673C58"/>
    <w:rsid w:val="0067494B"/>
    <w:rsid w:val="00674DB0"/>
    <w:rsid w:val="00675296"/>
    <w:rsid w:val="006766B8"/>
    <w:rsid w:val="00677143"/>
    <w:rsid w:val="006807E1"/>
    <w:rsid w:val="00680DE4"/>
    <w:rsid w:val="0068116A"/>
    <w:rsid w:val="006823D9"/>
    <w:rsid w:val="00683367"/>
    <w:rsid w:val="00683B8F"/>
    <w:rsid w:val="006841B1"/>
    <w:rsid w:val="0068436A"/>
    <w:rsid w:val="0068523F"/>
    <w:rsid w:val="006855A0"/>
    <w:rsid w:val="0068565F"/>
    <w:rsid w:val="00685955"/>
    <w:rsid w:val="006861C4"/>
    <w:rsid w:val="00686C23"/>
    <w:rsid w:val="00687033"/>
    <w:rsid w:val="00687D28"/>
    <w:rsid w:val="00687EC6"/>
    <w:rsid w:val="00690AC8"/>
    <w:rsid w:val="00690CCF"/>
    <w:rsid w:val="00690E24"/>
    <w:rsid w:val="00690F58"/>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0BB4"/>
    <w:rsid w:val="006A12AE"/>
    <w:rsid w:val="006A12E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75FA"/>
    <w:rsid w:val="006C7FAC"/>
    <w:rsid w:val="006D002D"/>
    <w:rsid w:val="006D0421"/>
    <w:rsid w:val="006D047B"/>
    <w:rsid w:val="006D1D18"/>
    <w:rsid w:val="006D2594"/>
    <w:rsid w:val="006D2BD4"/>
    <w:rsid w:val="006D3530"/>
    <w:rsid w:val="006D407D"/>
    <w:rsid w:val="006D477F"/>
    <w:rsid w:val="006D47BC"/>
    <w:rsid w:val="006D4ACA"/>
    <w:rsid w:val="006D5843"/>
    <w:rsid w:val="006D6871"/>
    <w:rsid w:val="006D6CA2"/>
    <w:rsid w:val="006D70E2"/>
    <w:rsid w:val="006D71D3"/>
    <w:rsid w:val="006E1FB4"/>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5A35"/>
    <w:rsid w:val="006F6D3E"/>
    <w:rsid w:val="006F6DDA"/>
    <w:rsid w:val="006F7041"/>
    <w:rsid w:val="0070068B"/>
    <w:rsid w:val="00700990"/>
    <w:rsid w:val="00700CE0"/>
    <w:rsid w:val="00700CF4"/>
    <w:rsid w:val="007016BE"/>
    <w:rsid w:val="007025A3"/>
    <w:rsid w:val="007030B9"/>
    <w:rsid w:val="00703181"/>
    <w:rsid w:val="007042E7"/>
    <w:rsid w:val="007044EC"/>
    <w:rsid w:val="00704571"/>
    <w:rsid w:val="007048F0"/>
    <w:rsid w:val="00705362"/>
    <w:rsid w:val="00705FF9"/>
    <w:rsid w:val="0070604E"/>
    <w:rsid w:val="0070718C"/>
    <w:rsid w:val="00711526"/>
    <w:rsid w:val="0071165C"/>
    <w:rsid w:val="00711CAD"/>
    <w:rsid w:val="0071201B"/>
    <w:rsid w:val="0071356F"/>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51097"/>
    <w:rsid w:val="00751E1F"/>
    <w:rsid w:val="0075296E"/>
    <w:rsid w:val="00752B4C"/>
    <w:rsid w:val="00752F33"/>
    <w:rsid w:val="0075319C"/>
    <w:rsid w:val="007531A5"/>
    <w:rsid w:val="007535E3"/>
    <w:rsid w:val="00753FCB"/>
    <w:rsid w:val="007542B1"/>
    <w:rsid w:val="007550FE"/>
    <w:rsid w:val="00755EE8"/>
    <w:rsid w:val="0075658F"/>
    <w:rsid w:val="00756609"/>
    <w:rsid w:val="007566A7"/>
    <w:rsid w:val="00756E30"/>
    <w:rsid w:val="0075707E"/>
    <w:rsid w:val="00757941"/>
    <w:rsid w:val="007639A5"/>
    <w:rsid w:val="00763EE9"/>
    <w:rsid w:val="00764375"/>
    <w:rsid w:val="007653BF"/>
    <w:rsid w:val="00765544"/>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873"/>
    <w:rsid w:val="007847D1"/>
    <w:rsid w:val="00784924"/>
    <w:rsid w:val="00785B0C"/>
    <w:rsid w:val="00785D82"/>
    <w:rsid w:val="0078647B"/>
    <w:rsid w:val="00786ED4"/>
    <w:rsid w:val="0078716F"/>
    <w:rsid w:val="007873C8"/>
    <w:rsid w:val="0078793D"/>
    <w:rsid w:val="00790F50"/>
    <w:rsid w:val="00791374"/>
    <w:rsid w:val="0079263D"/>
    <w:rsid w:val="00792B66"/>
    <w:rsid w:val="0079352C"/>
    <w:rsid w:val="00793B34"/>
    <w:rsid w:val="00793B84"/>
    <w:rsid w:val="00793D87"/>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B91"/>
    <w:rsid w:val="007B1C29"/>
    <w:rsid w:val="007B1DBC"/>
    <w:rsid w:val="007B2177"/>
    <w:rsid w:val="007B2FF1"/>
    <w:rsid w:val="007B56E1"/>
    <w:rsid w:val="007B5909"/>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17"/>
    <w:rsid w:val="007D1AFD"/>
    <w:rsid w:val="007D1E73"/>
    <w:rsid w:val="007D23C4"/>
    <w:rsid w:val="007D2FC8"/>
    <w:rsid w:val="007D408D"/>
    <w:rsid w:val="007D4CD5"/>
    <w:rsid w:val="007D52A7"/>
    <w:rsid w:val="007D619D"/>
    <w:rsid w:val="007D658F"/>
    <w:rsid w:val="007D6B04"/>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1BF"/>
    <w:rsid w:val="007E495E"/>
    <w:rsid w:val="007E5FF3"/>
    <w:rsid w:val="007E65FE"/>
    <w:rsid w:val="007E6782"/>
    <w:rsid w:val="007E6B64"/>
    <w:rsid w:val="007E6F9A"/>
    <w:rsid w:val="007E71C8"/>
    <w:rsid w:val="007E7679"/>
    <w:rsid w:val="007E79F5"/>
    <w:rsid w:val="007E7AF0"/>
    <w:rsid w:val="007F02BF"/>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4C7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6A68"/>
    <w:rsid w:val="008373F3"/>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3EFD"/>
    <w:rsid w:val="0085413E"/>
    <w:rsid w:val="00854674"/>
    <w:rsid w:val="00854784"/>
    <w:rsid w:val="00854C8E"/>
    <w:rsid w:val="0085729A"/>
    <w:rsid w:val="008575ED"/>
    <w:rsid w:val="00857F3D"/>
    <w:rsid w:val="00860F08"/>
    <w:rsid w:val="008612F5"/>
    <w:rsid w:val="00861F9D"/>
    <w:rsid w:val="0086307F"/>
    <w:rsid w:val="008639AD"/>
    <w:rsid w:val="00863C1F"/>
    <w:rsid w:val="00865018"/>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2EFA"/>
    <w:rsid w:val="008934FE"/>
    <w:rsid w:val="00893B5D"/>
    <w:rsid w:val="00893E2F"/>
    <w:rsid w:val="008944DB"/>
    <w:rsid w:val="0089594E"/>
    <w:rsid w:val="008968C4"/>
    <w:rsid w:val="00896AE2"/>
    <w:rsid w:val="00897463"/>
    <w:rsid w:val="0089753B"/>
    <w:rsid w:val="00897911"/>
    <w:rsid w:val="00897B11"/>
    <w:rsid w:val="008A03BE"/>
    <w:rsid w:val="008A1C8E"/>
    <w:rsid w:val="008A2377"/>
    <w:rsid w:val="008A2ADD"/>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4D67"/>
    <w:rsid w:val="008F5536"/>
    <w:rsid w:val="008F6537"/>
    <w:rsid w:val="00900590"/>
    <w:rsid w:val="00900883"/>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399E"/>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1F57"/>
    <w:rsid w:val="009D6353"/>
    <w:rsid w:val="009D6CF0"/>
    <w:rsid w:val="009D6E22"/>
    <w:rsid w:val="009D75A9"/>
    <w:rsid w:val="009E0A40"/>
    <w:rsid w:val="009E153F"/>
    <w:rsid w:val="009E1991"/>
    <w:rsid w:val="009E19AE"/>
    <w:rsid w:val="009E1E60"/>
    <w:rsid w:val="009E1F86"/>
    <w:rsid w:val="009E3112"/>
    <w:rsid w:val="009E34B7"/>
    <w:rsid w:val="009E434B"/>
    <w:rsid w:val="009E480B"/>
    <w:rsid w:val="009E4C2E"/>
    <w:rsid w:val="009E5BAE"/>
    <w:rsid w:val="009E5BF5"/>
    <w:rsid w:val="009E5D18"/>
    <w:rsid w:val="009E5F8E"/>
    <w:rsid w:val="009E65CA"/>
    <w:rsid w:val="009E699D"/>
    <w:rsid w:val="009F1904"/>
    <w:rsid w:val="009F1B34"/>
    <w:rsid w:val="009F209E"/>
    <w:rsid w:val="009F2446"/>
    <w:rsid w:val="009F2450"/>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20573"/>
    <w:rsid w:val="00A207FA"/>
    <w:rsid w:val="00A20C94"/>
    <w:rsid w:val="00A21C4C"/>
    <w:rsid w:val="00A220B7"/>
    <w:rsid w:val="00A227D6"/>
    <w:rsid w:val="00A227E7"/>
    <w:rsid w:val="00A22D55"/>
    <w:rsid w:val="00A22F6E"/>
    <w:rsid w:val="00A231D9"/>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EBD"/>
    <w:rsid w:val="00A40F98"/>
    <w:rsid w:val="00A42AD8"/>
    <w:rsid w:val="00A43813"/>
    <w:rsid w:val="00A43D47"/>
    <w:rsid w:val="00A440A6"/>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7F2A"/>
    <w:rsid w:val="00A71CDE"/>
    <w:rsid w:val="00A7252E"/>
    <w:rsid w:val="00A72BBC"/>
    <w:rsid w:val="00A72E18"/>
    <w:rsid w:val="00A730F3"/>
    <w:rsid w:val="00A74BE6"/>
    <w:rsid w:val="00A7557C"/>
    <w:rsid w:val="00A758A4"/>
    <w:rsid w:val="00A75BA0"/>
    <w:rsid w:val="00A768A2"/>
    <w:rsid w:val="00A76A55"/>
    <w:rsid w:val="00A773B4"/>
    <w:rsid w:val="00A80948"/>
    <w:rsid w:val="00A81811"/>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F05"/>
    <w:rsid w:val="00A96FC0"/>
    <w:rsid w:val="00A97BFA"/>
    <w:rsid w:val="00AA007C"/>
    <w:rsid w:val="00AA0B30"/>
    <w:rsid w:val="00AA25C9"/>
    <w:rsid w:val="00AA3726"/>
    <w:rsid w:val="00AA40AA"/>
    <w:rsid w:val="00AA4F09"/>
    <w:rsid w:val="00AA7A72"/>
    <w:rsid w:val="00AA7DCE"/>
    <w:rsid w:val="00AA7F8C"/>
    <w:rsid w:val="00AA7FA5"/>
    <w:rsid w:val="00AB0725"/>
    <w:rsid w:val="00AB0807"/>
    <w:rsid w:val="00AB0FB2"/>
    <w:rsid w:val="00AB10E3"/>
    <w:rsid w:val="00AB18AB"/>
    <w:rsid w:val="00AB1FAD"/>
    <w:rsid w:val="00AB2AF8"/>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5CA"/>
    <w:rsid w:val="00AC4D66"/>
    <w:rsid w:val="00AC544B"/>
    <w:rsid w:val="00AC5C0E"/>
    <w:rsid w:val="00AC5FCE"/>
    <w:rsid w:val="00AC615E"/>
    <w:rsid w:val="00AC62B7"/>
    <w:rsid w:val="00AC6BDA"/>
    <w:rsid w:val="00AC6E20"/>
    <w:rsid w:val="00AC7A38"/>
    <w:rsid w:val="00AD0404"/>
    <w:rsid w:val="00AD07F1"/>
    <w:rsid w:val="00AD20E0"/>
    <w:rsid w:val="00AD2BE1"/>
    <w:rsid w:val="00AD3C49"/>
    <w:rsid w:val="00AD3D21"/>
    <w:rsid w:val="00AD65BE"/>
    <w:rsid w:val="00AD68F8"/>
    <w:rsid w:val="00AD692B"/>
    <w:rsid w:val="00AE0B68"/>
    <w:rsid w:val="00AE0CA2"/>
    <w:rsid w:val="00AE10CD"/>
    <w:rsid w:val="00AE1499"/>
    <w:rsid w:val="00AE2D0A"/>
    <w:rsid w:val="00AE3725"/>
    <w:rsid w:val="00AE448F"/>
    <w:rsid w:val="00AE4E58"/>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51E5"/>
    <w:rsid w:val="00AF52E7"/>
    <w:rsid w:val="00AF5D55"/>
    <w:rsid w:val="00AF605B"/>
    <w:rsid w:val="00AF741B"/>
    <w:rsid w:val="00AF7453"/>
    <w:rsid w:val="00AF7C3D"/>
    <w:rsid w:val="00AF7E72"/>
    <w:rsid w:val="00B0115C"/>
    <w:rsid w:val="00B01F83"/>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39DD"/>
    <w:rsid w:val="00B140D2"/>
    <w:rsid w:val="00B1462C"/>
    <w:rsid w:val="00B14CD1"/>
    <w:rsid w:val="00B15491"/>
    <w:rsid w:val="00B1562F"/>
    <w:rsid w:val="00B16D63"/>
    <w:rsid w:val="00B17629"/>
    <w:rsid w:val="00B21D6E"/>
    <w:rsid w:val="00B22C39"/>
    <w:rsid w:val="00B22DE0"/>
    <w:rsid w:val="00B23D2D"/>
    <w:rsid w:val="00B24FEA"/>
    <w:rsid w:val="00B2540B"/>
    <w:rsid w:val="00B25B94"/>
    <w:rsid w:val="00B25FE6"/>
    <w:rsid w:val="00B2603E"/>
    <w:rsid w:val="00B26397"/>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472"/>
    <w:rsid w:val="00B3775E"/>
    <w:rsid w:val="00B37810"/>
    <w:rsid w:val="00B37E95"/>
    <w:rsid w:val="00B410B3"/>
    <w:rsid w:val="00B4190C"/>
    <w:rsid w:val="00B41956"/>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3D2"/>
    <w:rsid w:val="00B57D54"/>
    <w:rsid w:val="00B60946"/>
    <w:rsid w:val="00B609C3"/>
    <w:rsid w:val="00B609D4"/>
    <w:rsid w:val="00B60FB5"/>
    <w:rsid w:val="00B62014"/>
    <w:rsid w:val="00B629C9"/>
    <w:rsid w:val="00B63426"/>
    <w:rsid w:val="00B63656"/>
    <w:rsid w:val="00B63F21"/>
    <w:rsid w:val="00B63FB6"/>
    <w:rsid w:val="00B64086"/>
    <w:rsid w:val="00B64519"/>
    <w:rsid w:val="00B64541"/>
    <w:rsid w:val="00B6456D"/>
    <w:rsid w:val="00B64BD0"/>
    <w:rsid w:val="00B64FCD"/>
    <w:rsid w:val="00B65CBD"/>
    <w:rsid w:val="00B6654A"/>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6B7E"/>
    <w:rsid w:val="00B87DD5"/>
    <w:rsid w:val="00B90F96"/>
    <w:rsid w:val="00B9219F"/>
    <w:rsid w:val="00B926CB"/>
    <w:rsid w:val="00B930DC"/>
    <w:rsid w:val="00B933B2"/>
    <w:rsid w:val="00B936CB"/>
    <w:rsid w:val="00B93CAF"/>
    <w:rsid w:val="00B941B6"/>
    <w:rsid w:val="00B94A06"/>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7991"/>
    <w:rsid w:val="00BE0BDD"/>
    <w:rsid w:val="00BE21E3"/>
    <w:rsid w:val="00BE305B"/>
    <w:rsid w:val="00BE5F4E"/>
    <w:rsid w:val="00BE62B2"/>
    <w:rsid w:val="00BE6350"/>
    <w:rsid w:val="00BE67F1"/>
    <w:rsid w:val="00BE7287"/>
    <w:rsid w:val="00BE7C93"/>
    <w:rsid w:val="00BF0362"/>
    <w:rsid w:val="00BF0479"/>
    <w:rsid w:val="00BF0D73"/>
    <w:rsid w:val="00BF16B4"/>
    <w:rsid w:val="00BF1D23"/>
    <w:rsid w:val="00BF1F82"/>
    <w:rsid w:val="00BF2520"/>
    <w:rsid w:val="00BF3470"/>
    <w:rsid w:val="00BF3B94"/>
    <w:rsid w:val="00BF3FF8"/>
    <w:rsid w:val="00BF4C53"/>
    <w:rsid w:val="00BF54DC"/>
    <w:rsid w:val="00BF5748"/>
    <w:rsid w:val="00BF6270"/>
    <w:rsid w:val="00BF67B7"/>
    <w:rsid w:val="00BF770B"/>
    <w:rsid w:val="00BF7E69"/>
    <w:rsid w:val="00C01510"/>
    <w:rsid w:val="00C01CEB"/>
    <w:rsid w:val="00C01F6E"/>
    <w:rsid w:val="00C03249"/>
    <w:rsid w:val="00C04BAE"/>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8E7"/>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A2A"/>
    <w:rsid w:val="00C31F7F"/>
    <w:rsid w:val="00C32186"/>
    <w:rsid w:val="00C335AE"/>
    <w:rsid w:val="00C34E1F"/>
    <w:rsid w:val="00C35C70"/>
    <w:rsid w:val="00C35E26"/>
    <w:rsid w:val="00C3626A"/>
    <w:rsid w:val="00C36684"/>
    <w:rsid w:val="00C36F0A"/>
    <w:rsid w:val="00C36F4F"/>
    <w:rsid w:val="00C372CB"/>
    <w:rsid w:val="00C4067A"/>
    <w:rsid w:val="00C40FA0"/>
    <w:rsid w:val="00C41480"/>
    <w:rsid w:val="00C42F22"/>
    <w:rsid w:val="00C439FF"/>
    <w:rsid w:val="00C44052"/>
    <w:rsid w:val="00C44368"/>
    <w:rsid w:val="00C46111"/>
    <w:rsid w:val="00C46822"/>
    <w:rsid w:val="00C46CE5"/>
    <w:rsid w:val="00C47CFC"/>
    <w:rsid w:val="00C50260"/>
    <w:rsid w:val="00C51395"/>
    <w:rsid w:val="00C51553"/>
    <w:rsid w:val="00C518A5"/>
    <w:rsid w:val="00C51A60"/>
    <w:rsid w:val="00C52334"/>
    <w:rsid w:val="00C526C6"/>
    <w:rsid w:val="00C52C65"/>
    <w:rsid w:val="00C53110"/>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288E"/>
    <w:rsid w:val="00C6395F"/>
    <w:rsid w:val="00C63C3D"/>
    <w:rsid w:val="00C644BF"/>
    <w:rsid w:val="00C65163"/>
    <w:rsid w:val="00C652FB"/>
    <w:rsid w:val="00C65B6B"/>
    <w:rsid w:val="00C66492"/>
    <w:rsid w:val="00C664AB"/>
    <w:rsid w:val="00C66584"/>
    <w:rsid w:val="00C66705"/>
    <w:rsid w:val="00C67754"/>
    <w:rsid w:val="00C70254"/>
    <w:rsid w:val="00C703C0"/>
    <w:rsid w:val="00C703C6"/>
    <w:rsid w:val="00C706D1"/>
    <w:rsid w:val="00C70DA8"/>
    <w:rsid w:val="00C70FAE"/>
    <w:rsid w:val="00C71284"/>
    <w:rsid w:val="00C719C3"/>
    <w:rsid w:val="00C72DD5"/>
    <w:rsid w:val="00C733A6"/>
    <w:rsid w:val="00C737B0"/>
    <w:rsid w:val="00C73D39"/>
    <w:rsid w:val="00C743BB"/>
    <w:rsid w:val="00C7675A"/>
    <w:rsid w:val="00C76E9D"/>
    <w:rsid w:val="00C816DF"/>
    <w:rsid w:val="00C820EE"/>
    <w:rsid w:val="00C84713"/>
    <w:rsid w:val="00C84758"/>
    <w:rsid w:val="00C853AB"/>
    <w:rsid w:val="00C85F72"/>
    <w:rsid w:val="00C86896"/>
    <w:rsid w:val="00C876E1"/>
    <w:rsid w:val="00C90162"/>
    <w:rsid w:val="00C908A9"/>
    <w:rsid w:val="00C908BE"/>
    <w:rsid w:val="00C91507"/>
    <w:rsid w:val="00C940C2"/>
    <w:rsid w:val="00C952E9"/>
    <w:rsid w:val="00C95AC8"/>
    <w:rsid w:val="00C9760B"/>
    <w:rsid w:val="00C976E0"/>
    <w:rsid w:val="00C9796B"/>
    <w:rsid w:val="00C97C19"/>
    <w:rsid w:val="00CA0174"/>
    <w:rsid w:val="00CA018B"/>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0C"/>
    <w:rsid w:val="00CB0A65"/>
    <w:rsid w:val="00CB1177"/>
    <w:rsid w:val="00CB1618"/>
    <w:rsid w:val="00CB1A88"/>
    <w:rsid w:val="00CB2696"/>
    <w:rsid w:val="00CB277F"/>
    <w:rsid w:val="00CB3318"/>
    <w:rsid w:val="00CB3628"/>
    <w:rsid w:val="00CB407C"/>
    <w:rsid w:val="00CB46B4"/>
    <w:rsid w:val="00CB4940"/>
    <w:rsid w:val="00CB5D5B"/>
    <w:rsid w:val="00CB6E94"/>
    <w:rsid w:val="00CB7060"/>
    <w:rsid w:val="00CB77F2"/>
    <w:rsid w:val="00CB7DD6"/>
    <w:rsid w:val="00CC01B8"/>
    <w:rsid w:val="00CC0438"/>
    <w:rsid w:val="00CC0563"/>
    <w:rsid w:val="00CC140D"/>
    <w:rsid w:val="00CC1E56"/>
    <w:rsid w:val="00CC2270"/>
    <w:rsid w:val="00CC3277"/>
    <w:rsid w:val="00CC385B"/>
    <w:rsid w:val="00CC4207"/>
    <w:rsid w:val="00CC5222"/>
    <w:rsid w:val="00CC5775"/>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E7E6F"/>
    <w:rsid w:val="00CF0553"/>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1EA0"/>
    <w:rsid w:val="00D02E42"/>
    <w:rsid w:val="00D0354D"/>
    <w:rsid w:val="00D0497C"/>
    <w:rsid w:val="00D04F45"/>
    <w:rsid w:val="00D04FAA"/>
    <w:rsid w:val="00D0548B"/>
    <w:rsid w:val="00D05AEE"/>
    <w:rsid w:val="00D05D6E"/>
    <w:rsid w:val="00D05F55"/>
    <w:rsid w:val="00D0648D"/>
    <w:rsid w:val="00D06EB9"/>
    <w:rsid w:val="00D1153F"/>
    <w:rsid w:val="00D11995"/>
    <w:rsid w:val="00D11CFD"/>
    <w:rsid w:val="00D12432"/>
    <w:rsid w:val="00D13808"/>
    <w:rsid w:val="00D13819"/>
    <w:rsid w:val="00D1414D"/>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597"/>
    <w:rsid w:val="00D35689"/>
    <w:rsid w:val="00D35F49"/>
    <w:rsid w:val="00D3647C"/>
    <w:rsid w:val="00D365FA"/>
    <w:rsid w:val="00D37093"/>
    <w:rsid w:val="00D40425"/>
    <w:rsid w:val="00D40BC3"/>
    <w:rsid w:val="00D40D6B"/>
    <w:rsid w:val="00D4129E"/>
    <w:rsid w:val="00D418A3"/>
    <w:rsid w:val="00D41AB6"/>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8BD"/>
    <w:rsid w:val="00D56C00"/>
    <w:rsid w:val="00D57082"/>
    <w:rsid w:val="00D577BB"/>
    <w:rsid w:val="00D57B91"/>
    <w:rsid w:val="00D62320"/>
    <w:rsid w:val="00D6248B"/>
    <w:rsid w:val="00D62B5D"/>
    <w:rsid w:val="00D63379"/>
    <w:rsid w:val="00D635B1"/>
    <w:rsid w:val="00D639C5"/>
    <w:rsid w:val="00D63DB5"/>
    <w:rsid w:val="00D63E14"/>
    <w:rsid w:val="00D64155"/>
    <w:rsid w:val="00D64BEA"/>
    <w:rsid w:val="00D65C02"/>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7AD8"/>
    <w:rsid w:val="00D80605"/>
    <w:rsid w:val="00D80973"/>
    <w:rsid w:val="00D80BD8"/>
    <w:rsid w:val="00D82A2B"/>
    <w:rsid w:val="00D8301D"/>
    <w:rsid w:val="00D8473E"/>
    <w:rsid w:val="00D86255"/>
    <w:rsid w:val="00D863D1"/>
    <w:rsid w:val="00D872B7"/>
    <w:rsid w:val="00D87DCF"/>
    <w:rsid w:val="00D87F5B"/>
    <w:rsid w:val="00D90125"/>
    <w:rsid w:val="00D9057B"/>
    <w:rsid w:val="00D9070B"/>
    <w:rsid w:val="00D9096B"/>
    <w:rsid w:val="00D90ED1"/>
    <w:rsid w:val="00D91C34"/>
    <w:rsid w:val="00D92262"/>
    <w:rsid w:val="00D925C5"/>
    <w:rsid w:val="00D9279F"/>
    <w:rsid w:val="00D94E4C"/>
    <w:rsid w:val="00D95709"/>
    <w:rsid w:val="00D958D7"/>
    <w:rsid w:val="00D96B2B"/>
    <w:rsid w:val="00D96D46"/>
    <w:rsid w:val="00D97A4E"/>
    <w:rsid w:val="00D97B72"/>
    <w:rsid w:val="00D97CF6"/>
    <w:rsid w:val="00DA0BBE"/>
    <w:rsid w:val="00DA11AE"/>
    <w:rsid w:val="00DA16E5"/>
    <w:rsid w:val="00DA1BE9"/>
    <w:rsid w:val="00DA283D"/>
    <w:rsid w:val="00DA3E12"/>
    <w:rsid w:val="00DA4141"/>
    <w:rsid w:val="00DA417B"/>
    <w:rsid w:val="00DA45BD"/>
    <w:rsid w:val="00DA50CC"/>
    <w:rsid w:val="00DA52EB"/>
    <w:rsid w:val="00DA5CD6"/>
    <w:rsid w:val="00DA6868"/>
    <w:rsid w:val="00DA7167"/>
    <w:rsid w:val="00DB0312"/>
    <w:rsid w:val="00DB115A"/>
    <w:rsid w:val="00DB3213"/>
    <w:rsid w:val="00DB387C"/>
    <w:rsid w:val="00DB42F5"/>
    <w:rsid w:val="00DB43F8"/>
    <w:rsid w:val="00DB46DA"/>
    <w:rsid w:val="00DB5A7F"/>
    <w:rsid w:val="00DB5EDB"/>
    <w:rsid w:val="00DB640B"/>
    <w:rsid w:val="00DB656B"/>
    <w:rsid w:val="00DB6A23"/>
    <w:rsid w:val="00DB75BE"/>
    <w:rsid w:val="00DB7D6B"/>
    <w:rsid w:val="00DC00C2"/>
    <w:rsid w:val="00DC01DD"/>
    <w:rsid w:val="00DC29D6"/>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367F"/>
    <w:rsid w:val="00DE38E8"/>
    <w:rsid w:val="00DE3E2A"/>
    <w:rsid w:val="00DE5469"/>
    <w:rsid w:val="00DE5D83"/>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510"/>
    <w:rsid w:val="00E072B0"/>
    <w:rsid w:val="00E07C90"/>
    <w:rsid w:val="00E1052A"/>
    <w:rsid w:val="00E111E7"/>
    <w:rsid w:val="00E111F8"/>
    <w:rsid w:val="00E12041"/>
    <w:rsid w:val="00E12618"/>
    <w:rsid w:val="00E129DF"/>
    <w:rsid w:val="00E12B5D"/>
    <w:rsid w:val="00E13435"/>
    <w:rsid w:val="00E13F23"/>
    <w:rsid w:val="00E143D4"/>
    <w:rsid w:val="00E14773"/>
    <w:rsid w:val="00E1521D"/>
    <w:rsid w:val="00E154D2"/>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884"/>
    <w:rsid w:val="00E4192C"/>
    <w:rsid w:val="00E41DF6"/>
    <w:rsid w:val="00E420CB"/>
    <w:rsid w:val="00E42E4E"/>
    <w:rsid w:val="00E42FB9"/>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30FA"/>
    <w:rsid w:val="00E742E4"/>
    <w:rsid w:val="00E752A9"/>
    <w:rsid w:val="00E75529"/>
    <w:rsid w:val="00E75D96"/>
    <w:rsid w:val="00E75DC3"/>
    <w:rsid w:val="00E76D6E"/>
    <w:rsid w:val="00E77478"/>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9A5"/>
    <w:rsid w:val="00EA1A5A"/>
    <w:rsid w:val="00EA2FC0"/>
    <w:rsid w:val="00EA3F5C"/>
    <w:rsid w:val="00EA4397"/>
    <w:rsid w:val="00EA499D"/>
    <w:rsid w:val="00EA4FFF"/>
    <w:rsid w:val="00EA54AD"/>
    <w:rsid w:val="00EA5874"/>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25BB"/>
    <w:rsid w:val="00EC3785"/>
    <w:rsid w:val="00EC3B2D"/>
    <w:rsid w:val="00EC3E5A"/>
    <w:rsid w:val="00EC458A"/>
    <w:rsid w:val="00EC51A1"/>
    <w:rsid w:val="00EC6178"/>
    <w:rsid w:val="00EC65DD"/>
    <w:rsid w:val="00EC6A56"/>
    <w:rsid w:val="00EC7166"/>
    <w:rsid w:val="00EC75D3"/>
    <w:rsid w:val="00EC7E78"/>
    <w:rsid w:val="00ED06AD"/>
    <w:rsid w:val="00ED0BED"/>
    <w:rsid w:val="00ED1232"/>
    <w:rsid w:val="00ED1A7F"/>
    <w:rsid w:val="00ED22C5"/>
    <w:rsid w:val="00ED3503"/>
    <w:rsid w:val="00ED4DFC"/>
    <w:rsid w:val="00ED4E42"/>
    <w:rsid w:val="00ED5E54"/>
    <w:rsid w:val="00ED7786"/>
    <w:rsid w:val="00ED788B"/>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703E"/>
    <w:rsid w:val="00EE76F0"/>
    <w:rsid w:val="00EE7B1C"/>
    <w:rsid w:val="00EF02BD"/>
    <w:rsid w:val="00EF17B9"/>
    <w:rsid w:val="00EF1EB9"/>
    <w:rsid w:val="00EF274D"/>
    <w:rsid w:val="00EF2A0D"/>
    <w:rsid w:val="00EF34F6"/>
    <w:rsid w:val="00EF355D"/>
    <w:rsid w:val="00EF3725"/>
    <w:rsid w:val="00EF37B5"/>
    <w:rsid w:val="00EF388A"/>
    <w:rsid w:val="00EF3D14"/>
    <w:rsid w:val="00EF3EEE"/>
    <w:rsid w:val="00EF3F88"/>
    <w:rsid w:val="00EF6000"/>
    <w:rsid w:val="00EF75A6"/>
    <w:rsid w:val="00F0045E"/>
    <w:rsid w:val="00F006D2"/>
    <w:rsid w:val="00F00724"/>
    <w:rsid w:val="00F00774"/>
    <w:rsid w:val="00F0081B"/>
    <w:rsid w:val="00F011B3"/>
    <w:rsid w:val="00F01968"/>
    <w:rsid w:val="00F01F95"/>
    <w:rsid w:val="00F0256E"/>
    <w:rsid w:val="00F03681"/>
    <w:rsid w:val="00F03E2F"/>
    <w:rsid w:val="00F04D9B"/>
    <w:rsid w:val="00F0588E"/>
    <w:rsid w:val="00F05AB5"/>
    <w:rsid w:val="00F05BC9"/>
    <w:rsid w:val="00F0608B"/>
    <w:rsid w:val="00F0659C"/>
    <w:rsid w:val="00F06776"/>
    <w:rsid w:val="00F06CDD"/>
    <w:rsid w:val="00F06D5D"/>
    <w:rsid w:val="00F11AA5"/>
    <w:rsid w:val="00F11E55"/>
    <w:rsid w:val="00F128DE"/>
    <w:rsid w:val="00F12DF4"/>
    <w:rsid w:val="00F13400"/>
    <w:rsid w:val="00F13DD1"/>
    <w:rsid w:val="00F13F46"/>
    <w:rsid w:val="00F1411B"/>
    <w:rsid w:val="00F149A9"/>
    <w:rsid w:val="00F14C07"/>
    <w:rsid w:val="00F14C0C"/>
    <w:rsid w:val="00F14CD6"/>
    <w:rsid w:val="00F154D7"/>
    <w:rsid w:val="00F1585C"/>
    <w:rsid w:val="00F15FFE"/>
    <w:rsid w:val="00F16901"/>
    <w:rsid w:val="00F17267"/>
    <w:rsid w:val="00F2210C"/>
    <w:rsid w:val="00F231FB"/>
    <w:rsid w:val="00F243C4"/>
    <w:rsid w:val="00F243FF"/>
    <w:rsid w:val="00F25199"/>
    <w:rsid w:val="00F254D8"/>
    <w:rsid w:val="00F26A46"/>
    <w:rsid w:val="00F26F86"/>
    <w:rsid w:val="00F2780A"/>
    <w:rsid w:val="00F314EF"/>
    <w:rsid w:val="00F3167E"/>
    <w:rsid w:val="00F331DB"/>
    <w:rsid w:val="00F332B2"/>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849"/>
    <w:rsid w:val="00F4392C"/>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325B"/>
    <w:rsid w:val="00F53AF0"/>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647"/>
    <w:rsid w:val="00F97A19"/>
    <w:rsid w:val="00F97C5D"/>
    <w:rsid w:val="00FA068B"/>
    <w:rsid w:val="00FA1B1B"/>
    <w:rsid w:val="00FA2534"/>
    <w:rsid w:val="00FA2BC2"/>
    <w:rsid w:val="00FA37EA"/>
    <w:rsid w:val="00FA381E"/>
    <w:rsid w:val="00FA52C8"/>
    <w:rsid w:val="00FA54B2"/>
    <w:rsid w:val="00FA5812"/>
    <w:rsid w:val="00FA59CD"/>
    <w:rsid w:val="00FA7990"/>
    <w:rsid w:val="00FA7A7E"/>
    <w:rsid w:val="00FB07FC"/>
    <w:rsid w:val="00FB1180"/>
    <w:rsid w:val="00FB15B5"/>
    <w:rsid w:val="00FB174F"/>
    <w:rsid w:val="00FB1FEB"/>
    <w:rsid w:val="00FB22AB"/>
    <w:rsid w:val="00FB4250"/>
    <w:rsid w:val="00FB5638"/>
    <w:rsid w:val="00FB59AB"/>
    <w:rsid w:val="00FB5A8D"/>
    <w:rsid w:val="00FB6627"/>
    <w:rsid w:val="00FB6721"/>
    <w:rsid w:val="00FB6DB1"/>
    <w:rsid w:val="00FB7318"/>
    <w:rsid w:val="00FB77DE"/>
    <w:rsid w:val="00FC0251"/>
    <w:rsid w:val="00FC06CC"/>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8E8"/>
    <w:rsid w:val="00FD3355"/>
    <w:rsid w:val="00FD3CF7"/>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4169"/>
    <w:rsid w:val="00FF4F22"/>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Footnote,Bullet point,List Paragraph1,List Paragraph11,Recommendation"/>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Footnote Char,Bullet point Char,List Paragraph1 Char,List Paragraph11 Char,Recommendation Char"/>
    <w:link w:val="ListParagraph"/>
    <w:uiPriority w:val="34"/>
    <w:qFormat/>
    <w:rsid w:val="001E35D6"/>
    <w:rPr>
      <w:rFonts w:eastAsia="SimSun"/>
      <w:sz w:val="24"/>
      <w:szCs w:val="24"/>
    </w:rPr>
  </w:style>
  <w:style w:type="character" w:styleId="FollowedHyperlink">
    <w:name w:val="FollowedHyperlink"/>
    <w:basedOn w:val="DefaultParagraphFont"/>
    <w:rsid w:val="00804C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Footnote,Bullet point,List Paragraph1,List Paragraph11,Recommendation"/>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Footnote Char,Bullet point Char,List Paragraph1 Char,List Paragraph11 Char,Recommendation Char"/>
    <w:link w:val="ListParagraph"/>
    <w:uiPriority w:val="34"/>
    <w:qFormat/>
    <w:rsid w:val="001E35D6"/>
    <w:rPr>
      <w:rFonts w:eastAsia="SimSun"/>
      <w:sz w:val="24"/>
      <w:szCs w:val="24"/>
    </w:rPr>
  </w:style>
  <w:style w:type="character" w:styleId="FollowedHyperlink">
    <w:name w:val="FollowedHyperlink"/>
    <w:basedOn w:val="DefaultParagraphFont"/>
    <w:rsid w:val="00804C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2212103">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4399912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94863493">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7626102">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55034158">
      <w:bodyDiv w:val="1"/>
      <w:marLeft w:val="0"/>
      <w:marRight w:val="0"/>
      <w:marTop w:val="0"/>
      <w:marBottom w:val="0"/>
      <w:divBdr>
        <w:top w:val="none" w:sz="0" w:space="0" w:color="auto"/>
        <w:left w:val="none" w:sz="0" w:space="0" w:color="auto"/>
        <w:bottom w:val="none" w:sz="0" w:space="0" w:color="auto"/>
        <w:right w:val="none" w:sz="0" w:space="0" w:color="auto"/>
      </w:divBdr>
    </w:div>
    <w:div w:id="700277415">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032883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629575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0199483">
      <w:bodyDiv w:val="1"/>
      <w:marLeft w:val="0"/>
      <w:marRight w:val="0"/>
      <w:marTop w:val="0"/>
      <w:marBottom w:val="0"/>
      <w:divBdr>
        <w:top w:val="none" w:sz="0" w:space="0" w:color="auto"/>
        <w:left w:val="none" w:sz="0" w:space="0" w:color="auto"/>
        <w:bottom w:val="none" w:sz="0" w:space="0" w:color="auto"/>
        <w:right w:val="none" w:sz="0" w:space="0" w:color="auto"/>
      </w:divBdr>
      <w:divsChild>
        <w:div w:id="520627852">
          <w:marLeft w:val="446"/>
          <w:marRight w:val="0"/>
          <w:marTop w:val="0"/>
          <w:marBottom w:val="200"/>
          <w:divBdr>
            <w:top w:val="none" w:sz="0" w:space="0" w:color="auto"/>
            <w:left w:val="none" w:sz="0" w:space="0" w:color="auto"/>
            <w:bottom w:val="none" w:sz="0" w:space="0" w:color="auto"/>
            <w:right w:val="none" w:sz="0" w:space="0" w:color="auto"/>
          </w:divBdr>
        </w:div>
      </w:divsChild>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7544033">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3365256">
      <w:bodyDiv w:val="1"/>
      <w:marLeft w:val="0"/>
      <w:marRight w:val="0"/>
      <w:marTop w:val="0"/>
      <w:marBottom w:val="0"/>
      <w:divBdr>
        <w:top w:val="none" w:sz="0" w:space="0" w:color="auto"/>
        <w:left w:val="none" w:sz="0" w:space="0" w:color="auto"/>
        <w:bottom w:val="none" w:sz="0" w:space="0" w:color="auto"/>
        <w:right w:val="none" w:sz="0" w:space="0" w:color="auto"/>
      </w:divBdr>
    </w:div>
    <w:div w:id="1736974419">
      <w:bodyDiv w:val="1"/>
      <w:marLeft w:val="0"/>
      <w:marRight w:val="0"/>
      <w:marTop w:val="0"/>
      <w:marBottom w:val="0"/>
      <w:divBdr>
        <w:top w:val="none" w:sz="0" w:space="0" w:color="auto"/>
        <w:left w:val="none" w:sz="0" w:space="0" w:color="auto"/>
        <w:bottom w:val="none" w:sz="0" w:space="0" w:color="auto"/>
        <w:right w:val="none" w:sz="0" w:space="0" w:color="auto"/>
      </w:divBdr>
    </w:div>
    <w:div w:id="178842988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2738399">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3450890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33145233">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8E20F-19C7-40DC-9544-6A7B2D50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2771</Words>
  <Characters>15724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2017-12-11T14:01:00Z</dcterms:created>
  <dcterms:modified xsi:type="dcterms:W3CDTF">2018-04-19T02:29:00Z</dcterms:modified>
</cp:coreProperties>
</file>