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6A" w:rsidRDefault="00464DA0" w:rsidP="00404E2A">
      <w:pPr>
        <w:contextualSpacing/>
        <w:jc w:val="both"/>
        <w:outlineLvl w:val="0"/>
        <w:rPr>
          <w:rFonts w:ascii="Arial" w:hAnsi="Arial" w:cs="Arial"/>
          <w:b/>
          <w:szCs w:val="20"/>
          <w:lang w:val="en-AU" w:eastAsia="en-AU"/>
        </w:rPr>
      </w:pPr>
      <w:bookmarkStart w:id="0" w:name="_GoBack"/>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w:t>
      </w:r>
      <w:bookmarkEnd w:id="0"/>
      <w:r w:rsidR="00D7136A" w:rsidRPr="00B94022">
        <w:rPr>
          <w:rFonts w:ascii="Arial" w:hAnsi="Arial" w:cs="Arial"/>
          <w:b/>
          <w:sz w:val="28"/>
          <w:lang w:val="en-AU" w:eastAsia="en-AU"/>
        </w:rPr>
        <w:t>TILISATION SUB-COMMITTEE</w:t>
      </w:r>
    </w:p>
    <w:p w:rsidR="00404E2A" w:rsidRDefault="00404E2A" w:rsidP="00D7136A">
      <w:pPr>
        <w:contextualSpacing/>
        <w:jc w:val="both"/>
        <w:rPr>
          <w:rFonts w:ascii="Arial" w:hAnsi="Arial"/>
          <w:b/>
          <w:sz w:val="28"/>
          <w:szCs w:val="20"/>
          <w:lang w:val="en-AU" w:eastAsia="en-AU"/>
        </w:rPr>
      </w:pPr>
    </w:p>
    <w:p w:rsidR="00D7136A" w:rsidRPr="00397836" w:rsidRDefault="00D7136A" w:rsidP="00D7136A">
      <w:pPr>
        <w:contextualSpacing/>
        <w:jc w:val="both"/>
        <w:rPr>
          <w:rFonts w:ascii="Arial" w:hAnsi="Arial" w:cs="Arial"/>
          <w:color w:val="A6A6A6"/>
          <w:sz w:val="22"/>
          <w:lang w:val="en-AU" w:eastAsia="en-AU"/>
        </w:rPr>
      </w:pPr>
      <w:r w:rsidRPr="00A31269">
        <w:rPr>
          <w:rFonts w:ascii="Arial" w:hAnsi="Arial" w:cs="Arial"/>
          <w:sz w:val="22"/>
          <w:lang w:val="en-AU" w:eastAsia="en-AU"/>
        </w:rPr>
        <w:t xml:space="preserve">The PBAC noted utilisation reports with associated stakeholder responses from the </w:t>
      </w:r>
      <w:r w:rsidR="002F7591">
        <w:rPr>
          <w:rFonts w:ascii="Arial" w:hAnsi="Arial" w:cs="Arial"/>
          <w:sz w:val="22"/>
          <w:lang w:val="en-AU" w:eastAsia="en-AU"/>
        </w:rPr>
        <w:t>May</w:t>
      </w:r>
      <w:r w:rsidR="008D020C">
        <w:rPr>
          <w:rFonts w:ascii="Arial" w:hAnsi="Arial" w:cs="Arial"/>
          <w:sz w:val="22"/>
          <w:lang w:val="en-AU" w:eastAsia="en-AU"/>
        </w:rPr>
        <w:t xml:space="preserve"> 2018</w:t>
      </w:r>
      <w:r w:rsidR="00A31269" w:rsidRPr="00A31269">
        <w:rPr>
          <w:rFonts w:ascii="Arial" w:hAnsi="Arial" w:cs="Arial"/>
          <w:sz w:val="22"/>
          <w:lang w:val="en-AU" w:eastAsia="en-AU"/>
        </w:rPr>
        <w:t xml:space="preserve"> Drug Utilisation Sub-Committee (DUSC) </w:t>
      </w:r>
      <w:r w:rsidRPr="00A31269">
        <w:rPr>
          <w:rFonts w:ascii="Arial" w:hAnsi="Arial" w:cs="Arial"/>
          <w:sz w:val="22"/>
          <w:lang w:val="en-AU" w:eastAsia="en-AU"/>
        </w:rPr>
        <w:t>meeting, which were provided in Item</w:t>
      </w:r>
      <w:r w:rsidR="00A31269" w:rsidRPr="00A31269">
        <w:rPr>
          <w:rFonts w:ascii="Arial" w:hAnsi="Arial" w:cs="Arial"/>
          <w:sz w:val="22"/>
          <w:lang w:val="en-AU" w:eastAsia="en-AU"/>
        </w:rPr>
        <w:t>s 10.0</w:t>
      </w:r>
      <w:r w:rsidR="002F7591">
        <w:rPr>
          <w:rFonts w:ascii="Arial" w:hAnsi="Arial" w:cs="Arial"/>
          <w:sz w:val="22"/>
          <w:lang w:val="en-AU" w:eastAsia="en-AU"/>
        </w:rPr>
        <w:t>3</w:t>
      </w:r>
      <w:r w:rsidR="00A31269" w:rsidRPr="00A31269">
        <w:rPr>
          <w:rFonts w:ascii="Arial" w:hAnsi="Arial" w:cs="Arial"/>
          <w:sz w:val="22"/>
          <w:lang w:val="en-AU" w:eastAsia="en-AU"/>
        </w:rPr>
        <w:t xml:space="preserve"> to 10.0</w:t>
      </w:r>
      <w:r w:rsidR="002F7591">
        <w:rPr>
          <w:rFonts w:ascii="Arial" w:hAnsi="Arial" w:cs="Arial"/>
          <w:sz w:val="22"/>
          <w:lang w:val="en-AU" w:eastAsia="en-AU"/>
        </w:rPr>
        <w:t>7</w:t>
      </w:r>
      <w:r w:rsidRPr="00A31269">
        <w:rPr>
          <w:rFonts w:ascii="Arial" w:hAnsi="Arial" w:cs="Arial"/>
          <w:sz w:val="22"/>
          <w:lang w:val="en-AU" w:eastAsia="en-AU"/>
        </w:rPr>
        <w:t xml:space="preserve"> of the PBAC Agenda. </w:t>
      </w:r>
      <w:r w:rsidR="00A31269" w:rsidRPr="00A31269">
        <w:rPr>
          <w:rFonts w:ascii="Arial" w:hAnsi="Arial" w:cs="Arial"/>
          <w:sz w:val="22"/>
          <w:lang w:val="en-AU" w:eastAsia="en-AU"/>
        </w:rPr>
        <w:t xml:space="preserve">DUSC minutes relating to these items were provided to the PBAC. The </w:t>
      </w:r>
      <w:r w:rsidR="002F7591">
        <w:rPr>
          <w:rFonts w:ascii="Arial" w:hAnsi="Arial" w:cs="Arial"/>
          <w:sz w:val="22"/>
          <w:lang w:val="en-AU" w:eastAsia="en-AU"/>
        </w:rPr>
        <w:t>May</w:t>
      </w:r>
      <w:r w:rsidR="008D020C">
        <w:rPr>
          <w:rFonts w:ascii="Arial" w:hAnsi="Arial" w:cs="Arial"/>
          <w:sz w:val="22"/>
          <w:lang w:val="en-AU" w:eastAsia="en-AU"/>
        </w:rPr>
        <w:t xml:space="preserve"> 2018</w:t>
      </w:r>
      <w:r w:rsidR="00A31269" w:rsidRPr="00A31269">
        <w:rPr>
          <w:rFonts w:ascii="Arial" w:hAnsi="Arial" w:cs="Arial"/>
          <w:sz w:val="22"/>
          <w:lang w:val="en-AU" w:eastAsia="en-AU"/>
        </w:rPr>
        <w:t xml:space="preserve"> DUSC outcome statement </w:t>
      </w:r>
      <w:r w:rsidR="00A31269" w:rsidRPr="00A31269">
        <w:rPr>
          <w:rFonts w:ascii="Arial" w:hAnsi="Arial" w:cs="Arial"/>
          <w:snapToGrid w:val="0"/>
          <w:sz w:val="22"/>
          <w:szCs w:val="22"/>
          <w:lang w:val="en-AU"/>
        </w:rPr>
        <w:t xml:space="preserve">is </w:t>
      </w:r>
      <w:hyperlink r:id="rId9" w:history="1">
        <w:r w:rsidR="00A31269" w:rsidRPr="00A31269">
          <w:rPr>
            <w:rFonts w:ascii="Arial" w:hAnsi="Arial" w:cs="Arial"/>
            <w:snapToGrid w:val="0"/>
            <w:color w:val="0000FF" w:themeColor="hyperlink"/>
            <w:sz w:val="22"/>
            <w:szCs w:val="22"/>
            <w:u w:val="single"/>
            <w:lang w:val="en-AU"/>
          </w:rPr>
          <w:t xml:space="preserve">available </w:t>
        </w:r>
        <w:r w:rsidR="00A31269" w:rsidRPr="00A31269">
          <w:rPr>
            <w:rFonts w:ascii="Arial" w:hAnsi="Arial" w:cs="Arial"/>
            <w:snapToGrid w:val="0"/>
            <w:color w:val="0000FF" w:themeColor="hyperlink"/>
            <w:sz w:val="22"/>
            <w:u w:val="single"/>
            <w:lang w:val="en-AU"/>
          </w:rPr>
          <w:t>here</w:t>
        </w:r>
      </w:hyperlink>
      <w:r w:rsidR="00C23657">
        <w:rPr>
          <w:rFonts w:ascii="Arial" w:hAnsi="Arial" w:cs="Arial"/>
          <w:snapToGrid w:val="0"/>
          <w:color w:val="0000FF" w:themeColor="hyperlink"/>
          <w:sz w:val="22"/>
          <w:u w:val="single"/>
          <w:lang w:val="en-AU"/>
        </w:rPr>
        <w:t xml:space="preserve"> </w:t>
      </w:r>
      <w:r w:rsidR="00C23657">
        <w:rPr>
          <w:rStyle w:val="FootnoteReference"/>
          <w:rFonts w:ascii="Arial" w:hAnsi="Arial" w:cs="Arial"/>
          <w:snapToGrid w:val="0"/>
          <w:color w:val="0000FF" w:themeColor="hyperlink"/>
          <w:sz w:val="22"/>
          <w:u w:val="single"/>
          <w:lang w:val="en-AU"/>
        </w:rPr>
        <w:footnoteReference w:id="1"/>
      </w:r>
      <w:r w:rsidR="00A31269" w:rsidRPr="00EB38E2">
        <w:rPr>
          <w:rFonts w:ascii="Arial" w:hAnsi="Arial" w:cs="Arial"/>
          <w:sz w:val="22"/>
          <w:lang w:val="en-AU" w:eastAsia="en-AU"/>
        </w:rPr>
        <w:t>.</w:t>
      </w:r>
    </w:p>
    <w:p w:rsidR="00D7136A" w:rsidRPr="00397836" w:rsidRDefault="00D7136A" w:rsidP="00D7136A">
      <w:pPr>
        <w:contextualSpacing/>
        <w:jc w:val="both"/>
        <w:rPr>
          <w:rFonts w:ascii="Arial" w:hAnsi="Arial" w:cs="Arial"/>
          <w:color w:val="A6A6A6"/>
          <w:sz w:val="22"/>
          <w:lang w:val="en-AU" w:eastAsia="en-AU"/>
        </w:rPr>
      </w:pPr>
    </w:p>
    <w:p w:rsidR="007C758A" w:rsidRDefault="00B13AD3" w:rsidP="00445C1C">
      <w:pPr>
        <w:pStyle w:val="DepartmentalHeading2"/>
        <w:spacing w:before="0" w:after="0"/>
        <w:jc w:val="both"/>
        <w:rPr>
          <w:rFonts w:cs="Arial"/>
          <w:b w:val="0"/>
          <w:sz w:val="22"/>
        </w:rPr>
      </w:pPr>
      <w:r w:rsidRPr="00B13AD3">
        <w:rPr>
          <w:rFonts w:cs="Arial"/>
          <w:sz w:val="22"/>
        </w:rPr>
        <w:t>Targeted and immunomodulatory therapies for metastatic melanoma</w:t>
      </w:r>
    </w:p>
    <w:p w:rsidR="00B13AD3" w:rsidRDefault="00B13AD3" w:rsidP="00A31269">
      <w:pPr>
        <w:contextualSpacing/>
        <w:jc w:val="both"/>
        <w:rPr>
          <w:rFonts w:ascii="Arial" w:hAnsi="Arial" w:cs="Arial"/>
          <w:sz w:val="22"/>
          <w:lang w:val="en-AU" w:eastAsia="en-AU"/>
        </w:rPr>
      </w:pPr>
    </w:p>
    <w:p w:rsidR="00B1693A" w:rsidRPr="00B1693A" w:rsidRDefault="00B13AD3" w:rsidP="00B1693A">
      <w:pPr>
        <w:contextualSpacing/>
        <w:jc w:val="both"/>
        <w:rPr>
          <w:rFonts w:ascii="Arial" w:hAnsi="Arial" w:cs="Arial"/>
          <w:bCs/>
          <w:sz w:val="22"/>
          <w:lang w:val="en-AU" w:eastAsia="en-AU"/>
        </w:rPr>
      </w:pPr>
      <w:r>
        <w:rPr>
          <w:rFonts w:ascii="Arial" w:hAnsi="Arial" w:cs="Arial"/>
          <w:sz w:val="22"/>
          <w:lang w:val="en-AU" w:eastAsia="en-AU"/>
        </w:rPr>
        <w:t xml:space="preserve">This report </w:t>
      </w:r>
      <w:r w:rsidRPr="00B13AD3">
        <w:rPr>
          <w:rFonts w:ascii="Arial" w:hAnsi="Arial" w:cs="Arial"/>
          <w:sz w:val="22"/>
          <w:lang w:val="en-AU" w:eastAsia="en-AU"/>
        </w:rPr>
        <w:t>consider</w:t>
      </w:r>
      <w:r>
        <w:rPr>
          <w:rFonts w:ascii="Arial" w:hAnsi="Arial" w:cs="Arial"/>
          <w:sz w:val="22"/>
          <w:lang w:val="en-AU" w:eastAsia="en-AU"/>
        </w:rPr>
        <w:t xml:space="preserve">ed the use of </w:t>
      </w:r>
      <w:r w:rsidRPr="00B13AD3">
        <w:rPr>
          <w:rFonts w:ascii="Arial" w:hAnsi="Arial" w:cs="Arial"/>
          <w:sz w:val="22"/>
          <w:lang w:val="en-AU" w:eastAsia="en-AU"/>
        </w:rPr>
        <w:t>molecularly targeted drugs and immunotherapies listed on the PBS for the treatment of unresectable stage III or metastatic (stage IV) melanoma.</w:t>
      </w:r>
    </w:p>
    <w:p w:rsidR="00A31269" w:rsidRPr="00A31269" w:rsidRDefault="00A31269" w:rsidP="00A31269">
      <w:pPr>
        <w:contextualSpacing/>
        <w:jc w:val="both"/>
        <w:rPr>
          <w:rFonts w:ascii="Arial" w:hAnsi="Arial" w:cs="Arial"/>
          <w:color w:val="A6A6A6"/>
          <w:sz w:val="22"/>
          <w:lang w:val="en-AU" w:eastAsia="en-AU"/>
        </w:rPr>
      </w:pPr>
    </w:p>
    <w:p w:rsidR="00A31269" w:rsidRPr="003172AB" w:rsidRDefault="00A31269" w:rsidP="00A31269">
      <w:pPr>
        <w:contextualSpacing/>
        <w:rPr>
          <w:rFonts w:ascii="Arial" w:hAnsi="Arial" w:cs="Arial"/>
          <w:i/>
          <w:sz w:val="22"/>
          <w:lang w:val="en-AU" w:eastAsia="en-AU"/>
        </w:rPr>
      </w:pPr>
      <w:r w:rsidRPr="003172AB">
        <w:rPr>
          <w:rFonts w:ascii="Arial" w:hAnsi="Arial" w:cs="Arial"/>
          <w:i/>
          <w:sz w:val="22"/>
          <w:lang w:val="en-AU" w:eastAsia="en-AU"/>
        </w:rPr>
        <w:t>Outcome</w:t>
      </w:r>
    </w:p>
    <w:p w:rsidR="00B95F3B" w:rsidRPr="00B95F3B" w:rsidRDefault="00B95F3B" w:rsidP="00B95F3B">
      <w:pPr>
        <w:contextualSpacing/>
        <w:jc w:val="both"/>
        <w:rPr>
          <w:rFonts w:ascii="Arial" w:hAnsi="Arial" w:cs="Arial"/>
          <w:sz w:val="22"/>
          <w:lang w:val="en-AU" w:eastAsia="en-AU"/>
        </w:rPr>
      </w:pPr>
      <w:r w:rsidRPr="00B95F3B">
        <w:rPr>
          <w:rFonts w:ascii="Arial" w:hAnsi="Arial" w:cs="Arial"/>
          <w:sz w:val="22"/>
          <w:lang w:val="en-AU" w:eastAsia="en-AU"/>
        </w:rPr>
        <w:t xml:space="preserve">The PBAC </w:t>
      </w:r>
      <w:r w:rsidR="00B445D9">
        <w:rPr>
          <w:rFonts w:ascii="Arial" w:hAnsi="Arial" w:cs="Arial"/>
          <w:sz w:val="22"/>
          <w:lang w:val="en-AU" w:eastAsia="en-AU"/>
        </w:rPr>
        <w:t xml:space="preserve">noted </w:t>
      </w:r>
      <w:r w:rsidRPr="00B95F3B">
        <w:rPr>
          <w:rFonts w:ascii="Arial" w:hAnsi="Arial" w:cs="Arial"/>
          <w:sz w:val="22"/>
          <w:lang w:val="en-AU" w:eastAsia="en-AU"/>
        </w:rPr>
        <w:t>the increase in the number of patients treated for metastatic melanoma since 2015</w:t>
      </w:r>
      <w:r w:rsidR="00B445D9">
        <w:rPr>
          <w:rFonts w:ascii="Arial" w:hAnsi="Arial" w:cs="Arial"/>
          <w:sz w:val="22"/>
          <w:lang w:val="en-AU" w:eastAsia="en-AU"/>
        </w:rPr>
        <w:t xml:space="preserve"> and considered this</w:t>
      </w:r>
      <w:r w:rsidRPr="00B95F3B">
        <w:rPr>
          <w:rFonts w:ascii="Arial" w:hAnsi="Arial" w:cs="Arial"/>
          <w:sz w:val="22"/>
          <w:lang w:val="en-AU" w:eastAsia="en-AU"/>
        </w:rPr>
        <w:t xml:space="preserve"> was mainly attributable to the listing of pembrolizumab. The PBAC noted that for pembrolizumab and BRAF targeted therapies, patient time on treatment was similar to the progression-free survival observed in the clinical trials. The PBAC noted that patient time on treatment for nivolumab was less than anticipated, however at the time of the analysis there was insufficient data to fully examine the treatment times for nivolumab. Time on second-line therapy was also shorter than expected.</w:t>
      </w:r>
    </w:p>
    <w:p w:rsidR="00B445D9" w:rsidRDefault="00B445D9" w:rsidP="00B95F3B">
      <w:pPr>
        <w:contextualSpacing/>
        <w:jc w:val="both"/>
        <w:rPr>
          <w:rFonts w:ascii="Arial" w:hAnsi="Arial" w:cs="Arial"/>
          <w:sz w:val="22"/>
          <w:lang w:val="en-AU" w:eastAsia="en-AU"/>
        </w:rPr>
      </w:pPr>
    </w:p>
    <w:p w:rsidR="00B95F3B" w:rsidRDefault="00B95F3B" w:rsidP="00B95F3B">
      <w:pPr>
        <w:contextualSpacing/>
        <w:jc w:val="both"/>
        <w:rPr>
          <w:rFonts w:ascii="Arial" w:hAnsi="Arial" w:cs="Arial"/>
          <w:sz w:val="22"/>
          <w:lang w:val="en-AU" w:eastAsia="en-AU"/>
        </w:rPr>
      </w:pPr>
      <w:r w:rsidRPr="00B95F3B">
        <w:rPr>
          <w:rFonts w:ascii="Arial" w:hAnsi="Arial" w:cs="Arial"/>
          <w:sz w:val="22"/>
          <w:lang w:val="en-AU" w:eastAsia="en-AU"/>
        </w:rPr>
        <w:t xml:space="preserve">The PBAC noted the increasing median age of the treated population and agreed with DUSC that the outcome of therapy might be different compared with younger patients treated in the clinical trials. </w:t>
      </w:r>
    </w:p>
    <w:p w:rsidR="00B445D9" w:rsidRPr="00B95F3B" w:rsidRDefault="00B445D9" w:rsidP="00B95F3B">
      <w:pPr>
        <w:contextualSpacing/>
        <w:jc w:val="both"/>
        <w:rPr>
          <w:rFonts w:ascii="Arial" w:hAnsi="Arial" w:cs="Arial"/>
          <w:sz w:val="22"/>
          <w:lang w:val="en-AU" w:eastAsia="en-AU"/>
        </w:rPr>
      </w:pPr>
    </w:p>
    <w:p w:rsidR="00B445D9" w:rsidRDefault="00B95F3B" w:rsidP="00445C1C">
      <w:pPr>
        <w:contextualSpacing/>
        <w:jc w:val="both"/>
        <w:rPr>
          <w:rFonts w:ascii="Arial" w:hAnsi="Arial" w:cs="Arial"/>
          <w:sz w:val="22"/>
          <w:lang w:val="en-AU" w:eastAsia="en-AU"/>
        </w:rPr>
      </w:pPr>
      <w:r w:rsidRPr="00B95F3B">
        <w:rPr>
          <w:rFonts w:ascii="Arial" w:hAnsi="Arial" w:cs="Arial"/>
          <w:sz w:val="22"/>
          <w:lang w:val="en-AU" w:eastAsia="en-AU"/>
        </w:rPr>
        <w:t>The current immunotherapy restrictions require that patients with BRAF-mutant unresectable stage III or stage IV metastatic melanoma must have progressed following treatment with a BRAF inhibitor (unless contraindicated or not tolerated) prior to starting immunotherapy. The PBAC noted requests from several stakeholders for first line access to immunotherapy for metastatic melanoma regardless of BRAF mutation status. The PBAC considered that a major submission would be required to consider th</w:t>
      </w:r>
      <w:r w:rsidR="00B445D9">
        <w:rPr>
          <w:rFonts w:ascii="Arial" w:hAnsi="Arial" w:cs="Arial"/>
          <w:sz w:val="22"/>
          <w:lang w:val="en-AU" w:eastAsia="en-AU"/>
        </w:rPr>
        <w:t>i</w:t>
      </w:r>
      <w:r w:rsidRPr="00B95F3B">
        <w:rPr>
          <w:rFonts w:ascii="Arial" w:hAnsi="Arial" w:cs="Arial"/>
          <w:sz w:val="22"/>
          <w:lang w:val="en-AU" w:eastAsia="en-AU"/>
        </w:rPr>
        <w:t>s proposal.</w:t>
      </w:r>
    </w:p>
    <w:p w:rsidR="00445C1C" w:rsidRPr="00445C1C" w:rsidRDefault="00445C1C" w:rsidP="00445C1C">
      <w:pPr>
        <w:contextualSpacing/>
        <w:jc w:val="both"/>
        <w:rPr>
          <w:rFonts w:ascii="Arial" w:hAnsi="Arial" w:cs="Arial"/>
          <w:sz w:val="22"/>
          <w:lang w:val="en-AU" w:eastAsia="en-AU"/>
        </w:rPr>
      </w:pPr>
    </w:p>
    <w:p w:rsidR="00445C1C" w:rsidRPr="00A31269" w:rsidRDefault="002F7591" w:rsidP="00D7136A">
      <w:pPr>
        <w:pStyle w:val="DepartmentalHeading2"/>
        <w:spacing w:before="0" w:after="0"/>
        <w:jc w:val="both"/>
        <w:rPr>
          <w:rFonts w:cs="Arial"/>
          <w:sz w:val="22"/>
          <w:szCs w:val="24"/>
        </w:rPr>
      </w:pPr>
      <w:r>
        <w:rPr>
          <w:rFonts w:cs="Arial"/>
          <w:sz w:val="22"/>
          <w:szCs w:val="24"/>
        </w:rPr>
        <w:t>A</w:t>
      </w:r>
      <w:r w:rsidR="00925E21">
        <w:rPr>
          <w:rFonts w:cs="Arial"/>
          <w:sz w:val="22"/>
          <w:szCs w:val="24"/>
        </w:rPr>
        <w:t xml:space="preserve">flibercept and ranibizumab for </w:t>
      </w:r>
      <w:r>
        <w:rPr>
          <w:rFonts w:cs="Arial"/>
          <w:sz w:val="22"/>
          <w:szCs w:val="24"/>
        </w:rPr>
        <w:t>AMD, DMO</w:t>
      </w:r>
      <w:r w:rsidR="00925E21">
        <w:rPr>
          <w:rFonts w:cs="Arial"/>
          <w:sz w:val="22"/>
          <w:szCs w:val="24"/>
        </w:rPr>
        <w:t xml:space="preserve"> and RVO</w:t>
      </w:r>
    </w:p>
    <w:p w:rsidR="00445C1C" w:rsidRDefault="00445C1C" w:rsidP="00B13AD3">
      <w:pPr>
        <w:jc w:val="both"/>
        <w:rPr>
          <w:rFonts w:ascii="Arial" w:hAnsi="Arial" w:cs="Arial"/>
          <w:bCs/>
          <w:sz w:val="22"/>
          <w:lang w:val="en-AU" w:eastAsia="en-AU"/>
        </w:rPr>
      </w:pPr>
    </w:p>
    <w:p w:rsidR="00B13AD3" w:rsidRDefault="00F514E4" w:rsidP="00B13AD3">
      <w:pPr>
        <w:jc w:val="both"/>
        <w:rPr>
          <w:rFonts w:ascii="Arial" w:hAnsi="Arial" w:cs="Arial"/>
          <w:bCs/>
          <w:sz w:val="22"/>
          <w:lang w:val="en-AU" w:eastAsia="en-AU"/>
        </w:rPr>
      </w:pPr>
      <w:r w:rsidRPr="00F514E4">
        <w:rPr>
          <w:rFonts w:ascii="Arial" w:hAnsi="Arial" w:cs="Arial"/>
          <w:bCs/>
          <w:sz w:val="22"/>
          <w:lang w:val="en-AU" w:eastAsia="en-AU"/>
        </w:rPr>
        <w:t xml:space="preserve">This </w:t>
      </w:r>
      <w:r w:rsidR="00B13AD3">
        <w:rPr>
          <w:rFonts w:ascii="Arial" w:hAnsi="Arial" w:cs="Arial"/>
          <w:bCs/>
          <w:sz w:val="22"/>
          <w:lang w:val="en-AU" w:eastAsia="en-AU"/>
        </w:rPr>
        <w:t>report considered</w:t>
      </w:r>
      <w:r w:rsidR="00B13AD3" w:rsidRPr="00B13AD3">
        <w:rPr>
          <w:rFonts w:ascii="Arial" w:hAnsi="Arial" w:cs="Arial"/>
          <w:bCs/>
          <w:sz w:val="22"/>
          <w:lang w:val="en-AU" w:eastAsia="en-AU"/>
        </w:rPr>
        <w:t xml:space="preserve"> the use of</w:t>
      </w:r>
      <w:r w:rsidR="00B13AD3">
        <w:rPr>
          <w:rFonts w:ascii="Arial" w:hAnsi="Arial" w:cs="Arial"/>
          <w:bCs/>
          <w:sz w:val="22"/>
          <w:lang w:val="en-AU" w:eastAsia="en-AU"/>
        </w:rPr>
        <w:t>:</w:t>
      </w:r>
    </w:p>
    <w:p w:rsidR="00B13AD3" w:rsidRDefault="00B13AD3" w:rsidP="00B13AD3">
      <w:pPr>
        <w:pStyle w:val="ListParagraph"/>
        <w:numPr>
          <w:ilvl w:val="0"/>
          <w:numId w:val="4"/>
        </w:numPr>
        <w:jc w:val="both"/>
        <w:rPr>
          <w:rFonts w:cs="Arial"/>
          <w:bCs/>
        </w:rPr>
      </w:pPr>
      <w:r w:rsidRPr="00B13AD3">
        <w:rPr>
          <w:rFonts w:cs="Arial"/>
          <w:bCs/>
        </w:rPr>
        <w:t>ranibizumab and aflibercept for</w:t>
      </w:r>
      <w:r>
        <w:rPr>
          <w:rFonts w:cs="Arial"/>
          <w:bCs/>
        </w:rPr>
        <w:t xml:space="preserve"> age-related macular degeneration (</w:t>
      </w:r>
      <w:r w:rsidRPr="00B13AD3">
        <w:rPr>
          <w:rFonts w:cs="Arial"/>
          <w:bCs/>
        </w:rPr>
        <w:t>AMD</w:t>
      </w:r>
      <w:r>
        <w:rPr>
          <w:rFonts w:cs="Arial"/>
          <w:bCs/>
        </w:rPr>
        <w:t>)</w:t>
      </w:r>
      <w:r w:rsidRPr="00B13AD3">
        <w:rPr>
          <w:rFonts w:cs="Arial"/>
          <w:bCs/>
        </w:rPr>
        <w:t xml:space="preserve"> since the last DUSC review of this indication in 2015.</w:t>
      </w:r>
    </w:p>
    <w:p w:rsidR="00B13AD3" w:rsidRDefault="00B13AD3" w:rsidP="00B13AD3">
      <w:pPr>
        <w:pStyle w:val="ListParagraph"/>
        <w:numPr>
          <w:ilvl w:val="0"/>
          <w:numId w:val="4"/>
        </w:numPr>
        <w:jc w:val="both"/>
        <w:rPr>
          <w:rFonts w:cs="Arial"/>
          <w:bCs/>
        </w:rPr>
      </w:pPr>
      <w:r w:rsidRPr="00B13AD3">
        <w:rPr>
          <w:rFonts w:cs="Arial"/>
          <w:bCs/>
        </w:rPr>
        <w:t xml:space="preserve">ranibizumab and aflibercept for </w:t>
      </w:r>
      <w:r>
        <w:rPr>
          <w:rFonts w:cs="Arial"/>
          <w:bCs/>
        </w:rPr>
        <w:t>diabetic macular oedema (</w:t>
      </w:r>
      <w:r w:rsidRPr="00B13AD3">
        <w:rPr>
          <w:rFonts w:cs="Arial"/>
          <w:bCs/>
        </w:rPr>
        <w:t>DMO</w:t>
      </w:r>
      <w:r>
        <w:rPr>
          <w:rFonts w:cs="Arial"/>
          <w:bCs/>
        </w:rPr>
        <w:t>)</w:t>
      </w:r>
      <w:r w:rsidRPr="00B13AD3">
        <w:rPr>
          <w:rFonts w:cs="Arial"/>
          <w:bCs/>
        </w:rPr>
        <w:t xml:space="preserve"> and </w:t>
      </w:r>
      <w:r>
        <w:rPr>
          <w:rFonts w:cs="Arial"/>
          <w:bCs/>
        </w:rPr>
        <w:t>retinal vein occlusion (</w:t>
      </w:r>
      <w:r w:rsidRPr="00B13AD3">
        <w:rPr>
          <w:rFonts w:cs="Arial"/>
          <w:bCs/>
        </w:rPr>
        <w:t>RVO</w:t>
      </w:r>
      <w:r>
        <w:rPr>
          <w:rFonts w:cs="Arial"/>
          <w:bCs/>
        </w:rPr>
        <w:t>)</w:t>
      </w:r>
      <w:r w:rsidRPr="00B13AD3">
        <w:rPr>
          <w:rFonts w:cs="Arial"/>
          <w:bCs/>
        </w:rPr>
        <w:t xml:space="preserve"> in the first 24 months of listing</w:t>
      </w:r>
      <w:r>
        <w:rPr>
          <w:rFonts w:cs="Arial"/>
          <w:bCs/>
        </w:rPr>
        <w:t>.</w:t>
      </w:r>
    </w:p>
    <w:p w:rsidR="00B13AD3" w:rsidRPr="00B13AD3" w:rsidRDefault="00B13AD3" w:rsidP="00B13AD3">
      <w:pPr>
        <w:pStyle w:val="ListParagraph"/>
        <w:numPr>
          <w:ilvl w:val="0"/>
          <w:numId w:val="4"/>
        </w:numPr>
        <w:jc w:val="both"/>
        <w:rPr>
          <w:rFonts w:cs="Arial"/>
          <w:bCs/>
        </w:rPr>
      </w:pPr>
      <w:r w:rsidRPr="00B13AD3">
        <w:rPr>
          <w:rFonts w:cs="Arial"/>
          <w:bCs/>
        </w:rPr>
        <w:t>dexamethasone implant for DMO</w:t>
      </w:r>
      <w:r>
        <w:rPr>
          <w:rFonts w:cs="Arial"/>
          <w:bCs/>
        </w:rPr>
        <w:t>.</w:t>
      </w:r>
    </w:p>
    <w:p w:rsidR="00B13AD3" w:rsidRPr="00B13AD3" w:rsidRDefault="00B13AD3" w:rsidP="00B13AD3">
      <w:pPr>
        <w:jc w:val="both"/>
        <w:rPr>
          <w:rFonts w:ascii="Arial" w:hAnsi="Arial" w:cs="Arial"/>
          <w:bCs/>
          <w:sz w:val="22"/>
          <w:lang w:val="en-AU" w:eastAsia="en-AU"/>
        </w:rPr>
      </w:pPr>
    </w:p>
    <w:p w:rsidR="008A4311" w:rsidRPr="008A4311" w:rsidRDefault="008A4311" w:rsidP="00D7136A">
      <w:pPr>
        <w:jc w:val="both"/>
        <w:rPr>
          <w:rFonts w:ascii="Arial" w:hAnsi="Arial" w:cs="Arial"/>
          <w:bCs/>
          <w:i/>
          <w:sz w:val="22"/>
          <w:lang w:val="en-AU" w:eastAsia="en-AU"/>
        </w:rPr>
      </w:pPr>
      <w:r w:rsidRPr="008A4311">
        <w:rPr>
          <w:rFonts w:ascii="Arial" w:hAnsi="Arial" w:cs="Arial"/>
          <w:bCs/>
          <w:i/>
          <w:sz w:val="22"/>
          <w:lang w:val="en-AU" w:eastAsia="en-AU"/>
        </w:rPr>
        <w:lastRenderedPageBreak/>
        <w:t>Outcome</w:t>
      </w:r>
    </w:p>
    <w:p w:rsidR="00EE68E4" w:rsidRDefault="00EE68E4" w:rsidP="00EE68E4">
      <w:pPr>
        <w:contextualSpacing/>
        <w:jc w:val="both"/>
        <w:rPr>
          <w:rFonts w:ascii="Arial" w:hAnsi="Arial" w:cs="Arial"/>
          <w:sz w:val="22"/>
          <w:lang w:val="en-AU" w:eastAsia="en-AU"/>
        </w:rPr>
      </w:pPr>
      <w:r w:rsidRPr="00BC3BE5">
        <w:rPr>
          <w:rFonts w:ascii="Arial" w:hAnsi="Arial" w:cs="Arial"/>
          <w:sz w:val="22"/>
          <w:lang w:val="en-AU" w:eastAsia="en-AU"/>
        </w:rPr>
        <w:t xml:space="preserve">The PBAC </w:t>
      </w:r>
      <w:r>
        <w:rPr>
          <w:rFonts w:ascii="Arial" w:hAnsi="Arial" w:cs="Arial"/>
          <w:sz w:val="22"/>
          <w:lang w:val="en-AU" w:eastAsia="en-AU"/>
        </w:rPr>
        <w:t xml:space="preserve">noted sustained growth in the utilisation of ranibizumab and aflibercept for AMD and considered that this is driven by an ageing population, high rates of continuation on therapy and bilateral treatment. The PBAC considered bilateral treatment for AMD and DMO to be consistent with the disease presentation. </w:t>
      </w:r>
      <w:r w:rsidRPr="00B11A65">
        <w:rPr>
          <w:rFonts w:ascii="Arial" w:hAnsi="Arial" w:cs="Arial"/>
          <w:sz w:val="22"/>
          <w:lang w:val="en-AU" w:eastAsia="en-AU"/>
        </w:rPr>
        <w:t>The</w:t>
      </w:r>
      <w:r>
        <w:rPr>
          <w:rFonts w:ascii="Arial" w:hAnsi="Arial" w:cs="Arial"/>
          <w:sz w:val="22"/>
          <w:lang w:val="en-AU" w:eastAsia="en-AU"/>
        </w:rPr>
        <w:t xml:space="preserve"> PBAC noted that the market expanded following the listings of </w:t>
      </w:r>
      <w:r w:rsidRPr="00B11A65">
        <w:rPr>
          <w:rFonts w:ascii="Arial" w:hAnsi="Arial" w:cs="Arial"/>
          <w:sz w:val="22"/>
          <w:lang w:val="en-AU" w:eastAsia="en-AU"/>
        </w:rPr>
        <w:t>ranibizumab and aflibercept to treat DMO and RVO and the listing of dexamethasone for DMO</w:t>
      </w:r>
      <w:r>
        <w:rPr>
          <w:rFonts w:ascii="Arial" w:hAnsi="Arial" w:cs="Arial"/>
          <w:sz w:val="22"/>
          <w:lang w:val="en-AU" w:eastAsia="en-AU"/>
        </w:rPr>
        <w:t xml:space="preserve">. The PBAC considered the likelihood of aflibercept and ranibizumab being used outside of the PBS restrictions has diminished following these listings and will be further reduced following implementation of recommendations made at the March 2018 meeting for ranibizumab for </w:t>
      </w:r>
      <w:r w:rsidRPr="00986300">
        <w:rPr>
          <w:rFonts w:ascii="Arial" w:hAnsi="Arial" w:cs="Arial"/>
          <w:sz w:val="22"/>
          <w:lang w:val="en-AU" w:eastAsia="en-AU"/>
        </w:rPr>
        <w:t>subfoveal choroidal</w:t>
      </w:r>
      <w:r>
        <w:rPr>
          <w:rFonts w:ascii="Arial" w:hAnsi="Arial" w:cs="Arial"/>
          <w:sz w:val="22"/>
          <w:lang w:val="en-AU" w:eastAsia="en-AU"/>
        </w:rPr>
        <w:t xml:space="preserve"> n</w:t>
      </w:r>
      <w:r w:rsidRPr="00986300">
        <w:rPr>
          <w:rFonts w:ascii="Arial" w:hAnsi="Arial" w:cs="Arial"/>
          <w:sz w:val="22"/>
          <w:lang w:val="en-AU" w:eastAsia="en-AU"/>
        </w:rPr>
        <w:t>eovascularisation</w:t>
      </w:r>
      <w:r>
        <w:rPr>
          <w:rFonts w:ascii="Arial" w:hAnsi="Arial" w:cs="Arial"/>
          <w:sz w:val="22"/>
          <w:lang w:val="en-AU" w:eastAsia="en-AU"/>
        </w:rPr>
        <w:t xml:space="preserve"> due to rare causes and </w:t>
      </w:r>
      <w:r w:rsidRPr="00986300">
        <w:rPr>
          <w:rFonts w:ascii="Arial" w:hAnsi="Arial" w:cs="Arial"/>
          <w:sz w:val="22"/>
          <w:lang w:val="en-AU" w:eastAsia="en-AU"/>
        </w:rPr>
        <w:t>secondary to pathologic myopia</w:t>
      </w:r>
      <w:r>
        <w:rPr>
          <w:rFonts w:ascii="Arial" w:hAnsi="Arial" w:cs="Arial"/>
          <w:sz w:val="22"/>
          <w:lang w:val="en-AU" w:eastAsia="en-AU"/>
        </w:rPr>
        <w:t xml:space="preserve">. </w:t>
      </w:r>
    </w:p>
    <w:p w:rsidR="00D7136A" w:rsidRPr="00397836" w:rsidRDefault="00D7136A" w:rsidP="00D7136A">
      <w:pPr>
        <w:jc w:val="both"/>
        <w:rPr>
          <w:rFonts w:ascii="Arial" w:hAnsi="Arial" w:cs="Arial"/>
          <w:color w:val="A6A6A6"/>
          <w:sz w:val="22"/>
          <w:lang w:val="en-AU" w:eastAsia="en-AU"/>
        </w:rPr>
      </w:pPr>
    </w:p>
    <w:p w:rsidR="00A31269" w:rsidRDefault="00925E21" w:rsidP="00A31269">
      <w:pPr>
        <w:pStyle w:val="DepartmentalHeading2"/>
        <w:spacing w:before="0" w:after="0"/>
        <w:jc w:val="both"/>
        <w:rPr>
          <w:rFonts w:cs="Arial"/>
          <w:sz w:val="22"/>
          <w:szCs w:val="24"/>
        </w:rPr>
      </w:pPr>
      <w:r w:rsidRPr="00925E21">
        <w:rPr>
          <w:rFonts w:cs="Arial"/>
          <w:sz w:val="22"/>
          <w:szCs w:val="24"/>
          <w:lang w:val="en-US"/>
        </w:rPr>
        <w:t>Attention Deficit Hyperactivity Disorder (ADHD)</w:t>
      </w:r>
    </w:p>
    <w:p w:rsidR="00445C1C" w:rsidRDefault="00445C1C" w:rsidP="0028590B">
      <w:pPr>
        <w:jc w:val="both"/>
        <w:rPr>
          <w:rFonts w:ascii="Arial" w:hAnsi="Arial" w:cs="Arial"/>
          <w:b/>
          <w:sz w:val="22"/>
          <w:lang w:val="en-AU" w:eastAsia="en-AU"/>
        </w:rPr>
      </w:pPr>
    </w:p>
    <w:p w:rsidR="0028590B" w:rsidRPr="0028590B" w:rsidRDefault="00641F0C" w:rsidP="0028590B">
      <w:pPr>
        <w:jc w:val="both"/>
        <w:rPr>
          <w:rFonts w:ascii="Arial" w:hAnsi="Arial" w:cs="Arial"/>
          <w:bCs/>
          <w:sz w:val="22"/>
          <w:lang w:val="en-AU" w:eastAsia="en-AU"/>
        </w:rPr>
      </w:pPr>
      <w:r w:rsidRPr="0028590B">
        <w:rPr>
          <w:rFonts w:ascii="Arial" w:hAnsi="Arial" w:cs="Arial"/>
          <w:sz w:val="22"/>
          <w:lang w:val="en-AU" w:eastAsia="en-AU"/>
        </w:rPr>
        <w:t>This report</w:t>
      </w:r>
      <w:r w:rsidR="00801B19">
        <w:rPr>
          <w:rFonts w:ascii="Arial" w:hAnsi="Arial" w:cs="Arial"/>
          <w:sz w:val="22"/>
          <w:lang w:val="en-AU" w:eastAsia="en-AU"/>
        </w:rPr>
        <w:t xml:space="preserve"> considered the use of </w:t>
      </w:r>
      <w:r w:rsidR="00176F11" w:rsidRPr="00176F11">
        <w:rPr>
          <w:rFonts w:ascii="Arial" w:hAnsi="Arial" w:cs="Arial"/>
          <w:sz w:val="22"/>
          <w:lang w:val="en-AU" w:eastAsia="en-AU"/>
        </w:rPr>
        <w:t xml:space="preserve">medicines for the treatment of ADHD; </w:t>
      </w:r>
      <w:r w:rsidR="00176F11">
        <w:rPr>
          <w:rFonts w:ascii="Arial" w:hAnsi="Arial" w:cs="Arial"/>
          <w:sz w:val="22"/>
          <w:lang w:val="en-AU" w:eastAsia="en-AU"/>
        </w:rPr>
        <w:t>including</w:t>
      </w:r>
      <w:r w:rsidR="00176F11" w:rsidRPr="00176F11">
        <w:rPr>
          <w:rFonts w:ascii="Arial" w:hAnsi="Arial" w:cs="Arial"/>
          <w:sz w:val="22"/>
          <w:lang w:val="en-AU" w:eastAsia="en-AU"/>
        </w:rPr>
        <w:t xml:space="preserve"> the predicted and actual use of lisdexamfetamine in the first 24 months of PBS listing.</w:t>
      </w:r>
    </w:p>
    <w:p w:rsidR="008A4311" w:rsidRPr="006847AC" w:rsidRDefault="008A4311" w:rsidP="008A4311">
      <w:pPr>
        <w:contextualSpacing/>
        <w:jc w:val="both"/>
        <w:rPr>
          <w:rFonts w:ascii="Arial" w:hAnsi="Arial" w:cs="Arial"/>
          <w:color w:val="A6A6A6"/>
          <w:sz w:val="22"/>
          <w:highlight w:val="yellow"/>
          <w:lang w:val="en-AU" w:eastAsia="en-AU"/>
        </w:rPr>
      </w:pPr>
    </w:p>
    <w:p w:rsidR="00641F0C" w:rsidRPr="00E65BFD" w:rsidRDefault="00641F0C" w:rsidP="008A4311">
      <w:pPr>
        <w:contextualSpacing/>
        <w:jc w:val="both"/>
        <w:rPr>
          <w:rFonts w:ascii="Arial" w:hAnsi="Arial" w:cs="Arial"/>
          <w:i/>
          <w:sz w:val="22"/>
          <w:lang w:val="en-AU" w:eastAsia="en-AU"/>
        </w:rPr>
      </w:pPr>
      <w:r w:rsidRPr="00E65BFD">
        <w:rPr>
          <w:rFonts w:ascii="Arial" w:hAnsi="Arial" w:cs="Arial"/>
          <w:i/>
          <w:sz w:val="22"/>
          <w:lang w:val="en-AU" w:eastAsia="en-AU"/>
        </w:rPr>
        <w:t>Outcome</w:t>
      </w:r>
    </w:p>
    <w:p w:rsidR="00575B2C" w:rsidRDefault="00575B2C" w:rsidP="00575B2C">
      <w:pPr>
        <w:contextualSpacing/>
        <w:jc w:val="both"/>
        <w:rPr>
          <w:rFonts w:ascii="Arial" w:hAnsi="Arial" w:cs="Arial"/>
          <w:sz w:val="22"/>
          <w:lang w:val="en-AU" w:eastAsia="en-AU"/>
        </w:rPr>
      </w:pPr>
      <w:r w:rsidRPr="00575B2C">
        <w:rPr>
          <w:rFonts w:ascii="Arial" w:hAnsi="Arial" w:cs="Arial"/>
          <w:sz w:val="22"/>
          <w:lang w:val="en-AU" w:eastAsia="en-AU"/>
        </w:rPr>
        <w:t>The PBAC noted that utilisation of ADHD medicines increased between 2013 and 2017. The listing of lisdexamfetamine in 2015 contributed to the market growth.</w:t>
      </w:r>
    </w:p>
    <w:p w:rsidR="00575B2C" w:rsidRPr="00575B2C" w:rsidRDefault="00575B2C" w:rsidP="00575B2C">
      <w:pPr>
        <w:contextualSpacing/>
        <w:jc w:val="both"/>
        <w:rPr>
          <w:rFonts w:ascii="Arial" w:hAnsi="Arial" w:cs="Arial"/>
          <w:sz w:val="22"/>
          <w:lang w:val="en-AU" w:eastAsia="en-AU"/>
        </w:rPr>
      </w:pPr>
    </w:p>
    <w:p w:rsidR="00575B2C" w:rsidRDefault="00575B2C" w:rsidP="00575B2C">
      <w:pPr>
        <w:contextualSpacing/>
        <w:jc w:val="both"/>
        <w:rPr>
          <w:rFonts w:ascii="Arial" w:hAnsi="Arial" w:cs="Arial"/>
          <w:sz w:val="22"/>
          <w:lang w:val="en-AU" w:eastAsia="en-AU"/>
        </w:rPr>
      </w:pPr>
      <w:r w:rsidRPr="00575B2C">
        <w:rPr>
          <w:rFonts w:ascii="Arial" w:hAnsi="Arial" w:cs="Arial"/>
          <w:sz w:val="22"/>
          <w:lang w:val="en-AU" w:eastAsia="en-AU"/>
        </w:rPr>
        <w:t>The PBAC considered that it is difficult to determine the extent to which increased utilisation is due to improved diagnosis, overtreatment, or better patient adherence. The PBAC noted that the gender ratio for ADHD medication has become more balanced over time indicating increased rates of diagnosis in females. The PBAC noted recent data which confirm geographical variation in ADHD medicine supply in children.</w:t>
      </w:r>
    </w:p>
    <w:p w:rsidR="00575B2C" w:rsidRPr="00575B2C" w:rsidRDefault="00575B2C" w:rsidP="00575B2C">
      <w:pPr>
        <w:contextualSpacing/>
        <w:jc w:val="both"/>
        <w:rPr>
          <w:rFonts w:ascii="Arial" w:hAnsi="Arial" w:cs="Arial"/>
          <w:sz w:val="22"/>
          <w:lang w:val="en-AU" w:eastAsia="en-AU"/>
        </w:rPr>
      </w:pPr>
    </w:p>
    <w:p w:rsidR="002F7591" w:rsidRDefault="00575B2C" w:rsidP="00575B2C">
      <w:pPr>
        <w:contextualSpacing/>
        <w:jc w:val="both"/>
        <w:rPr>
          <w:rFonts w:ascii="Arial" w:hAnsi="Arial" w:cs="Arial"/>
          <w:sz w:val="22"/>
          <w:lang w:val="en-AU" w:eastAsia="en-AU"/>
        </w:rPr>
      </w:pPr>
      <w:r w:rsidRPr="00575B2C">
        <w:rPr>
          <w:rFonts w:ascii="Arial" w:hAnsi="Arial" w:cs="Arial"/>
          <w:sz w:val="22"/>
          <w:lang w:val="en-AU" w:eastAsia="en-AU"/>
        </w:rPr>
        <w:t>The PBAC agreed with DUSC that some of the increased use in adults might reflect children continuing treatment into adulthood; although adult treatment initiations have also increased. The PBS criteria for lisdexamfetamine and the long acting forms of methylphenidate require patients to have been diagnosed between the ages of 6 and 18 years inclusive. The PBAC considered that the restrictions may be interpreted more broadly in practice in patients with symptoms rather than a diagnosis in childhood. The PBAC acknowledged that there is growing acceptance of ADHD treatment in adults.</w:t>
      </w:r>
    </w:p>
    <w:p w:rsidR="002F7591" w:rsidRPr="003172AB" w:rsidRDefault="002F7591" w:rsidP="002F7591">
      <w:pPr>
        <w:contextualSpacing/>
        <w:jc w:val="both"/>
        <w:rPr>
          <w:rFonts w:ascii="Arial" w:hAnsi="Arial" w:cs="Arial"/>
          <w:sz w:val="22"/>
          <w:lang w:val="en-AU" w:eastAsia="en-AU"/>
        </w:rPr>
      </w:pPr>
    </w:p>
    <w:p w:rsidR="002F7591" w:rsidRPr="00A31269" w:rsidRDefault="002F7591" w:rsidP="002F7591">
      <w:pPr>
        <w:pStyle w:val="DepartmentalHeading2"/>
        <w:spacing w:before="0" w:after="0"/>
        <w:jc w:val="both"/>
        <w:rPr>
          <w:rFonts w:cs="Arial"/>
          <w:sz w:val="22"/>
          <w:szCs w:val="24"/>
        </w:rPr>
      </w:pPr>
      <w:r>
        <w:rPr>
          <w:rFonts w:cs="Arial"/>
          <w:sz w:val="22"/>
          <w:szCs w:val="24"/>
        </w:rPr>
        <w:t xml:space="preserve">Botulinum toxin type A for spasticity and dystonia </w:t>
      </w:r>
    </w:p>
    <w:p w:rsidR="00445C1C" w:rsidRDefault="00445C1C" w:rsidP="00176F11">
      <w:pPr>
        <w:jc w:val="both"/>
        <w:rPr>
          <w:rFonts w:ascii="Arial" w:hAnsi="Arial" w:cs="Arial"/>
          <w:bCs/>
          <w:sz w:val="22"/>
          <w:lang w:val="en-AU" w:eastAsia="en-AU"/>
        </w:rPr>
      </w:pPr>
    </w:p>
    <w:p w:rsidR="00176F11" w:rsidRPr="00176F11" w:rsidRDefault="002F7591" w:rsidP="00176F11">
      <w:pPr>
        <w:jc w:val="both"/>
        <w:rPr>
          <w:rFonts w:ascii="Arial" w:hAnsi="Arial" w:cs="Arial"/>
          <w:bCs/>
          <w:sz w:val="22"/>
          <w:lang w:val="en-AU" w:eastAsia="en-AU"/>
        </w:rPr>
      </w:pPr>
      <w:r w:rsidRPr="00F514E4">
        <w:rPr>
          <w:rFonts w:ascii="Arial" w:hAnsi="Arial" w:cs="Arial"/>
          <w:bCs/>
          <w:sz w:val="22"/>
          <w:lang w:val="en-AU" w:eastAsia="en-AU"/>
        </w:rPr>
        <w:t xml:space="preserve">This </w:t>
      </w:r>
      <w:r w:rsidR="00176F11">
        <w:rPr>
          <w:rFonts w:ascii="Arial" w:hAnsi="Arial" w:cs="Arial"/>
          <w:bCs/>
          <w:sz w:val="22"/>
          <w:lang w:val="en-AU" w:eastAsia="en-AU"/>
        </w:rPr>
        <w:t xml:space="preserve">report considered the use </w:t>
      </w:r>
      <w:r w:rsidR="00176F11" w:rsidRPr="00176F11">
        <w:rPr>
          <w:rFonts w:ascii="Arial" w:hAnsi="Arial" w:cs="Arial"/>
          <w:bCs/>
          <w:sz w:val="22"/>
          <w:lang w:val="en-AU" w:eastAsia="en-AU"/>
        </w:rPr>
        <w:t>botulinum toxin type A supplied through the Pharmaceutical Benefits Scheme (PBS) for the treatment of spasticity in patients with cerebral palsy or following a stroke, and for spasmodic torticollis, blepharospasm and hemifacial spasm.</w:t>
      </w:r>
    </w:p>
    <w:p w:rsidR="002F7591" w:rsidRDefault="002F7591" w:rsidP="002F7591">
      <w:pPr>
        <w:jc w:val="both"/>
        <w:rPr>
          <w:rFonts w:ascii="Arial" w:hAnsi="Arial" w:cs="Arial"/>
          <w:bCs/>
          <w:color w:val="A6A6A6"/>
          <w:sz w:val="22"/>
          <w:lang w:val="en-AU" w:eastAsia="en-AU"/>
        </w:rPr>
      </w:pPr>
    </w:p>
    <w:p w:rsidR="002F7591" w:rsidRPr="008A4311" w:rsidRDefault="002F7591" w:rsidP="002F7591">
      <w:pPr>
        <w:jc w:val="both"/>
        <w:rPr>
          <w:rFonts w:ascii="Arial" w:hAnsi="Arial" w:cs="Arial"/>
          <w:bCs/>
          <w:i/>
          <w:sz w:val="22"/>
          <w:lang w:val="en-AU" w:eastAsia="en-AU"/>
        </w:rPr>
      </w:pPr>
      <w:r w:rsidRPr="008A4311">
        <w:rPr>
          <w:rFonts w:ascii="Arial" w:hAnsi="Arial" w:cs="Arial"/>
          <w:bCs/>
          <w:i/>
          <w:sz w:val="22"/>
          <w:lang w:val="en-AU" w:eastAsia="en-AU"/>
        </w:rPr>
        <w:t>Outcome</w:t>
      </w:r>
    </w:p>
    <w:p w:rsidR="00AF2F79" w:rsidRPr="00AF2F79" w:rsidRDefault="00AF2F79" w:rsidP="00AF2F79">
      <w:pPr>
        <w:contextualSpacing/>
        <w:jc w:val="both"/>
        <w:rPr>
          <w:rFonts w:ascii="Arial" w:hAnsi="Arial" w:cs="Arial"/>
          <w:sz w:val="22"/>
          <w:lang w:val="en-AU" w:eastAsia="en-AU"/>
        </w:rPr>
      </w:pPr>
      <w:r w:rsidRPr="00AF2F79">
        <w:rPr>
          <w:rFonts w:ascii="Arial" w:hAnsi="Arial" w:cs="Arial"/>
          <w:sz w:val="22"/>
          <w:lang w:val="en-AU" w:eastAsia="en-AU"/>
        </w:rPr>
        <w:t xml:space="preserve">The PBAC noted the findings of the report, including the steady increase in the number of patients supplied botulinum toxin type A for spasticity or dystonia, resulting in close to a doubling in the number of patients receiving treatment over the past </w:t>
      </w:r>
      <w:r w:rsidRPr="00AF2F79">
        <w:rPr>
          <w:rFonts w:ascii="Arial" w:hAnsi="Arial" w:cs="Arial"/>
          <w:sz w:val="22"/>
          <w:lang w:val="en-AU" w:eastAsia="en-AU"/>
        </w:rPr>
        <w:lastRenderedPageBreak/>
        <w:t xml:space="preserve">decade. The PBAC noted that the majority of use is for spasmodic torticollis, blepharospasm and hemifacial spasm. </w:t>
      </w:r>
    </w:p>
    <w:p w:rsidR="00AF2F79" w:rsidRDefault="00AF2F79" w:rsidP="00AF2F79">
      <w:pPr>
        <w:contextualSpacing/>
        <w:jc w:val="both"/>
        <w:rPr>
          <w:rFonts w:ascii="Arial" w:hAnsi="Arial" w:cs="Arial"/>
          <w:sz w:val="22"/>
          <w:lang w:val="en-AU" w:eastAsia="en-AU"/>
        </w:rPr>
      </w:pPr>
    </w:p>
    <w:p w:rsidR="00AF2F79" w:rsidRPr="00AF2F79" w:rsidRDefault="00AF2F79" w:rsidP="00AF2F79">
      <w:pPr>
        <w:contextualSpacing/>
        <w:jc w:val="both"/>
        <w:rPr>
          <w:rFonts w:ascii="Arial" w:hAnsi="Arial" w:cs="Arial"/>
          <w:sz w:val="22"/>
          <w:lang w:val="en-AU" w:eastAsia="en-AU"/>
        </w:rPr>
      </w:pPr>
      <w:r w:rsidRPr="00AF2F79">
        <w:rPr>
          <w:rFonts w:ascii="Arial" w:hAnsi="Arial" w:cs="Arial"/>
          <w:sz w:val="22"/>
          <w:lang w:val="en-AU" w:eastAsia="en-AU"/>
        </w:rPr>
        <w:t xml:space="preserve">The PBAC noted that the utilisation of botulinum toxin post-stroke is low in the context of all patients who have experienced a stroke and may have resultant spasticity. The PBAC questioned whether </w:t>
      </w:r>
      <w:r>
        <w:rPr>
          <w:rFonts w:ascii="Arial" w:hAnsi="Arial" w:cs="Arial"/>
          <w:sz w:val="22"/>
          <w:lang w:val="en-AU" w:eastAsia="en-AU"/>
        </w:rPr>
        <w:t>low use</w:t>
      </w:r>
      <w:r w:rsidRPr="00AF2F79">
        <w:rPr>
          <w:rFonts w:ascii="Arial" w:hAnsi="Arial" w:cs="Arial"/>
          <w:sz w:val="22"/>
          <w:lang w:val="en-AU" w:eastAsia="en-AU"/>
        </w:rPr>
        <w:t xml:space="preserve"> may indicate difficulties for some patients in accessing treatment. The PBAC also noted that there is some jurisdictional variation in use of botulinum toxin.</w:t>
      </w:r>
    </w:p>
    <w:p w:rsidR="00AF2F79" w:rsidRDefault="00AF2F79" w:rsidP="00AF2F79">
      <w:pPr>
        <w:contextualSpacing/>
        <w:jc w:val="both"/>
        <w:rPr>
          <w:rFonts w:ascii="Arial" w:hAnsi="Arial" w:cs="Arial"/>
          <w:sz w:val="22"/>
          <w:lang w:val="en-AU" w:eastAsia="en-AU"/>
        </w:rPr>
      </w:pPr>
    </w:p>
    <w:p w:rsidR="002F7591" w:rsidRDefault="00AF2F79" w:rsidP="00AF2F79">
      <w:pPr>
        <w:contextualSpacing/>
        <w:jc w:val="both"/>
        <w:rPr>
          <w:rFonts w:ascii="Arial" w:hAnsi="Arial" w:cs="Arial"/>
          <w:sz w:val="22"/>
          <w:lang w:val="en-AU" w:eastAsia="en-AU"/>
        </w:rPr>
      </w:pPr>
      <w:r w:rsidRPr="00AF2F79">
        <w:rPr>
          <w:rFonts w:ascii="Arial" w:hAnsi="Arial" w:cs="Arial"/>
          <w:sz w:val="22"/>
          <w:lang w:val="en-AU" w:eastAsia="en-AU"/>
        </w:rPr>
        <w:t>The PBAC agreed with DUSC that the large proportion of patients with only one prescription supplied suggests many patients who initiate botulinum toxin may not achieve functional improvement. The reasons for discontinuation are not known; the PBAC considered that it is unclear whether botulinum toxin is not tolerated by patients.</w:t>
      </w:r>
    </w:p>
    <w:p w:rsidR="002F7591" w:rsidRPr="003172AB" w:rsidRDefault="002F7591" w:rsidP="002F7591">
      <w:pPr>
        <w:contextualSpacing/>
        <w:jc w:val="both"/>
        <w:rPr>
          <w:rFonts w:ascii="Arial" w:hAnsi="Arial" w:cs="Arial"/>
          <w:sz w:val="22"/>
          <w:lang w:val="en-AU" w:eastAsia="en-AU"/>
        </w:rPr>
      </w:pPr>
    </w:p>
    <w:p w:rsidR="002F7591" w:rsidRDefault="002F7591" w:rsidP="002F7591">
      <w:pPr>
        <w:pStyle w:val="DepartmentalHeading2"/>
        <w:spacing w:before="0" w:after="0"/>
        <w:jc w:val="both"/>
        <w:rPr>
          <w:rFonts w:cs="Arial"/>
          <w:sz w:val="22"/>
          <w:szCs w:val="24"/>
        </w:rPr>
      </w:pPr>
      <w:r>
        <w:rPr>
          <w:rFonts w:cs="Arial"/>
          <w:sz w:val="22"/>
          <w:szCs w:val="24"/>
        </w:rPr>
        <w:t>Posaconazole</w:t>
      </w:r>
    </w:p>
    <w:p w:rsidR="00445C1C" w:rsidRDefault="00445C1C" w:rsidP="002F7591">
      <w:pPr>
        <w:jc w:val="both"/>
        <w:rPr>
          <w:rFonts w:ascii="Arial" w:hAnsi="Arial" w:cs="Arial"/>
          <w:b/>
          <w:sz w:val="22"/>
          <w:lang w:val="en-AU" w:eastAsia="en-AU"/>
        </w:rPr>
      </w:pPr>
    </w:p>
    <w:p w:rsidR="002F7591" w:rsidRPr="00385940" w:rsidRDefault="002F7591" w:rsidP="002F7591">
      <w:pPr>
        <w:jc w:val="both"/>
        <w:rPr>
          <w:rFonts w:ascii="Arial" w:hAnsi="Arial" w:cs="Arial"/>
          <w:bCs/>
          <w:sz w:val="22"/>
          <w:lang w:val="en-AU" w:eastAsia="en-AU"/>
        </w:rPr>
      </w:pPr>
      <w:r w:rsidRPr="00F514E4">
        <w:rPr>
          <w:rFonts w:ascii="Arial" w:hAnsi="Arial" w:cs="Arial"/>
          <w:bCs/>
          <w:sz w:val="22"/>
          <w:lang w:val="en-AU" w:eastAsia="en-AU"/>
        </w:rPr>
        <w:t xml:space="preserve">This </w:t>
      </w:r>
      <w:r w:rsidR="005C202C">
        <w:rPr>
          <w:rFonts w:ascii="Arial" w:hAnsi="Arial" w:cs="Arial"/>
          <w:bCs/>
          <w:sz w:val="22"/>
          <w:lang w:val="en-AU" w:eastAsia="en-AU"/>
        </w:rPr>
        <w:t xml:space="preserve">report </w:t>
      </w:r>
      <w:r w:rsidR="005C202C" w:rsidRPr="005C202C">
        <w:rPr>
          <w:rFonts w:ascii="Arial" w:hAnsi="Arial" w:cs="Arial"/>
          <w:bCs/>
          <w:sz w:val="22"/>
          <w:lang w:val="en-AU" w:eastAsia="en-AU"/>
        </w:rPr>
        <w:t>consider</w:t>
      </w:r>
      <w:r w:rsidR="005C202C">
        <w:rPr>
          <w:rFonts w:ascii="Arial" w:hAnsi="Arial" w:cs="Arial"/>
          <w:bCs/>
          <w:sz w:val="22"/>
          <w:lang w:val="en-AU" w:eastAsia="en-AU"/>
        </w:rPr>
        <w:t xml:space="preserve">ed the </w:t>
      </w:r>
      <w:r w:rsidR="005C202C" w:rsidRPr="005C202C">
        <w:rPr>
          <w:rFonts w:ascii="Arial" w:hAnsi="Arial" w:cs="Arial"/>
          <w:bCs/>
          <w:sz w:val="22"/>
          <w:lang w:val="en-AU" w:eastAsia="en-AU"/>
        </w:rPr>
        <w:t>predicted and actual use of posaconazole for the treatment and prophylaxis of fungal infections since the tablet form was listed on the Pharmaceutical Benefits Scheme (PBS) in September 2015.</w:t>
      </w:r>
    </w:p>
    <w:p w:rsidR="002F7591" w:rsidRDefault="002F7591" w:rsidP="002F7591">
      <w:pPr>
        <w:jc w:val="both"/>
        <w:rPr>
          <w:rFonts w:ascii="Arial" w:hAnsi="Arial" w:cs="Arial"/>
          <w:bCs/>
          <w:color w:val="A6A6A6"/>
          <w:sz w:val="22"/>
          <w:lang w:val="en-AU" w:eastAsia="en-AU"/>
        </w:rPr>
      </w:pPr>
    </w:p>
    <w:p w:rsidR="002F7591" w:rsidRDefault="002F7591" w:rsidP="002F7591">
      <w:pPr>
        <w:jc w:val="both"/>
        <w:rPr>
          <w:rFonts w:ascii="Arial" w:hAnsi="Arial" w:cs="Arial"/>
          <w:bCs/>
          <w:i/>
          <w:sz w:val="22"/>
          <w:lang w:val="en-AU" w:eastAsia="en-AU"/>
        </w:rPr>
      </w:pPr>
      <w:r w:rsidRPr="008A4311">
        <w:rPr>
          <w:rFonts w:ascii="Arial" w:hAnsi="Arial" w:cs="Arial"/>
          <w:bCs/>
          <w:i/>
          <w:sz w:val="22"/>
          <w:lang w:val="en-AU" w:eastAsia="en-AU"/>
        </w:rPr>
        <w:t>Outcome</w:t>
      </w:r>
    </w:p>
    <w:p w:rsidR="005C202C" w:rsidRDefault="00265781" w:rsidP="002F7591">
      <w:pPr>
        <w:contextualSpacing/>
        <w:jc w:val="both"/>
        <w:rPr>
          <w:rFonts w:ascii="Arial" w:hAnsi="Arial" w:cs="Arial"/>
          <w:sz w:val="22"/>
          <w:lang w:val="en-AU" w:eastAsia="en-AU"/>
        </w:rPr>
      </w:pPr>
      <w:r w:rsidRPr="00265781">
        <w:rPr>
          <w:rFonts w:ascii="Arial" w:hAnsi="Arial" w:cs="Arial"/>
          <w:bCs/>
          <w:sz w:val="22"/>
          <w:lang w:eastAsia="en-AU"/>
        </w:rPr>
        <w:t>The PBAC noted the findings of the report, including that the listing of tablet form rapidly and substantially grew the posaconazole market. The PBAC agreed that an increase in the number of allogenic haematopoietic stem cell transplants</w:t>
      </w:r>
      <w:r>
        <w:rPr>
          <w:rFonts w:ascii="Arial" w:hAnsi="Arial" w:cs="Arial"/>
          <w:bCs/>
          <w:sz w:val="22"/>
          <w:lang w:eastAsia="en-AU"/>
        </w:rPr>
        <w:t xml:space="preserve"> may be a contributing factor</w:t>
      </w:r>
      <w:r w:rsidRPr="00265781">
        <w:rPr>
          <w:rFonts w:ascii="Arial" w:hAnsi="Arial" w:cs="Arial"/>
          <w:bCs/>
          <w:sz w:val="22"/>
          <w:lang w:eastAsia="en-AU"/>
        </w:rPr>
        <w:t xml:space="preserve"> but did not consider that this accounted for the magnitude of increase in posaconazole use. The PBAC </w:t>
      </w:r>
      <w:r>
        <w:rPr>
          <w:rFonts w:ascii="Arial" w:hAnsi="Arial" w:cs="Arial"/>
          <w:bCs/>
          <w:sz w:val="22"/>
          <w:lang w:eastAsia="en-AU"/>
        </w:rPr>
        <w:t>considered that there is a</w:t>
      </w:r>
      <w:r w:rsidRPr="00265781">
        <w:rPr>
          <w:rFonts w:ascii="Arial" w:hAnsi="Arial" w:cs="Arial"/>
          <w:bCs/>
          <w:sz w:val="22"/>
          <w:lang w:eastAsia="en-AU"/>
        </w:rPr>
        <w:t xml:space="preserve"> risk of posaconazole tablets being used for longer durations than necessary or</w:t>
      </w:r>
      <w:r>
        <w:rPr>
          <w:rFonts w:ascii="Arial" w:hAnsi="Arial" w:cs="Arial"/>
          <w:bCs/>
          <w:sz w:val="22"/>
          <w:lang w:eastAsia="en-AU"/>
        </w:rPr>
        <w:t xml:space="preserve"> outside of the PBS restrictions</w:t>
      </w:r>
      <w:r w:rsidRPr="00265781">
        <w:rPr>
          <w:rFonts w:ascii="Arial" w:hAnsi="Arial" w:cs="Arial"/>
          <w:bCs/>
          <w:sz w:val="22"/>
          <w:lang w:eastAsia="en-AU"/>
        </w:rPr>
        <w:t xml:space="preserve"> in lower risk patients.</w:t>
      </w:r>
    </w:p>
    <w:p w:rsidR="005C202C" w:rsidRPr="00DA2A81" w:rsidRDefault="005C202C" w:rsidP="002F7591">
      <w:pPr>
        <w:contextualSpacing/>
        <w:jc w:val="both"/>
        <w:rPr>
          <w:rFonts w:ascii="Arial" w:hAnsi="Arial" w:cs="Arial"/>
          <w:color w:val="A6A6A6"/>
          <w:sz w:val="22"/>
          <w:lang w:val="en-AU" w:eastAsia="en-AU"/>
        </w:rPr>
      </w:pPr>
    </w:p>
    <w:p w:rsidR="002F7591" w:rsidRPr="002F775E" w:rsidRDefault="002F7591" w:rsidP="002F775E">
      <w:pPr>
        <w:contextualSpacing/>
        <w:jc w:val="both"/>
        <w:rPr>
          <w:rFonts w:ascii="Arial" w:hAnsi="Arial" w:cs="Arial"/>
          <w:sz w:val="22"/>
          <w:lang w:val="en-AU" w:eastAsia="en-AU"/>
        </w:rPr>
      </w:pPr>
    </w:p>
    <w:sectPr w:rsidR="002F7591" w:rsidRPr="002F775E" w:rsidSect="007A2421">
      <w:headerReference w:type="default" r:id="rId10"/>
      <w:footerReference w:type="default" r:id="rId11"/>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36" w:rsidRDefault="00397836">
      <w:r>
        <w:separator/>
      </w:r>
    </w:p>
  </w:endnote>
  <w:endnote w:type="continuationSeparator" w:id="0">
    <w:p w:rsidR="00397836" w:rsidRDefault="003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4630FE" w:rsidRDefault="004630FE">
    <w:pPr>
      <w:pStyle w:val="Footer"/>
      <w:jc w:val="center"/>
      <w:rPr>
        <w:rFonts w:ascii="Arial" w:hAnsi="Arial" w:cs="Arial"/>
        <w:sz w:val="22"/>
      </w:rPr>
    </w:pPr>
  </w:p>
  <w:p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F852D8">
      <w:rPr>
        <w:rFonts w:ascii="Arial" w:hAnsi="Arial" w:cs="Arial"/>
        <w:noProof/>
        <w:sz w:val="22"/>
      </w:rPr>
      <w:t>1</w:t>
    </w:r>
    <w:r w:rsidRPr="004630FE">
      <w:rPr>
        <w:rFonts w:ascii="Arial" w:hAnsi="Arial" w:cs="Arial"/>
        <w:noProof/>
        <w:sz w:val="22"/>
      </w:rPr>
      <w:fldChar w:fldCharType="end"/>
    </w:r>
  </w:p>
  <w:p w:rsidR="004630FE" w:rsidRDefault="00463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36" w:rsidRDefault="00397836">
      <w:r>
        <w:separator/>
      </w:r>
    </w:p>
  </w:footnote>
  <w:footnote w:type="continuationSeparator" w:id="0">
    <w:p w:rsidR="00397836" w:rsidRDefault="00397836">
      <w:r>
        <w:continuationSeparator/>
      </w:r>
    </w:p>
  </w:footnote>
  <w:footnote w:id="1">
    <w:p w:rsidR="00C23657" w:rsidRPr="00C23657" w:rsidRDefault="00C23657">
      <w:pPr>
        <w:pStyle w:val="FootnoteText"/>
        <w:rPr>
          <w:lang w:val="en-AU"/>
        </w:rPr>
      </w:pPr>
      <w:r>
        <w:rPr>
          <w:rStyle w:val="FootnoteReference"/>
        </w:rPr>
        <w:footnoteRef/>
      </w:r>
      <w:r>
        <w:t xml:space="preserve"> </w:t>
      </w:r>
      <w:r w:rsidRPr="00CC3AE8">
        <w:rPr>
          <w:rFonts w:ascii="Arial" w:hAnsi="Arial" w:cs="Arial"/>
        </w:rPr>
        <w:t>http://www.pbs.gov.au/info/industry/listing/elements/dusc-meetings/dos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520B6E" w:rsidRDefault="008D020C" w:rsidP="004630FE">
    <w:pPr>
      <w:tabs>
        <w:tab w:val="center" w:pos="4153"/>
        <w:tab w:val="right" w:pos="8306"/>
      </w:tabs>
      <w:jc w:val="center"/>
      <w:rPr>
        <w:rFonts w:ascii="Arial" w:hAnsi="Arial" w:cs="Arial"/>
        <w:b/>
        <w:sz w:val="20"/>
      </w:rPr>
    </w:pPr>
    <w:r>
      <w:rPr>
        <w:rFonts w:ascii="Arial" w:hAnsi="Arial" w:cs="Arial"/>
        <w:b/>
        <w:sz w:val="20"/>
      </w:rPr>
      <w:t xml:space="preserve"> </w:t>
    </w:r>
    <w:r w:rsidR="002F7591">
      <w:rPr>
        <w:rFonts w:ascii="Arial" w:hAnsi="Arial" w:cs="Arial"/>
        <w:b/>
        <w:sz w:val="20"/>
      </w:rPr>
      <w:t xml:space="preserve">JULY </w:t>
    </w:r>
    <w:r>
      <w:rPr>
        <w:rFonts w:ascii="Arial" w:hAnsi="Arial" w:cs="Arial"/>
        <w:b/>
        <w:sz w:val="20"/>
      </w:rPr>
      <w:t>2018</w:t>
    </w:r>
    <w:r w:rsidR="00341E66" w:rsidRPr="00341E66">
      <w:rPr>
        <w:rFonts w:ascii="Arial" w:hAnsi="Arial" w:cs="Arial"/>
        <w:b/>
        <w:sz w:val="20"/>
      </w:rPr>
      <w:t xml:space="preserve"> </w:t>
    </w:r>
    <w:r w:rsidR="004630FE" w:rsidRPr="00520B6E">
      <w:rPr>
        <w:rFonts w:ascii="Arial" w:hAnsi="Arial" w:cs="Arial"/>
        <w:b/>
        <w:sz w:val="20"/>
      </w:rPr>
      <w:t>PBAC M</w:t>
    </w:r>
    <w:r w:rsidR="004630FE">
      <w:rPr>
        <w:rFonts w:ascii="Arial" w:hAnsi="Arial" w:cs="Arial"/>
        <w:b/>
        <w:sz w:val="20"/>
      </w:rPr>
      <w:t>EETING – CONSIDERATION OF THE</w:t>
    </w:r>
    <w:r w:rsidR="004630FE" w:rsidRPr="00520B6E">
      <w:rPr>
        <w:rFonts w:ascii="Arial" w:hAnsi="Arial" w:cs="Arial"/>
        <w:b/>
        <w:sz w:val="20"/>
      </w:rPr>
      <w:t xml:space="preserve"> </w:t>
    </w:r>
    <w:r w:rsidR="004630FE">
      <w:rPr>
        <w:rFonts w:ascii="Arial" w:hAnsi="Arial" w:cs="Arial"/>
        <w:b/>
        <w:sz w:val="20"/>
      </w:rPr>
      <w:t>REPORT OF THE DRUG UTILISATION SUB</w:t>
    </w:r>
    <w:r w:rsidR="004630FE">
      <w:rPr>
        <w:rFonts w:ascii="Arial" w:hAnsi="Arial" w:cs="Arial"/>
        <w:b/>
        <w:sz w:val="20"/>
      </w:rPr>
      <w:noBreakHyphen/>
      <w:t>COMMITTEE</w:t>
    </w:r>
  </w:p>
  <w:p w:rsidR="004630FE" w:rsidRDefault="00463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6A"/>
    <w:rsid w:val="00034F16"/>
    <w:rsid w:val="0006056A"/>
    <w:rsid w:val="00060A45"/>
    <w:rsid w:val="00095F78"/>
    <w:rsid w:val="000A2CDC"/>
    <w:rsid w:val="000B2DD0"/>
    <w:rsid w:val="001416A4"/>
    <w:rsid w:val="00156D69"/>
    <w:rsid w:val="00165446"/>
    <w:rsid w:val="00176F11"/>
    <w:rsid w:val="001C0587"/>
    <w:rsid w:val="001D0B69"/>
    <w:rsid w:val="001D45AF"/>
    <w:rsid w:val="00251848"/>
    <w:rsid w:val="00265781"/>
    <w:rsid w:val="00267A9D"/>
    <w:rsid w:val="0028590B"/>
    <w:rsid w:val="002D4006"/>
    <w:rsid w:val="002F7591"/>
    <w:rsid w:val="002F775E"/>
    <w:rsid w:val="003172AB"/>
    <w:rsid w:val="00341E66"/>
    <w:rsid w:val="00385940"/>
    <w:rsid w:val="00397836"/>
    <w:rsid w:val="003B79EE"/>
    <w:rsid w:val="003C2B83"/>
    <w:rsid w:val="00404E2A"/>
    <w:rsid w:val="00445C1C"/>
    <w:rsid w:val="004630FE"/>
    <w:rsid w:val="00464DA0"/>
    <w:rsid w:val="004D4DEE"/>
    <w:rsid w:val="004E76AE"/>
    <w:rsid w:val="0050733A"/>
    <w:rsid w:val="005166A6"/>
    <w:rsid w:val="00553E58"/>
    <w:rsid w:val="005642B3"/>
    <w:rsid w:val="00565336"/>
    <w:rsid w:val="00575B2C"/>
    <w:rsid w:val="005C202C"/>
    <w:rsid w:val="005F2273"/>
    <w:rsid w:val="006102C6"/>
    <w:rsid w:val="00641F0C"/>
    <w:rsid w:val="00652D57"/>
    <w:rsid w:val="00666863"/>
    <w:rsid w:val="00677683"/>
    <w:rsid w:val="006847AC"/>
    <w:rsid w:val="006A2EB2"/>
    <w:rsid w:val="006E57A3"/>
    <w:rsid w:val="0070348A"/>
    <w:rsid w:val="007178BA"/>
    <w:rsid w:val="007A2421"/>
    <w:rsid w:val="007C758A"/>
    <w:rsid w:val="007F4E20"/>
    <w:rsid w:val="00801B19"/>
    <w:rsid w:val="00816A6C"/>
    <w:rsid w:val="008545D1"/>
    <w:rsid w:val="008842CE"/>
    <w:rsid w:val="00890D53"/>
    <w:rsid w:val="008A4311"/>
    <w:rsid w:val="008D020C"/>
    <w:rsid w:val="00922E47"/>
    <w:rsid w:val="00925E21"/>
    <w:rsid w:val="00933952"/>
    <w:rsid w:val="009E7E00"/>
    <w:rsid w:val="00A0539F"/>
    <w:rsid w:val="00A31269"/>
    <w:rsid w:val="00A32269"/>
    <w:rsid w:val="00A70179"/>
    <w:rsid w:val="00A74CCD"/>
    <w:rsid w:val="00A9331B"/>
    <w:rsid w:val="00AC0FFB"/>
    <w:rsid w:val="00AD37E5"/>
    <w:rsid w:val="00AF2F79"/>
    <w:rsid w:val="00AF3B3E"/>
    <w:rsid w:val="00B13AD3"/>
    <w:rsid w:val="00B1693A"/>
    <w:rsid w:val="00B445D9"/>
    <w:rsid w:val="00B532C3"/>
    <w:rsid w:val="00B94AFC"/>
    <w:rsid w:val="00B95F3B"/>
    <w:rsid w:val="00BA0860"/>
    <w:rsid w:val="00BC3BE5"/>
    <w:rsid w:val="00BE4405"/>
    <w:rsid w:val="00BF7DC0"/>
    <w:rsid w:val="00C144D5"/>
    <w:rsid w:val="00C22340"/>
    <w:rsid w:val="00C22AB9"/>
    <w:rsid w:val="00C23657"/>
    <w:rsid w:val="00CB56CD"/>
    <w:rsid w:val="00CC3AE8"/>
    <w:rsid w:val="00CD2ADF"/>
    <w:rsid w:val="00D47451"/>
    <w:rsid w:val="00D7136A"/>
    <w:rsid w:val="00DA2A81"/>
    <w:rsid w:val="00DC7A41"/>
    <w:rsid w:val="00E16015"/>
    <w:rsid w:val="00E25A33"/>
    <w:rsid w:val="00E37984"/>
    <w:rsid w:val="00E65BFD"/>
    <w:rsid w:val="00EA43F8"/>
    <w:rsid w:val="00EB2EA4"/>
    <w:rsid w:val="00EB38E2"/>
    <w:rsid w:val="00EE68E4"/>
    <w:rsid w:val="00F514E4"/>
    <w:rsid w:val="00F628C7"/>
    <w:rsid w:val="00F852D8"/>
    <w:rsid w:val="00F8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 w:type="paragraph" w:styleId="EndnoteText">
    <w:name w:val="endnote text"/>
    <w:basedOn w:val="Normal"/>
    <w:link w:val="EndnoteTextChar"/>
    <w:uiPriority w:val="99"/>
    <w:semiHidden/>
    <w:unhideWhenUsed/>
    <w:rsid w:val="00165446"/>
    <w:rPr>
      <w:sz w:val="20"/>
      <w:szCs w:val="20"/>
    </w:rPr>
  </w:style>
  <w:style w:type="character" w:customStyle="1" w:styleId="EndnoteTextChar">
    <w:name w:val="Endnote Text Char"/>
    <w:basedOn w:val="DefaultParagraphFont"/>
    <w:link w:val="EndnoteText"/>
    <w:uiPriority w:val="99"/>
    <w:semiHidden/>
    <w:rsid w:val="00165446"/>
    <w:rPr>
      <w:rFonts w:eastAsia="Times New Roman"/>
      <w:lang w:val="en-US" w:eastAsia="en-US"/>
    </w:rPr>
  </w:style>
  <w:style w:type="character" w:styleId="EndnoteReference">
    <w:name w:val="endnote reference"/>
    <w:basedOn w:val="DefaultParagraphFont"/>
    <w:uiPriority w:val="99"/>
    <w:semiHidden/>
    <w:unhideWhenUsed/>
    <w:rsid w:val="00165446"/>
    <w:rPr>
      <w:vertAlign w:val="superscript"/>
    </w:rPr>
  </w:style>
  <w:style w:type="paragraph" w:styleId="FootnoteText">
    <w:name w:val="footnote text"/>
    <w:basedOn w:val="Normal"/>
    <w:link w:val="FootnoteTextChar"/>
    <w:uiPriority w:val="99"/>
    <w:semiHidden/>
    <w:unhideWhenUsed/>
    <w:rsid w:val="00C23657"/>
    <w:rPr>
      <w:sz w:val="20"/>
      <w:szCs w:val="20"/>
    </w:rPr>
  </w:style>
  <w:style w:type="character" w:customStyle="1" w:styleId="FootnoteTextChar">
    <w:name w:val="Footnote Text Char"/>
    <w:basedOn w:val="DefaultParagraphFont"/>
    <w:link w:val="FootnoteText"/>
    <w:uiPriority w:val="99"/>
    <w:semiHidden/>
    <w:rsid w:val="00C23657"/>
    <w:rPr>
      <w:rFonts w:eastAsia="Times New Roman"/>
      <w:lang w:val="en-US" w:eastAsia="en-US"/>
    </w:rPr>
  </w:style>
  <w:style w:type="character" w:styleId="FootnoteReference">
    <w:name w:val="footnote reference"/>
    <w:basedOn w:val="DefaultParagraphFont"/>
    <w:uiPriority w:val="99"/>
    <w:semiHidden/>
    <w:unhideWhenUsed/>
    <w:rsid w:val="00C236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 w:type="paragraph" w:styleId="EndnoteText">
    <w:name w:val="endnote text"/>
    <w:basedOn w:val="Normal"/>
    <w:link w:val="EndnoteTextChar"/>
    <w:uiPriority w:val="99"/>
    <w:semiHidden/>
    <w:unhideWhenUsed/>
    <w:rsid w:val="00165446"/>
    <w:rPr>
      <w:sz w:val="20"/>
      <w:szCs w:val="20"/>
    </w:rPr>
  </w:style>
  <w:style w:type="character" w:customStyle="1" w:styleId="EndnoteTextChar">
    <w:name w:val="Endnote Text Char"/>
    <w:basedOn w:val="DefaultParagraphFont"/>
    <w:link w:val="EndnoteText"/>
    <w:uiPriority w:val="99"/>
    <w:semiHidden/>
    <w:rsid w:val="00165446"/>
    <w:rPr>
      <w:rFonts w:eastAsia="Times New Roman"/>
      <w:lang w:val="en-US" w:eastAsia="en-US"/>
    </w:rPr>
  </w:style>
  <w:style w:type="character" w:styleId="EndnoteReference">
    <w:name w:val="endnote reference"/>
    <w:basedOn w:val="DefaultParagraphFont"/>
    <w:uiPriority w:val="99"/>
    <w:semiHidden/>
    <w:unhideWhenUsed/>
    <w:rsid w:val="00165446"/>
    <w:rPr>
      <w:vertAlign w:val="superscript"/>
    </w:rPr>
  </w:style>
  <w:style w:type="paragraph" w:styleId="FootnoteText">
    <w:name w:val="footnote text"/>
    <w:basedOn w:val="Normal"/>
    <w:link w:val="FootnoteTextChar"/>
    <w:uiPriority w:val="99"/>
    <w:semiHidden/>
    <w:unhideWhenUsed/>
    <w:rsid w:val="00C23657"/>
    <w:rPr>
      <w:sz w:val="20"/>
      <w:szCs w:val="20"/>
    </w:rPr>
  </w:style>
  <w:style w:type="character" w:customStyle="1" w:styleId="FootnoteTextChar">
    <w:name w:val="Footnote Text Char"/>
    <w:basedOn w:val="DefaultParagraphFont"/>
    <w:link w:val="FootnoteText"/>
    <w:uiPriority w:val="99"/>
    <w:semiHidden/>
    <w:rsid w:val="00C23657"/>
    <w:rPr>
      <w:rFonts w:eastAsia="Times New Roman"/>
      <w:lang w:val="en-US" w:eastAsia="en-US"/>
    </w:rPr>
  </w:style>
  <w:style w:type="character" w:styleId="FootnoteReference">
    <w:name w:val="footnote reference"/>
    <w:basedOn w:val="DefaultParagraphFont"/>
    <w:uiPriority w:val="99"/>
    <w:semiHidden/>
    <w:unhideWhenUsed/>
    <w:rsid w:val="00C23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bs.gov.au/info/industry/listing/elements/dusc-meetings/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3CF3-7292-44B3-8F9D-0C3EBAF5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3D24D745.dotm</Template>
  <TotalTime>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2018-08-02T06:29:00Z</dcterms:created>
  <dcterms:modified xsi:type="dcterms:W3CDTF">2018-08-15T04:45:00Z</dcterms:modified>
</cp:coreProperties>
</file>