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066291" w:rsidRPr="00D7066D" w:rsidTr="002153C8">
        <w:trPr>
          <w:tblHeader/>
        </w:trPr>
        <w:tc>
          <w:tcPr>
            <w:tcW w:w="2694" w:type="dxa"/>
            <w:tcMar>
              <w:top w:w="28" w:type="dxa"/>
              <w:bottom w:w="28" w:type="dxa"/>
            </w:tcMar>
            <w:vAlign w:val="center"/>
          </w:tcPr>
          <w:p w:rsidR="00066291" w:rsidRDefault="00066291" w:rsidP="002153C8">
            <w:pPr>
              <w:widowControl w:val="0"/>
              <w:jc w:val="center"/>
              <w:rPr>
                <w:rFonts w:ascii="Arial" w:hAnsi="Arial" w:cs="Arial"/>
                <w:b/>
              </w:rPr>
            </w:pPr>
            <w:r w:rsidRPr="00D7066D">
              <w:rPr>
                <w:rFonts w:ascii="Arial" w:hAnsi="Arial" w:cs="Arial"/>
                <w:b/>
              </w:rPr>
              <w:t>DRUG NAME, FORM(S), STRENGTH(S), SPONSOR, TYPE OF SUBMISSION</w:t>
            </w:r>
          </w:p>
          <w:p w:rsidR="00EA289E" w:rsidRPr="00D7066D" w:rsidRDefault="00EA289E" w:rsidP="002153C8">
            <w:pPr>
              <w:widowControl w:val="0"/>
              <w:jc w:val="center"/>
              <w:rPr>
                <w:rFonts w:ascii="Arial" w:hAnsi="Arial" w:cs="Arial"/>
                <w:b/>
              </w:rPr>
            </w:pPr>
          </w:p>
        </w:tc>
        <w:tc>
          <w:tcPr>
            <w:tcW w:w="2409" w:type="dxa"/>
            <w:tcMar>
              <w:top w:w="28" w:type="dxa"/>
              <w:bottom w:w="28" w:type="dxa"/>
            </w:tcMar>
            <w:vAlign w:val="center"/>
          </w:tcPr>
          <w:p w:rsidR="00066291" w:rsidRPr="00D7066D" w:rsidRDefault="00066291" w:rsidP="002153C8">
            <w:pPr>
              <w:widowControl w:val="0"/>
              <w:jc w:val="center"/>
              <w:rPr>
                <w:rFonts w:ascii="Arial" w:hAnsi="Arial" w:cs="Arial"/>
                <w:b/>
                <w:snapToGrid w:val="0"/>
                <w:lang w:eastAsia="en-US"/>
              </w:rPr>
            </w:pPr>
            <w:r w:rsidRPr="00D7066D">
              <w:rPr>
                <w:rFonts w:ascii="Arial" w:hAnsi="Arial" w:cs="Arial"/>
                <w:b/>
                <w:snapToGrid w:val="0"/>
                <w:lang w:eastAsia="en-US"/>
              </w:rPr>
              <w:t>DRUG TYPE AND USE</w:t>
            </w:r>
          </w:p>
          <w:p w:rsidR="00066291" w:rsidRPr="00D7066D" w:rsidRDefault="00066291" w:rsidP="002153C8">
            <w:pPr>
              <w:widowControl w:val="0"/>
              <w:jc w:val="center"/>
              <w:rPr>
                <w:rFonts w:ascii="Arial" w:hAnsi="Arial" w:cs="Arial"/>
                <w:b/>
                <w:snapToGrid w:val="0"/>
                <w:lang w:eastAsia="en-US"/>
              </w:rPr>
            </w:pPr>
          </w:p>
        </w:tc>
        <w:tc>
          <w:tcPr>
            <w:tcW w:w="3261" w:type="dxa"/>
            <w:tcMar>
              <w:top w:w="28" w:type="dxa"/>
              <w:bottom w:w="28" w:type="dxa"/>
            </w:tcMar>
            <w:vAlign w:val="center"/>
          </w:tcPr>
          <w:p w:rsidR="00066291" w:rsidRPr="00D7066D" w:rsidRDefault="00066291" w:rsidP="002153C8">
            <w:pPr>
              <w:widowControl w:val="0"/>
              <w:jc w:val="center"/>
              <w:rPr>
                <w:rFonts w:ascii="Arial" w:hAnsi="Arial" w:cs="Arial"/>
                <w:b/>
                <w:snapToGrid w:val="0"/>
                <w:lang w:eastAsia="en-US"/>
              </w:rPr>
            </w:pPr>
            <w:r w:rsidRPr="00D7066D">
              <w:rPr>
                <w:rFonts w:ascii="Arial" w:hAnsi="Arial" w:cs="Arial"/>
                <w:b/>
                <w:snapToGrid w:val="0"/>
                <w:lang w:eastAsia="en-US"/>
              </w:rPr>
              <w:t>LISTING REQUESTED BY SPONSOR / PURPOSE OF SUBMISSION</w:t>
            </w:r>
          </w:p>
        </w:tc>
        <w:tc>
          <w:tcPr>
            <w:tcW w:w="6947" w:type="dxa"/>
            <w:shd w:val="clear" w:color="auto" w:fill="auto"/>
            <w:vAlign w:val="center"/>
          </w:tcPr>
          <w:p w:rsidR="00066291" w:rsidRPr="00D7066D" w:rsidRDefault="00066291" w:rsidP="002153C8">
            <w:pPr>
              <w:pStyle w:val="Header"/>
              <w:jc w:val="center"/>
              <w:rPr>
                <w:rFonts w:ascii="Arial" w:hAnsi="Arial" w:cs="Arial"/>
                <w:b/>
                <w:snapToGrid w:val="0"/>
                <w:lang w:eastAsia="en-US"/>
              </w:rPr>
            </w:pPr>
            <w:r w:rsidRPr="00D7066D">
              <w:rPr>
                <w:rFonts w:ascii="Arial" w:hAnsi="Arial" w:cs="Arial"/>
                <w:b/>
                <w:snapToGrid w:val="0"/>
                <w:lang w:eastAsia="en-US"/>
              </w:rPr>
              <w:t>PBAC OUTCOME</w:t>
            </w:r>
          </w:p>
        </w:tc>
      </w:tr>
      <w:tr w:rsidR="003052B0" w:rsidRPr="00D7066D" w:rsidTr="00310B48">
        <w:trPr>
          <w:trHeight w:val="2119"/>
        </w:trPr>
        <w:tc>
          <w:tcPr>
            <w:tcW w:w="2694" w:type="dxa"/>
            <w:vMerge w:val="restart"/>
            <w:tcMar>
              <w:top w:w="28" w:type="dxa"/>
              <w:bottom w:w="28" w:type="dxa"/>
            </w:tcMar>
          </w:tcPr>
          <w:p w:rsidR="003052B0" w:rsidRPr="00D7066D" w:rsidRDefault="003052B0" w:rsidP="002D62FF">
            <w:pPr>
              <w:rPr>
                <w:rFonts w:ascii="Arial" w:hAnsi="Arial" w:cs="Arial"/>
                <w:color w:val="000000"/>
              </w:rPr>
            </w:pPr>
            <w:r w:rsidRPr="00D7066D">
              <w:rPr>
                <w:rFonts w:ascii="Arial" w:hAnsi="Arial" w:cs="Arial"/>
                <w:color w:val="000000"/>
              </w:rPr>
              <w:t>BLINATUMOMAB</w:t>
            </w:r>
            <w:r w:rsidRPr="00D7066D">
              <w:rPr>
                <w:rFonts w:ascii="Arial" w:hAnsi="Arial" w:cs="Arial"/>
                <w:color w:val="000000"/>
              </w:rPr>
              <w:br/>
            </w:r>
            <w:r w:rsidRPr="00D7066D">
              <w:rPr>
                <w:rFonts w:ascii="Arial" w:hAnsi="Arial" w:cs="Arial"/>
                <w:color w:val="000000"/>
              </w:rPr>
              <w:br/>
              <w:t>Powder for I.V. infusion 38.5 micrograms</w:t>
            </w:r>
            <w:r w:rsidRPr="00D7066D">
              <w:rPr>
                <w:rFonts w:ascii="Arial" w:hAnsi="Arial" w:cs="Arial"/>
                <w:color w:val="000000"/>
              </w:rPr>
              <w:br/>
            </w:r>
            <w:r w:rsidRPr="00D7066D">
              <w:rPr>
                <w:rFonts w:ascii="Arial" w:hAnsi="Arial" w:cs="Arial"/>
                <w:color w:val="000000"/>
              </w:rPr>
              <w:br/>
              <w:t>Blincyto®</w:t>
            </w:r>
            <w:r w:rsidRPr="00D7066D">
              <w:rPr>
                <w:rFonts w:ascii="Arial" w:hAnsi="Arial" w:cs="Arial"/>
                <w:color w:val="000000"/>
              </w:rPr>
              <w:br/>
            </w:r>
            <w:r w:rsidRPr="00D7066D">
              <w:rPr>
                <w:rFonts w:ascii="Arial" w:hAnsi="Arial" w:cs="Arial"/>
                <w:color w:val="000000"/>
              </w:rPr>
              <w:br/>
              <w:t>Amgen Australia Pty Ltd</w:t>
            </w:r>
          </w:p>
          <w:p w:rsidR="003052B0" w:rsidRPr="00D7066D" w:rsidRDefault="003052B0" w:rsidP="002D62FF">
            <w:pPr>
              <w:rPr>
                <w:rFonts w:ascii="Arial" w:hAnsi="Arial" w:cs="Arial"/>
                <w:color w:val="000000"/>
              </w:rPr>
            </w:pPr>
          </w:p>
          <w:p w:rsidR="003052B0" w:rsidRPr="00D7066D" w:rsidRDefault="003052B0" w:rsidP="002D62FF">
            <w:pPr>
              <w:rPr>
                <w:rFonts w:ascii="Arial" w:hAnsi="Arial" w:cs="Arial"/>
                <w:color w:val="000000"/>
              </w:rPr>
            </w:pPr>
            <w:r w:rsidRPr="00D7066D">
              <w:rPr>
                <w:rFonts w:ascii="Arial" w:hAnsi="Arial" w:cs="Arial"/>
                <w:color w:val="000000"/>
              </w:rPr>
              <w:t>Change to listing</w:t>
            </w:r>
          </w:p>
          <w:p w:rsidR="003052B0" w:rsidRPr="00D7066D" w:rsidRDefault="003052B0" w:rsidP="002D62FF">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7E4034" w:rsidRDefault="003052B0" w:rsidP="007E4034">
            <w:pPr>
              <w:rPr>
                <w:rFonts w:ascii="Arial" w:hAnsi="Arial" w:cs="Arial"/>
                <w:color w:val="000000"/>
              </w:rPr>
            </w:pPr>
            <w:r w:rsidRPr="00D7066D">
              <w:rPr>
                <w:rFonts w:ascii="Arial" w:hAnsi="Arial" w:cs="Arial"/>
                <w:color w:val="000000"/>
              </w:rPr>
              <w:t>Acute lymphoblastic leukaemia (ALL)</w:t>
            </w:r>
          </w:p>
        </w:tc>
        <w:tc>
          <w:tcPr>
            <w:tcW w:w="3261" w:type="dxa"/>
            <w:tcMar>
              <w:top w:w="28" w:type="dxa"/>
              <w:bottom w:w="28" w:type="dxa"/>
            </w:tcMar>
          </w:tcPr>
          <w:p w:rsidR="003052B0" w:rsidRPr="00D7066D" w:rsidRDefault="003052B0" w:rsidP="002D62FF">
            <w:pPr>
              <w:rPr>
                <w:rFonts w:ascii="Arial" w:hAnsi="Arial" w:cs="Arial"/>
                <w:color w:val="000000"/>
              </w:rPr>
            </w:pPr>
            <w:r w:rsidRPr="00D7066D">
              <w:rPr>
                <w:rFonts w:ascii="Arial" w:hAnsi="Arial" w:cs="Arial"/>
                <w:color w:val="000000"/>
              </w:rPr>
              <w:t>To request a Section 100 (Efficient Funding of Chemotherapy) Authority Required listing for the treatment of B-Cell precursor ALL in patients in haematological complete remission with minimal residual disease following induction chemotherapy.</w:t>
            </w:r>
          </w:p>
        </w:tc>
        <w:tc>
          <w:tcPr>
            <w:tcW w:w="6947" w:type="dxa"/>
            <w:shd w:val="clear" w:color="auto" w:fill="auto"/>
          </w:tcPr>
          <w:p w:rsidR="00D51A16" w:rsidRDefault="00310B48" w:rsidP="00310B48">
            <w:pPr>
              <w:rPr>
                <w:rFonts w:ascii="Arial" w:hAnsi="Arial" w:cs="Arial"/>
                <w:color w:val="000000"/>
              </w:rPr>
            </w:pPr>
            <w:r w:rsidRPr="00D7066D">
              <w:rPr>
                <w:rFonts w:ascii="Arial" w:hAnsi="Arial" w:cs="Arial"/>
                <w:color w:val="000000"/>
              </w:rPr>
              <w:t>The PBAC did not recommend the proposed Section 100 Authority Required (Efficient Funding of Chemotherapy) listing of blinatumomab for the treatment of patients with B-cell precursor acute lymphoblastic leukaemia (B-ALL) in haematological complete remission with minimal residual disease (MRD). This decision was due to the patient population in the Australian setting not being well defined, the difficulty in estimating the incremental benefit and comparative safety versus standard of care chemotherapy, and the high and uncertain increm</w:t>
            </w:r>
            <w:r w:rsidR="00D51A16" w:rsidRPr="00D7066D">
              <w:rPr>
                <w:rFonts w:ascii="Arial" w:hAnsi="Arial" w:cs="Arial"/>
                <w:color w:val="000000"/>
              </w:rPr>
              <w:t>ental cost-effectiveness ratio.</w:t>
            </w:r>
          </w:p>
          <w:p w:rsidR="007E4034" w:rsidRPr="00D7066D" w:rsidRDefault="007E4034" w:rsidP="00310B48">
            <w:pPr>
              <w:rPr>
                <w:rFonts w:ascii="Arial" w:hAnsi="Arial" w:cs="Arial"/>
                <w:color w:val="000000"/>
              </w:rPr>
            </w:pPr>
          </w:p>
          <w:p w:rsidR="00D51A16" w:rsidRDefault="00310B48" w:rsidP="00310B48">
            <w:pPr>
              <w:rPr>
                <w:rFonts w:ascii="Arial" w:hAnsi="Arial" w:cs="Arial"/>
                <w:color w:val="000000"/>
              </w:rPr>
            </w:pPr>
            <w:r w:rsidRPr="00D7066D">
              <w:rPr>
                <w:rFonts w:ascii="Arial" w:hAnsi="Arial" w:cs="Arial"/>
                <w:color w:val="000000"/>
              </w:rPr>
              <w:t>The PBAC considered that there is a high clinical need for more effective treatments for B-ALL, particularly in the first-line setting where there may be the greatest poten</w:t>
            </w:r>
            <w:r w:rsidR="00D51A16" w:rsidRPr="00D7066D">
              <w:rPr>
                <w:rFonts w:ascii="Arial" w:hAnsi="Arial" w:cs="Arial"/>
                <w:color w:val="000000"/>
              </w:rPr>
              <w:t>tial for impact on cure rates.</w:t>
            </w:r>
          </w:p>
          <w:p w:rsidR="007E4034" w:rsidRPr="00D7066D" w:rsidRDefault="007E4034" w:rsidP="00310B48">
            <w:pPr>
              <w:rPr>
                <w:rFonts w:ascii="Arial" w:hAnsi="Arial" w:cs="Arial"/>
                <w:color w:val="000000"/>
              </w:rPr>
            </w:pPr>
          </w:p>
          <w:p w:rsidR="00515C6B" w:rsidRPr="00D7066D" w:rsidRDefault="00310B48" w:rsidP="00515C6B">
            <w:pPr>
              <w:rPr>
                <w:rFonts w:ascii="Arial" w:hAnsi="Arial" w:cs="Arial"/>
                <w:color w:val="000000"/>
              </w:rPr>
            </w:pPr>
            <w:r w:rsidRPr="00D7066D">
              <w:rPr>
                <w:rFonts w:ascii="Arial" w:hAnsi="Arial" w:cs="Arial"/>
                <w:color w:val="000000"/>
              </w:rPr>
              <w:t xml:space="preserve">The PBAC considered that blinatumomab is effective in eliminating MRD, but considered that the magnitude of any improvement in overall survival could not be determined from the data presented due to the immaturity of the BLAST study data, </w:t>
            </w:r>
            <w:r w:rsidR="0020733A" w:rsidRPr="00D7066D">
              <w:rPr>
                <w:rFonts w:ascii="Arial" w:hAnsi="Arial" w:cs="Arial"/>
                <w:color w:val="000000"/>
              </w:rPr>
              <w:t xml:space="preserve">and </w:t>
            </w:r>
            <w:r w:rsidR="00515C6B" w:rsidRPr="00D7066D">
              <w:rPr>
                <w:rFonts w:ascii="Arial" w:hAnsi="Arial" w:cs="Arial"/>
                <w:color w:val="000000"/>
              </w:rPr>
              <w:t xml:space="preserve">the result of the study being confounded </w:t>
            </w:r>
            <w:r w:rsidRPr="00D7066D">
              <w:rPr>
                <w:rFonts w:ascii="Arial" w:hAnsi="Arial" w:cs="Arial"/>
                <w:color w:val="000000"/>
              </w:rPr>
              <w:t xml:space="preserve">by stem cell transplant, </w:t>
            </w:r>
            <w:r w:rsidR="00515C6B" w:rsidRPr="00D7066D">
              <w:rPr>
                <w:rFonts w:ascii="Arial" w:hAnsi="Arial" w:cs="Arial"/>
                <w:color w:val="000000"/>
              </w:rPr>
              <w:t xml:space="preserve">In addition, there were concerns with </w:t>
            </w:r>
            <w:r w:rsidRPr="00D7066D">
              <w:rPr>
                <w:rFonts w:ascii="Arial" w:hAnsi="Arial" w:cs="Arial"/>
                <w:color w:val="000000"/>
              </w:rPr>
              <w:t>the limitations and lack of applicability of the indirect comparison methods used</w:t>
            </w:r>
            <w:r w:rsidR="00D51A16" w:rsidRPr="00D7066D">
              <w:rPr>
                <w:rFonts w:ascii="Arial" w:hAnsi="Arial" w:cs="Arial"/>
                <w:color w:val="000000"/>
              </w:rPr>
              <w:t xml:space="preserve"> in the submission</w:t>
            </w:r>
            <w:r w:rsidRPr="00D7066D">
              <w:rPr>
                <w:rFonts w:ascii="Arial" w:hAnsi="Arial" w:cs="Arial"/>
                <w:color w:val="000000"/>
              </w:rPr>
              <w:t xml:space="preserve">, and the lack of statistically significant overall survival gain reported in the more reliable of the two comparison methods provided. </w:t>
            </w:r>
          </w:p>
          <w:p w:rsidR="00515C6B" w:rsidRPr="00D7066D" w:rsidRDefault="00515C6B" w:rsidP="00515C6B">
            <w:pPr>
              <w:rPr>
                <w:rFonts w:ascii="Arial" w:hAnsi="Arial" w:cs="Arial"/>
                <w:color w:val="000000"/>
              </w:rPr>
            </w:pPr>
          </w:p>
          <w:p w:rsidR="0020733A" w:rsidRPr="00D7066D" w:rsidRDefault="00310B48" w:rsidP="00515C6B">
            <w:pPr>
              <w:rPr>
                <w:rFonts w:ascii="Arial" w:hAnsi="Arial" w:cs="Arial"/>
                <w:color w:val="000000"/>
              </w:rPr>
            </w:pPr>
            <w:r w:rsidRPr="00D7066D">
              <w:rPr>
                <w:rFonts w:ascii="Arial" w:hAnsi="Arial" w:cs="Arial"/>
                <w:color w:val="000000"/>
              </w:rPr>
              <w:t>The PBAC noted that no comparative adverse event data were provided for the MRD population. The PBAC considered that blinatumomab and standard of care chemotherapy have different safety profiles, with both therapies being associated with potentially life-threatening complications.</w:t>
            </w:r>
          </w:p>
        </w:tc>
      </w:tr>
      <w:tr w:rsidR="003052B0" w:rsidRPr="00D7066D" w:rsidTr="00DA0953">
        <w:trPr>
          <w:trHeight w:val="465"/>
        </w:trPr>
        <w:tc>
          <w:tcPr>
            <w:tcW w:w="2694" w:type="dxa"/>
            <w:vMerge/>
            <w:tcMar>
              <w:top w:w="28" w:type="dxa"/>
              <w:bottom w:w="28" w:type="dxa"/>
            </w:tcMar>
          </w:tcPr>
          <w:p w:rsidR="003052B0" w:rsidRPr="00D7066D" w:rsidRDefault="003052B0" w:rsidP="002D62FF">
            <w:pPr>
              <w:rPr>
                <w:rFonts w:ascii="Arial" w:hAnsi="Arial" w:cs="Arial"/>
                <w:color w:val="000000"/>
              </w:rPr>
            </w:pPr>
          </w:p>
        </w:tc>
        <w:tc>
          <w:tcPr>
            <w:tcW w:w="2409" w:type="dxa"/>
            <w:vMerge/>
          </w:tcPr>
          <w:p w:rsidR="003052B0" w:rsidRPr="00D7066D" w:rsidRDefault="003052B0" w:rsidP="002D62FF">
            <w:pPr>
              <w:rPr>
                <w:rFonts w:ascii="Arial" w:hAnsi="Arial" w:cs="Arial"/>
                <w:color w:val="000000"/>
              </w:rPr>
            </w:pPr>
          </w:p>
        </w:tc>
        <w:tc>
          <w:tcPr>
            <w:tcW w:w="3261" w:type="dxa"/>
            <w:shd w:val="clear" w:color="auto" w:fill="auto"/>
            <w:tcMar>
              <w:top w:w="28" w:type="dxa"/>
              <w:bottom w:w="28" w:type="dxa"/>
            </w:tcMar>
          </w:tcPr>
          <w:p w:rsidR="003052B0" w:rsidRPr="00D7066D" w:rsidRDefault="003052B0" w:rsidP="002D62FF">
            <w:pPr>
              <w:rPr>
                <w:rFonts w:ascii="Arial" w:hAnsi="Arial" w:cs="Arial"/>
                <w:color w:val="000000"/>
              </w:rPr>
            </w:pPr>
            <w:r w:rsidRPr="00D7066D">
              <w:rPr>
                <w:rFonts w:ascii="Arial" w:hAnsi="Arial" w:cs="Arial"/>
                <w:color w:val="000000"/>
              </w:rPr>
              <w:t>Sponsor Comment:</w:t>
            </w:r>
          </w:p>
        </w:tc>
        <w:tc>
          <w:tcPr>
            <w:tcW w:w="6947" w:type="dxa"/>
            <w:shd w:val="clear" w:color="auto" w:fill="auto"/>
          </w:tcPr>
          <w:p w:rsidR="003052B0" w:rsidRPr="00D7066D" w:rsidRDefault="00DA0953" w:rsidP="00614BAA">
            <w:pPr>
              <w:rPr>
                <w:rFonts w:ascii="Arial" w:hAnsi="Arial" w:cs="Arial"/>
                <w:color w:val="000000"/>
              </w:rPr>
            </w:pPr>
            <w:r w:rsidRPr="00D7066D">
              <w:rPr>
                <w:rFonts w:ascii="Arial" w:hAnsi="Arial" w:cs="Arial"/>
                <w:color w:val="000000"/>
              </w:rPr>
              <w:t>Amgen is pleased that the PBAC acknowledged the clinical need for effective treatment for B-ALL. The elimination of MRD with blinatumomab is an important and effective treatment option for these patients. As such, Amgen will continue to work with the PBAC with the aim to make blinatumomab available for these patients.</w:t>
            </w:r>
          </w:p>
        </w:tc>
      </w:tr>
      <w:tr w:rsidR="003052B0" w:rsidRPr="00D7066D" w:rsidTr="003052B0">
        <w:trPr>
          <w:trHeight w:val="2119"/>
        </w:trPr>
        <w:tc>
          <w:tcPr>
            <w:tcW w:w="2694" w:type="dxa"/>
            <w:vMerge w:val="restart"/>
            <w:tcMar>
              <w:top w:w="28" w:type="dxa"/>
              <w:bottom w:w="28" w:type="dxa"/>
            </w:tcMar>
          </w:tcPr>
          <w:p w:rsidR="003052B0" w:rsidRPr="00D7066D" w:rsidRDefault="003052B0" w:rsidP="00392583">
            <w:pPr>
              <w:rPr>
                <w:rFonts w:ascii="Arial" w:hAnsi="Arial" w:cs="Arial"/>
                <w:color w:val="000000"/>
              </w:rPr>
            </w:pPr>
            <w:r w:rsidRPr="00D7066D">
              <w:rPr>
                <w:rFonts w:ascii="Arial" w:hAnsi="Arial" w:cs="Arial"/>
                <w:color w:val="000000"/>
              </w:rPr>
              <w:lastRenderedPageBreak/>
              <w:t>BRENTUXIMAB VEDOTIN</w:t>
            </w:r>
            <w:r w:rsidRPr="00D7066D">
              <w:rPr>
                <w:rFonts w:ascii="Arial" w:hAnsi="Arial" w:cs="Arial"/>
                <w:color w:val="000000"/>
              </w:rPr>
              <w:br/>
            </w:r>
            <w:r w:rsidRPr="00D7066D">
              <w:rPr>
                <w:rFonts w:ascii="Arial" w:hAnsi="Arial" w:cs="Arial"/>
                <w:color w:val="000000"/>
              </w:rPr>
              <w:br/>
              <w:t>Powder for I.V. infusion 50 mg</w:t>
            </w:r>
            <w:r w:rsidRPr="00D7066D">
              <w:rPr>
                <w:rFonts w:ascii="Arial" w:hAnsi="Arial" w:cs="Arial"/>
                <w:color w:val="000000"/>
              </w:rPr>
              <w:br/>
            </w:r>
            <w:r w:rsidRPr="00D7066D">
              <w:rPr>
                <w:rFonts w:ascii="Arial" w:hAnsi="Arial" w:cs="Arial"/>
                <w:color w:val="000000"/>
              </w:rPr>
              <w:br/>
              <w:t>Adcetris®</w:t>
            </w:r>
            <w:r w:rsidRPr="00D7066D">
              <w:rPr>
                <w:rFonts w:ascii="Arial" w:hAnsi="Arial" w:cs="Arial"/>
                <w:color w:val="000000"/>
              </w:rPr>
              <w:br/>
            </w:r>
            <w:r w:rsidRPr="00D7066D">
              <w:rPr>
                <w:rFonts w:ascii="Arial" w:hAnsi="Arial" w:cs="Arial"/>
                <w:color w:val="000000"/>
              </w:rPr>
              <w:br/>
              <w:t>Takeda Pharmaceuticals Australia Pty Ltd</w:t>
            </w:r>
          </w:p>
          <w:p w:rsidR="003052B0" w:rsidRPr="00D7066D" w:rsidRDefault="003052B0" w:rsidP="00392583">
            <w:pPr>
              <w:pStyle w:val="Default"/>
              <w:rPr>
                <w:rFonts w:ascii="Arial" w:hAnsi="Arial" w:cs="Arial"/>
                <w:sz w:val="20"/>
                <w:szCs w:val="20"/>
              </w:rPr>
            </w:pPr>
          </w:p>
          <w:p w:rsidR="003052B0" w:rsidRPr="00D7066D" w:rsidRDefault="003052B0" w:rsidP="00392583">
            <w:pPr>
              <w:pStyle w:val="Default"/>
              <w:rPr>
                <w:rFonts w:ascii="Arial" w:hAnsi="Arial" w:cs="Arial"/>
                <w:sz w:val="20"/>
                <w:szCs w:val="20"/>
              </w:rPr>
            </w:pPr>
            <w:r w:rsidRPr="00D7066D">
              <w:rPr>
                <w:rFonts w:ascii="Arial" w:hAnsi="Arial" w:cs="Arial"/>
                <w:sz w:val="20"/>
                <w:szCs w:val="20"/>
              </w:rPr>
              <w:t>Change to recommended listing</w:t>
            </w:r>
          </w:p>
          <w:p w:rsidR="003052B0" w:rsidRPr="00D7066D" w:rsidRDefault="003052B0" w:rsidP="00392583">
            <w:pPr>
              <w:pStyle w:val="Default"/>
              <w:rPr>
                <w:rFonts w:ascii="Arial" w:hAnsi="Arial" w:cs="Arial"/>
                <w:sz w:val="20"/>
                <w:szCs w:val="20"/>
              </w:rPr>
            </w:pPr>
            <w:r w:rsidRPr="00D7066D">
              <w:rPr>
                <w:rFonts w:ascii="Arial" w:hAnsi="Arial" w:cs="Arial"/>
                <w:sz w:val="20"/>
                <w:szCs w:val="20"/>
              </w:rPr>
              <w:t>(Major Submission)</w:t>
            </w:r>
          </w:p>
        </w:tc>
        <w:tc>
          <w:tcPr>
            <w:tcW w:w="2409" w:type="dxa"/>
            <w:vMerge w:val="restart"/>
          </w:tcPr>
          <w:p w:rsidR="003052B0" w:rsidRPr="00D7066D" w:rsidRDefault="003052B0" w:rsidP="007E4034">
            <w:pPr>
              <w:rPr>
                <w:rFonts w:ascii="Arial" w:hAnsi="Arial" w:cs="Arial"/>
                <w:color w:val="000000"/>
              </w:rPr>
            </w:pPr>
            <w:r w:rsidRPr="00D7066D">
              <w:rPr>
                <w:rFonts w:ascii="Arial" w:hAnsi="Arial" w:cs="Arial"/>
                <w:color w:val="000000"/>
              </w:rPr>
              <w:t>Refractory or relapsed CD30 positive cutaneous T-cell lymphomas (CTCL)</w:t>
            </w:r>
          </w:p>
        </w:tc>
        <w:tc>
          <w:tcPr>
            <w:tcW w:w="3261" w:type="dxa"/>
            <w:tcMar>
              <w:top w:w="28" w:type="dxa"/>
              <w:bottom w:w="28" w:type="dxa"/>
            </w:tcMar>
          </w:tcPr>
          <w:p w:rsidR="003052B0" w:rsidRPr="00D7066D" w:rsidRDefault="003052B0" w:rsidP="007E4034">
            <w:pPr>
              <w:rPr>
                <w:rFonts w:ascii="Arial" w:hAnsi="Arial" w:cs="Arial"/>
                <w:color w:val="000000"/>
              </w:rPr>
            </w:pPr>
            <w:r w:rsidRPr="00D7066D">
              <w:rPr>
                <w:rFonts w:ascii="Arial" w:hAnsi="Arial" w:cs="Arial"/>
                <w:color w:val="000000"/>
              </w:rPr>
              <w:t>To request a Section 100 (Efficient Funding of Chemotherapy) Authority Required listing for the treatment of refractory or relapsed CD30 positive cutaneous T-cell lymphomas (CTCL).</w:t>
            </w:r>
          </w:p>
        </w:tc>
        <w:tc>
          <w:tcPr>
            <w:tcW w:w="6947" w:type="dxa"/>
            <w:shd w:val="clear" w:color="auto" w:fill="auto"/>
          </w:tcPr>
          <w:p w:rsidR="0020733A" w:rsidRPr="00D7066D" w:rsidRDefault="003052B0" w:rsidP="0020733A">
            <w:pPr>
              <w:rPr>
                <w:rFonts w:ascii="Arial" w:hAnsi="Arial" w:cs="Arial"/>
                <w:color w:val="000000"/>
              </w:rPr>
            </w:pPr>
            <w:r w:rsidRPr="00D7066D">
              <w:rPr>
                <w:rFonts w:ascii="Arial" w:hAnsi="Arial" w:cs="Arial"/>
                <w:color w:val="000000"/>
              </w:rPr>
              <w:t xml:space="preserve">The PBAC did not recommend the listing of brentuximab vedotin in relapsed or refractory CD30 positive CTCL in patients who have previously used systemic therapy, due to major reservations regarding the </w:t>
            </w:r>
            <w:r w:rsidR="00DD6CDA" w:rsidRPr="00D7066D">
              <w:rPr>
                <w:rFonts w:ascii="Arial" w:hAnsi="Arial" w:cs="Arial"/>
                <w:color w:val="000000"/>
              </w:rPr>
              <w:t xml:space="preserve">clinical trial evidence comparing brentuximab vedotin and </w:t>
            </w:r>
            <w:r w:rsidRPr="00D7066D">
              <w:rPr>
                <w:rFonts w:ascii="Arial" w:hAnsi="Arial" w:cs="Arial"/>
                <w:color w:val="000000"/>
              </w:rPr>
              <w:t>vorinostat</w:t>
            </w:r>
            <w:r w:rsidR="00DD6CDA" w:rsidRPr="00D7066D">
              <w:rPr>
                <w:rFonts w:ascii="Arial" w:hAnsi="Arial" w:cs="Arial"/>
                <w:color w:val="000000"/>
              </w:rPr>
              <w:t xml:space="preserve"> (the submission’s main comparator).</w:t>
            </w:r>
            <w:r w:rsidR="004772C3">
              <w:rPr>
                <w:rFonts w:ascii="Arial" w:hAnsi="Arial" w:cs="Arial"/>
                <w:color w:val="000000"/>
              </w:rPr>
              <w:t xml:space="preserve"> </w:t>
            </w:r>
            <w:r w:rsidR="00DD6CDA" w:rsidRPr="00D7066D">
              <w:rPr>
                <w:rFonts w:ascii="Arial" w:hAnsi="Arial" w:cs="Arial"/>
                <w:color w:val="000000"/>
              </w:rPr>
              <w:t>This</w:t>
            </w:r>
            <w:r w:rsidRPr="00D7066D">
              <w:rPr>
                <w:rFonts w:ascii="Arial" w:hAnsi="Arial" w:cs="Arial"/>
                <w:color w:val="000000"/>
              </w:rPr>
              <w:t xml:space="preserve"> meant that cost-effectiveness against vorinostat was unable to be assessed. The PBAC also considered that brentuximab vedotin was not cost-effective compared with methotrexate</w:t>
            </w:r>
            <w:r w:rsidR="00DD6CDA" w:rsidRPr="00D7066D">
              <w:rPr>
                <w:rFonts w:ascii="Arial" w:hAnsi="Arial" w:cs="Arial"/>
                <w:color w:val="000000"/>
              </w:rPr>
              <w:t xml:space="preserve"> (the submission’s supplementary</w:t>
            </w:r>
            <w:r w:rsidRPr="00D7066D">
              <w:rPr>
                <w:rFonts w:ascii="Arial" w:hAnsi="Arial" w:cs="Arial"/>
                <w:color w:val="000000"/>
              </w:rPr>
              <w:t xml:space="preserve"> </w:t>
            </w:r>
            <w:r w:rsidR="00DD6CDA" w:rsidRPr="00D7066D">
              <w:rPr>
                <w:rFonts w:ascii="Arial" w:hAnsi="Arial" w:cs="Arial"/>
                <w:color w:val="000000"/>
              </w:rPr>
              <w:t xml:space="preserve">comparator) </w:t>
            </w:r>
            <w:r w:rsidRPr="00D7066D">
              <w:rPr>
                <w:rFonts w:ascii="Arial" w:hAnsi="Arial" w:cs="Arial"/>
                <w:color w:val="000000"/>
              </w:rPr>
              <w:t>at the proposed price. The PBAC noted that the</w:t>
            </w:r>
            <w:r w:rsidR="00DD6CDA" w:rsidRPr="00D7066D">
              <w:rPr>
                <w:rFonts w:ascii="Arial" w:hAnsi="Arial" w:cs="Arial"/>
                <w:color w:val="000000"/>
              </w:rPr>
              <w:t xml:space="preserve"> incremental cost effectiveness ratio</w:t>
            </w:r>
            <w:r w:rsidRPr="00D7066D">
              <w:rPr>
                <w:rFonts w:ascii="Arial" w:hAnsi="Arial" w:cs="Arial"/>
                <w:color w:val="000000"/>
              </w:rPr>
              <w:t xml:space="preserve"> </w:t>
            </w:r>
            <w:r w:rsidR="00DD6CDA" w:rsidRPr="00D7066D">
              <w:rPr>
                <w:rFonts w:ascii="Arial" w:hAnsi="Arial" w:cs="Arial"/>
                <w:color w:val="000000"/>
              </w:rPr>
              <w:t>(</w:t>
            </w:r>
            <w:r w:rsidRPr="00D7066D">
              <w:rPr>
                <w:rFonts w:ascii="Arial" w:hAnsi="Arial" w:cs="Arial"/>
                <w:color w:val="000000"/>
              </w:rPr>
              <w:t>ICER</w:t>
            </w:r>
            <w:r w:rsidR="00DD6CDA" w:rsidRPr="00D7066D">
              <w:rPr>
                <w:rFonts w:ascii="Arial" w:hAnsi="Arial" w:cs="Arial"/>
                <w:color w:val="000000"/>
              </w:rPr>
              <w:t>)</w:t>
            </w:r>
            <w:r w:rsidRPr="00D7066D">
              <w:rPr>
                <w:rFonts w:ascii="Arial" w:hAnsi="Arial" w:cs="Arial"/>
                <w:color w:val="000000"/>
              </w:rPr>
              <w:t xml:space="preserve"> presented was unacceptably high, even in the context of </w:t>
            </w:r>
            <w:r w:rsidR="0020733A" w:rsidRPr="00D7066D">
              <w:rPr>
                <w:rFonts w:ascii="Arial" w:hAnsi="Arial" w:cs="Arial"/>
                <w:color w:val="000000"/>
              </w:rPr>
              <w:t xml:space="preserve">a </w:t>
            </w:r>
            <w:r w:rsidRPr="00D7066D">
              <w:rPr>
                <w:rFonts w:ascii="Arial" w:hAnsi="Arial" w:cs="Arial"/>
                <w:color w:val="000000"/>
              </w:rPr>
              <w:t>difficult to treat and relatively rare disease.</w:t>
            </w:r>
          </w:p>
        </w:tc>
      </w:tr>
      <w:tr w:rsidR="003052B0" w:rsidRPr="00D7066D" w:rsidTr="009D4615">
        <w:trPr>
          <w:trHeight w:val="649"/>
        </w:trPr>
        <w:tc>
          <w:tcPr>
            <w:tcW w:w="2694" w:type="dxa"/>
            <w:vMerge/>
            <w:tcMar>
              <w:top w:w="28" w:type="dxa"/>
              <w:bottom w:w="28" w:type="dxa"/>
            </w:tcMar>
          </w:tcPr>
          <w:p w:rsidR="003052B0" w:rsidRPr="00D7066D" w:rsidRDefault="003052B0" w:rsidP="00392583">
            <w:pPr>
              <w:rPr>
                <w:rFonts w:ascii="Arial" w:hAnsi="Arial" w:cs="Arial"/>
                <w:color w:val="000000"/>
              </w:rPr>
            </w:pPr>
          </w:p>
        </w:tc>
        <w:tc>
          <w:tcPr>
            <w:tcW w:w="2409" w:type="dxa"/>
            <w:vMerge/>
          </w:tcPr>
          <w:p w:rsidR="003052B0" w:rsidRPr="00D7066D" w:rsidRDefault="003052B0" w:rsidP="00392583">
            <w:pPr>
              <w:rPr>
                <w:rFonts w:ascii="Arial" w:hAnsi="Arial" w:cs="Arial"/>
                <w:color w:val="000000"/>
              </w:rPr>
            </w:pPr>
          </w:p>
        </w:tc>
        <w:tc>
          <w:tcPr>
            <w:tcW w:w="3261" w:type="dxa"/>
            <w:shd w:val="clear" w:color="auto" w:fill="auto"/>
            <w:tcMar>
              <w:top w:w="28" w:type="dxa"/>
              <w:bottom w:w="28" w:type="dxa"/>
            </w:tcMar>
          </w:tcPr>
          <w:p w:rsidR="003052B0" w:rsidRPr="00D7066D" w:rsidRDefault="003052B0" w:rsidP="00392583">
            <w:pPr>
              <w:keepNext/>
              <w:keepLines/>
              <w:widowControl w:val="0"/>
              <w:rPr>
                <w:rFonts w:ascii="Arial" w:hAnsi="Arial" w:cs="Arial"/>
                <w:color w:val="000000"/>
              </w:rPr>
            </w:pPr>
            <w:r w:rsidRPr="00D7066D">
              <w:rPr>
                <w:rFonts w:ascii="Arial" w:hAnsi="Arial" w:cs="Arial"/>
              </w:rPr>
              <w:t>Sponsor Comment:</w:t>
            </w:r>
          </w:p>
        </w:tc>
        <w:tc>
          <w:tcPr>
            <w:tcW w:w="6947" w:type="dxa"/>
            <w:shd w:val="clear" w:color="auto" w:fill="auto"/>
          </w:tcPr>
          <w:p w:rsidR="003052B0" w:rsidRPr="00D7066D" w:rsidRDefault="009D4615" w:rsidP="00392583">
            <w:pPr>
              <w:keepNext/>
              <w:keepLines/>
              <w:widowControl w:val="0"/>
              <w:rPr>
                <w:rFonts w:ascii="Arial" w:hAnsi="Arial" w:cs="Arial"/>
                <w:color w:val="000000"/>
              </w:rPr>
            </w:pPr>
            <w:r w:rsidRPr="00D7066D">
              <w:rPr>
                <w:rFonts w:ascii="Arial" w:hAnsi="Arial" w:cs="Arial"/>
                <w:color w:val="000000"/>
              </w:rPr>
              <w:t>Although disappointed, Takeda will work with the PBAC to resolve the Committee's concerns to enable as timely access as possible to brentuximab vedotin on the PBS for patients with this rare and debilitating cancer.</w:t>
            </w:r>
          </w:p>
        </w:tc>
      </w:tr>
      <w:tr w:rsidR="003052B0" w:rsidRPr="00D7066D" w:rsidTr="00673046">
        <w:trPr>
          <w:trHeight w:val="3059"/>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CERLIPONASE ALFA</w:t>
            </w:r>
            <w:r w:rsidRPr="00D7066D">
              <w:rPr>
                <w:rFonts w:ascii="Arial" w:hAnsi="Arial" w:cs="Arial"/>
                <w:color w:val="000000"/>
              </w:rPr>
              <w:br/>
            </w:r>
            <w:r w:rsidRPr="00D7066D">
              <w:rPr>
                <w:rFonts w:ascii="Arial" w:hAnsi="Arial" w:cs="Arial"/>
                <w:color w:val="000000"/>
              </w:rPr>
              <w:br/>
              <w:t>Solution for infusion 150 mg with flushing solution</w:t>
            </w:r>
            <w:r w:rsidRPr="00D7066D">
              <w:rPr>
                <w:rFonts w:ascii="Arial" w:hAnsi="Arial" w:cs="Arial"/>
                <w:color w:val="000000"/>
              </w:rPr>
              <w:br/>
            </w:r>
            <w:r w:rsidRPr="00D7066D">
              <w:rPr>
                <w:rFonts w:ascii="Arial" w:hAnsi="Arial" w:cs="Arial"/>
                <w:color w:val="000000"/>
              </w:rPr>
              <w:br/>
              <w:t>Brineura®</w:t>
            </w:r>
            <w:r w:rsidRPr="00D7066D">
              <w:rPr>
                <w:rFonts w:ascii="Arial" w:hAnsi="Arial" w:cs="Arial"/>
                <w:color w:val="000000"/>
              </w:rPr>
              <w:br/>
            </w:r>
            <w:r w:rsidRPr="00D7066D">
              <w:rPr>
                <w:rFonts w:ascii="Arial" w:hAnsi="Arial" w:cs="Arial"/>
                <w:color w:val="000000"/>
              </w:rPr>
              <w:br/>
              <w:t>BioMarin Pharmaceutical Australia Pty Ltd</w:t>
            </w:r>
          </w:p>
          <w:p w:rsidR="003052B0" w:rsidRPr="00D7066D" w:rsidRDefault="003052B0" w:rsidP="00665B18">
            <w:pPr>
              <w:rPr>
                <w:rFonts w:ascii="Arial" w:hAnsi="Arial" w:cs="Arial"/>
                <w:color w:val="000000"/>
              </w:rPr>
            </w:pPr>
          </w:p>
          <w:p w:rsidR="003052B0" w:rsidRPr="00D7066D" w:rsidRDefault="003052B0" w:rsidP="00665B18">
            <w:pPr>
              <w:rPr>
                <w:rFonts w:ascii="Arial" w:hAnsi="Arial" w:cs="Arial"/>
                <w:color w:val="000000"/>
              </w:rPr>
            </w:pPr>
            <w:r w:rsidRPr="00D7066D">
              <w:rPr>
                <w:rFonts w:ascii="Arial" w:hAnsi="Arial" w:cs="Arial"/>
                <w:color w:val="000000"/>
              </w:rPr>
              <w:t>New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D7066D" w:rsidRDefault="003052B0" w:rsidP="00A33634">
            <w:pPr>
              <w:rPr>
                <w:rFonts w:ascii="Arial" w:hAnsi="Arial" w:cs="Arial"/>
                <w:color w:val="000000"/>
              </w:rPr>
            </w:pPr>
            <w:r w:rsidRPr="00D7066D">
              <w:rPr>
                <w:rFonts w:ascii="Arial" w:hAnsi="Arial" w:cs="Arial"/>
                <w:color w:val="000000"/>
              </w:rPr>
              <w:t>Neuronal ceroid lipofuscinosis type 2</w:t>
            </w:r>
            <w:r w:rsidRPr="00D7066D">
              <w:rPr>
                <w:rFonts w:ascii="Arial" w:hAnsi="Arial" w:cs="Arial"/>
                <w:color w:val="000000"/>
              </w:rPr>
              <w:br/>
              <w:t>(CLN2) disease (also known as tripeptidyl peptidase 1 deficiency)</w:t>
            </w:r>
          </w:p>
          <w:p w:rsidR="003052B0" w:rsidRPr="00D7066D" w:rsidRDefault="003052B0" w:rsidP="00665B18">
            <w:pPr>
              <w:rPr>
                <w:rFonts w:ascii="Arial" w:hAnsi="Arial" w:cs="Arial"/>
              </w:rPr>
            </w:pPr>
          </w:p>
        </w:tc>
        <w:tc>
          <w:tcPr>
            <w:tcW w:w="3261" w:type="dxa"/>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To request a Section 100 (Highly Specialised Drugs Program) Authority Required listing for the treatment of neuronal ceroid lipofuscinosis type 2 (CLN2) disease.</w:t>
            </w:r>
          </w:p>
          <w:p w:rsidR="003052B0" w:rsidRPr="00D7066D" w:rsidRDefault="003052B0" w:rsidP="00665B18">
            <w:pPr>
              <w:rPr>
                <w:rFonts w:ascii="Arial" w:hAnsi="Arial" w:cs="Arial"/>
                <w:color w:val="000000"/>
              </w:rPr>
            </w:pPr>
          </w:p>
        </w:tc>
        <w:tc>
          <w:tcPr>
            <w:tcW w:w="6947" w:type="dxa"/>
            <w:shd w:val="clear" w:color="auto" w:fill="auto"/>
          </w:tcPr>
          <w:p w:rsidR="00DA2693" w:rsidRPr="00D7066D" w:rsidRDefault="00310B48" w:rsidP="007E4034">
            <w:pPr>
              <w:rPr>
                <w:rFonts w:ascii="Arial" w:hAnsi="Arial" w:cs="Arial"/>
                <w:color w:val="000000"/>
              </w:rPr>
            </w:pPr>
            <w:r w:rsidRPr="00D7066D">
              <w:rPr>
                <w:rFonts w:ascii="Arial" w:hAnsi="Arial" w:cs="Arial"/>
                <w:color w:val="000000"/>
              </w:rPr>
              <w:t xml:space="preserve">The PBAC did not recommend the listing of cerliponase alfa for the treatment of neuronal ceroid lipofuscinosis type 2 (CLN2) disease. The PBAC noted that based on the evidence provided, there was a benefit of treatment in terms of slowing disease progression. However, the PBAC were uncertain of the magnitude of benefit given issues around trial design, and uncertainty whether the trial population was reflective of the Australian patient population. The PBAC also noted that the primary outcome reported in the trial of motor-language score did not account for all aspects of CLN2 disease. The PBAC considered that there was uncertainty whether treatment is associated with a survival benefit. The PBAC considered the incremental cost effectiveness ratio (ICER) presented in the submission’s base case analysis to be unacceptably high </w:t>
            </w:r>
            <w:r w:rsidR="0020733A" w:rsidRPr="00D7066D">
              <w:rPr>
                <w:rFonts w:ascii="Arial" w:hAnsi="Arial" w:cs="Arial"/>
                <w:color w:val="000000"/>
              </w:rPr>
              <w:t>(&gt;$</w:t>
            </w:r>
            <w:r w:rsidR="007A359E" w:rsidRPr="00D7066D">
              <w:rPr>
                <w:rFonts w:ascii="Arial" w:hAnsi="Arial" w:cs="Arial"/>
                <w:color w:val="000000"/>
              </w:rPr>
              <w:t>200,000</w:t>
            </w:r>
            <w:r w:rsidR="0020733A" w:rsidRPr="00D7066D">
              <w:rPr>
                <w:rFonts w:ascii="Arial" w:hAnsi="Arial" w:cs="Arial"/>
                <w:color w:val="000000"/>
              </w:rPr>
              <w:t xml:space="preserve"> per </w:t>
            </w:r>
            <w:r w:rsidR="007A359E" w:rsidRPr="00D7066D">
              <w:rPr>
                <w:rFonts w:ascii="Arial" w:hAnsi="Arial" w:cs="Arial"/>
                <w:color w:val="000000"/>
              </w:rPr>
              <w:t>q</w:t>
            </w:r>
            <w:r w:rsidR="0020733A" w:rsidRPr="00D7066D">
              <w:rPr>
                <w:rFonts w:ascii="Arial" w:hAnsi="Arial" w:cs="Arial"/>
                <w:color w:val="000000"/>
              </w:rPr>
              <w:t>uality</w:t>
            </w:r>
            <w:r w:rsidR="007A359E" w:rsidRPr="00D7066D">
              <w:rPr>
                <w:rFonts w:ascii="Arial" w:hAnsi="Arial" w:cs="Arial"/>
                <w:color w:val="000000"/>
              </w:rPr>
              <w:t xml:space="preserve"> adjusted</w:t>
            </w:r>
            <w:r w:rsidR="0020733A" w:rsidRPr="00D7066D">
              <w:rPr>
                <w:rFonts w:ascii="Arial" w:hAnsi="Arial" w:cs="Arial"/>
                <w:color w:val="000000"/>
              </w:rPr>
              <w:t xml:space="preserve"> </w:t>
            </w:r>
            <w:r w:rsidR="007A359E" w:rsidRPr="00D7066D">
              <w:rPr>
                <w:rFonts w:ascii="Arial" w:hAnsi="Arial" w:cs="Arial"/>
                <w:color w:val="000000"/>
              </w:rPr>
              <w:t>l</w:t>
            </w:r>
            <w:r w:rsidR="0020733A" w:rsidRPr="00D7066D">
              <w:rPr>
                <w:rFonts w:ascii="Arial" w:hAnsi="Arial" w:cs="Arial"/>
                <w:color w:val="000000"/>
              </w:rPr>
              <w:t xml:space="preserve">ife </w:t>
            </w:r>
            <w:r w:rsidR="007A359E" w:rsidRPr="00D7066D">
              <w:rPr>
                <w:rFonts w:ascii="Arial" w:hAnsi="Arial" w:cs="Arial"/>
                <w:color w:val="000000"/>
              </w:rPr>
              <w:t>y</w:t>
            </w:r>
            <w:r w:rsidR="0020733A" w:rsidRPr="00D7066D">
              <w:rPr>
                <w:rFonts w:ascii="Arial" w:hAnsi="Arial" w:cs="Arial"/>
                <w:color w:val="000000"/>
              </w:rPr>
              <w:t xml:space="preserve">ear </w:t>
            </w:r>
            <w:r w:rsidR="00DA2693" w:rsidRPr="00D7066D">
              <w:rPr>
                <w:rFonts w:ascii="Arial" w:hAnsi="Arial" w:cs="Arial"/>
                <w:color w:val="000000"/>
              </w:rPr>
              <w:t>g</w:t>
            </w:r>
            <w:r w:rsidR="0020733A" w:rsidRPr="00D7066D">
              <w:rPr>
                <w:rFonts w:ascii="Arial" w:hAnsi="Arial" w:cs="Arial"/>
                <w:color w:val="000000"/>
              </w:rPr>
              <w:t>ained</w:t>
            </w:r>
            <w:r w:rsidR="00DA2693" w:rsidRPr="00D7066D">
              <w:rPr>
                <w:rFonts w:ascii="Arial" w:hAnsi="Arial" w:cs="Arial"/>
                <w:color w:val="000000"/>
              </w:rPr>
              <w:t xml:space="preserve">) </w:t>
            </w:r>
            <w:r w:rsidRPr="00D7066D">
              <w:rPr>
                <w:rFonts w:ascii="Arial" w:hAnsi="Arial" w:cs="Arial"/>
                <w:color w:val="000000"/>
              </w:rPr>
              <w:t>and very uncertain.</w:t>
            </w:r>
          </w:p>
        </w:tc>
      </w:tr>
      <w:tr w:rsidR="003052B0" w:rsidRPr="00D7066D" w:rsidTr="00BB4C83">
        <w:trPr>
          <w:trHeight w:val="345"/>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rPr>
                <w:rFonts w:ascii="Arial" w:hAnsi="Arial" w:cs="Arial"/>
                <w:color w:val="000000"/>
              </w:rPr>
            </w:pPr>
          </w:p>
        </w:tc>
        <w:tc>
          <w:tcPr>
            <w:tcW w:w="3261" w:type="dxa"/>
            <w:tcBorders>
              <w:bottom w:val="single" w:sz="4" w:space="0" w:color="auto"/>
            </w:tcBorders>
            <w:shd w:val="clear" w:color="auto" w:fill="auto"/>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snapToGrid w:val="0"/>
                <w:lang w:eastAsia="en-US"/>
              </w:rPr>
              <w:t>Sponsor Comment:</w:t>
            </w:r>
          </w:p>
        </w:tc>
        <w:tc>
          <w:tcPr>
            <w:tcW w:w="6947" w:type="dxa"/>
            <w:shd w:val="clear" w:color="auto" w:fill="auto"/>
          </w:tcPr>
          <w:p w:rsidR="003052B0" w:rsidRPr="00D7066D" w:rsidRDefault="00BB4C83" w:rsidP="00665B18">
            <w:pPr>
              <w:pStyle w:val="ListParagraph"/>
              <w:ind w:left="0"/>
              <w:jc w:val="both"/>
              <w:rPr>
                <w:rFonts w:ascii="Arial" w:hAnsi="Arial" w:cs="Arial"/>
                <w:iCs/>
                <w:sz w:val="20"/>
                <w:szCs w:val="20"/>
              </w:rPr>
            </w:pPr>
            <w:r w:rsidRPr="00D7066D">
              <w:rPr>
                <w:rFonts w:ascii="Arial" w:hAnsi="Arial" w:cs="Arial"/>
                <w:sz w:val="20"/>
                <w:szCs w:val="20"/>
              </w:rPr>
              <w:t>BioMarin looks forward to working with the Life Saving Drugs Program to bring this important treatment to CLN2 patients in Australia.</w:t>
            </w:r>
          </w:p>
        </w:tc>
      </w:tr>
      <w:tr w:rsidR="003052B0" w:rsidRPr="00D7066D" w:rsidTr="003052B0">
        <w:trPr>
          <w:trHeight w:val="1967"/>
        </w:trPr>
        <w:tc>
          <w:tcPr>
            <w:tcW w:w="2694" w:type="dxa"/>
            <w:vMerge w:val="restart"/>
            <w:tcMar>
              <w:top w:w="28" w:type="dxa"/>
              <w:bottom w:w="28" w:type="dxa"/>
            </w:tcMar>
          </w:tcPr>
          <w:p w:rsidR="003052B0" w:rsidRPr="00D7066D" w:rsidRDefault="003052B0" w:rsidP="00392583">
            <w:pPr>
              <w:rPr>
                <w:rFonts w:ascii="Arial" w:hAnsi="Arial" w:cs="Arial"/>
                <w:color w:val="000000"/>
              </w:rPr>
            </w:pPr>
            <w:r w:rsidRPr="00D7066D">
              <w:rPr>
                <w:rFonts w:ascii="Arial" w:hAnsi="Arial" w:cs="Arial"/>
                <w:color w:val="000000"/>
              </w:rPr>
              <w:lastRenderedPageBreak/>
              <w:t>DENOSUMAB</w:t>
            </w:r>
            <w:r w:rsidRPr="00D7066D">
              <w:rPr>
                <w:rFonts w:ascii="Arial" w:hAnsi="Arial" w:cs="Arial"/>
                <w:color w:val="000000"/>
              </w:rPr>
              <w:br/>
            </w:r>
            <w:r w:rsidRPr="00D7066D">
              <w:rPr>
                <w:rFonts w:ascii="Arial" w:hAnsi="Arial" w:cs="Arial"/>
                <w:color w:val="000000"/>
              </w:rPr>
              <w:br/>
              <w:t>Injection 120 mg in 1.7 mL</w:t>
            </w:r>
            <w:r w:rsidRPr="00D7066D">
              <w:rPr>
                <w:rFonts w:ascii="Arial" w:hAnsi="Arial" w:cs="Arial"/>
                <w:color w:val="000000"/>
              </w:rPr>
              <w:br/>
            </w:r>
            <w:r w:rsidRPr="00D7066D">
              <w:rPr>
                <w:rFonts w:ascii="Arial" w:hAnsi="Arial" w:cs="Arial"/>
                <w:color w:val="000000"/>
              </w:rPr>
              <w:br/>
              <w:t>Xgeva®</w:t>
            </w:r>
            <w:r w:rsidRPr="00D7066D">
              <w:rPr>
                <w:rFonts w:ascii="Arial" w:hAnsi="Arial" w:cs="Arial"/>
                <w:color w:val="000000"/>
              </w:rPr>
              <w:br/>
            </w:r>
            <w:r w:rsidRPr="00D7066D">
              <w:rPr>
                <w:rFonts w:ascii="Arial" w:hAnsi="Arial" w:cs="Arial"/>
                <w:color w:val="000000"/>
              </w:rPr>
              <w:br/>
              <w:t>Amgen Australia Pty Ltd</w:t>
            </w:r>
          </w:p>
          <w:p w:rsidR="003052B0" w:rsidRPr="00D7066D" w:rsidRDefault="003052B0" w:rsidP="00392583">
            <w:pPr>
              <w:rPr>
                <w:rFonts w:ascii="Arial" w:hAnsi="Arial" w:cs="Arial"/>
                <w:color w:val="000000"/>
              </w:rPr>
            </w:pPr>
          </w:p>
          <w:p w:rsidR="003052B0" w:rsidRPr="00D7066D" w:rsidRDefault="003052B0" w:rsidP="00392583">
            <w:pPr>
              <w:rPr>
                <w:rFonts w:ascii="Arial" w:hAnsi="Arial" w:cs="Arial"/>
                <w:color w:val="000000"/>
              </w:rPr>
            </w:pPr>
            <w:r w:rsidRPr="00D7066D">
              <w:rPr>
                <w:rFonts w:ascii="Arial" w:hAnsi="Arial" w:cs="Arial"/>
                <w:color w:val="000000"/>
              </w:rPr>
              <w:t>Change to listing</w:t>
            </w:r>
          </w:p>
          <w:p w:rsidR="003052B0" w:rsidRPr="00D7066D" w:rsidRDefault="003052B0" w:rsidP="00392583">
            <w:pPr>
              <w:rPr>
                <w:rFonts w:ascii="Arial" w:hAnsi="Arial" w:cs="Arial"/>
                <w:color w:val="000000"/>
              </w:rPr>
            </w:pPr>
            <w:r w:rsidRPr="00D7066D">
              <w:rPr>
                <w:rFonts w:ascii="Arial" w:hAnsi="Arial" w:cs="Arial"/>
                <w:color w:val="000000"/>
              </w:rPr>
              <w:t>(Major Submission)</w:t>
            </w:r>
          </w:p>
        </w:tc>
        <w:tc>
          <w:tcPr>
            <w:tcW w:w="2409" w:type="dxa"/>
            <w:vMerge w:val="restart"/>
            <w:tcBorders>
              <w:right w:val="single" w:sz="4" w:space="0" w:color="auto"/>
            </w:tcBorders>
          </w:tcPr>
          <w:p w:rsidR="003052B0" w:rsidRPr="00D7066D" w:rsidRDefault="003052B0" w:rsidP="007E4034">
            <w:pPr>
              <w:rPr>
                <w:rFonts w:ascii="Arial" w:hAnsi="Arial" w:cs="Arial"/>
                <w:color w:val="000000"/>
              </w:rPr>
            </w:pPr>
            <w:r w:rsidRPr="00D7066D">
              <w:rPr>
                <w:rFonts w:ascii="Arial" w:hAnsi="Arial" w:cs="Arial"/>
                <w:color w:val="000000"/>
              </w:rPr>
              <w:t>Multiple myeloma (MM)</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3052B0" w:rsidRPr="00D7066D" w:rsidRDefault="00F139E9" w:rsidP="007E4034">
            <w:pPr>
              <w:rPr>
                <w:rFonts w:ascii="Arial" w:hAnsi="Arial" w:cs="Arial"/>
                <w:color w:val="000000"/>
              </w:rPr>
            </w:pPr>
            <w:r w:rsidRPr="00D7066D">
              <w:rPr>
                <w:rFonts w:ascii="Arial" w:hAnsi="Arial" w:cs="Arial"/>
                <w:color w:val="000000"/>
              </w:rPr>
              <w:t xml:space="preserve">To request an Authority Required (STREAMLINED) listing for the treatment of multiple myeloma. </w:t>
            </w:r>
          </w:p>
        </w:tc>
        <w:tc>
          <w:tcPr>
            <w:tcW w:w="6947" w:type="dxa"/>
            <w:tcBorders>
              <w:left w:val="single" w:sz="4" w:space="0" w:color="auto"/>
            </w:tcBorders>
            <w:shd w:val="clear" w:color="auto" w:fill="auto"/>
          </w:tcPr>
          <w:p w:rsidR="0045730F" w:rsidRPr="00D7066D" w:rsidRDefault="003052B0" w:rsidP="003052B0">
            <w:pPr>
              <w:rPr>
                <w:rFonts w:ascii="Arial" w:hAnsi="Arial" w:cs="Arial"/>
                <w:color w:val="000000"/>
              </w:rPr>
            </w:pPr>
            <w:r w:rsidRPr="00D7066D">
              <w:rPr>
                <w:rFonts w:ascii="Arial" w:hAnsi="Arial" w:cs="Arial"/>
                <w:color w:val="000000"/>
              </w:rPr>
              <w:t xml:space="preserve">The PBAC </w:t>
            </w:r>
            <w:r w:rsidR="0045730F" w:rsidRPr="00D7066D">
              <w:rPr>
                <w:rFonts w:ascii="Arial" w:hAnsi="Arial" w:cs="Arial"/>
                <w:color w:val="000000"/>
              </w:rPr>
              <w:t xml:space="preserve">did </w:t>
            </w:r>
            <w:r w:rsidRPr="00D7066D">
              <w:rPr>
                <w:rFonts w:ascii="Arial" w:hAnsi="Arial" w:cs="Arial"/>
                <w:color w:val="000000"/>
              </w:rPr>
              <w:t>not</w:t>
            </w:r>
            <w:r w:rsidR="007A359E" w:rsidRPr="00D7066D">
              <w:rPr>
                <w:rFonts w:ascii="Arial" w:hAnsi="Arial" w:cs="Arial"/>
                <w:color w:val="000000"/>
              </w:rPr>
              <w:t xml:space="preserve"> </w:t>
            </w:r>
            <w:r w:rsidRPr="00D7066D">
              <w:rPr>
                <w:rFonts w:ascii="Arial" w:hAnsi="Arial" w:cs="Arial"/>
                <w:color w:val="000000"/>
              </w:rPr>
              <w:t>recommend extending the current Streamlined Authority Required listing for denosumab to include treatment of patients with multiple myeloma. Although the clinical evidence indicated non-inferiority to zoledronic acid for the outcome of skeletal-related events (SREs), the PBAC considered there was an inadequate basis for accepting the claim of superior effectiveness compared to zoledronic acid and the incremental cost-effectiveness based on superior progression-f</w:t>
            </w:r>
            <w:r w:rsidR="0045730F" w:rsidRPr="00D7066D">
              <w:rPr>
                <w:rFonts w:ascii="Arial" w:hAnsi="Arial" w:cs="Arial"/>
                <w:color w:val="000000"/>
              </w:rPr>
              <w:t>ree survival was implausible.</w:t>
            </w:r>
          </w:p>
          <w:p w:rsidR="0045730F" w:rsidRPr="00D7066D" w:rsidRDefault="0045730F" w:rsidP="003052B0">
            <w:pPr>
              <w:rPr>
                <w:rFonts w:ascii="Arial" w:hAnsi="Arial" w:cs="Arial"/>
                <w:color w:val="000000"/>
              </w:rPr>
            </w:pPr>
          </w:p>
          <w:p w:rsidR="00CD5C9A" w:rsidRPr="00D7066D" w:rsidRDefault="003052B0" w:rsidP="00CD5C9A">
            <w:pPr>
              <w:rPr>
                <w:rFonts w:ascii="Arial" w:hAnsi="Arial" w:cs="Arial"/>
                <w:color w:val="000000"/>
              </w:rPr>
            </w:pPr>
            <w:r w:rsidRPr="00D7066D">
              <w:rPr>
                <w:rFonts w:ascii="Arial" w:hAnsi="Arial" w:cs="Arial"/>
                <w:color w:val="000000"/>
              </w:rPr>
              <w:t>The PBAC noted</w:t>
            </w:r>
            <w:r w:rsidR="00CD5C9A" w:rsidRPr="00D7066D">
              <w:rPr>
                <w:rFonts w:ascii="Arial" w:hAnsi="Arial" w:cs="Arial"/>
                <w:color w:val="000000"/>
              </w:rPr>
              <w:t xml:space="preserve"> that</w:t>
            </w:r>
            <w:r w:rsidRPr="00D7066D">
              <w:rPr>
                <w:rFonts w:ascii="Arial" w:hAnsi="Arial" w:cs="Arial"/>
                <w:color w:val="000000"/>
              </w:rPr>
              <w:t xml:space="preserve"> the sponsor </w:t>
            </w:r>
            <w:r w:rsidR="00CD5C9A" w:rsidRPr="00D7066D">
              <w:rPr>
                <w:rFonts w:ascii="Arial" w:hAnsi="Arial" w:cs="Arial"/>
                <w:color w:val="000000"/>
              </w:rPr>
              <w:t>indicated they would not pursue listing if</w:t>
            </w:r>
            <w:r w:rsidRPr="00D7066D">
              <w:rPr>
                <w:rFonts w:ascii="Arial" w:hAnsi="Arial" w:cs="Arial"/>
                <w:color w:val="000000"/>
              </w:rPr>
              <w:t xml:space="preserve"> denosumab </w:t>
            </w:r>
            <w:r w:rsidR="00CD5C9A" w:rsidRPr="00D7066D">
              <w:rPr>
                <w:rFonts w:ascii="Arial" w:hAnsi="Arial" w:cs="Arial"/>
                <w:color w:val="000000"/>
              </w:rPr>
              <w:t xml:space="preserve">were recommended </w:t>
            </w:r>
            <w:r w:rsidRPr="00D7066D">
              <w:rPr>
                <w:rFonts w:ascii="Arial" w:hAnsi="Arial" w:cs="Arial"/>
                <w:color w:val="000000"/>
              </w:rPr>
              <w:t xml:space="preserve">on a cost-minimisation basis with the comparator, zoledronic acid. </w:t>
            </w:r>
          </w:p>
        </w:tc>
      </w:tr>
      <w:tr w:rsidR="003052B0" w:rsidRPr="00D7066D" w:rsidTr="00DA0953">
        <w:trPr>
          <w:trHeight w:val="42"/>
        </w:trPr>
        <w:tc>
          <w:tcPr>
            <w:tcW w:w="2694" w:type="dxa"/>
            <w:vMerge/>
            <w:tcMar>
              <w:top w:w="28" w:type="dxa"/>
              <w:bottom w:w="28" w:type="dxa"/>
            </w:tcMar>
          </w:tcPr>
          <w:p w:rsidR="003052B0" w:rsidRPr="00D7066D" w:rsidRDefault="003052B0" w:rsidP="00A33634">
            <w:pPr>
              <w:rPr>
                <w:rFonts w:ascii="Arial" w:hAnsi="Arial" w:cs="Arial"/>
                <w:color w:val="000000"/>
              </w:rPr>
            </w:pPr>
          </w:p>
        </w:tc>
        <w:tc>
          <w:tcPr>
            <w:tcW w:w="2409" w:type="dxa"/>
            <w:vMerge/>
            <w:tcBorders>
              <w:right w:val="single" w:sz="4" w:space="0" w:color="auto"/>
            </w:tcBorders>
          </w:tcPr>
          <w:p w:rsidR="003052B0" w:rsidRPr="00D7066D" w:rsidRDefault="003052B0" w:rsidP="00A33634">
            <w:pPr>
              <w:rPr>
                <w:rFonts w:ascii="Arial" w:hAnsi="Arial" w:cs="Arial"/>
                <w:color w:val="000000"/>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Sponsor Comment:</w:t>
            </w:r>
          </w:p>
        </w:tc>
        <w:tc>
          <w:tcPr>
            <w:tcW w:w="6947" w:type="dxa"/>
            <w:tcBorders>
              <w:left w:val="single" w:sz="4" w:space="0" w:color="auto"/>
            </w:tcBorders>
            <w:shd w:val="clear" w:color="auto" w:fill="auto"/>
          </w:tcPr>
          <w:p w:rsidR="003052B0" w:rsidRPr="00D7066D" w:rsidRDefault="00DA0953" w:rsidP="00673046">
            <w:pPr>
              <w:rPr>
                <w:rFonts w:ascii="Arial" w:hAnsi="Arial" w:cs="Arial"/>
                <w:color w:val="000000"/>
              </w:rPr>
            </w:pPr>
            <w:r w:rsidRPr="00D7066D">
              <w:rPr>
                <w:rFonts w:ascii="Arial" w:hAnsi="Arial" w:cs="Arial"/>
              </w:rPr>
              <w:t>Amgen is committed to working with the PBAC towards the listing of denosumab in multiple myeloma where there is a clinical need for an alternative to bisphosphonate therapy.</w:t>
            </w:r>
          </w:p>
        </w:tc>
      </w:tr>
      <w:tr w:rsidR="003052B0" w:rsidRPr="00D7066D" w:rsidTr="00A71B4D">
        <w:trPr>
          <w:trHeight w:val="1682"/>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DUPILUMAB</w:t>
            </w:r>
            <w:r w:rsidRPr="00D7066D">
              <w:rPr>
                <w:rFonts w:ascii="Arial" w:hAnsi="Arial" w:cs="Arial"/>
                <w:color w:val="000000"/>
              </w:rPr>
              <w:br/>
            </w:r>
            <w:r w:rsidRPr="00D7066D">
              <w:rPr>
                <w:rFonts w:ascii="Arial" w:hAnsi="Arial" w:cs="Arial"/>
                <w:color w:val="000000"/>
              </w:rPr>
              <w:br/>
              <w:t>Injection 300 mg in 2 mL single dose pre-filled syringe</w:t>
            </w:r>
            <w:r w:rsidRPr="00D7066D">
              <w:rPr>
                <w:rFonts w:ascii="Arial" w:hAnsi="Arial" w:cs="Arial"/>
                <w:color w:val="000000"/>
              </w:rPr>
              <w:br/>
            </w:r>
            <w:r w:rsidRPr="00D7066D">
              <w:rPr>
                <w:rFonts w:ascii="Arial" w:hAnsi="Arial" w:cs="Arial"/>
                <w:color w:val="000000"/>
              </w:rPr>
              <w:br/>
              <w:t>Dupixent®</w:t>
            </w:r>
            <w:r w:rsidRPr="00D7066D">
              <w:rPr>
                <w:rFonts w:ascii="Arial" w:hAnsi="Arial" w:cs="Arial"/>
                <w:color w:val="000000"/>
              </w:rPr>
              <w:br/>
            </w:r>
            <w:r w:rsidRPr="00D7066D">
              <w:rPr>
                <w:rFonts w:ascii="Arial" w:hAnsi="Arial" w:cs="Arial"/>
                <w:color w:val="000000"/>
              </w:rPr>
              <w:br/>
              <w:t>Sanofi-aventis Australia Pty Ltd</w:t>
            </w:r>
          </w:p>
          <w:p w:rsidR="003052B0" w:rsidRPr="00D7066D" w:rsidRDefault="003052B0" w:rsidP="00A33634">
            <w:pPr>
              <w:rPr>
                <w:rFonts w:ascii="Arial" w:hAnsi="Arial" w:cs="Arial"/>
                <w:color w:val="000000"/>
              </w:rPr>
            </w:pPr>
          </w:p>
          <w:p w:rsidR="003052B0" w:rsidRPr="00D7066D" w:rsidRDefault="003052B0" w:rsidP="00A33634">
            <w:pPr>
              <w:rPr>
                <w:rFonts w:ascii="Arial" w:hAnsi="Arial" w:cs="Arial"/>
                <w:color w:val="000000"/>
              </w:rPr>
            </w:pPr>
            <w:r w:rsidRPr="00D7066D">
              <w:rPr>
                <w:rFonts w:ascii="Arial" w:hAnsi="Arial" w:cs="Arial"/>
                <w:color w:val="000000"/>
              </w:rPr>
              <w:t>New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Borders>
              <w:right w:val="single" w:sz="4" w:space="0" w:color="auto"/>
            </w:tcBorders>
          </w:tcPr>
          <w:p w:rsidR="003052B0" w:rsidRPr="00D7066D" w:rsidRDefault="003052B0" w:rsidP="007E4034">
            <w:pPr>
              <w:rPr>
                <w:rFonts w:ascii="Arial" w:hAnsi="Arial" w:cs="Arial"/>
                <w:color w:val="000000"/>
              </w:rPr>
            </w:pPr>
            <w:r w:rsidRPr="00D7066D">
              <w:rPr>
                <w:rFonts w:ascii="Arial" w:hAnsi="Arial" w:cs="Arial"/>
                <w:color w:val="000000"/>
              </w:rPr>
              <w:t>Severe atopic dermatitis</w:t>
            </w:r>
          </w:p>
        </w:tc>
        <w:tc>
          <w:tcPr>
            <w:tcW w:w="3261" w:type="dxa"/>
            <w:tcBorders>
              <w:top w:val="single" w:sz="4" w:space="0" w:color="auto"/>
              <w:left w:val="single" w:sz="4" w:space="0" w:color="auto"/>
              <w:bottom w:val="single" w:sz="4" w:space="0" w:color="auto"/>
              <w:right w:val="single" w:sz="4" w:space="0" w:color="auto"/>
            </w:tcBorders>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color w:val="000000"/>
              </w:rPr>
              <w:t>To request an Authority Required listing for the treatment of patients with severe atopic dermatitis who have had an inadequate response, intolerance or contraindication to treatment with cyclosporin.</w:t>
            </w:r>
          </w:p>
        </w:tc>
        <w:tc>
          <w:tcPr>
            <w:tcW w:w="6947" w:type="dxa"/>
            <w:tcBorders>
              <w:left w:val="single" w:sz="4" w:space="0" w:color="auto"/>
            </w:tcBorders>
            <w:shd w:val="clear" w:color="auto" w:fill="auto"/>
          </w:tcPr>
          <w:p w:rsidR="00CD5C9A" w:rsidRPr="00D7066D" w:rsidRDefault="00A71B4D" w:rsidP="007E4034">
            <w:pPr>
              <w:rPr>
                <w:rFonts w:ascii="Arial" w:hAnsi="Arial" w:cs="Arial"/>
                <w:color w:val="000000"/>
              </w:rPr>
            </w:pPr>
            <w:r w:rsidRPr="00D7066D">
              <w:rPr>
                <w:rFonts w:ascii="Arial" w:hAnsi="Arial" w:cs="Arial"/>
                <w:color w:val="000000"/>
              </w:rPr>
              <w:t xml:space="preserve">The PBAC did not recommend the listing of dupilumab for the treatment of severe atopic dermatitis due to uncertainty regarding the appropriate place in therapy and uncertain cost effectiveness. The PBAC did not consider that the data presented in the submission supported restricting use of dupilumab only to severe disease. The PBAC acknowledged the clinical need for a safe and effective treatment for patients with </w:t>
            </w:r>
            <w:r w:rsidR="00CD5C9A" w:rsidRPr="00D7066D">
              <w:rPr>
                <w:rFonts w:ascii="Arial" w:hAnsi="Arial" w:cs="Arial"/>
                <w:color w:val="000000"/>
              </w:rPr>
              <w:t>atopic dermatitis</w:t>
            </w:r>
            <w:r w:rsidRPr="00D7066D">
              <w:rPr>
                <w:rFonts w:ascii="Arial" w:hAnsi="Arial" w:cs="Arial"/>
                <w:color w:val="000000"/>
              </w:rPr>
              <w:t xml:space="preserve"> who do not respond to existing therapies.</w:t>
            </w:r>
          </w:p>
        </w:tc>
      </w:tr>
      <w:tr w:rsidR="003052B0" w:rsidRPr="00D7066D" w:rsidTr="00936B6B">
        <w:trPr>
          <w:trHeight w:val="440"/>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pStyle w:val="Default"/>
              <w:rPr>
                <w:rFonts w:ascii="Arial" w:hAnsi="Arial" w:cs="Arial"/>
                <w:sz w:val="20"/>
                <w:szCs w:val="20"/>
              </w:rPr>
            </w:pPr>
          </w:p>
        </w:tc>
        <w:tc>
          <w:tcPr>
            <w:tcW w:w="3261" w:type="dxa"/>
            <w:tcBorders>
              <w:top w:val="single" w:sz="4" w:space="0" w:color="auto"/>
            </w:tcBorders>
            <w:shd w:val="clear" w:color="auto" w:fill="auto"/>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snapToGrid w:val="0"/>
                <w:lang w:eastAsia="en-US"/>
              </w:rPr>
              <w:t>Sponsor Comment:</w:t>
            </w:r>
          </w:p>
        </w:tc>
        <w:tc>
          <w:tcPr>
            <w:tcW w:w="6947" w:type="dxa"/>
            <w:shd w:val="clear" w:color="auto" w:fill="auto"/>
          </w:tcPr>
          <w:p w:rsidR="003052B0" w:rsidRPr="00D7066D" w:rsidDel="00D35F49" w:rsidRDefault="00936B6B" w:rsidP="00665B18">
            <w:pPr>
              <w:pStyle w:val="ListParagraph"/>
              <w:ind w:left="0" w:firstLine="2"/>
              <w:jc w:val="both"/>
              <w:rPr>
                <w:rFonts w:ascii="Arial" w:hAnsi="Arial" w:cs="Arial"/>
                <w:iCs/>
                <w:sz w:val="20"/>
                <w:szCs w:val="20"/>
              </w:rPr>
            </w:pPr>
            <w:r w:rsidRPr="00936B6B">
              <w:rPr>
                <w:rFonts w:ascii="Arial" w:hAnsi="Arial" w:cs="Arial"/>
                <w:iCs/>
                <w:sz w:val="20"/>
                <w:szCs w:val="20"/>
              </w:rPr>
              <w:t>Sanofi welcomes the Committee’s recognition of the need for a safe and effective treatment for patients with atopic dermatitis and remains committed to working with the PBAC to enable reimbursed access to dupilumab for Australian patients with atopic dermatitis unr</w:t>
            </w:r>
            <w:r>
              <w:rPr>
                <w:rFonts w:ascii="Arial" w:hAnsi="Arial" w:cs="Arial"/>
                <w:iCs/>
                <w:sz w:val="20"/>
                <w:szCs w:val="20"/>
              </w:rPr>
              <w:t>esponsive to existing therapies.</w:t>
            </w:r>
          </w:p>
        </w:tc>
      </w:tr>
      <w:tr w:rsidR="007E4034" w:rsidRPr="00D7066D" w:rsidTr="007E4034">
        <w:trPr>
          <w:cantSplit/>
          <w:trHeight w:val="3299"/>
        </w:trPr>
        <w:tc>
          <w:tcPr>
            <w:tcW w:w="2694" w:type="dxa"/>
            <w:vMerge w:val="restart"/>
            <w:tcMar>
              <w:top w:w="28" w:type="dxa"/>
              <w:bottom w:w="28" w:type="dxa"/>
            </w:tcMar>
          </w:tcPr>
          <w:p w:rsidR="007E4034" w:rsidRPr="00D7066D" w:rsidRDefault="007E4034" w:rsidP="00A33634">
            <w:pPr>
              <w:rPr>
                <w:rFonts w:ascii="Arial" w:hAnsi="Arial" w:cs="Arial"/>
                <w:color w:val="000000"/>
              </w:rPr>
            </w:pPr>
            <w:r w:rsidRPr="00D7066D">
              <w:rPr>
                <w:rFonts w:ascii="Arial" w:hAnsi="Arial" w:cs="Arial"/>
                <w:color w:val="000000"/>
              </w:rPr>
              <w:lastRenderedPageBreak/>
              <w:t>ERENUMAB</w:t>
            </w:r>
            <w:r w:rsidRPr="00D7066D">
              <w:rPr>
                <w:rFonts w:ascii="Arial" w:hAnsi="Arial" w:cs="Arial"/>
                <w:color w:val="000000"/>
              </w:rPr>
              <w:br/>
            </w:r>
            <w:r w:rsidRPr="00D7066D">
              <w:rPr>
                <w:rFonts w:ascii="Arial" w:hAnsi="Arial" w:cs="Arial"/>
                <w:color w:val="000000"/>
              </w:rPr>
              <w:br/>
            </w:r>
            <w:r w:rsidRPr="00D7066D">
              <w:rPr>
                <w:rFonts w:ascii="Arial" w:hAnsi="Arial" w:cs="Arial"/>
                <w:color w:val="000000"/>
              </w:rPr>
              <w:br/>
              <w:t>Injection 70 mg in 1 mL single dose pre-filled pen</w:t>
            </w:r>
            <w:r w:rsidRPr="00D7066D">
              <w:rPr>
                <w:rFonts w:ascii="Arial" w:hAnsi="Arial" w:cs="Arial"/>
                <w:color w:val="000000"/>
              </w:rPr>
              <w:br/>
            </w:r>
            <w:r w:rsidRPr="00D7066D">
              <w:rPr>
                <w:rFonts w:ascii="Arial" w:hAnsi="Arial" w:cs="Arial"/>
                <w:color w:val="000000"/>
              </w:rPr>
              <w:br/>
              <w:t>Aimovig®</w:t>
            </w:r>
            <w:r w:rsidRPr="00D7066D">
              <w:rPr>
                <w:rFonts w:ascii="Arial" w:hAnsi="Arial" w:cs="Arial"/>
                <w:color w:val="000000"/>
              </w:rPr>
              <w:br/>
            </w:r>
            <w:r w:rsidRPr="00D7066D">
              <w:rPr>
                <w:rFonts w:ascii="Arial" w:hAnsi="Arial" w:cs="Arial"/>
                <w:color w:val="000000"/>
              </w:rPr>
              <w:br/>
              <w:t>Novartis Pharmaceuticals Australia Pty Ltd</w:t>
            </w:r>
          </w:p>
          <w:p w:rsidR="007E4034" w:rsidRPr="00D7066D" w:rsidRDefault="007E4034" w:rsidP="00665B18">
            <w:pPr>
              <w:rPr>
                <w:rFonts w:ascii="Arial" w:hAnsi="Arial" w:cs="Arial"/>
                <w:color w:val="000000"/>
              </w:rPr>
            </w:pPr>
          </w:p>
          <w:p w:rsidR="007E4034" w:rsidRPr="00D7066D" w:rsidRDefault="007E4034" w:rsidP="00665B18">
            <w:pPr>
              <w:rPr>
                <w:rFonts w:ascii="Arial" w:hAnsi="Arial" w:cs="Arial"/>
                <w:color w:val="000000"/>
              </w:rPr>
            </w:pPr>
            <w:r w:rsidRPr="00D7066D">
              <w:rPr>
                <w:rFonts w:ascii="Arial" w:hAnsi="Arial" w:cs="Arial"/>
                <w:color w:val="000000"/>
              </w:rPr>
              <w:t>New listing</w:t>
            </w:r>
          </w:p>
          <w:p w:rsidR="007E4034" w:rsidRPr="00D7066D" w:rsidRDefault="007E4034"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7E4034" w:rsidRPr="00D7066D" w:rsidRDefault="007E4034" w:rsidP="007E4034">
            <w:pPr>
              <w:rPr>
                <w:rFonts w:ascii="Arial" w:hAnsi="Arial" w:cs="Arial"/>
              </w:rPr>
            </w:pPr>
            <w:r w:rsidRPr="00D7066D">
              <w:rPr>
                <w:rFonts w:ascii="Arial" w:hAnsi="Arial" w:cs="Arial"/>
                <w:color w:val="000000"/>
              </w:rPr>
              <w:t>Chronic migraine</w:t>
            </w:r>
          </w:p>
        </w:tc>
        <w:tc>
          <w:tcPr>
            <w:tcW w:w="3261" w:type="dxa"/>
            <w:tcMar>
              <w:top w:w="28" w:type="dxa"/>
              <w:bottom w:w="28" w:type="dxa"/>
            </w:tcMar>
          </w:tcPr>
          <w:p w:rsidR="007E4034" w:rsidRPr="00D7066D" w:rsidRDefault="007E4034" w:rsidP="00665B18">
            <w:pPr>
              <w:rPr>
                <w:rFonts w:ascii="Arial" w:hAnsi="Arial" w:cs="Arial"/>
                <w:color w:val="000000"/>
              </w:rPr>
            </w:pPr>
            <w:r w:rsidRPr="00D7066D">
              <w:rPr>
                <w:rFonts w:ascii="Arial" w:hAnsi="Arial" w:cs="Arial"/>
                <w:color w:val="000000"/>
              </w:rPr>
              <w:t>To request an Authority Required (STREAMLINED) listing for prophylaxis in patients with chronic migraine.</w:t>
            </w:r>
          </w:p>
        </w:tc>
        <w:tc>
          <w:tcPr>
            <w:tcW w:w="6947" w:type="dxa"/>
            <w:shd w:val="clear" w:color="auto" w:fill="auto"/>
          </w:tcPr>
          <w:p w:rsidR="007E4034" w:rsidRPr="00D7066D" w:rsidRDefault="007E4034" w:rsidP="00CD5C9A">
            <w:pPr>
              <w:rPr>
                <w:rFonts w:ascii="Arial" w:hAnsi="Arial" w:cs="Arial"/>
                <w:color w:val="000000"/>
              </w:rPr>
            </w:pPr>
            <w:r w:rsidRPr="00D7066D">
              <w:rPr>
                <w:rFonts w:ascii="Arial" w:hAnsi="Arial" w:cs="Arial"/>
                <w:color w:val="000000"/>
              </w:rPr>
              <w:t>The PBAC did not recommend the Authority Required (Streamlined) listing of erenumab for the treatment of chronic migraine. The PBAC considered that the submission had neither adequately justified the place in therapy nor justified the proposed PBS listing, which excluded migraine patients that may benefit from this treatment. The evidence used for the basis of the clinical claim that erenumab was more effective than botulinum toxin had significant limitations, resulting in a clinical effectiveness and cost-effectiveness estimates that were highly unreliable for decision making. In addition, the PBAC considered that the cost to Government was underestimated by the submission, both because the number of patients with chronic migraine was underestimated by the submission and because of the significant risk of leakage outside the proposed limited PBS listing (for example, patients with episodic migraine).</w:t>
            </w:r>
            <w:r w:rsidR="004772C3">
              <w:rPr>
                <w:rFonts w:ascii="Arial" w:hAnsi="Arial" w:cs="Arial"/>
                <w:color w:val="000000"/>
              </w:rPr>
              <w:t xml:space="preserve"> </w:t>
            </w:r>
            <w:r w:rsidRPr="00D7066D">
              <w:rPr>
                <w:rFonts w:ascii="Arial" w:hAnsi="Arial" w:cs="Arial"/>
                <w:color w:val="000000"/>
              </w:rPr>
              <w:t xml:space="preserve">The PBAC acknowledged the unmet clinical need for new treatments (including erenumab) for sufferers of migraine, and looks forward to engaging with the company to find a way forward. </w:t>
            </w:r>
          </w:p>
        </w:tc>
      </w:tr>
      <w:tr w:rsidR="007E4034" w:rsidRPr="00D7066D" w:rsidTr="007E4034">
        <w:trPr>
          <w:cantSplit/>
          <w:trHeight w:val="628"/>
        </w:trPr>
        <w:tc>
          <w:tcPr>
            <w:tcW w:w="2694" w:type="dxa"/>
            <w:vMerge/>
            <w:tcMar>
              <w:top w:w="28" w:type="dxa"/>
              <w:bottom w:w="28" w:type="dxa"/>
            </w:tcMar>
          </w:tcPr>
          <w:p w:rsidR="007E4034" w:rsidRPr="00D7066D" w:rsidRDefault="007E4034" w:rsidP="00A33634">
            <w:pPr>
              <w:rPr>
                <w:rFonts w:ascii="Arial" w:hAnsi="Arial" w:cs="Arial"/>
                <w:color w:val="000000"/>
              </w:rPr>
            </w:pPr>
          </w:p>
        </w:tc>
        <w:tc>
          <w:tcPr>
            <w:tcW w:w="2409" w:type="dxa"/>
            <w:vMerge/>
          </w:tcPr>
          <w:p w:rsidR="007E4034" w:rsidRPr="00D7066D" w:rsidRDefault="007E4034" w:rsidP="007E4034">
            <w:pPr>
              <w:rPr>
                <w:rFonts w:ascii="Arial" w:hAnsi="Arial" w:cs="Arial"/>
                <w:color w:val="000000"/>
              </w:rPr>
            </w:pPr>
          </w:p>
        </w:tc>
        <w:tc>
          <w:tcPr>
            <w:tcW w:w="3261" w:type="dxa"/>
            <w:tcMar>
              <w:top w:w="28" w:type="dxa"/>
              <w:bottom w:w="28" w:type="dxa"/>
            </w:tcMar>
          </w:tcPr>
          <w:p w:rsidR="007E4034" w:rsidRPr="00D7066D" w:rsidRDefault="007E4034" w:rsidP="00665B18">
            <w:pPr>
              <w:rPr>
                <w:rFonts w:ascii="Arial" w:hAnsi="Arial" w:cs="Arial"/>
                <w:color w:val="000000"/>
              </w:rPr>
            </w:pPr>
            <w:r w:rsidRPr="00D7066D">
              <w:rPr>
                <w:rFonts w:ascii="Arial" w:hAnsi="Arial" w:cs="Arial"/>
                <w:color w:val="000000"/>
              </w:rPr>
              <w:t>Sponsor comment</w:t>
            </w:r>
          </w:p>
        </w:tc>
        <w:tc>
          <w:tcPr>
            <w:tcW w:w="6947" w:type="dxa"/>
            <w:shd w:val="clear" w:color="auto" w:fill="auto"/>
          </w:tcPr>
          <w:p w:rsidR="007E4034" w:rsidRPr="00D7066D" w:rsidRDefault="007E4034" w:rsidP="00CD5C9A">
            <w:pPr>
              <w:rPr>
                <w:rFonts w:ascii="Arial" w:hAnsi="Arial" w:cs="Arial"/>
                <w:color w:val="000000"/>
              </w:rPr>
            </w:pPr>
            <w:r w:rsidRPr="00D7066D">
              <w:rPr>
                <w:rFonts w:ascii="Arial" w:hAnsi="Arial" w:cs="Arial"/>
                <w:iCs/>
              </w:rPr>
              <w:t>Novartis remains committed to working with the PBAC to enable reimbursed access to erenumab for Australian patients with migraine.</w:t>
            </w:r>
          </w:p>
        </w:tc>
      </w:tr>
      <w:tr w:rsidR="003052B0" w:rsidRPr="00D7066D" w:rsidTr="007E4034">
        <w:trPr>
          <w:cantSplit/>
          <w:trHeight w:val="1268"/>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lastRenderedPageBreak/>
              <w:t>LETERMOVIR</w:t>
            </w:r>
            <w:r w:rsidRPr="00D7066D">
              <w:rPr>
                <w:rFonts w:ascii="Arial" w:hAnsi="Arial" w:cs="Arial"/>
                <w:color w:val="000000"/>
              </w:rPr>
              <w:br/>
            </w:r>
            <w:r w:rsidRPr="00D7066D">
              <w:rPr>
                <w:rFonts w:ascii="Arial" w:hAnsi="Arial" w:cs="Arial"/>
                <w:color w:val="000000"/>
              </w:rPr>
              <w:br/>
              <w:t>Tablet 240 mg</w:t>
            </w:r>
            <w:r w:rsidRPr="00D7066D">
              <w:rPr>
                <w:rFonts w:ascii="Arial" w:hAnsi="Arial" w:cs="Arial"/>
                <w:color w:val="000000"/>
              </w:rPr>
              <w:br/>
            </w:r>
            <w:r w:rsidRPr="00D7066D">
              <w:rPr>
                <w:rFonts w:ascii="Arial" w:hAnsi="Arial" w:cs="Arial"/>
                <w:color w:val="000000"/>
              </w:rPr>
              <w:br/>
              <w:t>Prevymis®</w:t>
            </w:r>
            <w:r w:rsidRPr="00D7066D">
              <w:rPr>
                <w:rFonts w:ascii="Arial" w:hAnsi="Arial" w:cs="Arial"/>
                <w:color w:val="000000"/>
              </w:rPr>
              <w:br/>
            </w:r>
            <w:r w:rsidRPr="00D7066D">
              <w:rPr>
                <w:rFonts w:ascii="Arial" w:hAnsi="Arial" w:cs="Arial"/>
                <w:color w:val="000000"/>
              </w:rPr>
              <w:br/>
              <w:t>Merck Sharp &amp; Dohme (Australia) Pty Ltd</w:t>
            </w:r>
          </w:p>
          <w:p w:rsidR="003052B0" w:rsidRPr="00D7066D" w:rsidRDefault="003052B0" w:rsidP="00665B18">
            <w:pPr>
              <w:rPr>
                <w:rFonts w:ascii="Arial" w:hAnsi="Arial" w:cs="Arial"/>
                <w:color w:val="000000"/>
              </w:rPr>
            </w:pPr>
          </w:p>
          <w:p w:rsidR="003052B0" w:rsidRPr="00D7066D" w:rsidRDefault="003052B0" w:rsidP="00665B18">
            <w:pPr>
              <w:rPr>
                <w:rFonts w:ascii="Arial" w:hAnsi="Arial" w:cs="Arial"/>
                <w:color w:val="000000"/>
              </w:rPr>
            </w:pPr>
            <w:r w:rsidRPr="00D7066D">
              <w:rPr>
                <w:rFonts w:ascii="Arial" w:hAnsi="Arial" w:cs="Arial"/>
                <w:color w:val="000000"/>
              </w:rPr>
              <w:t>New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D7066D" w:rsidRDefault="003052B0" w:rsidP="007E4034">
            <w:pPr>
              <w:rPr>
                <w:rFonts w:ascii="Arial" w:hAnsi="Arial" w:cs="Arial"/>
                <w:color w:val="000000"/>
              </w:rPr>
            </w:pPr>
            <w:r w:rsidRPr="00D7066D">
              <w:rPr>
                <w:rFonts w:ascii="Arial" w:hAnsi="Arial" w:cs="Arial"/>
                <w:color w:val="000000"/>
              </w:rPr>
              <w:t>Prophylaxis of cytomegalovirus (CMV) infection or disease</w:t>
            </w:r>
          </w:p>
        </w:tc>
        <w:tc>
          <w:tcPr>
            <w:tcW w:w="3261" w:type="dxa"/>
            <w:tcMar>
              <w:top w:w="28" w:type="dxa"/>
              <w:bottom w:w="28" w:type="dxa"/>
            </w:tcMar>
          </w:tcPr>
          <w:p w:rsidR="003052B0" w:rsidRPr="00D7066D" w:rsidRDefault="003052B0" w:rsidP="007E4034">
            <w:pPr>
              <w:rPr>
                <w:rFonts w:ascii="Arial" w:hAnsi="Arial" w:cs="Arial"/>
                <w:color w:val="000000"/>
              </w:rPr>
            </w:pPr>
            <w:r w:rsidRPr="00D7066D">
              <w:rPr>
                <w:rFonts w:ascii="Arial" w:hAnsi="Arial" w:cs="Arial"/>
                <w:color w:val="000000"/>
              </w:rPr>
              <w:t>To request a Section 100 (Highly Specialised Drugs Program) Authority Required listing for the prophylaxis of cytomegalovirus (CMV) infection or disease in adult CMV-seropositive [R+] recipients of an allogeneic haematopoietic stem cell transplant (allo-HSCT).</w:t>
            </w:r>
          </w:p>
        </w:tc>
        <w:tc>
          <w:tcPr>
            <w:tcW w:w="6947" w:type="dxa"/>
            <w:shd w:val="clear" w:color="auto" w:fill="auto"/>
          </w:tcPr>
          <w:p w:rsidR="0045730F" w:rsidRDefault="00E459EF" w:rsidP="00665B18">
            <w:pPr>
              <w:rPr>
                <w:rFonts w:ascii="Arial" w:hAnsi="Arial" w:cs="Arial"/>
                <w:color w:val="000000"/>
              </w:rPr>
            </w:pPr>
            <w:r w:rsidRPr="00D7066D">
              <w:rPr>
                <w:rFonts w:ascii="Arial" w:hAnsi="Arial" w:cs="Arial"/>
                <w:color w:val="000000"/>
              </w:rPr>
              <w:t>The PBAC did not recommend the Section 100 (Highly Specialised Drugs Program) Authority Required listing for letermovir for prophylaxis of cytomegalovirus (CMV) infection or disease in CMV sero-positive patients who have received an allogeneic haematopoietic stem cell transplant (HSCT).</w:t>
            </w:r>
            <w:r w:rsidR="004772C3">
              <w:rPr>
                <w:rFonts w:ascii="Arial" w:hAnsi="Arial" w:cs="Arial"/>
                <w:color w:val="000000"/>
              </w:rPr>
              <w:t xml:space="preserve"> </w:t>
            </w:r>
            <w:r w:rsidRPr="00D7066D">
              <w:rPr>
                <w:rFonts w:ascii="Arial" w:hAnsi="Arial" w:cs="Arial"/>
                <w:color w:val="000000"/>
              </w:rPr>
              <w:t xml:space="preserve">This decision was on the basis that the Committee was unable to assess the cost-effectiveness of letermovir treatment because the economic analysis did not </w:t>
            </w:r>
            <w:r w:rsidR="0045730F" w:rsidRPr="00D7066D">
              <w:rPr>
                <w:rFonts w:ascii="Arial" w:hAnsi="Arial" w:cs="Arial"/>
                <w:color w:val="000000"/>
              </w:rPr>
              <w:t>appropriately</w:t>
            </w:r>
            <w:r w:rsidRPr="00D7066D">
              <w:rPr>
                <w:rFonts w:ascii="Arial" w:hAnsi="Arial" w:cs="Arial"/>
                <w:color w:val="000000"/>
              </w:rPr>
              <w:t xml:space="preserve"> model the health benefits of treatment as demon</w:t>
            </w:r>
            <w:r w:rsidR="0045730F" w:rsidRPr="00D7066D">
              <w:rPr>
                <w:rFonts w:ascii="Arial" w:hAnsi="Arial" w:cs="Arial"/>
                <w:color w:val="000000"/>
              </w:rPr>
              <w:t xml:space="preserve">strated in the clinical trial. </w:t>
            </w:r>
          </w:p>
          <w:p w:rsidR="007E4034" w:rsidRPr="00D7066D" w:rsidRDefault="007E4034" w:rsidP="00665B18">
            <w:pPr>
              <w:rPr>
                <w:rFonts w:ascii="Arial" w:hAnsi="Arial" w:cs="Arial"/>
                <w:color w:val="000000"/>
              </w:rPr>
            </w:pPr>
          </w:p>
          <w:p w:rsidR="0045730F" w:rsidRDefault="00E459EF" w:rsidP="00665B18">
            <w:pPr>
              <w:rPr>
                <w:rFonts w:ascii="Arial" w:hAnsi="Arial" w:cs="Arial"/>
                <w:color w:val="000000"/>
              </w:rPr>
            </w:pPr>
            <w:r w:rsidRPr="00D7066D">
              <w:rPr>
                <w:rFonts w:ascii="Arial" w:hAnsi="Arial" w:cs="Arial"/>
                <w:color w:val="000000"/>
              </w:rPr>
              <w:t>The PBAC noted the consumer comments and acknowledged the clinical utility of an orally active agent to prevent CMV infection and that letermovir was less toxic than curren</w:t>
            </w:r>
            <w:r w:rsidR="0045730F" w:rsidRPr="00D7066D">
              <w:rPr>
                <w:rFonts w:ascii="Arial" w:hAnsi="Arial" w:cs="Arial"/>
                <w:color w:val="000000"/>
              </w:rPr>
              <w:t xml:space="preserve">tly used antiviral treatments. </w:t>
            </w:r>
          </w:p>
          <w:p w:rsidR="007E4034" w:rsidRPr="00D7066D" w:rsidRDefault="007E4034" w:rsidP="00665B18">
            <w:pPr>
              <w:rPr>
                <w:rFonts w:ascii="Arial" w:hAnsi="Arial" w:cs="Arial"/>
                <w:color w:val="000000"/>
              </w:rPr>
            </w:pPr>
          </w:p>
          <w:p w:rsidR="0045730F" w:rsidRDefault="00E459EF" w:rsidP="00665B18">
            <w:pPr>
              <w:rPr>
                <w:rFonts w:ascii="Arial" w:hAnsi="Arial" w:cs="Arial"/>
                <w:color w:val="000000"/>
              </w:rPr>
            </w:pPr>
            <w:r w:rsidRPr="00D7066D">
              <w:rPr>
                <w:rFonts w:ascii="Arial" w:hAnsi="Arial" w:cs="Arial"/>
                <w:color w:val="000000"/>
              </w:rPr>
              <w:t xml:space="preserve">The PBAC noted that antiviral treatments are used in Australian practice, either prophylactically (preventative treatment) or as pre-emptive therapy (PET, treatment after detection of CMV), and their use would likely reduced with the availability of letermovir. </w:t>
            </w:r>
            <w:r w:rsidR="003D4453" w:rsidRPr="00D7066D">
              <w:rPr>
                <w:rFonts w:ascii="Arial" w:hAnsi="Arial" w:cs="Arial"/>
                <w:color w:val="000000"/>
              </w:rPr>
              <w:t>The</w:t>
            </w:r>
            <w:r w:rsidRPr="00D7066D">
              <w:rPr>
                <w:rFonts w:ascii="Arial" w:hAnsi="Arial" w:cs="Arial"/>
                <w:color w:val="000000"/>
              </w:rPr>
              <w:t xml:space="preserve"> PBAC considered that, in addition to placebo</w:t>
            </w:r>
            <w:r w:rsidR="0045730F" w:rsidRPr="00D7066D">
              <w:rPr>
                <w:rFonts w:ascii="Arial" w:hAnsi="Arial" w:cs="Arial"/>
                <w:color w:val="000000"/>
              </w:rPr>
              <w:t xml:space="preserve"> (the submission’s comparator)</w:t>
            </w:r>
            <w:r w:rsidRPr="00D7066D">
              <w:rPr>
                <w:rFonts w:ascii="Arial" w:hAnsi="Arial" w:cs="Arial"/>
                <w:color w:val="000000"/>
              </w:rPr>
              <w:t>, other antiviral treatments would be a</w:t>
            </w:r>
            <w:r w:rsidR="0045730F" w:rsidRPr="00D7066D">
              <w:rPr>
                <w:rFonts w:ascii="Arial" w:hAnsi="Arial" w:cs="Arial"/>
                <w:color w:val="000000"/>
              </w:rPr>
              <w:t xml:space="preserve">n informative comparator. </w:t>
            </w:r>
          </w:p>
          <w:p w:rsidR="007E4034" w:rsidRPr="00D7066D" w:rsidRDefault="007E4034" w:rsidP="00665B18">
            <w:pPr>
              <w:rPr>
                <w:rFonts w:ascii="Arial" w:hAnsi="Arial" w:cs="Arial"/>
                <w:color w:val="000000"/>
              </w:rPr>
            </w:pPr>
          </w:p>
          <w:p w:rsidR="001D11B2" w:rsidRPr="00D7066D" w:rsidRDefault="00E459EF" w:rsidP="003D4453">
            <w:pPr>
              <w:rPr>
                <w:rFonts w:ascii="Arial" w:hAnsi="Arial" w:cs="Arial"/>
                <w:color w:val="000000"/>
              </w:rPr>
            </w:pPr>
            <w:r w:rsidRPr="00D7066D">
              <w:rPr>
                <w:rFonts w:ascii="Arial" w:hAnsi="Arial" w:cs="Arial"/>
                <w:color w:val="000000"/>
              </w:rPr>
              <w:t>The PBAC considered that letermovir treatment reduces the use of PET</w:t>
            </w:r>
            <w:r w:rsidR="001D11B2" w:rsidRPr="00D7066D">
              <w:rPr>
                <w:rFonts w:ascii="Arial" w:hAnsi="Arial" w:cs="Arial"/>
                <w:color w:val="000000"/>
              </w:rPr>
              <w:t>,</w:t>
            </w:r>
            <w:r w:rsidRPr="00D7066D">
              <w:rPr>
                <w:rFonts w:ascii="Arial" w:hAnsi="Arial" w:cs="Arial"/>
                <w:color w:val="000000"/>
              </w:rPr>
              <w:t xml:space="preserve"> but</w:t>
            </w:r>
            <w:r w:rsidR="001D11B2" w:rsidRPr="00D7066D">
              <w:rPr>
                <w:rFonts w:ascii="Arial" w:hAnsi="Arial" w:cs="Arial"/>
                <w:color w:val="000000"/>
              </w:rPr>
              <w:t xml:space="preserve"> that</w:t>
            </w:r>
            <w:r w:rsidRPr="00D7066D">
              <w:rPr>
                <w:rFonts w:ascii="Arial" w:hAnsi="Arial" w:cs="Arial"/>
                <w:color w:val="000000"/>
              </w:rPr>
              <w:t xml:space="preserve"> a difference in CMV disease and associated sequalae, including </w:t>
            </w:r>
            <w:r w:rsidR="007A359E" w:rsidRPr="00D7066D">
              <w:rPr>
                <w:rFonts w:ascii="Arial" w:hAnsi="Arial" w:cs="Arial"/>
                <w:color w:val="000000"/>
              </w:rPr>
              <w:t>graft vs host disease (</w:t>
            </w:r>
            <w:r w:rsidRPr="00D7066D">
              <w:rPr>
                <w:rFonts w:ascii="Arial" w:hAnsi="Arial" w:cs="Arial"/>
                <w:color w:val="000000"/>
              </w:rPr>
              <w:t>GVHD</w:t>
            </w:r>
            <w:r w:rsidR="007A359E" w:rsidRPr="00D7066D">
              <w:rPr>
                <w:rFonts w:ascii="Arial" w:hAnsi="Arial" w:cs="Arial"/>
                <w:color w:val="000000"/>
              </w:rPr>
              <w:t>)</w:t>
            </w:r>
            <w:r w:rsidRPr="00D7066D">
              <w:rPr>
                <w:rFonts w:ascii="Arial" w:hAnsi="Arial" w:cs="Arial"/>
                <w:color w:val="000000"/>
              </w:rPr>
              <w:t xml:space="preserve"> and all-cause mortality, had not been demonstrated. The PBAC considered that the economic model should be based on the health benefits as demonstrated in the trial rather than trial outcomes for which there was little or no difference between the letermovir and placebo treatment groups.</w:t>
            </w:r>
          </w:p>
        </w:tc>
      </w:tr>
      <w:tr w:rsidR="003052B0" w:rsidRPr="00D7066D" w:rsidTr="00D7066D">
        <w:trPr>
          <w:trHeight w:val="465"/>
        </w:trPr>
        <w:tc>
          <w:tcPr>
            <w:tcW w:w="2694" w:type="dxa"/>
            <w:vMerge/>
            <w:tcBorders>
              <w:bottom w:val="single" w:sz="4" w:space="0" w:color="auto"/>
            </w:tcBorders>
            <w:tcMar>
              <w:top w:w="28" w:type="dxa"/>
              <w:bottom w:w="28" w:type="dxa"/>
            </w:tcMar>
          </w:tcPr>
          <w:p w:rsidR="003052B0" w:rsidRPr="00D7066D" w:rsidRDefault="003052B0" w:rsidP="00665B18">
            <w:pPr>
              <w:rPr>
                <w:rFonts w:ascii="Arial" w:hAnsi="Arial" w:cs="Arial"/>
                <w:color w:val="000000"/>
              </w:rPr>
            </w:pPr>
          </w:p>
        </w:tc>
        <w:tc>
          <w:tcPr>
            <w:tcW w:w="2409" w:type="dxa"/>
            <w:vMerge/>
            <w:tcBorders>
              <w:bottom w:val="single" w:sz="4" w:space="0" w:color="auto"/>
            </w:tcBorders>
          </w:tcPr>
          <w:p w:rsidR="003052B0" w:rsidRPr="00D7066D" w:rsidRDefault="003052B0" w:rsidP="00665B18">
            <w:pPr>
              <w:rPr>
                <w:rFonts w:ascii="Arial" w:hAnsi="Arial" w:cs="Arial"/>
                <w:color w:val="000000"/>
              </w:rPr>
            </w:pPr>
          </w:p>
        </w:tc>
        <w:tc>
          <w:tcPr>
            <w:tcW w:w="3261" w:type="dxa"/>
            <w:tcBorders>
              <w:bottom w:val="single" w:sz="4" w:space="0" w:color="auto"/>
            </w:tcBorders>
            <w:shd w:val="clear" w:color="auto" w:fill="auto"/>
            <w:tcMar>
              <w:top w:w="28" w:type="dxa"/>
              <w:bottom w:w="28" w:type="dxa"/>
            </w:tcMar>
          </w:tcPr>
          <w:p w:rsidR="003052B0" w:rsidRPr="00D7066D" w:rsidRDefault="003052B0" w:rsidP="00665B18">
            <w:pPr>
              <w:rPr>
                <w:rFonts w:ascii="Arial" w:hAnsi="Arial" w:cs="Arial"/>
              </w:rPr>
            </w:pPr>
            <w:r w:rsidRPr="00D7066D">
              <w:rPr>
                <w:rFonts w:ascii="Arial" w:hAnsi="Arial" w:cs="Arial"/>
              </w:rPr>
              <w:t>Sponsor Comment:</w:t>
            </w:r>
          </w:p>
        </w:tc>
        <w:tc>
          <w:tcPr>
            <w:tcW w:w="6947" w:type="dxa"/>
            <w:tcBorders>
              <w:bottom w:val="single" w:sz="4" w:space="0" w:color="auto"/>
            </w:tcBorders>
            <w:shd w:val="clear" w:color="auto" w:fill="auto"/>
          </w:tcPr>
          <w:p w:rsidR="003052B0" w:rsidRPr="00D7066D" w:rsidRDefault="00D7066D" w:rsidP="00665B18">
            <w:pPr>
              <w:pStyle w:val="ListParagraph"/>
              <w:ind w:left="0"/>
              <w:jc w:val="both"/>
              <w:rPr>
                <w:rFonts w:ascii="Arial" w:hAnsi="Arial" w:cs="Arial"/>
                <w:iCs/>
                <w:sz w:val="20"/>
                <w:szCs w:val="20"/>
              </w:rPr>
            </w:pPr>
            <w:r w:rsidRPr="00D7066D">
              <w:rPr>
                <w:rFonts w:ascii="Arial" w:hAnsi="Arial" w:cs="Arial"/>
                <w:iCs/>
                <w:sz w:val="20"/>
                <w:szCs w:val="20"/>
              </w:rPr>
              <w:t>The sponsor is disappointed with the PBAC outcome and is committed to working with the government to ensure PREVYMIS is made available as soon as possible to all patients undergoing allogeneic bone marrow transplants who are at risk of CMV reactivation and its associated poor outcomes.</w:t>
            </w:r>
          </w:p>
        </w:tc>
      </w:tr>
      <w:tr w:rsidR="003052B0" w:rsidRPr="00D7066D" w:rsidTr="002153C8">
        <w:trPr>
          <w:trHeight w:val="2402"/>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lastRenderedPageBreak/>
              <w:t>NIVOLUMAB</w:t>
            </w:r>
            <w:r w:rsidRPr="00D7066D">
              <w:rPr>
                <w:rFonts w:ascii="Arial" w:hAnsi="Arial" w:cs="Arial"/>
                <w:color w:val="000000"/>
              </w:rPr>
              <w:br/>
            </w:r>
            <w:r w:rsidRPr="00D7066D">
              <w:rPr>
                <w:rFonts w:ascii="Arial" w:hAnsi="Arial" w:cs="Arial"/>
                <w:color w:val="000000"/>
              </w:rPr>
              <w:br/>
              <w:t>Injection concentrate for I.V. infusion 40 mg in 4 mL</w:t>
            </w:r>
            <w:r w:rsidRPr="00D7066D">
              <w:rPr>
                <w:rFonts w:ascii="Arial" w:hAnsi="Arial" w:cs="Arial"/>
                <w:color w:val="000000"/>
              </w:rPr>
              <w:br/>
              <w:t>Injection concentrate for I.V. infusion 100 mg in 10 mL</w:t>
            </w:r>
            <w:r w:rsidRPr="00D7066D">
              <w:rPr>
                <w:rFonts w:ascii="Arial" w:hAnsi="Arial" w:cs="Arial"/>
                <w:color w:val="000000"/>
              </w:rPr>
              <w:br/>
            </w:r>
            <w:r w:rsidRPr="00D7066D">
              <w:rPr>
                <w:rFonts w:ascii="Arial" w:hAnsi="Arial" w:cs="Arial"/>
                <w:color w:val="000000"/>
              </w:rPr>
              <w:br/>
              <w:t xml:space="preserve">Opdivo® </w:t>
            </w:r>
            <w:r w:rsidRPr="00D7066D">
              <w:rPr>
                <w:rFonts w:ascii="Arial" w:hAnsi="Arial" w:cs="Arial"/>
                <w:color w:val="000000"/>
              </w:rPr>
              <w:br/>
            </w:r>
            <w:r w:rsidRPr="00D7066D">
              <w:rPr>
                <w:rFonts w:ascii="Arial" w:hAnsi="Arial" w:cs="Arial"/>
                <w:color w:val="000000"/>
              </w:rPr>
              <w:br/>
              <w:t>Bristol-Myers Squibb Australia Pty Ltd</w:t>
            </w:r>
          </w:p>
          <w:p w:rsidR="003052B0" w:rsidRPr="00D7066D" w:rsidRDefault="003052B0" w:rsidP="00665B18">
            <w:pPr>
              <w:rPr>
                <w:rFonts w:ascii="Arial" w:hAnsi="Arial" w:cs="Arial"/>
                <w:color w:val="000000"/>
              </w:rPr>
            </w:pPr>
          </w:p>
          <w:p w:rsidR="003052B0" w:rsidRPr="00D7066D" w:rsidRDefault="003052B0" w:rsidP="00665B18">
            <w:pPr>
              <w:rPr>
                <w:rFonts w:ascii="Arial" w:hAnsi="Arial" w:cs="Arial"/>
                <w:color w:val="000000"/>
              </w:rPr>
            </w:pPr>
            <w:r w:rsidRPr="00D7066D">
              <w:rPr>
                <w:rFonts w:ascii="Arial" w:hAnsi="Arial" w:cs="Arial"/>
                <w:color w:val="000000"/>
              </w:rPr>
              <w:t>Change to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D7066D" w:rsidRDefault="003052B0" w:rsidP="00216756">
            <w:pPr>
              <w:rPr>
                <w:rFonts w:ascii="Arial" w:hAnsi="Arial" w:cs="Arial"/>
                <w:color w:val="000000"/>
              </w:rPr>
            </w:pPr>
            <w:r w:rsidRPr="00D7066D">
              <w:rPr>
                <w:rFonts w:ascii="Arial" w:hAnsi="Arial" w:cs="Arial"/>
                <w:color w:val="000000"/>
              </w:rPr>
              <w:t>Malignant melanoma</w:t>
            </w:r>
          </w:p>
        </w:tc>
        <w:tc>
          <w:tcPr>
            <w:tcW w:w="3261" w:type="dxa"/>
            <w:tcMar>
              <w:top w:w="28" w:type="dxa"/>
              <w:bottom w:w="28" w:type="dxa"/>
            </w:tcMar>
          </w:tcPr>
          <w:p w:rsidR="003052B0" w:rsidRPr="00D7066D" w:rsidRDefault="003052B0" w:rsidP="00216756">
            <w:pPr>
              <w:rPr>
                <w:rFonts w:ascii="Arial" w:hAnsi="Arial" w:cs="Arial"/>
                <w:color w:val="000000"/>
              </w:rPr>
            </w:pPr>
            <w:r w:rsidRPr="00D7066D">
              <w:rPr>
                <w:rFonts w:ascii="Arial" w:hAnsi="Arial" w:cs="Arial"/>
                <w:color w:val="000000"/>
              </w:rPr>
              <w:t>To request a Section 100 (Efficient Funding of Chemotherapy) Authority Required (STREAMLINED) listing for the adjuvant treatment of patients who have had completely surgically resected Stage III or Stage IV malignant melanoma.</w:t>
            </w:r>
          </w:p>
        </w:tc>
        <w:tc>
          <w:tcPr>
            <w:tcW w:w="6947" w:type="dxa"/>
            <w:shd w:val="clear" w:color="auto" w:fill="auto"/>
          </w:tcPr>
          <w:p w:rsidR="003052B0" w:rsidRPr="00D7066D" w:rsidRDefault="00540B73" w:rsidP="007A359E">
            <w:pPr>
              <w:rPr>
                <w:rFonts w:ascii="Arial" w:hAnsi="Arial" w:cs="Arial"/>
              </w:rPr>
            </w:pPr>
            <w:r w:rsidRPr="00D7066D">
              <w:rPr>
                <w:rFonts w:ascii="Arial" w:hAnsi="Arial" w:cs="Arial"/>
              </w:rPr>
              <w:t>The PBAC did not recommend n</w:t>
            </w:r>
            <w:r w:rsidR="009732EA" w:rsidRPr="00D7066D">
              <w:rPr>
                <w:rFonts w:ascii="Arial" w:hAnsi="Arial" w:cs="Arial"/>
              </w:rPr>
              <w:t xml:space="preserve">ivolumab for use in patients with resected Stage III and Stage IV melanoma. </w:t>
            </w:r>
            <w:r w:rsidR="00E044A6" w:rsidRPr="00D7066D">
              <w:rPr>
                <w:rFonts w:ascii="Arial" w:hAnsi="Arial" w:cs="Arial"/>
              </w:rPr>
              <w:t>The PBAC acknowledged that there was a high unmet clinical need for effective therapies to reduce the risk of recurrence of resected stage III and IV melanoma, and considered that in some circumstances recurrence was less likely for patients treated with nivolumab compared to placebo. However, t</w:t>
            </w:r>
            <w:r w:rsidR="009732EA" w:rsidRPr="00D7066D">
              <w:rPr>
                <w:rFonts w:ascii="Arial" w:hAnsi="Arial" w:cs="Arial"/>
              </w:rPr>
              <w:t xml:space="preserve">he PBAC considered that the data presented </w:t>
            </w:r>
            <w:r w:rsidR="006C6F5E" w:rsidRPr="00D7066D">
              <w:rPr>
                <w:rFonts w:ascii="Arial" w:hAnsi="Arial" w:cs="Arial"/>
              </w:rPr>
              <w:t xml:space="preserve">in the submission </w:t>
            </w:r>
            <w:r w:rsidR="009732EA" w:rsidRPr="00D7066D">
              <w:rPr>
                <w:rFonts w:ascii="Arial" w:hAnsi="Arial" w:cs="Arial"/>
              </w:rPr>
              <w:t>were immature and the effect on overall survival could not be determined. As a result, the incremental cost-effectiveness ratio was highly uncertain, particularly in the context of the high opportunity cost based on the submission’s estimated expenditure.</w:t>
            </w:r>
          </w:p>
        </w:tc>
      </w:tr>
      <w:tr w:rsidR="003052B0" w:rsidRPr="00D7066D" w:rsidTr="00F634C5">
        <w:trPr>
          <w:trHeight w:val="345"/>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rPr>
                <w:rFonts w:ascii="Arial" w:hAnsi="Arial" w:cs="Arial"/>
                <w:color w:val="000000"/>
              </w:rPr>
            </w:pPr>
          </w:p>
        </w:tc>
        <w:tc>
          <w:tcPr>
            <w:tcW w:w="3261" w:type="dxa"/>
            <w:shd w:val="clear" w:color="auto" w:fill="auto"/>
            <w:tcMar>
              <w:top w:w="28" w:type="dxa"/>
              <w:bottom w:w="28" w:type="dxa"/>
            </w:tcMar>
          </w:tcPr>
          <w:p w:rsidR="003052B0" w:rsidRPr="00F634C5" w:rsidRDefault="003052B0" w:rsidP="00665B18">
            <w:pPr>
              <w:rPr>
                <w:rFonts w:ascii="Arial" w:hAnsi="Arial" w:cs="Arial"/>
              </w:rPr>
            </w:pPr>
            <w:r w:rsidRPr="00F634C5">
              <w:rPr>
                <w:rFonts w:ascii="Arial" w:hAnsi="Arial" w:cs="Arial"/>
                <w:snapToGrid w:val="0"/>
                <w:lang w:eastAsia="en-US"/>
              </w:rPr>
              <w:t>Sponsor Comment:</w:t>
            </w:r>
          </w:p>
        </w:tc>
        <w:tc>
          <w:tcPr>
            <w:tcW w:w="6947" w:type="dxa"/>
            <w:shd w:val="clear" w:color="auto" w:fill="auto"/>
          </w:tcPr>
          <w:p w:rsidR="003052B0" w:rsidRPr="00F634C5" w:rsidRDefault="00F634C5" w:rsidP="00665B18">
            <w:pPr>
              <w:rPr>
                <w:rFonts w:ascii="Arial" w:hAnsi="Arial" w:cs="Arial"/>
                <w:iCs/>
              </w:rPr>
            </w:pPr>
            <w:r w:rsidRPr="00F634C5">
              <w:rPr>
                <w:rFonts w:ascii="Arial" w:hAnsi="Arial" w:cs="Arial"/>
                <w:iCs/>
              </w:rPr>
              <w:t>The Sponsor looks forward to continuing to work with the Government to provide access to this treatment option.</w:t>
            </w:r>
          </w:p>
        </w:tc>
      </w:tr>
      <w:tr w:rsidR="003052B0" w:rsidRPr="00D7066D" w:rsidTr="002153C8">
        <w:trPr>
          <w:cantSplit/>
          <w:trHeight w:val="545"/>
        </w:trPr>
        <w:tc>
          <w:tcPr>
            <w:tcW w:w="2694" w:type="dxa"/>
            <w:vMerge w:val="restart"/>
            <w:tcMar>
              <w:top w:w="28" w:type="dxa"/>
              <w:bottom w:w="28" w:type="dxa"/>
            </w:tcMar>
          </w:tcPr>
          <w:p w:rsidR="00F75190" w:rsidRDefault="003052B0" w:rsidP="00A33634">
            <w:pPr>
              <w:rPr>
                <w:rFonts w:ascii="Arial" w:hAnsi="Arial" w:cs="Arial"/>
                <w:color w:val="000000"/>
              </w:rPr>
            </w:pPr>
            <w:r w:rsidRPr="00D7066D">
              <w:rPr>
                <w:rFonts w:ascii="Arial" w:hAnsi="Arial" w:cs="Arial"/>
                <w:color w:val="000000"/>
              </w:rPr>
              <w:lastRenderedPageBreak/>
              <w:t>NIVOLUMAB and IPILIMUMAB</w:t>
            </w:r>
            <w:r w:rsidRPr="00D7066D">
              <w:rPr>
                <w:rFonts w:ascii="Arial" w:hAnsi="Arial" w:cs="Arial"/>
                <w:color w:val="000000"/>
              </w:rPr>
              <w:br/>
            </w:r>
            <w:r w:rsidRPr="00D7066D">
              <w:rPr>
                <w:rFonts w:ascii="Arial" w:hAnsi="Arial" w:cs="Arial"/>
                <w:color w:val="000000"/>
              </w:rPr>
              <w:br/>
              <w:t xml:space="preserve">nivolumab: </w:t>
            </w:r>
            <w:r w:rsidRPr="00D7066D">
              <w:rPr>
                <w:rFonts w:ascii="Arial" w:hAnsi="Arial" w:cs="Arial"/>
                <w:color w:val="000000"/>
              </w:rPr>
              <w:br/>
              <w:t xml:space="preserve">Injection concentrate for I.V. infusion 40 mg in 4 mL </w:t>
            </w:r>
            <w:r w:rsidRPr="00D7066D">
              <w:rPr>
                <w:rFonts w:ascii="Arial" w:hAnsi="Arial" w:cs="Arial"/>
                <w:color w:val="000000"/>
              </w:rPr>
              <w:br/>
              <w:t>Injection concentrate for I.V. infusion 100 mg in 10 mL</w:t>
            </w:r>
            <w:r w:rsidRPr="00D7066D">
              <w:rPr>
                <w:rFonts w:ascii="Arial" w:hAnsi="Arial" w:cs="Arial"/>
                <w:color w:val="000000"/>
              </w:rPr>
              <w:br/>
              <w:t xml:space="preserve">ipilimumab: </w:t>
            </w:r>
            <w:r w:rsidRPr="00D7066D">
              <w:rPr>
                <w:rFonts w:ascii="Arial" w:hAnsi="Arial" w:cs="Arial"/>
                <w:color w:val="000000"/>
              </w:rPr>
              <w:br/>
              <w:t xml:space="preserve">Injection concentrate for I.V. infusion 50 mg in 10 mL </w:t>
            </w:r>
            <w:r w:rsidRPr="00D7066D">
              <w:rPr>
                <w:rFonts w:ascii="Arial" w:hAnsi="Arial" w:cs="Arial"/>
                <w:color w:val="000000"/>
              </w:rPr>
              <w:br/>
              <w:t xml:space="preserve">Injection concentrate for I.V. infusion 200 mg in 40 mL </w:t>
            </w:r>
          </w:p>
          <w:p w:rsidR="003052B0" w:rsidRPr="00D7066D" w:rsidRDefault="003052B0" w:rsidP="00A33634">
            <w:pPr>
              <w:rPr>
                <w:rFonts w:ascii="Arial" w:hAnsi="Arial" w:cs="Arial"/>
                <w:color w:val="000000"/>
              </w:rPr>
            </w:pPr>
            <w:r w:rsidRPr="00D7066D">
              <w:rPr>
                <w:rFonts w:ascii="Arial" w:hAnsi="Arial" w:cs="Arial"/>
                <w:color w:val="000000"/>
              </w:rPr>
              <w:br/>
              <w:t>Opdivo® and Yervoy®</w:t>
            </w:r>
            <w:r w:rsidRPr="00D7066D">
              <w:rPr>
                <w:rFonts w:ascii="Arial" w:hAnsi="Arial" w:cs="Arial"/>
                <w:color w:val="000000"/>
              </w:rPr>
              <w:br/>
            </w:r>
            <w:r w:rsidRPr="00D7066D">
              <w:rPr>
                <w:rFonts w:ascii="Arial" w:hAnsi="Arial" w:cs="Arial"/>
                <w:color w:val="000000"/>
              </w:rPr>
              <w:br/>
              <w:t>Bristol-Myers Squibb Australia Pty Ltd</w:t>
            </w:r>
          </w:p>
          <w:p w:rsidR="003052B0" w:rsidRPr="00D7066D" w:rsidRDefault="003052B0" w:rsidP="00A33634">
            <w:pPr>
              <w:rPr>
                <w:rFonts w:ascii="Arial" w:hAnsi="Arial" w:cs="Arial"/>
                <w:color w:val="000000"/>
              </w:rPr>
            </w:pPr>
          </w:p>
          <w:p w:rsidR="003052B0" w:rsidRPr="00D7066D" w:rsidRDefault="003052B0" w:rsidP="00A33634">
            <w:pPr>
              <w:rPr>
                <w:rFonts w:ascii="Arial" w:hAnsi="Arial" w:cs="Arial"/>
                <w:color w:val="000000"/>
              </w:rPr>
            </w:pPr>
            <w:r w:rsidRPr="00D7066D">
              <w:rPr>
                <w:rFonts w:ascii="Arial" w:hAnsi="Arial" w:cs="Arial"/>
                <w:color w:val="000000"/>
              </w:rPr>
              <w:t>New listing</w:t>
            </w:r>
          </w:p>
          <w:p w:rsidR="003052B0" w:rsidRPr="00D7066D" w:rsidRDefault="003052B0" w:rsidP="00A33634">
            <w:pPr>
              <w:rPr>
                <w:rFonts w:ascii="Arial" w:hAnsi="Arial" w:cs="Arial"/>
                <w:color w:val="000000"/>
              </w:rPr>
            </w:pPr>
            <w:r w:rsidRPr="00D7066D">
              <w:rPr>
                <w:rFonts w:ascii="Arial" w:hAnsi="Arial" w:cs="Arial"/>
                <w:color w:val="000000"/>
              </w:rPr>
              <w:t>(Major Submission)</w:t>
            </w:r>
          </w:p>
          <w:p w:rsidR="003052B0" w:rsidRPr="00D7066D" w:rsidRDefault="003052B0" w:rsidP="00665B18">
            <w:pPr>
              <w:pageBreakBefore/>
              <w:widowControl w:val="0"/>
              <w:rPr>
                <w:rFonts w:ascii="Arial" w:hAnsi="Arial" w:cs="Arial"/>
                <w:color w:val="000000"/>
              </w:rPr>
            </w:pPr>
          </w:p>
        </w:tc>
        <w:tc>
          <w:tcPr>
            <w:tcW w:w="2409" w:type="dxa"/>
            <w:vMerge w:val="restart"/>
          </w:tcPr>
          <w:p w:rsidR="003052B0" w:rsidRPr="00D7066D" w:rsidRDefault="003052B0" w:rsidP="00A33634">
            <w:pPr>
              <w:rPr>
                <w:rFonts w:ascii="Arial" w:hAnsi="Arial" w:cs="Arial"/>
                <w:color w:val="000000"/>
              </w:rPr>
            </w:pPr>
            <w:r w:rsidRPr="00D7066D">
              <w:rPr>
                <w:rFonts w:ascii="Arial" w:hAnsi="Arial" w:cs="Arial"/>
                <w:color w:val="000000"/>
              </w:rPr>
              <w:t>Renal cell carcinoma (RCC)</w:t>
            </w:r>
          </w:p>
          <w:p w:rsidR="003052B0" w:rsidRPr="00D7066D" w:rsidRDefault="003052B0" w:rsidP="00665B18">
            <w:pPr>
              <w:pageBreakBefore/>
              <w:widowControl w:val="0"/>
              <w:rPr>
                <w:rFonts w:ascii="Arial" w:hAnsi="Arial" w:cs="Arial"/>
                <w:color w:val="000000"/>
              </w:rPr>
            </w:pPr>
          </w:p>
        </w:tc>
        <w:tc>
          <w:tcPr>
            <w:tcW w:w="3261" w:type="dxa"/>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 xml:space="preserve">To request a Section 100 (Efficient Funding of Chemotherapy) Authority Required (STEAMLINED) listing for the concurrent use of nivolumab and ipilimumab for the treatment of Stage IV clear cell variant renal cell carcinoma (RCC). </w:t>
            </w:r>
          </w:p>
        </w:tc>
        <w:tc>
          <w:tcPr>
            <w:tcW w:w="6947" w:type="dxa"/>
            <w:shd w:val="clear" w:color="auto" w:fill="auto"/>
          </w:tcPr>
          <w:p w:rsidR="00E92745" w:rsidRDefault="003052B0" w:rsidP="00836D0F">
            <w:pPr>
              <w:rPr>
                <w:rFonts w:ascii="Arial" w:hAnsi="Arial" w:cs="Arial"/>
                <w:color w:val="000000"/>
              </w:rPr>
            </w:pPr>
            <w:r w:rsidRPr="00D7066D">
              <w:rPr>
                <w:rFonts w:ascii="Arial" w:hAnsi="Arial" w:cs="Arial"/>
                <w:color w:val="000000"/>
              </w:rPr>
              <w:t xml:space="preserve">The PBAC </w:t>
            </w:r>
            <w:r w:rsidR="0045730F" w:rsidRPr="00D7066D">
              <w:rPr>
                <w:rFonts w:ascii="Arial" w:hAnsi="Arial" w:cs="Arial"/>
                <w:color w:val="000000"/>
              </w:rPr>
              <w:t xml:space="preserve">did </w:t>
            </w:r>
            <w:r w:rsidRPr="00D7066D">
              <w:rPr>
                <w:rFonts w:ascii="Arial" w:hAnsi="Arial" w:cs="Arial"/>
                <w:color w:val="000000"/>
              </w:rPr>
              <w:t>not recommend nivolumab in combination with ipilimumab (NIVO+IPI) for the first-line treatment of Stage IV clear cell variant renal cell carcinoma (RCC) in patients at intermediate to poor prognostic risk. The PBAC acknowledged the high clinical need for effective first-line therapies, especially in patients who are categorised as being at poor prognostic risk. However, the PBAC considered that the incremental survival and quality of life benefits were overestimated in the economic model presented</w:t>
            </w:r>
            <w:r w:rsidR="00E92745" w:rsidRPr="00D7066D">
              <w:rPr>
                <w:rFonts w:ascii="Arial" w:hAnsi="Arial" w:cs="Arial"/>
                <w:color w:val="000000"/>
              </w:rPr>
              <w:t xml:space="preserve"> in the submission</w:t>
            </w:r>
            <w:r w:rsidRPr="00D7066D">
              <w:rPr>
                <w:rFonts w:ascii="Arial" w:hAnsi="Arial" w:cs="Arial"/>
                <w:color w:val="000000"/>
              </w:rPr>
              <w:t>, and that the incremental cost-effectiveness ratio (ICER) was uncertain and unacceptably high. The PBAC considered that a price reduction would be required to bring the estimated I</w:t>
            </w:r>
            <w:r w:rsidR="00E92745" w:rsidRPr="00D7066D">
              <w:rPr>
                <w:rFonts w:ascii="Arial" w:hAnsi="Arial" w:cs="Arial"/>
                <w:color w:val="000000"/>
              </w:rPr>
              <w:t xml:space="preserve">CER into an acceptable range. </w:t>
            </w:r>
          </w:p>
          <w:p w:rsidR="002153C8" w:rsidRPr="00D7066D" w:rsidRDefault="002153C8" w:rsidP="00836D0F">
            <w:pPr>
              <w:rPr>
                <w:rFonts w:ascii="Arial" w:hAnsi="Arial" w:cs="Arial"/>
                <w:color w:val="000000"/>
              </w:rPr>
            </w:pPr>
          </w:p>
          <w:p w:rsidR="00E92745" w:rsidRDefault="003052B0" w:rsidP="00836D0F">
            <w:pPr>
              <w:rPr>
                <w:rFonts w:ascii="Arial" w:hAnsi="Arial" w:cs="Arial"/>
                <w:color w:val="000000"/>
              </w:rPr>
            </w:pPr>
            <w:r w:rsidRPr="00D7066D">
              <w:rPr>
                <w:rFonts w:ascii="Arial" w:hAnsi="Arial" w:cs="Arial"/>
                <w:color w:val="000000"/>
              </w:rPr>
              <w:t xml:space="preserve">The PBAC noted that NIVO+IPI was associated with a </w:t>
            </w:r>
            <w:r w:rsidR="001D11B2" w:rsidRPr="00D7066D">
              <w:rPr>
                <w:rFonts w:ascii="Arial" w:hAnsi="Arial" w:cs="Arial"/>
                <w:color w:val="000000"/>
              </w:rPr>
              <w:t>slight</w:t>
            </w:r>
            <w:r w:rsidRPr="00D7066D">
              <w:rPr>
                <w:rFonts w:ascii="Arial" w:hAnsi="Arial" w:cs="Arial"/>
                <w:color w:val="000000"/>
              </w:rPr>
              <w:t xml:space="preserve"> improvement in overall survival at 18 months versus sunitinib. </w:t>
            </w:r>
            <w:r w:rsidR="00DE394A" w:rsidRPr="00D7066D">
              <w:rPr>
                <w:rFonts w:ascii="Arial" w:hAnsi="Arial" w:cs="Arial"/>
                <w:color w:val="000000"/>
              </w:rPr>
              <w:t>However, the PBAC considered that the magnitude of the long-term treatment effect was uncertain and likely overestimated because the trial</w:t>
            </w:r>
            <w:r w:rsidR="00DE394A">
              <w:rPr>
                <w:rFonts w:ascii="Arial" w:hAnsi="Arial" w:cs="Arial"/>
                <w:color w:val="000000"/>
              </w:rPr>
              <w:t xml:space="preserve"> data were immature and the </w:t>
            </w:r>
            <w:r w:rsidR="00DE394A" w:rsidRPr="00D7066D">
              <w:rPr>
                <w:rFonts w:ascii="Arial" w:hAnsi="Arial" w:cs="Arial"/>
                <w:color w:val="000000"/>
              </w:rPr>
              <w:t>trial population may have been healthier than the likely PBS population.</w:t>
            </w:r>
          </w:p>
          <w:p w:rsidR="002153C8" w:rsidRPr="00D7066D" w:rsidRDefault="002153C8" w:rsidP="00836D0F">
            <w:pPr>
              <w:rPr>
                <w:rFonts w:ascii="Arial" w:hAnsi="Arial" w:cs="Arial"/>
                <w:color w:val="000000"/>
              </w:rPr>
            </w:pPr>
          </w:p>
          <w:p w:rsidR="001D11B2" w:rsidRPr="00D7066D" w:rsidRDefault="003052B0" w:rsidP="00E044A6">
            <w:pPr>
              <w:rPr>
                <w:rFonts w:ascii="Arial" w:hAnsi="Arial" w:cs="Arial"/>
                <w:color w:val="000000"/>
              </w:rPr>
            </w:pPr>
            <w:r w:rsidRPr="00D7066D">
              <w:rPr>
                <w:rFonts w:ascii="Arial" w:hAnsi="Arial" w:cs="Arial"/>
                <w:color w:val="000000"/>
              </w:rPr>
              <w:t xml:space="preserve">The PBAC considered that NIVO+IPI was associated with inferior comparative safety versus sunitinib, because NIVO+IPI was associated with a higher rate of serious adverse events and adverse events </w:t>
            </w:r>
            <w:r w:rsidR="00E92745" w:rsidRPr="00D7066D">
              <w:rPr>
                <w:rFonts w:ascii="Arial" w:hAnsi="Arial" w:cs="Arial"/>
                <w:color w:val="000000"/>
              </w:rPr>
              <w:t xml:space="preserve">resulting in </w:t>
            </w:r>
            <w:r w:rsidRPr="00D7066D">
              <w:rPr>
                <w:rFonts w:ascii="Arial" w:hAnsi="Arial" w:cs="Arial"/>
                <w:color w:val="000000"/>
              </w:rPr>
              <w:t xml:space="preserve">treatment discontinuation. </w:t>
            </w:r>
          </w:p>
        </w:tc>
      </w:tr>
      <w:tr w:rsidR="003052B0" w:rsidRPr="00D7066D" w:rsidTr="00F634C5">
        <w:trPr>
          <w:trHeight w:val="328"/>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rPr>
                <w:rFonts w:ascii="Arial" w:hAnsi="Arial" w:cs="Arial"/>
                <w:color w:val="000000"/>
              </w:rPr>
            </w:pPr>
          </w:p>
        </w:tc>
        <w:tc>
          <w:tcPr>
            <w:tcW w:w="3261" w:type="dxa"/>
            <w:shd w:val="clear" w:color="auto" w:fill="auto"/>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snapToGrid w:val="0"/>
                <w:lang w:eastAsia="en-US"/>
              </w:rPr>
              <w:t>Sponsor Comment:</w:t>
            </w:r>
          </w:p>
        </w:tc>
        <w:tc>
          <w:tcPr>
            <w:tcW w:w="6947" w:type="dxa"/>
            <w:shd w:val="clear" w:color="auto" w:fill="auto"/>
          </w:tcPr>
          <w:p w:rsidR="003052B0" w:rsidRPr="00D7066D" w:rsidRDefault="00F634C5" w:rsidP="00665B18">
            <w:pPr>
              <w:pStyle w:val="ListParagraph"/>
              <w:ind w:left="0"/>
              <w:jc w:val="both"/>
              <w:rPr>
                <w:rFonts w:ascii="Arial" w:hAnsi="Arial" w:cs="Arial"/>
                <w:iCs/>
                <w:sz w:val="20"/>
                <w:szCs w:val="20"/>
              </w:rPr>
            </w:pPr>
            <w:r w:rsidRPr="00F634C5">
              <w:rPr>
                <w:rFonts w:ascii="Arial" w:hAnsi="Arial" w:cs="Arial"/>
                <w:iCs/>
                <w:sz w:val="20"/>
                <w:szCs w:val="20"/>
              </w:rPr>
              <w:t>The Sponsor looks forward to continuing to work with the Government to provide access to this treatment option.</w:t>
            </w:r>
          </w:p>
        </w:tc>
      </w:tr>
      <w:tr w:rsidR="003052B0" w:rsidRPr="00D7066D" w:rsidTr="002153C8">
        <w:trPr>
          <w:cantSplit/>
          <w:trHeight w:val="1438"/>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t>PEMBROLIZUMAB</w:t>
            </w:r>
            <w:r w:rsidRPr="00D7066D">
              <w:rPr>
                <w:rFonts w:ascii="Arial" w:hAnsi="Arial" w:cs="Arial"/>
                <w:color w:val="000000"/>
              </w:rPr>
              <w:br/>
            </w:r>
            <w:r w:rsidRPr="00D7066D">
              <w:rPr>
                <w:rFonts w:ascii="Arial" w:hAnsi="Arial" w:cs="Arial"/>
                <w:color w:val="000000"/>
              </w:rPr>
              <w:br/>
              <w:t>Solution concentrate for I.V. infusion 100 mg in 4 mL</w:t>
            </w:r>
            <w:r w:rsidRPr="00D7066D">
              <w:rPr>
                <w:rFonts w:ascii="Arial" w:hAnsi="Arial" w:cs="Arial"/>
                <w:color w:val="000000"/>
              </w:rPr>
              <w:br/>
            </w:r>
            <w:r w:rsidRPr="00D7066D">
              <w:rPr>
                <w:rFonts w:ascii="Arial" w:hAnsi="Arial" w:cs="Arial"/>
                <w:color w:val="000000"/>
              </w:rPr>
              <w:br/>
              <w:t>Keytruda®</w:t>
            </w:r>
            <w:r w:rsidRPr="00D7066D">
              <w:rPr>
                <w:rFonts w:ascii="Arial" w:hAnsi="Arial" w:cs="Arial"/>
                <w:color w:val="000000"/>
              </w:rPr>
              <w:br/>
            </w:r>
            <w:r w:rsidRPr="00D7066D">
              <w:rPr>
                <w:rFonts w:ascii="Arial" w:hAnsi="Arial" w:cs="Arial"/>
                <w:color w:val="000000"/>
              </w:rPr>
              <w:br/>
              <w:t>Merck Sharp &amp; Dohme (Australia) Pty Ltd</w:t>
            </w:r>
          </w:p>
          <w:p w:rsidR="003052B0" w:rsidRPr="00D7066D" w:rsidRDefault="003052B0" w:rsidP="00665B18">
            <w:pPr>
              <w:rPr>
                <w:rFonts w:ascii="Arial" w:hAnsi="Arial" w:cs="Arial"/>
                <w:color w:val="000000"/>
              </w:rPr>
            </w:pPr>
          </w:p>
          <w:p w:rsidR="003052B0" w:rsidRPr="00D7066D" w:rsidRDefault="003052B0" w:rsidP="00665B18">
            <w:pPr>
              <w:rPr>
                <w:rFonts w:ascii="Arial" w:hAnsi="Arial" w:cs="Arial"/>
                <w:color w:val="000000"/>
              </w:rPr>
            </w:pPr>
            <w:r w:rsidRPr="00D7066D">
              <w:rPr>
                <w:rFonts w:ascii="Arial" w:hAnsi="Arial" w:cs="Arial"/>
                <w:color w:val="000000"/>
              </w:rPr>
              <w:lastRenderedPageBreak/>
              <w:t>Change to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D7066D" w:rsidRDefault="003052B0" w:rsidP="00A33634">
            <w:pPr>
              <w:rPr>
                <w:rFonts w:ascii="Arial" w:hAnsi="Arial" w:cs="Arial"/>
                <w:color w:val="000000"/>
              </w:rPr>
            </w:pPr>
            <w:r w:rsidRPr="00D7066D">
              <w:rPr>
                <w:rFonts w:ascii="Arial" w:hAnsi="Arial" w:cs="Arial"/>
                <w:color w:val="000000"/>
              </w:rPr>
              <w:lastRenderedPageBreak/>
              <w:t>Squamous cell carcinoma for the head and neck (SCCHN)</w:t>
            </w:r>
          </w:p>
          <w:p w:rsidR="003052B0" w:rsidRPr="00D7066D" w:rsidRDefault="003052B0" w:rsidP="00665B18">
            <w:pPr>
              <w:rPr>
                <w:rFonts w:ascii="Arial" w:hAnsi="Arial" w:cs="Arial"/>
                <w:color w:val="000000"/>
              </w:rPr>
            </w:pPr>
          </w:p>
        </w:tc>
        <w:tc>
          <w:tcPr>
            <w:tcW w:w="3261" w:type="dxa"/>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color w:val="000000"/>
              </w:rPr>
              <w:t>To request a Section 100 (Efficient Funding of Chemotherapy) Authority Required (STREAMLINED) listing for the treatment of patients with recurrent or metastatic SCCHN who progress on or after platinum-based chemotherapy.</w:t>
            </w:r>
          </w:p>
        </w:tc>
        <w:tc>
          <w:tcPr>
            <w:tcW w:w="6947" w:type="dxa"/>
            <w:shd w:val="clear" w:color="auto" w:fill="auto"/>
          </w:tcPr>
          <w:p w:rsidR="003052B0" w:rsidRPr="00D7066D" w:rsidRDefault="003052B0" w:rsidP="00673046">
            <w:pPr>
              <w:rPr>
                <w:rFonts w:ascii="Arial" w:hAnsi="Arial" w:cs="Arial"/>
                <w:color w:val="000000"/>
              </w:rPr>
            </w:pPr>
            <w:r w:rsidRPr="00D7066D">
              <w:rPr>
                <w:rFonts w:ascii="Arial" w:hAnsi="Arial" w:cs="Arial"/>
                <w:color w:val="000000"/>
              </w:rPr>
              <w:t xml:space="preserve">The PBAC </w:t>
            </w:r>
            <w:r w:rsidR="0045730F" w:rsidRPr="00D7066D">
              <w:rPr>
                <w:rFonts w:ascii="Arial" w:hAnsi="Arial" w:cs="Arial"/>
                <w:color w:val="000000"/>
              </w:rPr>
              <w:t xml:space="preserve">did </w:t>
            </w:r>
            <w:r w:rsidR="00540B73" w:rsidRPr="00D7066D">
              <w:rPr>
                <w:rFonts w:ascii="Arial" w:hAnsi="Arial" w:cs="Arial"/>
                <w:color w:val="000000"/>
              </w:rPr>
              <w:t>not recommend</w:t>
            </w:r>
            <w:r w:rsidRPr="00D7066D">
              <w:rPr>
                <w:rFonts w:ascii="Arial" w:hAnsi="Arial" w:cs="Arial"/>
                <w:color w:val="000000"/>
              </w:rPr>
              <w:t xml:space="preserve"> pembrolizumab for the treatment of patients with locally advanced (Stage III) or metastatic (Stage IV) squamous cell carcinoma of the head and neck who have failed a platinum-containing regimen. The PBAC considered that the clinical need was low due to the availability of alternative treatments </w:t>
            </w:r>
            <w:r w:rsidR="00FF15AA" w:rsidRPr="00D7066D">
              <w:rPr>
                <w:rFonts w:ascii="Arial" w:hAnsi="Arial" w:cs="Arial"/>
                <w:color w:val="000000"/>
              </w:rPr>
              <w:t xml:space="preserve">on the PBS </w:t>
            </w:r>
            <w:r w:rsidRPr="00D7066D">
              <w:rPr>
                <w:rFonts w:ascii="Arial" w:hAnsi="Arial" w:cs="Arial"/>
                <w:color w:val="000000"/>
              </w:rPr>
              <w:t>and that the magnitude of clinical benefit was uncertain. In addition, the PBAC considered that the clinical evidence provided did not adequately support the claim of non-inferior efficacy to nivolumab</w:t>
            </w:r>
            <w:r w:rsidR="00472B24" w:rsidRPr="00D7066D">
              <w:rPr>
                <w:rFonts w:ascii="Arial" w:hAnsi="Arial" w:cs="Arial"/>
                <w:color w:val="000000"/>
              </w:rPr>
              <w:t>,</w:t>
            </w:r>
            <w:r w:rsidRPr="00D7066D">
              <w:rPr>
                <w:rFonts w:ascii="Arial" w:hAnsi="Arial" w:cs="Arial"/>
                <w:color w:val="000000"/>
              </w:rPr>
              <w:t xml:space="preserve"> the nominated comparator. As such, the PBAC considered that the cost minimisation analysis presented was </w:t>
            </w:r>
            <w:r w:rsidR="00FF15AA" w:rsidRPr="00D7066D">
              <w:rPr>
                <w:rFonts w:ascii="Arial" w:hAnsi="Arial" w:cs="Arial"/>
                <w:color w:val="000000"/>
              </w:rPr>
              <w:t>not informative to the Committee</w:t>
            </w:r>
            <w:r w:rsidRPr="00D7066D">
              <w:rPr>
                <w:rFonts w:ascii="Arial" w:hAnsi="Arial" w:cs="Arial"/>
                <w:color w:val="000000"/>
              </w:rPr>
              <w:t xml:space="preserve">. </w:t>
            </w:r>
          </w:p>
        </w:tc>
      </w:tr>
      <w:tr w:rsidR="003052B0" w:rsidRPr="00D7066D" w:rsidTr="00D7066D">
        <w:trPr>
          <w:trHeight w:val="687"/>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rPr>
                <w:rFonts w:ascii="Arial" w:hAnsi="Arial" w:cs="Arial"/>
                <w:color w:val="000000"/>
              </w:rPr>
            </w:pPr>
          </w:p>
        </w:tc>
        <w:tc>
          <w:tcPr>
            <w:tcW w:w="3261" w:type="dxa"/>
            <w:shd w:val="clear" w:color="auto" w:fill="auto"/>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snapToGrid w:val="0"/>
                <w:lang w:eastAsia="en-US"/>
              </w:rPr>
              <w:t>Sponsor Comment:</w:t>
            </w:r>
          </w:p>
        </w:tc>
        <w:tc>
          <w:tcPr>
            <w:tcW w:w="6947" w:type="dxa"/>
            <w:shd w:val="clear" w:color="auto" w:fill="auto"/>
          </w:tcPr>
          <w:p w:rsidR="003052B0" w:rsidRPr="00D7066D" w:rsidRDefault="00D7066D" w:rsidP="00665B18">
            <w:pPr>
              <w:snapToGrid w:val="0"/>
              <w:spacing w:after="120"/>
              <w:contextualSpacing/>
              <w:jc w:val="both"/>
              <w:rPr>
                <w:rFonts w:ascii="Arial" w:hAnsi="Arial" w:cs="Arial"/>
              </w:rPr>
            </w:pPr>
            <w:r w:rsidRPr="00D7066D">
              <w:rPr>
                <w:rFonts w:ascii="Arial" w:hAnsi="Arial" w:cs="Arial"/>
              </w:rPr>
              <w:t>The sponsor is disappointed in this PBAC outcome but will work towards obtaining funded treatment options for patients with squamous cell carcinoma of the head and neck at the earliest opportunity.</w:t>
            </w:r>
          </w:p>
        </w:tc>
      </w:tr>
      <w:tr w:rsidR="003052B0" w:rsidRPr="00D7066D" w:rsidTr="00614BAA">
        <w:trPr>
          <w:trHeight w:val="418"/>
        </w:trPr>
        <w:tc>
          <w:tcPr>
            <w:tcW w:w="2694" w:type="dxa"/>
            <w:vMerge w:val="restart"/>
            <w:tcMar>
              <w:top w:w="28" w:type="dxa"/>
              <w:bottom w:w="28" w:type="dxa"/>
            </w:tcMar>
          </w:tcPr>
          <w:p w:rsidR="003052B0" w:rsidRPr="00D7066D" w:rsidRDefault="003052B0" w:rsidP="00A33634">
            <w:pPr>
              <w:rPr>
                <w:rFonts w:ascii="Arial" w:hAnsi="Arial" w:cs="Arial"/>
                <w:color w:val="000000"/>
              </w:rPr>
            </w:pPr>
            <w:r w:rsidRPr="00D7066D">
              <w:rPr>
                <w:rFonts w:ascii="Arial" w:hAnsi="Arial" w:cs="Arial"/>
                <w:color w:val="000000"/>
              </w:rPr>
              <w:lastRenderedPageBreak/>
              <w:t>PERTUZUMAB</w:t>
            </w:r>
            <w:r w:rsidRPr="00D7066D">
              <w:rPr>
                <w:rFonts w:ascii="Arial" w:hAnsi="Arial" w:cs="Arial"/>
                <w:color w:val="000000"/>
              </w:rPr>
              <w:br/>
            </w:r>
            <w:r w:rsidRPr="00D7066D">
              <w:rPr>
                <w:rFonts w:ascii="Arial" w:hAnsi="Arial" w:cs="Arial"/>
                <w:color w:val="000000"/>
              </w:rPr>
              <w:br/>
              <w:t>Solution for I.V. infusion 420 mg in 14 mL</w:t>
            </w:r>
            <w:r w:rsidRPr="00D7066D">
              <w:rPr>
                <w:rFonts w:ascii="Arial" w:hAnsi="Arial" w:cs="Arial"/>
                <w:color w:val="000000"/>
              </w:rPr>
              <w:br/>
            </w:r>
            <w:r w:rsidRPr="00D7066D">
              <w:rPr>
                <w:rFonts w:ascii="Arial" w:hAnsi="Arial" w:cs="Arial"/>
                <w:color w:val="000000"/>
              </w:rPr>
              <w:br/>
              <w:t>Perjeta®</w:t>
            </w:r>
            <w:r w:rsidRPr="00D7066D">
              <w:rPr>
                <w:rFonts w:ascii="Arial" w:hAnsi="Arial" w:cs="Arial"/>
                <w:color w:val="000000"/>
              </w:rPr>
              <w:br/>
            </w:r>
            <w:r w:rsidRPr="00D7066D">
              <w:rPr>
                <w:rFonts w:ascii="Arial" w:hAnsi="Arial" w:cs="Arial"/>
                <w:color w:val="000000"/>
              </w:rPr>
              <w:br/>
              <w:t>Roche Products Pty Ltd</w:t>
            </w:r>
          </w:p>
          <w:p w:rsidR="003052B0" w:rsidRPr="00D7066D" w:rsidRDefault="003052B0" w:rsidP="00665B18">
            <w:pPr>
              <w:rPr>
                <w:rFonts w:ascii="Arial" w:hAnsi="Arial" w:cs="Arial"/>
                <w:color w:val="000000"/>
              </w:rPr>
            </w:pPr>
          </w:p>
          <w:p w:rsidR="003052B0" w:rsidRPr="00D7066D" w:rsidRDefault="003052B0" w:rsidP="00665B18">
            <w:pPr>
              <w:rPr>
                <w:rFonts w:ascii="Arial" w:hAnsi="Arial" w:cs="Arial"/>
                <w:color w:val="000000"/>
              </w:rPr>
            </w:pPr>
            <w:r w:rsidRPr="00D7066D">
              <w:rPr>
                <w:rFonts w:ascii="Arial" w:hAnsi="Arial" w:cs="Arial"/>
                <w:color w:val="000000"/>
              </w:rPr>
              <w:t>New listing</w:t>
            </w:r>
          </w:p>
          <w:p w:rsidR="003052B0" w:rsidRPr="00D7066D" w:rsidRDefault="003052B0" w:rsidP="00665B18">
            <w:pPr>
              <w:rPr>
                <w:rFonts w:ascii="Arial" w:hAnsi="Arial" w:cs="Arial"/>
                <w:color w:val="000000"/>
              </w:rPr>
            </w:pPr>
            <w:r w:rsidRPr="00D7066D">
              <w:rPr>
                <w:rFonts w:ascii="Arial" w:hAnsi="Arial" w:cs="Arial"/>
                <w:color w:val="000000"/>
              </w:rPr>
              <w:t>(Major Submission)</w:t>
            </w:r>
          </w:p>
        </w:tc>
        <w:tc>
          <w:tcPr>
            <w:tcW w:w="2409" w:type="dxa"/>
            <w:vMerge w:val="restart"/>
          </w:tcPr>
          <w:p w:rsidR="003052B0" w:rsidRPr="00D7066D" w:rsidRDefault="003052B0" w:rsidP="00A33634">
            <w:pPr>
              <w:rPr>
                <w:rFonts w:ascii="Arial" w:hAnsi="Arial" w:cs="Arial"/>
                <w:color w:val="000000"/>
              </w:rPr>
            </w:pPr>
            <w:r w:rsidRPr="00D7066D">
              <w:rPr>
                <w:rFonts w:ascii="Arial" w:hAnsi="Arial" w:cs="Arial"/>
                <w:color w:val="000000"/>
              </w:rPr>
              <w:t>Human epidermal growth factor receptor-2 positive (HER2+) early breast cancer (EBC)</w:t>
            </w:r>
          </w:p>
          <w:p w:rsidR="003052B0" w:rsidRPr="00D7066D" w:rsidRDefault="003052B0" w:rsidP="00665B18">
            <w:pPr>
              <w:rPr>
                <w:rFonts w:ascii="Arial" w:hAnsi="Arial" w:cs="Arial"/>
                <w:color w:val="000000"/>
              </w:rPr>
            </w:pPr>
          </w:p>
        </w:tc>
        <w:tc>
          <w:tcPr>
            <w:tcW w:w="3261" w:type="dxa"/>
            <w:tcMar>
              <w:top w:w="28" w:type="dxa"/>
              <w:bottom w:w="28" w:type="dxa"/>
            </w:tcMar>
          </w:tcPr>
          <w:p w:rsidR="003052B0" w:rsidRPr="00D7066D" w:rsidRDefault="003052B0" w:rsidP="00665B18">
            <w:pPr>
              <w:rPr>
                <w:rFonts w:ascii="Arial" w:hAnsi="Arial" w:cs="Arial"/>
                <w:color w:val="000000"/>
              </w:rPr>
            </w:pPr>
            <w:r w:rsidRPr="00D7066D">
              <w:rPr>
                <w:rFonts w:ascii="Arial" w:hAnsi="Arial" w:cs="Arial"/>
                <w:color w:val="000000"/>
              </w:rPr>
              <w:t>To request a Section 100 (Efficient Funding of Chemotherapy) Authority Required listing for the adjuvant treatment of HER2 +, lymph node positive early breast cancer (EBC).</w:t>
            </w:r>
          </w:p>
        </w:tc>
        <w:tc>
          <w:tcPr>
            <w:tcW w:w="6947" w:type="dxa"/>
            <w:shd w:val="clear" w:color="auto" w:fill="auto"/>
          </w:tcPr>
          <w:p w:rsidR="00F2774B" w:rsidRDefault="003052B0" w:rsidP="00673046">
            <w:pPr>
              <w:rPr>
                <w:rFonts w:ascii="Arial" w:hAnsi="Arial" w:cs="Arial"/>
                <w:color w:val="000000"/>
              </w:rPr>
            </w:pPr>
            <w:r w:rsidRPr="00D7066D">
              <w:rPr>
                <w:rFonts w:ascii="Arial" w:hAnsi="Arial" w:cs="Arial"/>
                <w:color w:val="000000"/>
              </w:rPr>
              <w:t>The PBAC did not recommend the Section 100 (Efficient Funding of Chemotherapy), Authority Required listing of pertuzumab in combination with trastuzumab for the adjuvant treatment of patients with human epidermal growth factor 2 (HER2) positive early breast cancer (eBC) at high risk of disease recurrence. The submission defined patients at high risk as patients with involvement of one or more positive lymph nodes.</w:t>
            </w:r>
            <w:r w:rsidR="004772C3">
              <w:rPr>
                <w:rFonts w:ascii="Arial" w:hAnsi="Arial" w:cs="Arial"/>
                <w:color w:val="000000"/>
              </w:rPr>
              <w:t xml:space="preserve"> </w:t>
            </w:r>
            <w:r w:rsidRPr="00D7066D">
              <w:rPr>
                <w:rFonts w:ascii="Arial" w:hAnsi="Arial" w:cs="Arial"/>
                <w:color w:val="000000"/>
              </w:rPr>
              <w:t>Analysis of this population in the head to head trial called APHINITY showed a small benefit in patients treated with pertuzumab in combination with trastuzumab and chemotherapy</w:t>
            </w:r>
            <w:r w:rsidR="008F1A28" w:rsidRPr="00D7066D">
              <w:rPr>
                <w:rFonts w:ascii="Arial" w:hAnsi="Arial" w:cs="Arial"/>
                <w:color w:val="000000"/>
              </w:rPr>
              <w:t>,</w:t>
            </w:r>
            <w:r w:rsidRPr="00D7066D">
              <w:rPr>
                <w:rFonts w:ascii="Arial" w:hAnsi="Arial" w:cs="Arial"/>
                <w:color w:val="000000"/>
              </w:rPr>
              <w:t xml:space="preserve"> compared to treatment with trastuzumab </w:t>
            </w:r>
            <w:r w:rsidR="008F1A28" w:rsidRPr="00D7066D">
              <w:rPr>
                <w:rFonts w:ascii="Arial" w:hAnsi="Arial" w:cs="Arial"/>
                <w:color w:val="000000"/>
              </w:rPr>
              <w:t xml:space="preserve">in combination with </w:t>
            </w:r>
            <w:r w:rsidRPr="00D7066D">
              <w:rPr>
                <w:rFonts w:ascii="Arial" w:hAnsi="Arial" w:cs="Arial"/>
                <w:color w:val="000000"/>
              </w:rPr>
              <w:t xml:space="preserve">chemotherapy. The PBAC was concerned that the modest benefit of adding pertuzumab to trastuzumab and chemotherapy was outweighed by the increased risk of adverse reactions (in particular the cardiac risks and significant difference in </w:t>
            </w:r>
            <w:r w:rsidR="008F1A28" w:rsidRPr="00D7066D">
              <w:rPr>
                <w:rFonts w:ascii="Arial" w:hAnsi="Arial" w:cs="Arial"/>
                <w:color w:val="000000"/>
              </w:rPr>
              <w:t xml:space="preserve">the incidence of </w:t>
            </w:r>
            <w:r w:rsidRPr="00D7066D">
              <w:rPr>
                <w:rFonts w:ascii="Arial" w:hAnsi="Arial" w:cs="Arial"/>
                <w:color w:val="000000"/>
              </w:rPr>
              <w:t>diarrhoea).</w:t>
            </w:r>
            <w:r w:rsidR="004772C3">
              <w:rPr>
                <w:rFonts w:ascii="Arial" w:hAnsi="Arial" w:cs="Arial"/>
                <w:color w:val="000000"/>
              </w:rPr>
              <w:t xml:space="preserve"> </w:t>
            </w:r>
            <w:r w:rsidR="00F2774B" w:rsidRPr="00D7066D">
              <w:rPr>
                <w:rFonts w:ascii="Arial" w:hAnsi="Arial" w:cs="Arial"/>
                <w:color w:val="000000"/>
              </w:rPr>
              <w:t>In addition the PBAC noted that the largest population</w:t>
            </w:r>
            <w:r w:rsidR="007A359E" w:rsidRPr="00D7066D">
              <w:rPr>
                <w:rFonts w:ascii="Arial" w:hAnsi="Arial" w:cs="Arial"/>
                <w:color w:val="000000"/>
              </w:rPr>
              <w:t xml:space="preserve"> </w:t>
            </w:r>
            <w:r w:rsidRPr="00D7066D">
              <w:rPr>
                <w:rFonts w:ascii="Arial" w:hAnsi="Arial" w:cs="Arial"/>
                <w:color w:val="000000"/>
              </w:rPr>
              <w:t xml:space="preserve">of patients with lymph node positive </w:t>
            </w:r>
            <w:r w:rsidR="007A359E" w:rsidRPr="00D7066D">
              <w:rPr>
                <w:rFonts w:ascii="Arial" w:hAnsi="Arial" w:cs="Arial"/>
                <w:color w:val="000000"/>
              </w:rPr>
              <w:t>disease</w:t>
            </w:r>
            <w:r w:rsidRPr="00D7066D">
              <w:rPr>
                <w:rFonts w:ascii="Arial" w:hAnsi="Arial" w:cs="Arial"/>
                <w:color w:val="000000"/>
              </w:rPr>
              <w:t xml:space="preserve"> are patients who are also hormone receptor positive</w:t>
            </w:r>
            <w:r w:rsidR="00F2774B" w:rsidRPr="00D7066D">
              <w:rPr>
                <w:rFonts w:ascii="Arial" w:hAnsi="Arial" w:cs="Arial"/>
                <w:color w:val="000000"/>
              </w:rPr>
              <w:t>,</w:t>
            </w:r>
            <w:r w:rsidRPr="00D7066D">
              <w:rPr>
                <w:rFonts w:ascii="Arial" w:hAnsi="Arial" w:cs="Arial"/>
                <w:color w:val="000000"/>
              </w:rPr>
              <w:t xml:space="preserve"> and</w:t>
            </w:r>
            <w:r w:rsidR="00F2774B" w:rsidRPr="00D7066D">
              <w:rPr>
                <w:rFonts w:ascii="Arial" w:hAnsi="Arial" w:cs="Arial"/>
                <w:color w:val="000000"/>
              </w:rPr>
              <w:t xml:space="preserve"> that</w:t>
            </w:r>
            <w:r w:rsidRPr="00D7066D">
              <w:rPr>
                <w:rFonts w:ascii="Arial" w:hAnsi="Arial" w:cs="Arial"/>
                <w:color w:val="000000"/>
              </w:rPr>
              <w:t xml:space="preserve"> </w:t>
            </w:r>
            <w:r w:rsidR="00F2774B" w:rsidRPr="00D7066D">
              <w:rPr>
                <w:rFonts w:ascii="Arial" w:hAnsi="Arial" w:cs="Arial"/>
                <w:color w:val="000000"/>
              </w:rPr>
              <w:t xml:space="preserve">from the trial evidence presented </w:t>
            </w:r>
            <w:r w:rsidRPr="00D7066D">
              <w:rPr>
                <w:rFonts w:ascii="Arial" w:hAnsi="Arial" w:cs="Arial"/>
                <w:color w:val="000000"/>
              </w:rPr>
              <w:t>the clinical benefit in this patient population was uncertain.</w:t>
            </w:r>
            <w:r w:rsidR="004772C3">
              <w:rPr>
                <w:rFonts w:ascii="Arial" w:hAnsi="Arial" w:cs="Arial"/>
                <w:color w:val="000000"/>
              </w:rPr>
              <w:t xml:space="preserve"> </w:t>
            </w:r>
            <w:r w:rsidRPr="00D7066D">
              <w:rPr>
                <w:rFonts w:ascii="Arial" w:hAnsi="Arial" w:cs="Arial"/>
                <w:color w:val="000000"/>
              </w:rPr>
              <w:t xml:space="preserve">The PBAC noted changes in clinical guidelines and new trial evidence suggesting the treatment landscape for this patient population with HER2-positive early breast cancer is quickly evolving, </w:t>
            </w:r>
            <w:r w:rsidR="00F2774B" w:rsidRPr="00D7066D">
              <w:rPr>
                <w:rFonts w:ascii="Arial" w:hAnsi="Arial" w:cs="Arial"/>
                <w:color w:val="000000"/>
              </w:rPr>
              <w:t>and considered it</w:t>
            </w:r>
            <w:r w:rsidRPr="00D7066D">
              <w:rPr>
                <w:rFonts w:ascii="Arial" w:hAnsi="Arial" w:cs="Arial"/>
                <w:color w:val="000000"/>
              </w:rPr>
              <w:t xml:space="preserve"> difficult to determine the clinical place of pertuzumab in combination with trastuzumab and chemotherapy. </w:t>
            </w:r>
          </w:p>
          <w:p w:rsidR="002153C8" w:rsidRPr="00D7066D" w:rsidRDefault="002153C8" w:rsidP="00673046">
            <w:pPr>
              <w:rPr>
                <w:rFonts w:ascii="Arial" w:hAnsi="Arial" w:cs="Arial"/>
                <w:color w:val="000000"/>
              </w:rPr>
            </w:pPr>
          </w:p>
          <w:p w:rsidR="00F2774B" w:rsidRPr="00D7066D" w:rsidRDefault="00F2774B" w:rsidP="00F2774B">
            <w:pPr>
              <w:jc w:val="both"/>
              <w:rPr>
                <w:rFonts w:ascii="Arial" w:hAnsi="Arial" w:cs="Arial"/>
                <w:color w:val="000000"/>
              </w:rPr>
            </w:pPr>
            <w:r w:rsidRPr="00D7066D">
              <w:rPr>
                <w:rFonts w:ascii="Arial" w:hAnsi="Arial" w:cs="Arial"/>
                <w:color w:val="000000"/>
              </w:rPr>
              <w:t xml:space="preserve">The PBAC noted the pricing proposal in the submission and the claim of cost neutrality. However, the PBAC and its sub-committees were concerned about the claimed cost-effectiveness of this treatment and that the proposed arrangements would not provide certainty about the cost to Government over time. </w:t>
            </w:r>
            <w:r w:rsidR="003052B0" w:rsidRPr="00D7066D">
              <w:rPr>
                <w:rFonts w:ascii="Arial" w:hAnsi="Arial" w:cs="Arial"/>
                <w:color w:val="000000"/>
              </w:rPr>
              <w:t>The PBAC’s concerns regarding the sponsor’s price proposal were secondary to its concerns about the modest clinical benefit of treatment with pertuzumab in combination with trastuzumab.</w:t>
            </w:r>
          </w:p>
        </w:tc>
      </w:tr>
      <w:tr w:rsidR="003052B0" w:rsidRPr="00D7066D" w:rsidTr="009C60CB">
        <w:trPr>
          <w:trHeight w:val="583"/>
        </w:trPr>
        <w:tc>
          <w:tcPr>
            <w:tcW w:w="2694" w:type="dxa"/>
            <w:vMerge/>
            <w:tcMar>
              <w:top w:w="28" w:type="dxa"/>
              <w:bottom w:w="28" w:type="dxa"/>
            </w:tcMar>
          </w:tcPr>
          <w:p w:rsidR="003052B0" w:rsidRPr="00D7066D" w:rsidRDefault="003052B0" w:rsidP="00665B18">
            <w:pPr>
              <w:rPr>
                <w:rFonts w:ascii="Arial" w:hAnsi="Arial" w:cs="Arial"/>
                <w:color w:val="000000"/>
              </w:rPr>
            </w:pPr>
          </w:p>
        </w:tc>
        <w:tc>
          <w:tcPr>
            <w:tcW w:w="2409" w:type="dxa"/>
            <w:vMerge/>
          </w:tcPr>
          <w:p w:rsidR="003052B0" w:rsidRPr="00D7066D" w:rsidRDefault="003052B0" w:rsidP="00665B18">
            <w:pPr>
              <w:rPr>
                <w:rFonts w:ascii="Arial" w:hAnsi="Arial" w:cs="Arial"/>
                <w:color w:val="000000"/>
              </w:rPr>
            </w:pPr>
          </w:p>
        </w:tc>
        <w:tc>
          <w:tcPr>
            <w:tcW w:w="3261" w:type="dxa"/>
            <w:shd w:val="clear" w:color="auto" w:fill="auto"/>
            <w:tcMar>
              <w:top w:w="28" w:type="dxa"/>
              <w:bottom w:w="28" w:type="dxa"/>
            </w:tcMar>
          </w:tcPr>
          <w:p w:rsidR="003052B0" w:rsidRPr="00D7066D" w:rsidRDefault="003052B0" w:rsidP="00665B18">
            <w:pPr>
              <w:rPr>
                <w:rFonts w:ascii="Arial" w:hAnsi="Arial" w:cs="Arial"/>
              </w:rPr>
            </w:pPr>
            <w:r w:rsidRPr="00D7066D">
              <w:rPr>
                <w:rFonts w:ascii="Arial" w:hAnsi="Arial" w:cs="Arial"/>
                <w:snapToGrid w:val="0"/>
                <w:lang w:eastAsia="en-US"/>
              </w:rPr>
              <w:t>Sponsor Comment:</w:t>
            </w:r>
          </w:p>
        </w:tc>
        <w:tc>
          <w:tcPr>
            <w:tcW w:w="6947" w:type="dxa"/>
            <w:shd w:val="clear" w:color="auto" w:fill="auto"/>
          </w:tcPr>
          <w:p w:rsidR="003052B0" w:rsidRPr="00D7066D" w:rsidRDefault="00912DC8" w:rsidP="00614BAA">
            <w:pPr>
              <w:pStyle w:val="ListParagraph"/>
              <w:ind w:left="0"/>
              <w:rPr>
                <w:rFonts w:ascii="Arial" w:hAnsi="Arial" w:cs="Arial"/>
                <w:iCs/>
                <w:sz w:val="20"/>
                <w:szCs w:val="20"/>
              </w:rPr>
            </w:pPr>
            <w:r w:rsidRPr="00D7066D">
              <w:rPr>
                <w:rFonts w:ascii="Arial" w:hAnsi="Arial" w:cs="Arial"/>
                <w:iCs/>
                <w:sz w:val="20"/>
                <w:szCs w:val="20"/>
              </w:rPr>
              <w:t>Roche remains committed to working with the PBAC to enable access to pertuzumab for people with early breast cancer and node positive disease.</w:t>
            </w:r>
          </w:p>
        </w:tc>
      </w:tr>
      <w:tr w:rsidR="00884604" w:rsidRPr="00D7066D" w:rsidTr="00261B71">
        <w:trPr>
          <w:trHeight w:val="1254"/>
        </w:trPr>
        <w:tc>
          <w:tcPr>
            <w:tcW w:w="2694" w:type="dxa"/>
            <w:vMerge w:val="restart"/>
            <w:tcMar>
              <w:top w:w="28" w:type="dxa"/>
              <w:bottom w:w="28" w:type="dxa"/>
            </w:tcMar>
          </w:tcPr>
          <w:p w:rsidR="00884604" w:rsidRPr="00D7066D" w:rsidRDefault="00884604" w:rsidP="00884604">
            <w:pPr>
              <w:rPr>
                <w:rFonts w:ascii="Arial" w:hAnsi="Arial" w:cs="Arial"/>
                <w:color w:val="000000"/>
              </w:rPr>
            </w:pPr>
            <w:r w:rsidRPr="00D7066D">
              <w:rPr>
                <w:rFonts w:ascii="Arial" w:hAnsi="Arial" w:cs="Arial"/>
                <w:color w:val="000000"/>
              </w:rPr>
              <w:lastRenderedPageBreak/>
              <w:t>TRIVALENT INFLUENZA VACCINE (High dose)</w:t>
            </w:r>
            <w:r w:rsidRPr="00D7066D">
              <w:rPr>
                <w:rFonts w:ascii="Arial" w:hAnsi="Arial" w:cs="Arial"/>
                <w:color w:val="000000"/>
              </w:rPr>
              <w:br/>
            </w:r>
            <w:r w:rsidRPr="00D7066D">
              <w:rPr>
                <w:rFonts w:ascii="Arial" w:hAnsi="Arial" w:cs="Arial"/>
                <w:color w:val="000000"/>
              </w:rPr>
              <w:br/>
              <w:t>Injection 0.5 mL</w:t>
            </w:r>
            <w:r w:rsidRPr="00D7066D">
              <w:rPr>
                <w:rFonts w:ascii="Arial" w:hAnsi="Arial" w:cs="Arial"/>
                <w:color w:val="000000"/>
              </w:rPr>
              <w:br/>
            </w:r>
            <w:r w:rsidRPr="00D7066D">
              <w:rPr>
                <w:rFonts w:ascii="Arial" w:hAnsi="Arial" w:cs="Arial"/>
                <w:color w:val="000000"/>
              </w:rPr>
              <w:br/>
              <w:t>Fluzone® High-Dose</w:t>
            </w:r>
            <w:r w:rsidRPr="00D7066D">
              <w:rPr>
                <w:rFonts w:ascii="Arial" w:hAnsi="Arial" w:cs="Arial"/>
                <w:color w:val="000000"/>
              </w:rPr>
              <w:br/>
            </w:r>
            <w:r w:rsidRPr="00D7066D">
              <w:rPr>
                <w:rFonts w:ascii="Arial" w:hAnsi="Arial" w:cs="Arial"/>
                <w:color w:val="000000"/>
              </w:rPr>
              <w:br/>
              <w:t>Sanofi-aventis Australia Pty Ltd</w:t>
            </w:r>
          </w:p>
          <w:p w:rsidR="00884604" w:rsidRPr="00D7066D" w:rsidRDefault="00884604" w:rsidP="00884604">
            <w:pPr>
              <w:contextualSpacing/>
              <w:rPr>
                <w:rFonts w:ascii="Arial" w:hAnsi="Arial" w:cs="Arial"/>
                <w:highlight w:val="yellow"/>
              </w:rPr>
            </w:pPr>
          </w:p>
          <w:p w:rsidR="00884604" w:rsidRPr="00D7066D" w:rsidRDefault="00884604" w:rsidP="00884604">
            <w:pPr>
              <w:contextualSpacing/>
              <w:rPr>
                <w:rFonts w:ascii="Arial" w:hAnsi="Arial" w:cs="Arial"/>
              </w:rPr>
            </w:pPr>
            <w:r w:rsidRPr="00D7066D">
              <w:rPr>
                <w:rFonts w:ascii="Arial" w:hAnsi="Arial" w:cs="Arial"/>
              </w:rPr>
              <w:t>Change to listing</w:t>
            </w:r>
          </w:p>
          <w:p w:rsidR="00884604" w:rsidRPr="00D7066D" w:rsidRDefault="00884604" w:rsidP="00884604">
            <w:pPr>
              <w:rPr>
                <w:rFonts w:ascii="Arial" w:hAnsi="Arial" w:cs="Arial"/>
                <w:color w:val="000000"/>
              </w:rPr>
            </w:pPr>
            <w:r w:rsidRPr="00D7066D">
              <w:rPr>
                <w:rFonts w:ascii="Arial" w:hAnsi="Arial" w:cs="Arial"/>
              </w:rPr>
              <w:t>(Major Submission)</w:t>
            </w:r>
          </w:p>
        </w:tc>
        <w:tc>
          <w:tcPr>
            <w:tcW w:w="2409" w:type="dxa"/>
            <w:vMerge w:val="restart"/>
          </w:tcPr>
          <w:p w:rsidR="00884604" w:rsidRPr="00D7066D" w:rsidRDefault="00884604" w:rsidP="00884604">
            <w:pPr>
              <w:rPr>
                <w:rFonts w:ascii="Arial" w:hAnsi="Arial" w:cs="Arial"/>
                <w:color w:val="000000"/>
              </w:rPr>
            </w:pPr>
            <w:r w:rsidRPr="00D7066D">
              <w:rPr>
                <w:rFonts w:ascii="Arial" w:hAnsi="Arial" w:cs="Arial"/>
                <w:color w:val="000000"/>
              </w:rPr>
              <w:t>Prevention of seasonal influenza</w:t>
            </w:r>
          </w:p>
          <w:p w:rsidR="00884604" w:rsidRPr="00D7066D" w:rsidRDefault="00884604" w:rsidP="00261B71">
            <w:pPr>
              <w:rPr>
                <w:rFonts w:ascii="Arial" w:hAnsi="Arial" w:cs="Arial"/>
                <w:color w:val="000000"/>
              </w:rPr>
            </w:pPr>
          </w:p>
        </w:tc>
        <w:tc>
          <w:tcPr>
            <w:tcW w:w="3261" w:type="dxa"/>
            <w:tcMar>
              <w:top w:w="28" w:type="dxa"/>
              <w:bottom w:w="28" w:type="dxa"/>
            </w:tcMar>
          </w:tcPr>
          <w:p w:rsidR="00884604" w:rsidRPr="00D7066D" w:rsidRDefault="00884604" w:rsidP="00261B71">
            <w:pPr>
              <w:rPr>
                <w:rFonts w:ascii="Arial" w:hAnsi="Arial" w:cs="Arial"/>
                <w:color w:val="000000"/>
              </w:rPr>
            </w:pPr>
            <w:r w:rsidRPr="00D7066D">
              <w:rPr>
                <w:rFonts w:ascii="Arial" w:hAnsi="Arial" w:cs="Arial"/>
                <w:color w:val="000000"/>
              </w:rPr>
              <w:t>To request that the PBAC review the circumstances of the recommended National Immunisation Program (NIP) listing for the prevention of seasonal influenza in patients aged 65 years and over.</w:t>
            </w:r>
          </w:p>
        </w:tc>
        <w:tc>
          <w:tcPr>
            <w:tcW w:w="6947" w:type="dxa"/>
            <w:shd w:val="clear" w:color="auto" w:fill="auto"/>
          </w:tcPr>
          <w:p w:rsidR="00371889" w:rsidRPr="00D7066D" w:rsidRDefault="00814C67" w:rsidP="00D15F4C">
            <w:pPr>
              <w:rPr>
                <w:rFonts w:ascii="Arial" w:hAnsi="Arial" w:cs="Arial"/>
                <w:color w:val="000000"/>
              </w:rPr>
            </w:pPr>
            <w:r w:rsidRPr="00814C67">
              <w:rPr>
                <w:rFonts w:ascii="Arial" w:hAnsi="Arial" w:cs="Arial"/>
                <w:color w:val="000000"/>
              </w:rPr>
              <w:t>Inactivated trivalent influenza vaccine (</w:t>
            </w:r>
            <w:proofErr w:type="spellStart"/>
            <w:r w:rsidRPr="00814C67">
              <w:rPr>
                <w:rFonts w:ascii="Arial" w:hAnsi="Arial" w:cs="Arial"/>
                <w:color w:val="000000"/>
              </w:rPr>
              <w:t>Fluzone</w:t>
            </w:r>
            <w:proofErr w:type="spellEnd"/>
            <w:r w:rsidRPr="00814C67">
              <w:rPr>
                <w:rFonts w:ascii="Arial" w:hAnsi="Arial" w:cs="Arial"/>
                <w:color w:val="000000"/>
              </w:rPr>
              <w:t>® High-Dose, TIV-HD) is currently an influenza vaccine available on the National Immunisation Program (NIP). The PBAC did not recommend the requested change to the basis of the National Immunisation Program (NIP) listing of inactivated trivalent influenza vaccine (</w:t>
            </w:r>
            <w:proofErr w:type="spellStart"/>
            <w:r w:rsidRPr="00814C67">
              <w:rPr>
                <w:rFonts w:ascii="Arial" w:hAnsi="Arial" w:cs="Arial"/>
                <w:color w:val="000000"/>
              </w:rPr>
              <w:t>Fluzone</w:t>
            </w:r>
            <w:proofErr w:type="spellEnd"/>
            <w:r w:rsidRPr="00814C67">
              <w:rPr>
                <w:rFonts w:ascii="Arial" w:hAnsi="Arial" w:cs="Arial"/>
                <w:color w:val="000000"/>
              </w:rPr>
              <w:t>® High-Dose, TIV-HD), for active immunisation against influenza in adults aged ≥65 years. This decision was made on the basis of uncertainty around the loss of protection against the alternative B lineage and the incremental benefit of the strains matched with the comparator vaccine, the associated uncertainty in assessing the incremental cost-effectiveness of the vaccine and the high financial implications of the proposed price. Given the very large opportunity cost of the proposed pri</w:t>
            </w:r>
            <w:bookmarkStart w:id="0" w:name="_GoBack"/>
            <w:bookmarkEnd w:id="0"/>
            <w:r w:rsidRPr="00814C67">
              <w:rPr>
                <w:rFonts w:ascii="Arial" w:hAnsi="Arial" w:cs="Arial"/>
                <w:color w:val="000000"/>
              </w:rPr>
              <w:t xml:space="preserve">ce change, the PBAC considered better modelling and scenario analyses around TIV-HD compared with the </w:t>
            </w:r>
            <w:proofErr w:type="spellStart"/>
            <w:r w:rsidRPr="00814C67">
              <w:rPr>
                <w:rFonts w:ascii="Arial" w:hAnsi="Arial" w:cs="Arial"/>
                <w:color w:val="000000"/>
              </w:rPr>
              <w:t>quadrivalent</w:t>
            </w:r>
            <w:proofErr w:type="spellEnd"/>
            <w:r w:rsidRPr="00814C67">
              <w:rPr>
                <w:rFonts w:ascii="Arial" w:hAnsi="Arial" w:cs="Arial"/>
                <w:color w:val="000000"/>
              </w:rPr>
              <w:t xml:space="preserve"> influenza vaccine standard dose (QIV-SD) using data from Australian experience over a longer time-frame was required.</w:t>
            </w:r>
          </w:p>
        </w:tc>
      </w:tr>
      <w:tr w:rsidR="00884604" w:rsidRPr="00D7066D" w:rsidTr="00936B6B">
        <w:trPr>
          <w:trHeight w:val="787"/>
        </w:trPr>
        <w:tc>
          <w:tcPr>
            <w:tcW w:w="2694" w:type="dxa"/>
            <w:vMerge/>
            <w:tcMar>
              <w:top w:w="28" w:type="dxa"/>
              <w:bottom w:w="28" w:type="dxa"/>
            </w:tcMar>
          </w:tcPr>
          <w:p w:rsidR="00884604" w:rsidRPr="00D7066D" w:rsidRDefault="00884604" w:rsidP="00261B71">
            <w:pPr>
              <w:rPr>
                <w:rFonts w:ascii="Arial" w:hAnsi="Arial" w:cs="Arial"/>
                <w:color w:val="000000"/>
              </w:rPr>
            </w:pPr>
          </w:p>
        </w:tc>
        <w:tc>
          <w:tcPr>
            <w:tcW w:w="2409" w:type="dxa"/>
            <w:vMerge/>
          </w:tcPr>
          <w:p w:rsidR="00884604" w:rsidRPr="00D7066D" w:rsidRDefault="00884604" w:rsidP="00261B71">
            <w:pPr>
              <w:rPr>
                <w:rFonts w:ascii="Arial" w:hAnsi="Arial" w:cs="Arial"/>
                <w:color w:val="000000"/>
              </w:rPr>
            </w:pPr>
          </w:p>
        </w:tc>
        <w:tc>
          <w:tcPr>
            <w:tcW w:w="3261" w:type="dxa"/>
            <w:shd w:val="clear" w:color="auto" w:fill="auto"/>
            <w:tcMar>
              <w:top w:w="28" w:type="dxa"/>
              <w:bottom w:w="28" w:type="dxa"/>
            </w:tcMar>
          </w:tcPr>
          <w:p w:rsidR="00884604" w:rsidRPr="00D7066D" w:rsidRDefault="00884604" w:rsidP="00261B71">
            <w:pPr>
              <w:rPr>
                <w:rFonts w:ascii="Arial" w:hAnsi="Arial" w:cs="Arial"/>
              </w:rPr>
            </w:pPr>
            <w:r w:rsidRPr="00D7066D">
              <w:rPr>
                <w:rFonts w:ascii="Arial" w:hAnsi="Arial" w:cs="Arial"/>
                <w:snapToGrid w:val="0"/>
                <w:lang w:eastAsia="en-US"/>
              </w:rPr>
              <w:t>Sponsor Comment:</w:t>
            </w:r>
          </w:p>
        </w:tc>
        <w:tc>
          <w:tcPr>
            <w:tcW w:w="6947" w:type="dxa"/>
            <w:shd w:val="clear" w:color="auto" w:fill="auto"/>
          </w:tcPr>
          <w:p w:rsidR="00884604" w:rsidRPr="00D7066D" w:rsidRDefault="00814C67" w:rsidP="00261B71">
            <w:pPr>
              <w:pStyle w:val="ListParagraph"/>
              <w:ind w:left="0"/>
              <w:jc w:val="both"/>
              <w:rPr>
                <w:rFonts w:ascii="Arial" w:hAnsi="Arial" w:cs="Arial"/>
                <w:iCs/>
                <w:sz w:val="20"/>
                <w:szCs w:val="20"/>
              </w:rPr>
            </w:pPr>
            <w:r w:rsidRPr="00814C67">
              <w:rPr>
                <w:rFonts w:ascii="Arial" w:hAnsi="Arial" w:cs="Arial"/>
                <w:sz w:val="20"/>
                <w:szCs w:val="20"/>
              </w:rPr>
              <w:t xml:space="preserve">Sanofi is disappointed with the Committee’s decision not to recommend the change to the current NIP listing for </w:t>
            </w:r>
            <w:proofErr w:type="spellStart"/>
            <w:r w:rsidRPr="00814C67">
              <w:rPr>
                <w:rFonts w:ascii="Arial" w:hAnsi="Arial" w:cs="Arial"/>
                <w:sz w:val="20"/>
                <w:szCs w:val="20"/>
              </w:rPr>
              <w:t>Fluzone</w:t>
            </w:r>
            <w:proofErr w:type="spellEnd"/>
            <w:r w:rsidRPr="00814C67">
              <w:rPr>
                <w:rFonts w:ascii="Arial" w:hAnsi="Arial" w:cs="Arial"/>
                <w:sz w:val="20"/>
                <w:szCs w:val="20"/>
              </w:rPr>
              <w:t xml:space="preserve"> High Dose. We will continue to work towards maintaining access to this important vaccine for Australians aged 65 years and older.</w:t>
            </w:r>
          </w:p>
        </w:tc>
      </w:tr>
    </w:tbl>
    <w:p w:rsidR="00884604" w:rsidRDefault="00884604" w:rsidP="00884604"/>
    <w:p w:rsidR="00CB1341" w:rsidRDefault="00CB1341"/>
    <w:sectPr w:rsidR="00CB1341"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0C" w:rsidRDefault="0001470C" w:rsidP="0001470C">
      <w:r>
        <w:separator/>
      </w:r>
    </w:p>
  </w:endnote>
  <w:endnote w:type="continuationSeparator" w:id="0">
    <w:p w:rsidR="0001470C" w:rsidRDefault="0001470C" w:rsidP="0001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D055C5"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814C67"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D055C5"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814C67">
      <w:rPr>
        <w:rStyle w:val="PageNumber"/>
        <w:rFonts w:ascii="Arial" w:hAnsi="Arial" w:cs="Arial"/>
        <w:noProof/>
      </w:rPr>
      <w:t>9</w:t>
    </w:r>
    <w:r w:rsidRPr="00287C89">
      <w:rPr>
        <w:rStyle w:val="PageNumber"/>
        <w:rFonts w:ascii="Arial" w:hAnsi="Arial" w:cs="Arial"/>
      </w:rPr>
      <w:fldChar w:fldCharType="end"/>
    </w:r>
  </w:p>
  <w:p w:rsidR="005E1F3B" w:rsidRDefault="00814C67" w:rsidP="00FE2A81">
    <w:pPr>
      <w:pStyle w:val="Footer"/>
      <w:ind w:right="360"/>
    </w:pPr>
  </w:p>
  <w:p w:rsidR="00257615" w:rsidRDefault="00814C67"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90" w:rsidRDefault="00F75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0C" w:rsidRDefault="0001470C" w:rsidP="0001470C">
      <w:r>
        <w:separator/>
      </w:r>
    </w:p>
  </w:footnote>
  <w:footnote w:type="continuationSeparator" w:id="0">
    <w:p w:rsidR="0001470C" w:rsidRDefault="0001470C" w:rsidP="0001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90" w:rsidRDefault="00F75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01470C" w:rsidP="0071356F">
    <w:pPr>
      <w:pStyle w:val="Header"/>
      <w:jc w:val="center"/>
      <w:rPr>
        <w:rFonts w:ascii="Arial" w:hAnsi="Arial" w:cs="Arial"/>
        <w:b/>
      </w:rPr>
    </w:pPr>
    <w:r>
      <w:rPr>
        <w:rFonts w:ascii="Arial" w:hAnsi="Arial" w:cs="Arial"/>
        <w:b/>
      </w:rPr>
      <w:t>JULY</w:t>
    </w:r>
    <w:r w:rsidR="00D055C5">
      <w:rPr>
        <w:rFonts w:ascii="Arial" w:hAnsi="Arial" w:cs="Arial"/>
        <w:b/>
      </w:rPr>
      <w:t xml:space="preserve"> 2018 </w:t>
    </w:r>
    <w:r w:rsidR="00D055C5" w:rsidRPr="0071356F">
      <w:rPr>
        <w:rFonts w:ascii="Arial" w:hAnsi="Arial" w:cs="Arial"/>
        <w:b/>
      </w:rPr>
      <w:t>PBAC OUTCOMES –</w:t>
    </w:r>
    <w:r w:rsidR="00D055C5">
      <w:rPr>
        <w:rFonts w:ascii="Arial" w:hAnsi="Arial" w:cs="Arial"/>
        <w:b/>
      </w:rPr>
      <w:t xml:space="preserve"> </w:t>
    </w:r>
    <w:r w:rsidR="00D055C5" w:rsidRPr="0071356F">
      <w:rPr>
        <w:rFonts w:ascii="Arial" w:hAnsi="Arial" w:cs="Arial"/>
        <w:b/>
      </w:rPr>
      <w:t>1</w:t>
    </w:r>
    <w:r w:rsidR="00D055C5" w:rsidRPr="0071356F">
      <w:rPr>
        <w:rFonts w:ascii="Arial" w:hAnsi="Arial" w:cs="Arial"/>
        <w:b/>
        <w:vertAlign w:val="superscript"/>
      </w:rPr>
      <w:t>ST</w:t>
    </w:r>
    <w:r w:rsidR="00D055C5">
      <w:rPr>
        <w:rFonts w:ascii="Arial" w:hAnsi="Arial" w:cs="Arial"/>
        <w:b/>
      </w:rPr>
      <w:t xml:space="preserve"> TIME</w:t>
    </w:r>
    <w:r w:rsidR="00D055C5" w:rsidRPr="0071356F">
      <w:rPr>
        <w:rFonts w:ascii="Arial" w:hAnsi="Arial" w:cs="Arial"/>
        <w:b/>
      </w:rPr>
      <w:t xml:space="preserve"> DECISIONS NOT TO RECOMMEND</w:t>
    </w:r>
  </w:p>
  <w:p w:rsidR="00257615" w:rsidRPr="0071356F" w:rsidRDefault="00814C67"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90" w:rsidRDefault="00F75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91"/>
    <w:rsid w:val="0001470C"/>
    <w:rsid w:val="00066291"/>
    <w:rsid w:val="000F4BF7"/>
    <w:rsid w:val="00184348"/>
    <w:rsid w:val="001B428A"/>
    <w:rsid w:val="001C1374"/>
    <w:rsid w:val="001C5859"/>
    <w:rsid w:val="001D11B2"/>
    <w:rsid w:val="0020733A"/>
    <w:rsid w:val="002153C8"/>
    <w:rsid w:val="00216756"/>
    <w:rsid w:val="00232127"/>
    <w:rsid w:val="00287E0D"/>
    <w:rsid w:val="00302BDE"/>
    <w:rsid w:val="003052B0"/>
    <w:rsid w:val="0030597E"/>
    <w:rsid w:val="00310B48"/>
    <w:rsid w:val="0033756F"/>
    <w:rsid w:val="00371889"/>
    <w:rsid w:val="003D4453"/>
    <w:rsid w:val="003E7E5F"/>
    <w:rsid w:val="0045730F"/>
    <w:rsid w:val="00465775"/>
    <w:rsid w:val="00472B24"/>
    <w:rsid w:val="004772C3"/>
    <w:rsid w:val="00515C6B"/>
    <w:rsid w:val="00525199"/>
    <w:rsid w:val="00540B73"/>
    <w:rsid w:val="00614BAA"/>
    <w:rsid w:val="00635CEF"/>
    <w:rsid w:val="00673046"/>
    <w:rsid w:val="00683F7A"/>
    <w:rsid w:val="0069271A"/>
    <w:rsid w:val="006C6F5E"/>
    <w:rsid w:val="00753EF4"/>
    <w:rsid w:val="007A359E"/>
    <w:rsid w:val="007A5CCB"/>
    <w:rsid w:val="007D53A4"/>
    <w:rsid w:val="007E4034"/>
    <w:rsid w:val="00814C67"/>
    <w:rsid w:val="00836D0F"/>
    <w:rsid w:val="008601DF"/>
    <w:rsid w:val="00884604"/>
    <w:rsid w:val="00886E5B"/>
    <w:rsid w:val="00897A0E"/>
    <w:rsid w:val="008F1A28"/>
    <w:rsid w:val="00912DC8"/>
    <w:rsid w:val="00921EB3"/>
    <w:rsid w:val="00934043"/>
    <w:rsid w:val="00936B6B"/>
    <w:rsid w:val="009732EA"/>
    <w:rsid w:val="009C60CB"/>
    <w:rsid w:val="009C72C7"/>
    <w:rsid w:val="009D4615"/>
    <w:rsid w:val="00A33634"/>
    <w:rsid w:val="00A71B4D"/>
    <w:rsid w:val="00B32612"/>
    <w:rsid w:val="00BA43DA"/>
    <w:rsid w:val="00BB4C83"/>
    <w:rsid w:val="00BB4FE6"/>
    <w:rsid w:val="00BE49FE"/>
    <w:rsid w:val="00C434FB"/>
    <w:rsid w:val="00CB1341"/>
    <w:rsid w:val="00CD5C9A"/>
    <w:rsid w:val="00D055C5"/>
    <w:rsid w:val="00D15F4C"/>
    <w:rsid w:val="00D51A16"/>
    <w:rsid w:val="00D7066D"/>
    <w:rsid w:val="00DA0953"/>
    <w:rsid w:val="00DA2693"/>
    <w:rsid w:val="00DD6CDA"/>
    <w:rsid w:val="00DE394A"/>
    <w:rsid w:val="00E044A6"/>
    <w:rsid w:val="00E421D6"/>
    <w:rsid w:val="00E459EF"/>
    <w:rsid w:val="00E669CC"/>
    <w:rsid w:val="00E92745"/>
    <w:rsid w:val="00EA289E"/>
    <w:rsid w:val="00F139E9"/>
    <w:rsid w:val="00F2774B"/>
    <w:rsid w:val="00F634C5"/>
    <w:rsid w:val="00F75190"/>
    <w:rsid w:val="00FB46A5"/>
    <w:rsid w:val="00FF15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9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06629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066291"/>
    <w:rPr>
      <w:rFonts w:ascii="Times New Roman" w:eastAsia="Times New Roman" w:hAnsi="Times New Roman" w:cs="Times New Roman"/>
      <w:sz w:val="20"/>
      <w:szCs w:val="20"/>
      <w:lang w:eastAsia="en-AU"/>
    </w:rPr>
  </w:style>
  <w:style w:type="paragraph" w:styleId="Footer">
    <w:name w:val="footer"/>
    <w:basedOn w:val="Normal"/>
    <w:link w:val="FooterChar"/>
    <w:rsid w:val="00066291"/>
    <w:pPr>
      <w:tabs>
        <w:tab w:val="center" w:pos="4153"/>
        <w:tab w:val="right" w:pos="8306"/>
      </w:tabs>
    </w:pPr>
  </w:style>
  <w:style w:type="character" w:customStyle="1" w:styleId="FooterChar">
    <w:name w:val="Footer Char"/>
    <w:basedOn w:val="DefaultParagraphFont"/>
    <w:link w:val="Footer"/>
    <w:rsid w:val="00066291"/>
    <w:rPr>
      <w:rFonts w:ascii="Times New Roman" w:eastAsia="Times New Roman" w:hAnsi="Times New Roman" w:cs="Times New Roman"/>
      <w:sz w:val="20"/>
      <w:szCs w:val="20"/>
      <w:lang w:eastAsia="en-AU"/>
    </w:rPr>
  </w:style>
  <w:style w:type="character" w:styleId="PageNumber">
    <w:name w:val="page number"/>
    <w:basedOn w:val="DefaultParagraphFont"/>
    <w:rsid w:val="00066291"/>
  </w:style>
  <w:style w:type="paragraph" w:customStyle="1" w:styleId="Default">
    <w:name w:val="Default"/>
    <w:rsid w:val="0006629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aliases w:val="BulletPoints,Footnote,Bullet point,List Paragraph1,List Paragraph11,Recommendation"/>
    <w:basedOn w:val="Normal"/>
    <w:link w:val="ListParagraphChar"/>
    <w:uiPriority w:val="34"/>
    <w:qFormat/>
    <w:rsid w:val="00066291"/>
    <w:pPr>
      <w:ind w:left="720"/>
      <w:contextualSpacing/>
    </w:pPr>
    <w:rPr>
      <w:rFonts w:eastAsia="SimSun"/>
      <w:sz w:val="24"/>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qFormat/>
    <w:rsid w:val="00066291"/>
    <w:rPr>
      <w:rFonts w:ascii="Times New Roman" w:eastAsia="SimSun" w:hAnsi="Times New Roman" w:cs="Times New Roman"/>
      <w:sz w:val="24"/>
      <w:szCs w:val="24"/>
      <w:lang w:eastAsia="en-AU"/>
    </w:rPr>
  </w:style>
  <w:style w:type="character" w:styleId="CommentReference">
    <w:name w:val="annotation reference"/>
    <w:basedOn w:val="DefaultParagraphFont"/>
    <w:uiPriority w:val="99"/>
    <w:semiHidden/>
    <w:unhideWhenUsed/>
    <w:rsid w:val="001B428A"/>
    <w:rPr>
      <w:sz w:val="16"/>
      <w:szCs w:val="16"/>
    </w:rPr>
  </w:style>
  <w:style w:type="paragraph" w:styleId="CommentText">
    <w:name w:val="annotation text"/>
    <w:basedOn w:val="Normal"/>
    <w:link w:val="CommentTextChar"/>
    <w:uiPriority w:val="99"/>
    <w:unhideWhenUsed/>
    <w:rsid w:val="001B428A"/>
  </w:style>
  <w:style w:type="character" w:customStyle="1" w:styleId="CommentTextChar">
    <w:name w:val="Comment Text Char"/>
    <w:basedOn w:val="DefaultParagraphFont"/>
    <w:link w:val="CommentText"/>
    <w:uiPriority w:val="99"/>
    <w:rsid w:val="001B428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428A"/>
    <w:rPr>
      <w:b/>
      <w:bCs/>
    </w:rPr>
  </w:style>
  <w:style w:type="character" w:customStyle="1" w:styleId="CommentSubjectChar">
    <w:name w:val="Comment Subject Char"/>
    <w:basedOn w:val="CommentTextChar"/>
    <w:link w:val="CommentSubject"/>
    <w:uiPriority w:val="99"/>
    <w:semiHidden/>
    <w:rsid w:val="001B428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B428A"/>
    <w:rPr>
      <w:rFonts w:ascii="Tahoma" w:hAnsi="Tahoma" w:cs="Tahoma"/>
      <w:sz w:val="16"/>
      <w:szCs w:val="16"/>
    </w:rPr>
  </w:style>
  <w:style w:type="character" w:customStyle="1" w:styleId="BalloonTextChar">
    <w:name w:val="Balloon Text Char"/>
    <w:basedOn w:val="DefaultParagraphFont"/>
    <w:link w:val="BalloonText"/>
    <w:uiPriority w:val="99"/>
    <w:semiHidden/>
    <w:rsid w:val="001B428A"/>
    <w:rPr>
      <w:rFonts w:ascii="Tahoma" w:eastAsia="Times New Roman" w:hAnsi="Tahoma" w:cs="Tahoma"/>
      <w:sz w:val="16"/>
      <w:szCs w:val="16"/>
      <w:lang w:eastAsia="en-AU"/>
    </w:rPr>
  </w:style>
  <w:style w:type="character" w:styleId="Hyperlink">
    <w:name w:val="Hyperlink"/>
    <w:basedOn w:val="DefaultParagraphFont"/>
    <w:uiPriority w:val="99"/>
    <w:unhideWhenUsed/>
    <w:rsid w:val="002321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9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06629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066291"/>
    <w:rPr>
      <w:rFonts w:ascii="Times New Roman" w:eastAsia="Times New Roman" w:hAnsi="Times New Roman" w:cs="Times New Roman"/>
      <w:sz w:val="20"/>
      <w:szCs w:val="20"/>
      <w:lang w:eastAsia="en-AU"/>
    </w:rPr>
  </w:style>
  <w:style w:type="paragraph" w:styleId="Footer">
    <w:name w:val="footer"/>
    <w:basedOn w:val="Normal"/>
    <w:link w:val="FooterChar"/>
    <w:rsid w:val="00066291"/>
    <w:pPr>
      <w:tabs>
        <w:tab w:val="center" w:pos="4153"/>
        <w:tab w:val="right" w:pos="8306"/>
      </w:tabs>
    </w:pPr>
  </w:style>
  <w:style w:type="character" w:customStyle="1" w:styleId="FooterChar">
    <w:name w:val="Footer Char"/>
    <w:basedOn w:val="DefaultParagraphFont"/>
    <w:link w:val="Footer"/>
    <w:rsid w:val="00066291"/>
    <w:rPr>
      <w:rFonts w:ascii="Times New Roman" w:eastAsia="Times New Roman" w:hAnsi="Times New Roman" w:cs="Times New Roman"/>
      <w:sz w:val="20"/>
      <w:szCs w:val="20"/>
      <w:lang w:eastAsia="en-AU"/>
    </w:rPr>
  </w:style>
  <w:style w:type="character" w:styleId="PageNumber">
    <w:name w:val="page number"/>
    <w:basedOn w:val="DefaultParagraphFont"/>
    <w:rsid w:val="00066291"/>
  </w:style>
  <w:style w:type="paragraph" w:customStyle="1" w:styleId="Default">
    <w:name w:val="Default"/>
    <w:rsid w:val="0006629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aliases w:val="BulletPoints,Footnote,Bullet point,List Paragraph1,List Paragraph11,Recommendation"/>
    <w:basedOn w:val="Normal"/>
    <w:link w:val="ListParagraphChar"/>
    <w:uiPriority w:val="34"/>
    <w:qFormat/>
    <w:rsid w:val="00066291"/>
    <w:pPr>
      <w:ind w:left="720"/>
      <w:contextualSpacing/>
    </w:pPr>
    <w:rPr>
      <w:rFonts w:eastAsia="SimSun"/>
      <w:sz w:val="24"/>
      <w:szCs w:val="24"/>
    </w:rPr>
  </w:style>
  <w:style w:type="character" w:customStyle="1" w:styleId="ListParagraphChar">
    <w:name w:val="List Paragraph Char"/>
    <w:aliases w:val="BulletPoints Char,Footnote Char,Bullet point Char,List Paragraph1 Char,List Paragraph11 Char,Recommendation Char"/>
    <w:link w:val="ListParagraph"/>
    <w:uiPriority w:val="34"/>
    <w:qFormat/>
    <w:rsid w:val="00066291"/>
    <w:rPr>
      <w:rFonts w:ascii="Times New Roman" w:eastAsia="SimSun" w:hAnsi="Times New Roman" w:cs="Times New Roman"/>
      <w:sz w:val="24"/>
      <w:szCs w:val="24"/>
      <w:lang w:eastAsia="en-AU"/>
    </w:rPr>
  </w:style>
  <w:style w:type="character" w:styleId="CommentReference">
    <w:name w:val="annotation reference"/>
    <w:basedOn w:val="DefaultParagraphFont"/>
    <w:uiPriority w:val="99"/>
    <w:semiHidden/>
    <w:unhideWhenUsed/>
    <w:rsid w:val="001B428A"/>
    <w:rPr>
      <w:sz w:val="16"/>
      <w:szCs w:val="16"/>
    </w:rPr>
  </w:style>
  <w:style w:type="paragraph" w:styleId="CommentText">
    <w:name w:val="annotation text"/>
    <w:basedOn w:val="Normal"/>
    <w:link w:val="CommentTextChar"/>
    <w:uiPriority w:val="99"/>
    <w:unhideWhenUsed/>
    <w:rsid w:val="001B428A"/>
  </w:style>
  <w:style w:type="character" w:customStyle="1" w:styleId="CommentTextChar">
    <w:name w:val="Comment Text Char"/>
    <w:basedOn w:val="DefaultParagraphFont"/>
    <w:link w:val="CommentText"/>
    <w:uiPriority w:val="99"/>
    <w:rsid w:val="001B428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428A"/>
    <w:rPr>
      <w:b/>
      <w:bCs/>
    </w:rPr>
  </w:style>
  <w:style w:type="character" w:customStyle="1" w:styleId="CommentSubjectChar">
    <w:name w:val="Comment Subject Char"/>
    <w:basedOn w:val="CommentTextChar"/>
    <w:link w:val="CommentSubject"/>
    <w:uiPriority w:val="99"/>
    <w:semiHidden/>
    <w:rsid w:val="001B428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B428A"/>
    <w:rPr>
      <w:rFonts w:ascii="Tahoma" w:hAnsi="Tahoma" w:cs="Tahoma"/>
      <w:sz w:val="16"/>
      <w:szCs w:val="16"/>
    </w:rPr>
  </w:style>
  <w:style w:type="character" w:customStyle="1" w:styleId="BalloonTextChar">
    <w:name w:val="Balloon Text Char"/>
    <w:basedOn w:val="DefaultParagraphFont"/>
    <w:link w:val="BalloonText"/>
    <w:uiPriority w:val="99"/>
    <w:semiHidden/>
    <w:rsid w:val="001B428A"/>
    <w:rPr>
      <w:rFonts w:ascii="Tahoma" w:eastAsia="Times New Roman" w:hAnsi="Tahoma" w:cs="Tahoma"/>
      <w:sz w:val="16"/>
      <w:szCs w:val="16"/>
      <w:lang w:eastAsia="en-AU"/>
    </w:rPr>
  </w:style>
  <w:style w:type="character" w:styleId="Hyperlink">
    <w:name w:val="Hyperlink"/>
    <w:basedOn w:val="DefaultParagraphFont"/>
    <w:uiPriority w:val="99"/>
    <w:unhideWhenUsed/>
    <w:rsid w:val="00232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3676">
      <w:bodyDiv w:val="1"/>
      <w:marLeft w:val="0"/>
      <w:marRight w:val="0"/>
      <w:marTop w:val="0"/>
      <w:marBottom w:val="0"/>
      <w:divBdr>
        <w:top w:val="none" w:sz="0" w:space="0" w:color="auto"/>
        <w:left w:val="none" w:sz="0" w:space="0" w:color="auto"/>
        <w:bottom w:val="none" w:sz="0" w:space="0" w:color="auto"/>
        <w:right w:val="none" w:sz="0" w:space="0" w:color="auto"/>
      </w:divBdr>
    </w:div>
    <w:div w:id="40059927">
      <w:bodyDiv w:val="1"/>
      <w:marLeft w:val="0"/>
      <w:marRight w:val="0"/>
      <w:marTop w:val="0"/>
      <w:marBottom w:val="0"/>
      <w:divBdr>
        <w:top w:val="none" w:sz="0" w:space="0" w:color="auto"/>
        <w:left w:val="none" w:sz="0" w:space="0" w:color="auto"/>
        <w:bottom w:val="none" w:sz="0" w:space="0" w:color="auto"/>
        <w:right w:val="none" w:sz="0" w:space="0" w:color="auto"/>
      </w:divBdr>
    </w:div>
    <w:div w:id="65418800">
      <w:bodyDiv w:val="1"/>
      <w:marLeft w:val="0"/>
      <w:marRight w:val="0"/>
      <w:marTop w:val="0"/>
      <w:marBottom w:val="0"/>
      <w:divBdr>
        <w:top w:val="none" w:sz="0" w:space="0" w:color="auto"/>
        <w:left w:val="none" w:sz="0" w:space="0" w:color="auto"/>
        <w:bottom w:val="none" w:sz="0" w:space="0" w:color="auto"/>
        <w:right w:val="none" w:sz="0" w:space="0" w:color="auto"/>
      </w:divBdr>
    </w:div>
    <w:div w:id="110512828">
      <w:bodyDiv w:val="1"/>
      <w:marLeft w:val="0"/>
      <w:marRight w:val="0"/>
      <w:marTop w:val="0"/>
      <w:marBottom w:val="0"/>
      <w:divBdr>
        <w:top w:val="none" w:sz="0" w:space="0" w:color="auto"/>
        <w:left w:val="none" w:sz="0" w:space="0" w:color="auto"/>
        <w:bottom w:val="none" w:sz="0" w:space="0" w:color="auto"/>
        <w:right w:val="none" w:sz="0" w:space="0" w:color="auto"/>
      </w:divBdr>
    </w:div>
    <w:div w:id="121193219">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40462375">
      <w:bodyDiv w:val="1"/>
      <w:marLeft w:val="0"/>
      <w:marRight w:val="0"/>
      <w:marTop w:val="0"/>
      <w:marBottom w:val="0"/>
      <w:divBdr>
        <w:top w:val="none" w:sz="0" w:space="0" w:color="auto"/>
        <w:left w:val="none" w:sz="0" w:space="0" w:color="auto"/>
        <w:bottom w:val="none" w:sz="0" w:space="0" w:color="auto"/>
        <w:right w:val="none" w:sz="0" w:space="0" w:color="auto"/>
      </w:divBdr>
    </w:div>
    <w:div w:id="181168310">
      <w:bodyDiv w:val="1"/>
      <w:marLeft w:val="0"/>
      <w:marRight w:val="0"/>
      <w:marTop w:val="0"/>
      <w:marBottom w:val="0"/>
      <w:divBdr>
        <w:top w:val="none" w:sz="0" w:space="0" w:color="auto"/>
        <w:left w:val="none" w:sz="0" w:space="0" w:color="auto"/>
        <w:bottom w:val="none" w:sz="0" w:space="0" w:color="auto"/>
        <w:right w:val="none" w:sz="0" w:space="0" w:color="auto"/>
      </w:divBdr>
    </w:div>
    <w:div w:id="216747091">
      <w:bodyDiv w:val="1"/>
      <w:marLeft w:val="0"/>
      <w:marRight w:val="0"/>
      <w:marTop w:val="0"/>
      <w:marBottom w:val="0"/>
      <w:divBdr>
        <w:top w:val="none" w:sz="0" w:space="0" w:color="auto"/>
        <w:left w:val="none" w:sz="0" w:space="0" w:color="auto"/>
        <w:bottom w:val="none" w:sz="0" w:space="0" w:color="auto"/>
        <w:right w:val="none" w:sz="0" w:space="0" w:color="auto"/>
      </w:divBdr>
    </w:div>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304505612">
      <w:bodyDiv w:val="1"/>
      <w:marLeft w:val="0"/>
      <w:marRight w:val="0"/>
      <w:marTop w:val="0"/>
      <w:marBottom w:val="0"/>
      <w:divBdr>
        <w:top w:val="none" w:sz="0" w:space="0" w:color="auto"/>
        <w:left w:val="none" w:sz="0" w:space="0" w:color="auto"/>
        <w:bottom w:val="none" w:sz="0" w:space="0" w:color="auto"/>
        <w:right w:val="none" w:sz="0" w:space="0" w:color="auto"/>
      </w:divBdr>
    </w:div>
    <w:div w:id="317462211">
      <w:bodyDiv w:val="1"/>
      <w:marLeft w:val="0"/>
      <w:marRight w:val="0"/>
      <w:marTop w:val="0"/>
      <w:marBottom w:val="0"/>
      <w:divBdr>
        <w:top w:val="none" w:sz="0" w:space="0" w:color="auto"/>
        <w:left w:val="none" w:sz="0" w:space="0" w:color="auto"/>
        <w:bottom w:val="none" w:sz="0" w:space="0" w:color="auto"/>
        <w:right w:val="none" w:sz="0" w:space="0" w:color="auto"/>
      </w:divBdr>
    </w:div>
    <w:div w:id="335151879">
      <w:bodyDiv w:val="1"/>
      <w:marLeft w:val="0"/>
      <w:marRight w:val="0"/>
      <w:marTop w:val="0"/>
      <w:marBottom w:val="0"/>
      <w:divBdr>
        <w:top w:val="none" w:sz="0" w:space="0" w:color="auto"/>
        <w:left w:val="none" w:sz="0" w:space="0" w:color="auto"/>
        <w:bottom w:val="none" w:sz="0" w:space="0" w:color="auto"/>
        <w:right w:val="none" w:sz="0" w:space="0" w:color="auto"/>
      </w:divBdr>
    </w:div>
    <w:div w:id="367487934">
      <w:bodyDiv w:val="1"/>
      <w:marLeft w:val="0"/>
      <w:marRight w:val="0"/>
      <w:marTop w:val="0"/>
      <w:marBottom w:val="0"/>
      <w:divBdr>
        <w:top w:val="none" w:sz="0" w:space="0" w:color="auto"/>
        <w:left w:val="none" w:sz="0" w:space="0" w:color="auto"/>
        <w:bottom w:val="none" w:sz="0" w:space="0" w:color="auto"/>
        <w:right w:val="none" w:sz="0" w:space="0" w:color="auto"/>
      </w:divBdr>
    </w:div>
    <w:div w:id="372585947">
      <w:bodyDiv w:val="1"/>
      <w:marLeft w:val="0"/>
      <w:marRight w:val="0"/>
      <w:marTop w:val="0"/>
      <w:marBottom w:val="0"/>
      <w:divBdr>
        <w:top w:val="none" w:sz="0" w:space="0" w:color="auto"/>
        <w:left w:val="none" w:sz="0" w:space="0" w:color="auto"/>
        <w:bottom w:val="none" w:sz="0" w:space="0" w:color="auto"/>
        <w:right w:val="none" w:sz="0" w:space="0" w:color="auto"/>
      </w:divBdr>
    </w:div>
    <w:div w:id="444889807">
      <w:bodyDiv w:val="1"/>
      <w:marLeft w:val="0"/>
      <w:marRight w:val="0"/>
      <w:marTop w:val="0"/>
      <w:marBottom w:val="0"/>
      <w:divBdr>
        <w:top w:val="none" w:sz="0" w:space="0" w:color="auto"/>
        <w:left w:val="none" w:sz="0" w:space="0" w:color="auto"/>
        <w:bottom w:val="none" w:sz="0" w:space="0" w:color="auto"/>
        <w:right w:val="none" w:sz="0" w:space="0" w:color="auto"/>
      </w:divBdr>
    </w:div>
    <w:div w:id="449596763">
      <w:bodyDiv w:val="1"/>
      <w:marLeft w:val="0"/>
      <w:marRight w:val="0"/>
      <w:marTop w:val="0"/>
      <w:marBottom w:val="0"/>
      <w:divBdr>
        <w:top w:val="none" w:sz="0" w:space="0" w:color="auto"/>
        <w:left w:val="none" w:sz="0" w:space="0" w:color="auto"/>
        <w:bottom w:val="none" w:sz="0" w:space="0" w:color="auto"/>
        <w:right w:val="none" w:sz="0" w:space="0" w:color="auto"/>
      </w:divBdr>
    </w:div>
    <w:div w:id="487137242">
      <w:bodyDiv w:val="1"/>
      <w:marLeft w:val="0"/>
      <w:marRight w:val="0"/>
      <w:marTop w:val="0"/>
      <w:marBottom w:val="0"/>
      <w:divBdr>
        <w:top w:val="none" w:sz="0" w:space="0" w:color="auto"/>
        <w:left w:val="none" w:sz="0" w:space="0" w:color="auto"/>
        <w:bottom w:val="none" w:sz="0" w:space="0" w:color="auto"/>
        <w:right w:val="none" w:sz="0" w:space="0" w:color="auto"/>
      </w:divBdr>
    </w:div>
    <w:div w:id="489097456">
      <w:bodyDiv w:val="1"/>
      <w:marLeft w:val="0"/>
      <w:marRight w:val="0"/>
      <w:marTop w:val="0"/>
      <w:marBottom w:val="0"/>
      <w:divBdr>
        <w:top w:val="none" w:sz="0" w:space="0" w:color="auto"/>
        <w:left w:val="none" w:sz="0" w:space="0" w:color="auto"/>
        <w:bottom w:val="none" w:sz="0" w:space="0" w:color="auto"/>
        <w:right w:val="none" w:sz="0" w:space="0" w:color="auto"/>
      </w:divBdr>
    </w:div>
    <w:div w:id="520971257">
      <w:bodyDiv w:val="1"/>
      <w:marLeft w:val="0"/>
      <w:marRight w:val="0"/>
      <w:marTop w:val="0"/>
      <w:marBottom w:val="0"/>
      <w:divBdr>
        <w:top w:val="none" w:sz="0" w:space="0" w:color="auto"/>
        <w:left w:val="none" w:sz="0" w:space="0" w:color="auto"/>
        <w:bottom w:val="none" w:sz="0" w:space="0" w:color="auto"/>
        <w:right w:val="none" w:sz="0" w:space="0" w:color="auto"/>
      </w:divBdr>
    </w:div>
    <w:div w:id="630525063">
      <w:bodyDiv w:val="1"/>
      <w:marLeft w:val="0"/>
      <w:marRight w:val="0"/>
      <w:marTop w:val="0"/>
      <w:marBottom w:val="0"/>
      <w:divBdr>
        <w:top w:val="none" w:sz="0" w:space="0" w:color="auto"/>
        <w:left w:val="none" w:sz="0" w:space="0" w:color="auto"/>
        <w:bottom w:val="none" w:sz="0" w:space="0" w:color="auto"/>
        <w:right w:val="none" w:sz="0" w:space="0" w:color="auto"/>
      </w:divBdr>
    </w:div>
    <w:div w:id="647782079">
      <w:bodyDiv w:val="1"/>
      <w:marLeft w:val="0"/>
      <w:marRight w:val="0"/>
      <w:marTop w:val="0"/>
      <w:marBottom w:val="0"/>
      <w:divBdr>
        <w:top w:val="none" w:sz="0" w:space="0" w:color="auto"/>
        <w:left w:val="none" w:sz="0" w:space="0" w:color="auto"/>
        <w:bottom w:val="none" w:sz="0" w:space="0" w:color="auto"/>
        <w:right w:val="none" w:sz="0" w:space="0" w:color="auto"/>
      </w:divBdr>
    </w:div>
    <w:div w:id="659845332">
      <w:bodyDiv w:val="1"/>
      <w:marLeft w:val="0"/>
      <w:marRight w:val="0"/>
      <w:marTop w:val="0"/>
      <w:marBottom w:val="0"/>
      <w:divBdr>
        <w:top w:val="none" w:sz="0" w:space="0" w:color="auto"/>
        <w:left w:val="none" w:sz="0" w:space="0" w:color="auto"/>
        <w:bottom w:val="none" w:sz="0" w:space="0" w:color="auto"/>
        <w:right w:val="none" w:sz="0" w:space="0" w:color="auto"/>
      </w:divBdr>
    </w:div>
    <w:div w:id="684089460">
      <w:bodyDiv w:val="1"/>
      <w:marLeft w:val="0"/>
      <w:marRight w:val="0"/>
      <w:marTop w:val="0"/>
      <w:marBottom w:val="0"/>
      <w:divBdr>
        <w:top w:val="none" w:sz="0" w:space="0" w:color="auto"/>
        <w:left w:val="none" w:sz="0" w:space="0" w:color="auto"/>
        <w:bottom w:val="none" w:sz="0" w:space="0" w:color="auto"/>
        <w:right w:val="none" w:sz="0" w:space="0" w:color="auto"/>
      </w:divBdr>
    </w:div>
    <w:div w:id="696542733">
      <w:bodyDiv w:val="1"/>
      <w:marLeft w:val="0"/>
      <w:marRight w:val="0"/>
      <w:marTop w:val="0"/>
      <w:marBottom w:val="0"/>
      <w:divBdr>
        <w:top w:val="none" w:sz="0" w:space="0" w:color="auto"/>
        <w:left w:val="none" w:sz="0" w:space="0" w:color="auto"/>
        <w:bottom w:val="none" w:sz="0" w:space="0" w:color="auto"/>
        <w:right w:val="none" w:sz="0" w:space="0" w:color="auto"/>
      </w:divBdr>
    </w:div>
    <w:div w:id="774523981">
      <w:bodyDiv w:val="1"/>
      <w:marLeft w:val="0"/>
      <w:marRight w:val="0"/>
      <w:marTop w:val="0"/>
      <w:marBottom w:val="0"/>
      <w:divBdr>
        <w:top w:val="none" w:sz="0" w:space="0" w:color="auto"/>
        <w:left w:val="none" w:sz="0" w:space="0" w:color="auto"/>
        <w:bottom w:val="none" w:sz="0" w:space="0" w:color="auto"/>
        <w:right w:val="none" w:sz="0" w:space="0" w:color="auto"/>
      </w:divBdr>
    </w:div>
    <w:div w:id="797381605">
      <w:bodyDiv w:val="1"/>
      <w:marLeft w:val="0"/>
      <w:marRight w:val="0"/>
      <w:marTop w:val="0"/>
      <w:marBottom w:val="0"/>
      <w:divBdr>
        <w:top w:val="none" w:sz="0" w:space="0" w:color="auto"/>
        <w:left w:val="none" w:sz="0" w:space="0" w:color="auto"/>
        <w:bottom w:val="none" w:sz="0" w:space="0" w:color="auto"/>
        <w:right w:val="none" w:sz="0" w:space="0" w:color="auto"/>
      </w:divBdr>
    </w:div>
    <w:div w:id="813109513">
      <w:bodyDiv w:val="1"/>
      <w:marLeft w:val="0"/>
      <w:marRight w:val="0"/>
      <w:marTop w:val="0"/>
      <w:marBottom w:val="0"/>
      <w:divBdr>
        <w:top w:val="none" w:sz="0" w:space="0" w:color="auto"/>
        <w:left w:val="none" w:sz="0" w:space="0" w:color="auto"/>
        <w:bottom w:val="none" w:sz="0" w:space="0" w:color="auto"/>
        <w:right w:val="none" w:sz="0" w:space="0" w:color="auto"/>
      </w:divBdr>
    </w:div>
    <w:div w:id="913469277">
      <w:bodyDiv w:val="1"/>
      <w:marLeft w:val="0"/>
      <w:marRight w:val="0"/>
      <w:marTop w:val="0"/>
      <w:marBottom w:val="0"/>
      <w:divBdr>
        <w:top w:val="none" w:sz="0" w:space="0" w:color="auto"/>
        <w:left w:val="none" w:sz="0" w:space="0" w:color="auto"/>
        <w:bottom w:val="none" w:sz="0" w:space="0" w:color="auto"/>
        <w:right w:val="none" w:sz="0" w:space="0" w:color="auto"/>
      </w:divBdr>
    </w:div>
    <w:div w:id="968826066">
      <w:bodyDiv w:val="1"/>
      <w:marLeft w:val="0"/>
      <w:marRight w:val="0"/>
      <w:marTop w:val="0"/>
      <w:marBottom w:val="0"/>
      <w:divBdr>
        <w:top w:val="none" w:sz="0" w:space="0" w:color="auto"/>
        <w:left w:val="none" w:sz="0" w:space="0" w:color="auto"/>
        <w:bottom w:val="none" w:sz="0" w:space="0" w:color="auto"/>
        <w:right w:val="none" w:sz="0" w:space="0" w:color="auto"/>
      </w:divBdr>
    </w:div>
    <w:div w:id="980500842">
      <w:bodyDiv w:val="1"/>
      <w:marLeft w:val="0"/>
      <w:marRight w:val="0"/>
      <w:marTop w:val="0"/>
      <w:marBottom w:val="0"/>
      <w:divBdr>
        <w:top w:val="none" w:sz="0" w:space="0" w:color="auto"/>
        <w:left w:val="none" w:sz="0" w:space="0" w:color="auto"/>
        <w:bottom w:val="none" w:sz="0" w:space="0" w:color="auto"/>
        <w:right w:val="none" w:sz="0" w:space="0" w:color="auto"/>
      </w:divBdr>
    </w:div>
    <w:div w:id="1018044448">
      <w:bodyDiv w:val="1"/>
      <w:marLeft w:val="0"/>
      <w:marRight w:val="0"/>
      <w:marTop w:val="0"/>
      <w:marBottom w:val="0"/>
      <w:divBdr>
        <w:top w:val="none" w:sz="0" w:space="0" w:color="auto"/>
        <w:left w:val="none" w:sz="0" w:space="0" w:color="auto"/>
        <w:bottom w:val="none" w:sz="0" w:space="0" w:color="auto"/>
        <w:right w:val="none" w:sz="0" w:space="0" w:color="auto"/>
      </w:divBdr>
    </w:div>
    <w:div w:id="1131823462">
      <w:bodyDiv w:val="1"/>
      <w:marLeft w:val="0"/>
      <w:marRight w:val="0"/>
      <w:marTop w:val="0"/>
      <w:marBottom w:val="0"/>
      <w:divBdr>
        <w:top w:val="none" w:sz="0" w:space="0" w:color="auto"/>
        <w:left w:val="none" w:sz="0" w:space="0" w:color="auto"/>
        <w:bottom w:val="none" w:sz="0" w:space="0" w:color="auto"/>
        <w:right w:val="none" w:sz="0" w:space="0" w:color="auto"/>
      </w:divBdr>
    </w:div>
    <w:div w:id="1175806399">
      <w:bodyDiv w:val="1"/>
      <w:marLeft w:val="0"/>
      <w:marRight w:val="0"/>
      <w:marTop w:val="0"/>
      <w:marBottom w:val="0"/>
      <w:divBdr>
        <w:top w:val="none" w:sz="0" w:space="0" w:color="auto"/>
        <w:left w:val="none" w:sz="0" w:space="0" w:color="auto"/>
        <w:bottom w:val="none" w:sz="0" w:space="0" w:color="auto"/>
        <w:right w:val="none" w:sz="0" w:space="0" w:color="auto"/>
      </w:divBdr>
    </w:div>
    <w:div w:id="1295017134">
      <w:bodyDiv w:val="1"/>
      <w:marLeft w:val="0"/>
      <w:marRight w:val="0"/>
      <w:marTop w:val="0"/>
      <w:marBottom w:val="0"/>
      <w:divBdr>
        <w:top w:val="none" w:sz="0" w:space="0" w:color="auto"/>
        <w:left w:val="none" w:sz="0" w:space="0" w:color="auto"/>
        <w:bottom w:val="none" w:sz="0" w:space="0" w:color="auto"/>
        <w:right w:val="none" w:sz="0" w:space="0" w:color="auto"/>
      </w:divBdr>
    </w:div>
    <w:div w:id="1299265831">
      <w:bodyDiv w:val="1"/>
      <w:marLeft w:val="0"/>
      <w:marRight w:val="0"/>
      <w:marTop w:val="0"/>
      <w:marBottom w:val="0"/>
      <w:divBdr>
        <w:top w:val="none" w:sz="0" w:space="0" w:color="auto"/>
        <w:left w:val="none" w:sz="0" w:space="0" w:color="auto"/>
        <w:bottom w:val="none" w:sz="0" w:space="0" w:color="auto"/>
        <w:right w:val="none" w:sz="0" w:space="0" w:color="auto"/>
      </w:divBdr>
    </w:div>
    <w:div w:id="1313366170">
      <w:bodyDiv w:val="1"/>
      <w:marLeft w:val="0"/>
      <w:marRight w:val="0"/>
      <w:marTop w:val="0"/>
      <w:marBottom w:val="0"/>
      <w:divBdr>
        <w:top w:val="none" w:sz="0" w:space="0" w:color="auto"/>
        <w:left w:val="none" w:sz="0" w:space="0" w:color="auto"/>
        <w:bottom w:val="none" w:sz="0" w:space="0" w:color="auto"/>
        <w:right w:val="none" w:sz="0" w:space="0" w:color="auto"/>
      </w:divBdr>
    </w:div>
    <w:div w:id="1346060347">
      <w:bodyDiv w:val="1"/>
      <w:marLeft w:val="0"/>
      <w:marRight w:val="0"/>
      <w:marTop w:val="0"/>
      <w:marBottom w:val="0"/>
      <w:divBdr>
        <w:top w:val="none" w:sz="0" w:space="0" w:color="auto"/>
        <w:left w:val="none" w:sz="0" w:space="0" w:color="auto"/>
        <w:bottom w:val="none" w:sz="0" w:space="0" w:color="auto"/>
        <w:right w:val="none" w:sz="0" w:space="0" w:color="auto"/>
      </w:divBdr>
    </w:div>
    <w:div w:id="1443768319">
      <w:bodyDiv w:val="1"/>
      <w:marLeft w:val="0"/>
      <w:marRight w:val="0"/>
      <w:marTop w:val="0"/>
      <w:marBottom w:val="0"/>
      <w:divBdr>
        <w:top w:val="none" w:sz="0" w:space="0" w:color="auto"/>
        <w:left w:val="none" w:sz="0" w:space="0" w:color="auto"/>
        <w:bottom w:val="none" w:sz="0" w:space="0" w:color="auto"/>
        <w:right w:val="none" w:sz="0" w:space="0" w:color="auto"/>
      </w:divBdr>
    </w:div>
    <w:div w:id="1559783391">
      <w:bodyDiv w:val="1"/>
      <w:marLeft w:val="0"/>
      <w:marRight w:val="0"/>
      <w:marTop w:val="0"/>
      <w:marBottom w:val="0"/>
      <w:divBdr>
        <w:top w:val="none" w:sz="0" w:space="0" w:color="auto"/>
        <w:left w:val="none" w:sz="0" w:space="0" w:color="auto"/>
        <w:bottom w:val="none" w:sz="0" w:space="0" w:color="auto"/>
        <w:right w:val="none" w:sz="0" w:space="0" w:color="auto"/>
      </w:divBdr>
    </w:div>
    <w:div w:id="1580024277">
      <w:bodyDiv w:val="1"/>
      <w:marLeft w:val="0"/>
      <w:marRight w:val="0"/>
      <w:marTop w:val="0"/>
      <w:marBottom w:val="0"/>
      <w:divBdr>
        <w:top w:val="none" w:sz="0" w:space="0" w:color="auto"/>
        <w:left w:val="none" w:sz="0" w:space="0" w:color="auto"/>
        <w:bottom w:val="none" w:sz="0" w:space="0" w:color="auto"/>
        <w:right w:val="none" w:sz="0" w:space="0" w:color="auto"/>
      </w:divBdr>
    </w:div>
    <w:div w:id="1602252014">
      <w:bodyDiv w:val="1"/>
      <w:marLeft w:val="0"/>
      <w:marRight w:val="0"/>
      <w:marTop w:val="0"/>
      <w:marBottom w:val="0"/>
      <w:divBdr>
        <w:top w:val="none" w:sz="0" w:space="0" w:color="auto"/>
        <w:left w:val="none" w:sz="0" w:space="0" w:color="auto"/>
        <w:bottom w:val="none" w:sz="0" w:space="0" w:color="auto"/>
        <w:right w:val="none" w:sz="0" w:space="0" w:color="auto"/>
      </w:divBdr>
    </w:div>
    <w:div w:id="1605071708">
      <w:bodyDiv w:val="1"/>
      <w:marLeft w:val="0"/>
      <w:marRight w:val="0"/>
      <w:marTop w:val="0"/>
      <w:marBottom w:val="0"/>
      <w:divBdr>
        <w:top w:val="none" w:sz="0" w:space="0" w:color="auto"/>
        <w:left w:val="none" w:sz="0" w:space="0" w:color="auto"/>
        <w:bottom w:val="none" w:sz="0" w:space="0" w:color="auto"/>
        <w:right w:val="none" w:sz="0" w:space="0" w:color="auto"/>
      </w:divBdr>
    </w:div>
    <w:div w:id="1662847753">
      <w:bodyDiv w:val="1"/>
      <w:marLeft w:val="0"/>
      <w:marRight w:val="0"/>
      <w:marTop w:val="0"/>
      <w:marBottom w:val="0"/>
      <w:divBdr>
        <w:top w:val="none" w:sz="0" w:space="0" w:color="auto"/>
        <w:left w:val="none" w:sz="0" w:space="0" w:color="auto"/>
        <w:bottom w:val="none" w:sz="0" w:space="0" w:color="auto"/>
        <w:right w:val="none" w:sz="0" w:space="0" w:color="auto"/>
      </w:divBdr>
    </w:div>
    <w:div w:id="1692220665">
      <w:bodyDiv w:val="1"/>
      <w:marLeft w:val="0"/>
      <w:marRight w:val="0"/>
      <w:marTop w:val="0"/>
      <w:marBottom w:val="0"/>
      <w:divBdr>
        <w:top w:val="none" w:sz="0" w:space="0" w:color="auto"/>
        <w:left w:val="none" w:sz="0" w:space="0" w:color="auto"/>
        <w:bottom w:val="none" w:sz="0" w:space="0" w:color="auto"/>
        <w:right w:val="none" w:sz="0" w:space="0" w:color="auto"/>
      </w:divBdr>
    </w:div>
    <w:div w:id="1782142978">
      <w:bodyDiv w:val="1"/>
      <w:marLeft w:val="0"/>
      <w:marRight w:val="0"/>
      <w:marTop w:val="0"/>
      <w:marBottom w:val="0"/>
      <w:divBdr>
        <w:top w:val="none" w:sz="0" w:space="0" w:color="auto"/>
        <w:left w:val="none" w:sz="0" w:space="0" w:color="auto"/>
        <w:bottom w:val="none" w:sz="0" w:space="0" w:color="auto"/>
        <w:right w:val="none" w:sz="0" w:space="0" w:color="auto"/>
      </w:divBdr>
    </w:div>
    <w:div w:id="1803306585">
      <w:bodyDiv w:val="1"/>
      <w:marLeft w:val="0"/>
      <w:marRight w:val="0"/>
      <w:marTop w:val="0"/>
      <w:marBottom w:val="0"/>
      <w:divBdr>
        <w:top w:val="none" w:sz="0" w:space="0" w:color="auto"/>
        <w:left w:val="none" w:sz="0" w:space="0" w:color="auto"/>
        <w:bottom w:val="none" w:sz="0" w:space="0" w:color="auto"/>
        <w:right w:val="none" w:sz="0" w:space="0" w:color="auto"/>
      </w:divBdr>
    </w:div>
    <w:div w:id="1830974864">
      <w:bodyDiv w:val="1"/>
      <w:marLeft w:val="0"/>
      <w:marRight w:val="0"/>
      <w:marTop w:val="0"/>
      <w:marBottom w:val="0"/>
      <w:divBdr>
        <w:top w:val="none" w:sz="0" w:space="0" w:color="auto"/>
        <w:left w:val="none" w:sz="0" w:space="0" w:color="auto"/>
        <w:bottom w:val="none" w:sz="0" w:space="0" w:color="auto"/>
        <w:right w:val="none" w:sz="0" w:space="0" w:color="auto"/>
      </w:divBdr>
    </w:div>
    <w:div w:id="1931961690">
      <w:bodyDiv w:val="1"/>
      <w:marLeft w:val="0"/>
      <w:marRight w:val="0"/>
      <w:marTop w:val="0"/>
      <w:marBottom w:val="0"/>
      <w:divBdr>
        <w:top w:val="none" w:sz="0" w:space="0" w:color="auto"/>
        <w:left w:val="none" w:sz="0" w:space="0" w:color="auto"/>
        <w:bottom w:val="none" w:sz="0" w:space="0" w:color="auto"/>
        <w:right w:val="none" w:sz="0" w:space="0" w:color="auto"/>
      </w:divBdr>
    </w:div>
    <w:div w:id="1961833541">
      <w:bodyDiv w:val="1"/>
      <w:marLeft w:val="0"/>
      <w:marRight w:val="0"/>
      <w:marTop w:val="0"/>
      <w:marBottom w:val="0"/>
      <w:divBdr>
        <w:top w:val="none" w:sz="0" w:space="0" w:color="auto"/>
        <w:left w:val="none" w:sz="0" w:space="0" w:color="auto"/>
        <w:bottom w:val="none" w:sz="0" w:space="0" w:color="auto"/>
        <w:right w:val="none" w:sz="0" w:space="0" w:color="auto"/>
      </w:divBdr>
    </w:div>
    <w:div w:id="1975090781">
      <w:bodyDiv w:val="1"/>
      <w:marLeft w:val="0"/>
      <w:marRight w:val="0"/>
      <w:marTop w:val="0"/>
      <w:marBottom w:val="0"/>
      <w:divBdr>
        <w:top w:val="none" w:sz="0" w:space="0" w:color="auto"/>
        <w:left w:val="none" w:sz="0" w:space="0" w:color="auto"/>
        <w:bottom w:val="none" w:sz="0" w:space="0" w:color="auto"/>
        <w:right w:val="none" w:sz="0" w:space="0" w:color="auto"/>
      </w:divBdr>
    </w:div>
    <w:div w:id="2044861513">
      <w:bodyDiv w:val="1"/>
      <w:marLeft w:val="0"/>
      <w:marRight w:val="0"/>
      <w:marTop w:val="0"/>
      <w:marBottom w:val="0"/>
      <w:divBdr>
        <w:top w:val="none" w:sz="0" w:space="0" w:color="auto"/>
        <w:left w:val="none" w:sz="0" w:space="0" w:color="auto"/>
        <w:bottom w:val="none" w:sz="0" w:space="0" w:color="auto"/>
        <w:right w:val="none" w:sz="0" w:space="0" w:color="auto"/>
      </w:divBdr>
    </w:div>
    <w:div w:id="20940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BD3D-A875-4661-A10F-A3560BAC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E30B72AE.dotm</Template>
  <TotalTime>0</TotalTime>
  <Pages>9</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2018-08-15T04:43:00Z</dcterms:created>
  <dcterms:modified xsi:type="dcterms:W3CDTF">2018-08-16T23:29:00Z</dcterms:modified>
</cp:coreProperties>
</file>