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2440"/>
        <w:gridCol w:w="2967"/>
        <w:gridCol w:w="7104"/>
      </w:tblGrid>
      <w:tr w:rsidR="00F95241" w:rsidRPr="003D7E12" w:rsidTr="005478AD">
        <w:trPr>
          <w:cantSplit/>
          <w:tblHeader/>
        </w:trPr>
        <w:tc>
          <w:tcPr>
            <w:tcW w:w="3103" w:type="dxa"/>
            <w:tcMar>
              <w:top w:w="28" w:type="dxa"/>
              <w:bottom w:w="28" w:type="dxa"/>
            </w:tcMar>
            <w:vAlign w:val="center"/>
          </w:tcPr>
          <w:p w:rsidR="00F95241" w:rsidRPr="003D7E12" w:rsidRDefault="00F95241" w:rsidP="007E6788">
            <w:pPr>
              <w:widowControl w:val="0"/>
              <w:jc w:val="center"/>
              <w:rPr>
                <w:rFonts w:ascii="Arial" w:hAnsi="Arial" w:cs="Arial"/>
                <w:b/>
              </w:rPr>
            </w:pPr>
            <w:r w:rsidRPr="003D7E12">
              <w:rPr>
                <w:rFonts w:ascii="Arial" w:hAnsi="Arial" w:cs="Arial"/>
                <w:b/>
              </w:rPr>
              <w:t>DRUG, SPONSOR, TYPE OF SUBMISSION</w:t>
            </w:r>
          </w:p>
        </w:tc>
        <w:tc>
          <w:tcPr>
            <w:tcW w:w="2440" w:type="dxa"/>
            <w:tcMar>
              <w:top w:w="28" w:type="dxa"/>
              <w:bottom w:w="28" w:type="dxa"/>
            </w:tcMar>
            <w:vAlign w:val="center"/>
          </w:tcPr>
          <w:p w:rsidR="00F95241" w:rsidRPr="003D7E12" w:rsidRDefault="00F95241" w:rsidP="007E6788">
            <w:pPr>
              <w:widowControl w:val="0"/>
              <w:jc w:val="center"/>
              <w:rPr>
                <w:rFonts w:ascii="Arial" w:hAnsi="Arial" w:cs="Arial"/>
                <w:b/>
                <w:snapToGrid w:val="0"/>
                <w:lang w:eastAsia="en-US"/>
              </w:rPr>
            </w:pPr>
            <w:r w:rsidRPr="003D7E12">
              <w:rPr>
                <w:rFonts w:ascii="Arial" w:hAnsi="Arial" w:cs="Arial"/>
                <w:b/>
                <w:snapToGrid w:val="0"/>
                <w:lang w:eastAsia="en-US"/>
              </w:rPr>
              <w:t>DRUG TYPE OR USE</w:t>
            </w:r>
          </w:p>
          <w:p w:rsidR="00F95241" w:rsidRPr="003D7E12" w:rsidRDefault="00F95241" w:rsidP="007E6788">
            <w:pPr>
              <w:widowControl w:val="0"/>
              <w:jc w:val="center"/>
              <w:rPr>
                <w:rFonts w:ascii="Arial" w:hAnsi="Arial" w:cs="Arial"/>
                <w:b/>
                <w:i/>
                <w:snapToGrid w:val="0"/>
                <w:lang w:eastAsia="en-US"/>
              </w:rPr>
            </w:pPr>
          </w:p>
        </w:tc>
        <w:tc>
          <w:tcPr>
            <w:tcW w:w="2967" w:type="dxa"/>
            <w:tcMar>
              <w:top w:w="28" w:type="dxa"/>
              <w:bottom w:w="28" w:type="dxa"/>
            </w:tcMar>
            <w:vAlign w:val="center"/>
          </w:tcPr>
          <w:p w:rsidR="00F95241" w:rsidRPr="007E6788" w:rsidRDefault="00F95241" w:rsidP="007E6788">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tc>
        <w:tc>
          <w:tcPr>
            <w:tcW w:w="7104" w:type="dxa"/>
            <w:vAlign w:val="center"/>
          </w:tcPr>
          <w:p w:rsidR="00F95241" w:rsidRPr="003D7E12" w:rsidRDefault="00F95241" w:rsidP="007E6788">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4353FF" w:rsidRDefault="00F95241" w:rsidP="00477289">
            <w:pPr>
              <w:rPr>
                <w:rFonts w:ascii="Arial" w:hAnsi="Arial" w:cs="Arial"/>
                <w:color w:val="000000"/>
              </w:rPr>
            </w:pPr>
            <w:r w:rsidRPr="004353FF">
              <w:rPr>
                <w:rFonts w:ascii="Arial" w:hAnsi="Arial" w:cs="Arial"/>
                <w:color w:val="000000"/>
              </w:rPr>
              <w:t>ADALIMUMAB</w:t>
            </w:r>
            <w:r w:rsidRPr="004353FF">
              <w:rPr>
                <w:rFonts w:ascii="Arial" w:hAnsi="Arial" w:cs="Arial"/>
                <w:color w:val="000000"/>
              </w:rPr>
              <w:br/>
            </w:r>
            <w:r w:rsidRPr="004353FF">
              <w:rPr>
                <w:rFonts w:ascii="Arial" w:hAnsi="Arial" w:cs="Arial"/>
                <w:color w:val="000000"/>
              </w:rPr>
              <w:br/>
              <w:t>Injection 20 mg in 0.2 mL pre-filled syringe</w:t>
            </w:r>
            <w:r w:rsidRPr="004353FF">
              <w:rPr>
                <w:rFonts w:ascii="Arial" w:hAnsi="Arial" w:cs="Arial"/>
                <w:color w:val="000000"/>
              </w:rPr>
              <w:br/>
              <w:t>Injection 80 mg in 0.8 mL pre-filled pen</w:t>
            </w:r>
            <w:r w:rsidRPr="004353FF">
              <w:rPr>
                <w:rFonts w:ascii="Arial" w:hAnsi="Arial" w:cs="Arial"/>
                <w:color w:val="000000"/>
              </w:rPr>
              <w:br/>
            </w:r>
            <w:r w:rsidRPr="004353FF">
              <w:rPr>
                <w:rFonts w:ascii="Arial" w:hAnsi="Arial" w:cs="Arial"/>
                <w:color w:val="000000"/>
              </w:rPr>
              <w:br/>
              <w:t>Humira®</w:t>
            </w:r>
            <w:r w:rsidRPr="004353FF">
              <w:rPr>
                <w:rFonts w:ascii="Arial" w:hAnsi="Arial" w:cs="Arial"/>
                <w:color w:val="000000"/>
              </w:rPr>
              <w:br/>
            </w:r>
            <w:r w:rsidRPr="004353FF">
              <w:rPr>
                <w:rFonts w:ascii="Arial" w:hAnsi="Arial" w:cs="Arial"/>
                <w:color w:val="000000"/>
              </w:rPr>
              <w:br/>
              <w:t xml:space="preserve">AbbVie Pty Ltd </w:t>
            </w:r>
          </w:p>
          <w:p w:rsidR="00F95241" w:rsidRDefault="00F95241" w:rsidP="00216452">
            <w:pPr>
              <w:rPr>
                <w:rFonts w:ascii="Arial" w:hAnsi="Arial" w:cs="Arial"/>
                <w:b/>
              </w:rPr>
            </w:pPr>
          </w:p>
          <w:p w:rsidR="00F95241" w:rsidRDefault="00F95241" w:rsidP="003642C8">
            <w:pPr>
              <w:rPr>
                <w:rFonts w:ascii="Arial" w:hAnsi="Arial" w:cs="Arial"/>
              </w:rPr>
            </w:pPr>
            <w:r>
              <w:rPr>
                <w:rFonts w:ascii="Arial" w:hAnsi="Arial" w:cs="Arial"/>
              </w:rPr>
              <w:t>New listing</w:t>
            </w:r>
          </w:p>
          <w:p w:rsidR="00F95241" w:rsidRPr="004353FF" w:rsidRDefault="00F95241" w:rsidP="003642C8">
            <w:pPr>
              <w:rPr>
                <w:rFonts w:ascii="Arial" w:hAnsi="Arial" w:cs="Arial"/>
                <w:b/>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4353FF" w:rsidRDefault="00F95241" w:rsidP="00216452">
            <w:pPr>
              <w:rPr>
                <w:rFonts w:ascii="Arial" w:hAnsi="Arial" w:cs="Arial"/>
                <w:color w:val="000000"/>
              </w:rPr>
            </w:pPr>
            <w:r w:rsidRPr="004353FF">
              <w:rPr>
                <w:rFonts w:ascii="Arial" w:hAnsi="Arial" w:cs="Arial"/>
                <w:color w:val="000000"/>
              </w:rPr>
              <w:t>Severe active rheumatoid arthritis;</w:t>
            </w:r>
            <w:r w:rsidRPr="004353FF">
              <w:rPr>
                <w:rFonts w:ascii="Arial" w:hAnsi="Arial" w:cs="Arial"/>
                <w:color w:val="000000"/>
              </w:rPr>
              <w:br/>
              <w:t>Sever psoriatic arthritis;</w:t>
            </w:r>
            <w:r w:rsidRPr="004353FF">
              <w:rPr>
                <w:rFonts w:ascii="Arial" w:hAnsi="Arial" w:cs="Arial"/>
                <w:color w:val="000000"/>
              </w:rPr>
              <w:br/>
              <w:t>Ankylosing spondylitis;</w:t>
            </w:r>
            <w:r w:rsidRPr="004353FF">
              <w:rPr>
                <w:rFonts w:ascii="Arial" w:hAnsi="Arial" w:cs="Arial"/>
                <w:color w:val="000000"/>
              </w:rPr>
              <w:br/>
              <w:t>Severe chronic plaque psoriasis;</w:t>
            </w:r>
            <w:r w:rsidRPr="004353FF">
              <w:rPr>
                <w:rFonts w:ascii="Arial" w:hAnsi="Arial" w:cs="Arial"/>
                <w:color w:val="000000"/>
              </w:rPr>
              <w:br/>
              <w:t>Sever active juvenile idiopathic arthritis;</w:t>
            </w:r>
            <w:r w:rsidRPr="004353FF">
              <w:rPr>
                <w:rFonts w:ascii="Arial" w:hAnsi="Arial" w:cs="Arial"/>
                <w:color w:val="000000"/>
              </w:rPr>
              <w:br/>
              <w:t>Sever Crohn disease;</w:t>
            </w:r>
            <w:r w:rsidRPr="004353FF">
              <w:rPr>
                <w:rFonts w:ascii="Arial" w:hAnsi="Arial" w:cs="Arial"/>
                <w:color w:val="000000"/>
              </w:rPr>
              <w:br/>
              <w:t>Refractory fistulating Crohn disease;</w:t>
            </w:r>
            <w:r w:rsidRPr="004353FF">
              <w:rPr>
                <w:rFonts w:ascii="Arial" w:hAnsi="Arial" w:cs="Arial"/>
                <w:color w:val="000000"/>
              </w:rPr>
              <w:br/>
              <w:t>Moderate to severe ulcerative colitis;</w:t>
            </w:r>
            <w:r w:rsidRPr="004353FF">
              <w:rPr>
                <w:rFonts w:ascii="Arial" w:hAnsi="Arial" w:cs="Arial"/>
                <w:color w:val="000000"/>
              </w:rPr>
              <w:br/>
              <w:t>Moderate to severe hidradenitis suppurativa</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4353FF" w:rsidRDefault="00F95241" w:rsidP="00216452">
            <w:pPr>
              <w:rPr>
                <w:rFonts w:ascii="Arial" w:hAnsi="Arial" w:cs="Arial"/>
                <w:color w:val="000000"/>
              </w:rPr>
            </w:pPr>
            <w:r w:rsidRPr="004353FF">
              <w:rPr>
                <w:rFonts w:ascii="Arial" w:hAnsi="Arial" w:cs="Arial"/>
                <w:color w:val="000000"/>
              </w:rPr>
              <w:t>To request an Authority Required listing for two new forms of adalimumab and to request the current Section 100 (Highly Specialised Drug) listings for juvenile idiopathic arthritis (JIA) be changed to a General Schedule listing.</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C22173" w:rsidRPr="004353FF" w:rsidRDefault="00F95241" w:rsidP="00C22173">
            <w:pPr>
              <w:rPr>
                <w:rFonts w:ascii="Arial" w:hAnsi="Arial" w:cs="Arial"/>
                <w:color w:val="000000"/>
              </w:rPr>
            </w:pPr>
            <w:r w:rsidRPr="004353FF">
              <w:rPr>
                <w:rFonts w:ascii="Arial" w:hAnsi="Arial" w:cs="Arial"/>
                <w:color w:val="000000"/>
              </w:rPr>
              <w:t>The PBAC recommended Authority Required listings for two new forms and strengths of adalimumab on a cost-neutral basis to the exist</w:t>
            </w:r>
            <w:r>
              <w:rPr>
                <w:rFonts w:ascii="Arial" w:hAnsi="Arial" w:cs="Arial"/>
                <w:color w:val="000000"/>
              </w:rPr>
              <w:t>ing</w:t>
            </w:r>
            <w:r w:rsidRPr="004353FF">
              <w:rPr>
                <w:rFonts w:ascii="Arial" w:hAnsi="Arial" w:cs="Arial"/>
                <w:color w:val="000000"/>
              </w:rPr>
              <w:t xml:space="preserve"> forms of adalimumab. </w:t>
            </w:r>
            <w:r w:rsidR="00C22173">
              <w:rPr>
                <w:rFonts w:ascii="Arial" w:hAnsi="Arial" w:cs="Arial"/>
                <w:color w:val="000000"/>
              </w:rPr>
              <w:t>T</w:t>
            </w:r>
            <w:r w:rsidRPr="004353FF">
              <w:rPr>
                <w:rFonts w:ascii="Arial" w:hAnsi="Arial" w:cs="Arial"/>
                <w:color w:val="000000"/>
              </w:rPr>
              <w:t>he PBAC conside</w:t>
            </w:r>
            <w:r>
              <w:rPr>
                <w:rFonts w:ascii="Arial" w:hAnsi="Arial" w:cs="Arial"/>
                <w:color w:val="000000"/>
              </w:rPr>
              <w:t>red that the request to amend</w:t>
            </w:r>
            <w:r w:rsidRPr="004353FF">
              <w:rPr>
                <w:rFonts w:ascii="Arial" w:hAnsi="Arial" w:cs="Arial"/>
                <w:color w:val="000000"/>
              </w:rPr>
              <w:t xml:space="preserve"> the juvenile idiopathic arthritis (JIA) listings to G</w:t>
            </w:r>
            <w:r>
              <w:rPr>
                <w:rFonts w:ascii="Arial" w:hAnsi="Arial" w:cs="Arial"/>
                <w:color w:val="000000"/>
              </w:rPr>
              <w:t>eneral Schedule was</w:t>
            </w:r>
            <w:r w:rsidRPr="004353FF">
              <w:rPr>
                <w:rFonts w:ascii="Arial" w:hAnsi="Arial" w:cs="Arial"/>
                <w:color w:val="000000"/>
              </w:rPr>
              <w:t xml:space="preserve"> not appropriate due to the implications for public hospital-based prescribing by paediatric rheumatologists and in paediatric rheumatology centres in non-PBS reforms states. </w:t>
            </w:r>
          </w:p>
        </w:tc>
      </w:tr>
      <w:tr w:rsidR="00F95241" w:rsidRPr="003D7E12" w:rsidTr="005478AD">
        <w:trPr>
          <w:cantSplit/>
          <w:trHeight w:val="3015"/>
        </w:trPr>
        <w:tc>
          <w:tcPr>
            <w:tcW w:w="310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4353FF" w:rsidRDefault="00F95241" w:rsidP="00477289">
            <w:pPr>
              <w:rPr>
                <w:rFonts w:ascii="Arial" w:hAnsi="Arial" w:cs="Arial"/>
                <w:color w:val="000000"/>
              </w:rPr>
            </w:pPr>
            <w:r w:rsidRPr="004353FF">
              <w:rPr>
                <w:rFonts w:ascii="Arial" w:hAnsi="Arial" w:cs="Arial"/>
                <w:color w:val="000000"/>
              </w:rPr>
              <w:t>ADALIMUMAB</w:t>
            </w:r>
            <w:r w:rsidRPr="004353FF">
              <w:rPr>
                <w:rFonts w:ascii="Arial" w:hAnsi="Arial" w:cs="Arial"/>
                <w:color w:val="000000"/>
              </w:rPr>
              <w:br/>
            </w:r>
            <w:r w:rsidRPr="004353FF">
              <w:rPr>
                <w:rFonts w:ascii="Arial" w:hAnsi="Arial" w:cs="Arial"/>
                <w:color w:val="000000"/>
              </w:rPr>
              <w:br/>
              <w:t>Injection 20 mg in 0.4 mL pre-filled syringe</w:t>
            </w:r>
            <w:r w:rsidRPr="004353FF">
              <w:rPr>
                <w:rFonts w:ascii="Arial" w:hAnsi="Arial" w:cs="Arial"/>
                <w:color w:val="000000"/>
              </w:rPr>
              <w:br/>
              <w:t>Injection 40 mg in 0.8 mL pre-filled syringe</w:t>
            </w:r>
            <w:r w:rsidRPr="004353FF">
              <w:rPr>
                <w:rFonts w:ascii="Arial" w:hAnsi="Arial" w:cs="Arial"/>
                <w:color w:val="000000"/>
              </w:rPr>
              <w:br/>
              <w:t>Injection 40 mg in 0.8 mL pre-filled pen</w:t>
            </w:r>
            <w:r w:rsidRPr="004353FF">
              <w:rPr>
                <w:rFonts w:ascii="Arial" w:hAnsi="Arial" w:cs="Arial"/>
                <w:color w:val="000000"/>
              </w:rPr>
              <w:br/>
            </w:r>
            <w:r w:rsidRPr="004353FF">
              <w:rPr>
                <w:rFonts w:ascii="Arial" w:hAnsi="Arial" w:cs="Arial"/>
                <w:color w:val="000000"/>
              </w:rPr>
              <w:br/>
              <w:t>Amgevita®</w:t>
            </w:r>
            <w:r w:rsidRPr="004353FF">
              <w:rPr>
                <w:rFonts w:ascii="Arial" w:hAnsi="Arial" w:cs="Arial"/>
                <w:color w:val="000000"/>
              </w:rPr>
              <w:br/>
            </w:r>
            <w:r w:rsidRPr="004353FF">
              <w:rPr>
                <w:rFonts w:ascii="Arial" w:hAnsi="Arial" w:cs="Arial"/>
                <w:color w:val="000000"/>
              </w:rPr>
              <w:br/>
              <w:t>Amgen Australia Pty Limited</w:t>
            </w:r>
          </w:p>
          <w:p w:rsidR="00F95241" w:rsidRDefault="00F95241" w:rsidP="00216452">
            <w:pPr>
              <w:rPr>
                <w:rFonts w:ascii="Arial" w:hAnsi="Arial" w:cs="Arial"/>
                <w:b/>
              </w:rPr>
            </w:pPr>
          </w:p>
          <w:p w:rsidR="00F95241" w:rsidRDefault="00F95241" w:rsidP="00216452">
            <w:pPr>
              <w:rPr>
                <w:rFonts w:ascii="Arial" w:hAnsi="Arial" w:cs="Arial"/>
              </w:rPr>
            </w:pPr>
            <w:r>
              <w:rPr>
                <w:rFonts w:ascii="Arial" w:hAnsi="Arial" w:cs="Arial"/>
              </w:rPr>
              <w:t>New listing</w:t>
            </w:r>
          </w:p>
          <w:p w:rsidR="00F95241" w:rsidRPr="003642C8" w:rsidRDefault="00F95241" w:rsidP="00216452">
            <w:pPr>
              <w:rPr>
                <w:rFonts w:ascii="Arial" w:hAnsi="Arial" w:cs="Arial"/>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4353FF" w:rsidRDefault="00F95241" w:rsidP="00216452">
            <w:pPr>
              <w:rPr>
                <w:rFonts w:ascii="Arial" w:hAnsi="Arial" w:cs="Arial"/>
                <w:color w:val="000000"/>
              </w:rPr>
            </w:pPr>
            <w:r w:rsidRPr="004353FF">
              <w:rPr>
                <w:rFonts w:ascii="Arial" w:hAnsi="Arial" w:cs="Arial"/>
                <w:color w:val="000000"/>
              </w:rPr>
              <w:t>Severe active rheumatoid arthritis;</w:t>
            </w:r>
            <w:r w:rsidRPr="004353FF">
              <w:rPr>
                <w:rFonts w:ascii="Arial" w:hAnsi="Arial" w:cs="Arial"/>
                <w:color w:val="000000"/>
              </w:rPr>
              <w:br/>
              <w:t xml:space="preserve">Severe psoriatic arthritis; </w:t>
            </w:r>
            <w:r w:rsidRPr="004353FF">
              <w:rPr>
                <w:rFonts w:ascii="Arial" w:hAnsi="Arial" w:cs="Arial"/>
                <w:color w:val="000000"/>
              </w:rPr>
              <w:br/>
              <w:t>Ankylosing spondylitis;</w:t>
            </w:r>
            <w:r w:rsidRPr="004353FF">
              <w:rPr>
                <w:rFonts w:ascii="Arial" w:hAnsi="Arial" w:cs="Arial"/>
                <w:color w:val="000000"/>
              </w:rPr>
              <w:br/>
              <w:t>Severe chronic plaque psoriasis;</w:t>
            </w:r>
            <w:r w:rsidRPr="004353FF">
              <w:rPr>
                <w:rFonts w:ascii="Arial" w:hAnsi="Arial" w:cs="Arial"/>
                <w:color w:val="000000"/>
              </w:rPr>
              <w:br/>
              <w:t>Severe active juvenile idiopathic arthritis;</w:t>
            </w:r>
            <w:r w:rsidRPr="004353FF">
              <w:rPr>
                <w:rFonts w:ascii="Arial" w:hAnsi="Arial" w:cs="Arial"/>
                <w:color w:val="000000"/>
              </w:rPr>
              <w:br/>
              <w:t>Severe Crohn disease;</w:t>
            </w:r>
            <w:r w:rsidRPr="004353FF">
              <w:rPr>
                <w:rFonts w:ascii="Arial" w:hAnsi="Arial" w:cs="Arial"/>
                <w:color w:val="000000"/>
              </w:rPr>
              <w:br/>
              <w:t>Refractory fistulating Crohn disease;</w:t>
            </w:r>
            <w:r w:rsidRPr="004353FF">
              <w:rPr>
                <w:rFonts w:ascii="Arial" w:hAnsi="Arial" w:cs="Arial"/>
                <w:color w:val="000000"/>
              </w:rPr>
              <w:br/>
              <w:t>Moderate to severe ulcerative colitis;</w:t>
            </w:r>
            <w:r w:rsidRPr="004353FF">
              <w:rPr>
                <w:rFonts w:ascii="Arial" w:hAnsi="Arial" w:cs="Arial"/>
                <w:color w:val="000000"/>
              </w:rPr>
              <w:br/>
              <w:t>Moderate to severe hidradenitis suppurativa</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084C6C" w:rsidRDefault="00F95241" w:rsidP="00084C6C">
            <w:pPr>
              <w:rPr>
                <w:rFonts w:ascii="Arial" w:hAnsi="Arial" w:cs="Arial"/>
                <w:color w:val="000000"/>
              </w:rPr>
            </w:pPr>
            <w:r w:rsidRPr="004353FF">
              <w:rPr>
                <w:rFonts w:ascii="Arial" w:hAnsi="Arial" w:cs="Arial"/>
                <w:color w:val="000000"/>
              </w:rPr>
              <w:t>To request an Authority Required listing of this biosimilar brand for all indications for which the reference biological is currently PBS listed.</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084C6C" w:rsidRDefault="00F95241" w:rsidP="00084C6C">
            <w:pPr>
              <w:rPr>
                <w:rFonts w:ascii="Arial" w:hAnsi="Arial" w:cs="Arial"/>
                <w:color w:val="000000"/>
              </w:rPr>
            </w:pPr>
            <w:r w:rsidRPr="004353FF">
              <w:rPr>
                <w:rFonts w:ascii="Arial" w:hAnsi="Arial" w:cs="Arial"/>
                <w:color w:val="000000"/>
              </w:rPr>
              <w:t xml:space="preserve">The PBAC recommended the listing of </w:t>
            </w:r>
            <w:r>
              <w:rPr>
                <w:rFonts w:ascii="Arial" w:hAnsi="Arial" w:cs="Arial"/>
                <w:color w:val="000000"/>
              </w:rPr>
              <w:t>the biosimilar brand of adalimumab (Amgevita</w:t>
            </w:r>
            <w:r w:rsidRPr="00140BDF">
              <w:rPr>
                <w:rFonts w:ascii="Arial" w:hAnsi="Arial" w:cs="Arial"/>
                <w:color w:val="000000"/>
              </w:rPr>
              <w:t>®</w:t>
            </w:r>
            <w:r>
              <w:rPr>
                <w:rFonts w:ascii="Arial" w:hAnsi="Arial" w:cs="Arial"/>
                <w:color w:val="000000"/>
              </w:rPr>
              <w:t>) for the same indication as the reference brand Humira.</w:t>
            </w:r>
            <w:r w:rsidRPr="004353FF">
              <w:rPr>
                <w:rFonts w:ascii="Arial" w:hAnsi="Arial" w:cs="Arial"/>
                <w:color w:val="000000"/>
              </w:rPr>
              <w:t xml:space="preserve"> The PBAC advised that, under Section 101(4AACD) of the </w:t>
            </w:r>
            <w:r w:rsidRPr="008A54D0">
              <w:rPr>
                <w:rFonts w:ascii="Arial" w:hAnsi="Arial" w:cs="Arial"/>
                <w:i/>
                <w:color w:val="000000"/>
              </w:rPr>
              <w:t>National Health Act, 1953</w:t>
            </w:r>
            <w:r w:rsidRPr="004353FF">
              <w:rPr>
                <w:rFonts w:ascii="Arial" w:hAnsi="Arial" w:cs="Arial"/>
                <w:color w:val="000000"/>
              </w:rPr>
              <w:t>, in the Schedule of Pharmaceutical Benefits, Amgevita</w:t>
            </w:r>
            <w:r w:rsidRPr="00140BDF">
              <w:rPr>
                <w:rFonts w:ascii="Arial" w:hAnsi="Arial" w:cs="Arial"/>
                <w:color w:val="000000"/>
              </w:rPr>
              <w:t>®</w:t>
            </w:r>
            <w:r w:rsidRPr="004353FF">
              <w:rPr>
                <w:rFonts w:ascii="Arial" w:hAnsi="Arial" w:cs="Arial"/>
                <w:color w:val="000000"/>
              </w:rPr>
              <w:t>, Hadlima</w:t>
            </w:r>
            <w:r w:rsidRPr="00140BDF">
              <w:rPr>
                <w:rFonts w:ascii="Arial" w:hAnsi="Arial" w:cs="Arial"/>
                <w:color w:val="000000"/>
              </w:rPr>
              <w:t>®</w:t>
            </w:r>
            <w:r w:rsidRPr="004353FF">
              <w:rPr>
                <w:rFonts w:ascii="Arial" w:hAnsi="Arial" w:cs="Arial"/>
                <w:color w:val="000000"/>
              </w:rPr>
              <w:t xml:space="preserve"> and Humira</w:t>
            </w:r>
            <w:r w:rsidRPr="00140BDF">
              <w:rPr>
                <w:rFonts w:ascii="Arial" w:hAnsi="Arial" w:cs="Arial"/>
                <w:color w:val="000000"/>
              </w:rPr>
              <w:t>®</w:t>
            </w:r>
            <w:r w:rsidRPr="004353FF">
              <w:rPr>
                <w:rFonts w:ascii="Arial" w:hAnsi="Arial" w:cs="Arial"/>
                <w:color w:val="000000"/>
              </w:rPr>
              <w:t xml:space="preserve"> pre-filled syringes should be treated as equivalent</w:t>
            </w:r>
            <w:r>
              <w:rPr>
                <w:rFonts w:ascii="Arial" w:hAnsi="Arial" w:cs="Arial"/>
                <w:color w:val="000000"/>
              </w:rPr>
              <w:t xml:space="preserve"> (‘a’ flagged)</w:t>
            </w:r>
            <w:r w:rsidRPr="004353FF">
              <w:rPr>
                <w:rFonts w:ascii="Arial" w:hAnsi="Arial" w:cs="Arial"/>
                <w:color w:val="000000"/>
              </w:rPr>
              <w:t xml:space="preserve"> to each other and Amgevita</w:t>
            </w:r>
            <w:r w:rsidRPr="00140BDF">
              <w:rPr>
                <w:rFonts w:ascii="Arial" w:hAnsi="Arial" w:cs="Arial"/>
                <w:color w:val="000000"/>
              </w:rPr>
              <w:t>®</w:t>
            </w:r>
            <w:r w:rsidRPr="004353FF">
              <w:rPr>
                <w:rFonts w:ascii="Arial" w:hAnsi="Arial" w:cs="Arial"/>
                <w:color w:val="000000"/>
              </w:rPr>
              <w:t>, Hadlima</w:t>
            </w:r>
            <w:r w:rsidRPr="00140BDF">
              <w:rPr>
                <w:rFonts w:ascii="Arial" w:hAnsi="Arial" w:cs="Arial"/>
                <w:color w:val="000000"/>
              </w:rPr>
              <w:t>®</w:t>
            </w:r>
            <w:r w:rsidRPr="004353FF">
              <w:rPr>
                <w:rFonts w:ascii="Arial" w:hAnsi="Arial" w:cs="Arial"/>
                <w:color w:val="000000"/>
              </w:rPr>
              <w:t xml:space="preserve"> and Humira</w:t>
            </w:r>
            <w:r w:rsidRPr="00140BDF">
              <w:rPr>
                <w:rFonts w:ascii="Arial" w:hAnsi="Arial" w:cs="Arial"/>
                <w:color w:val="000000"/>
              </w:rPr>
              <w:t>®</w:t>
            </w:r>
            <w:r w:rsidRPr="004353FF">
              <w:rPr>
                <w:rFonts w:ascii="Arial" w:hAnsi="Arial" w:cs="Arial"/>
                <w:color w:val="000000"/>
              </w:rPr>
              <w:t xml:space="preserve"> cartridges should be treated as equivalent</w:t>
            </w:r>
            <w:r>
              <w:rPr>
                <w:rFonts w:ascii="Arial" w:hAnsi="Arial" w:cs="Arial"/>
                <w:color w:val="000000"/>
              </w:rPr>
              <w:t xml:space="preserve"> (‘a’ flagged) to each other</w:t>
            </w:r>
            <w:r w:rsidR="00C22173">
              <w:rPr>
                <w:rFonts w:ascii="Arial" w:hAnsi="Arial" w:cs="Arial"/>
                <w:color w:val="000000"/>
              </w:rPr>
              <w:t>, for respective PBS-listed indications for each brand</w:t>
            </w:r>
            <w:r>
              <w:rPr>
                <w:rFonts w:ascii="Arial" w:hAnsi="Arial" w:cs="Arial"/>
                <w:color w:val="000000"/>
              </w:rPr>
              <w:t>.</w:t>
            </w:r>
          </w:p>
          <w:p w:rsidR="00084C6C" w:rsidRDefault="00084C6C" w:rsidP="00084C6C">
            <w:pPr>
              <w:rPr>
                <w:rFonts w:ascii="Arial" w:hAnsi="Arial" w:cs="Arial"/>
                <w:color w:val="000000"/>
              </w:rPr>
            </w:pPr>
          </w:p>
          <w:p w:rsidR="00C22173" w:rsidRPr="000623C3" w:rsidRDefault="00F95241" w:rsidP="00084C6C">
            <w:pPr>
              <w:rPr>
                <w:rFonts w:ascii="Arial" w:hAnsi="Arial" w:cs="Arial"/>
                <w:color w:val="000000"/>
              </w:rPr>
            </w:pPr>
            <w:r w:rsidRPr="004353FF">
              <w:rPr>
                <w:rFonts w:ascii="Arial" w:hAnsi="Arial" w:cs="Arial"/>
                <w:color w:val="000000"/>
              </w:rPr>
              <w:t>The PBAC advised that the biosimilar uptake drivers should be applied to adalimumab consistent with previous recommendations regarding the application of the drivers to other biosimilar biological medicines listed for the same indications.</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4353FF" w:rsidRDefault="00F95241" w:rsidP="00477289">
            <w:pPr>
              <w:rPr>
                <w:rFonts w:ascii="Arial" w:hAnsi="Arial" w:cs="Arial"/>
                <w:color w:val="000000"/>
              </w:rPr>
            </w:pPr>
            <w:r w:rsidRPr="004353FF">
              <w:rPr>
                <w:rFonts w:ascii="Arial" w:hAnsi="Arial" w:cs="Arial"/>
                <w:color w:val="000000"/>
              </w:rPr>
              <w:lastRenderedPageBreak/>
              <w:t>ADALIMUMAB</w:t>
            </w:r>
            <w:r w:rsidRPr="004353FF">
              <w:rPr>
                <w:rFonts w:ascii="Arial" w:hAnsi="Arial" w:cs="Arial"/>
                <w:color w:val="000000"/>
              </w:rPr>
              <w:br/>
            </w:r>
            <w:r w:rsidRPr="004353FF">
              <w:rPr>
                <w:rFonts w:ascii="Arial" w:hAnsi="Arial" w:cs="Arial"/>
                <w:color w:val="000000"/>
              </w:rPr>
              <w:br/>
              <w:t>Injection 40 mg in 0.8 mL pre-filled syringe</w:t>
            </w:r>
            <w:r w:rsidRPr="004353FF">
              <w:rPr>
                <w:rFonts w:ascii="Arial" w:hAnsi="Arial" w:cs="Arial"/>
                <w:color w:val="000000"/>
              </w:rPr>
              <w:br/>
            </w:r>
            <w:r w:rsidRPr="004353FF">
              <w:rPr>
                <w:rFonts w:ascii="Arial" w:hAnsi="Arial" w:cs="Arial"/>
                <w:color w:val="000000"/>
              </w:rPr>
              <w:br/>
              <w:t>Injection 40 mg in 0.8 mL single dose autoinjector</w:t>
            </w:r>
            <w:r w:rsidRPr="004353FF">
              <w:rPr>
                <w:rFonts w:ascii="Arial" w:hAnsi="Arial" w:cs="Arial"/>
                <w:color w:val="000000"/>
              </w:rPr>
              <w:br/>
            </w:r>
            <w:r w:rsidRPr="004353FF">
              <w:rPr>
                <w:rFonts w:ascii="Arial" w:hAnsi="Arial" w:cs="Arial"/>
                <w:color w:val="000000"/>
              </w:rPr>
              <w:br/>
              <w:t>Hadlima®</w:t>
            </w:r>
            <w:r w:rsidRPr="004353FF">
              <w:rPr>
                <w:rFonts w:ascii="Arial" w:hAnsi="Arial" w:cs="Arial"/>
                <w:color w:val="000000"/>
              </w:rPr>
              <w:br/>
            </w:r>
            <w:r w:rsidRPr="004353FF">
              <w:rPr>
                <w:rFonts w:ascii="Arial" w:hAnsi="Arial" w:cs="Arial"/>
                <w:color w:val="000000"/>
              </w:rPr>
              <w:br/>
              <w:t>Merck Sharp &amp; Dohme (Australia) Pty Ltd</w:t>
            </w:r>
          </w:p>
          <w:p w:rsidR="00F95241" w:rsidRDefault="00F95241" w:rsidP="00216452">
            <w:pPr>
              <w:rPr>
                <w:rFonts w:ascii="Arial" w:hAnsi="Arial" w:cs="Arial"/>
                <w:b/>
              </w:rPr>
            </w:pPr>
          </w:p>
          <w:p w:rsidR="00F95241" w:rsidRDefault="00F95241" w:rsidP="003642C8">
            <w:pPr>
              <w:rPr>
                <w:rFonts w:ascii="Arial" w:hAnsi="Arial" w:cs="Arial"/>
              </w:rPr>
            </w:pPr>
            <w:r>
              <w:rPr>
                <w:rFonts w:ascii="Arial" w:hAnsi="Arial" w:cs="Arial"/>
              </w:rPr>
              <w:t>New listing</w:t>
            </w:r>
          </w:p>
          <w:p w:rsidR="00F95241" w:rsidRPr="004353FF" w:rsidRDefault="00F95241" w:rsidP="003642C8">
            <w:pPr>
              <w:rPr>
                <w:rFonts w:ascii="Arial" w:hAnsi="Arial" w:cs="Arial"/>
                <w:b/>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4353FF" w:rsidRDefault="00F95241" w:rsidP="00477289">
            <w:pPr>
              <w:rPr>
                <w:rFonts w:ascii="Arial" w:hAnsi="Arial" w:cs="Arial"/>
                <w:color w:val="000000"/>
              </w:rPr>
            </w:pPr>
            <w:r w:rsidRPr="004353FF">
              <w:rPr>
                <w:rFonts w:ascii="Arial" w:hAnsi="Arial" w:cs="Arial"/>
                <w:color w:val="000000"/>
              </w:rPr>
              <w:t>Severe active rheumatoid arthritis (RA)</w:t>
            </w:r>
          </w:p>
          <w:p w:rsidR="00F95241" w:rsidRPr="004353FF" w:rsidRDefault="00F95241" w:rsidP="00216452">
            <w:pPr>
              <w:rPr>
                <w:rFonts w:ascii="Arial" w:hAnsi="Arial" w:cs="Arial"/>
              </w:rPr>
            </w:pPr>
          </w:p>
        </w:tc>
        <w:tc>
          <w:tcPr>
            <w:tcW w:w="29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4353FF" w:rsidRDefault="00F95241" w:rsidP="00477289">
            <w:pPr>
              <w:rPr>
                <w:rFonts w:ascii="Arial" w:hAnsi="Arial" w:cs="Arial"/>
                <w:color w:val="000000"/>
              </w:rPr>
            </w:pPr>
            <w:r w:rsidRPr="004353FF">
              <w:rPr>
                <w:rFonts w:ascii="Arial" w:hAnsi="Arial" w:cs="Arial"/>
                <w:color w:val="000000"/>
              </w:rPr>
              <w:t>To request an Authority Required listing of this biosimilar brand for the rheumatoid arthritis indication for which the reference biological is currently PBS listed.</w:t>
            </w:r>
          </w:p>
          <w:p w:rsidR="00F95241" w:rsidRPr="004353FF" w:rsidRDefault="00F95241" w:rsidP="00216452">
            <w:pPr>
              <w:pStyle w:val="ListParagraph"/>
              <w:spacing w:after="120"/>
              <w:ind w:left="0"/>
              <w:contextualSpacing w:val="0"/>
              <w:rPr>
                <w:rFonts w:ascii="Arial" w:eastAsia="Times New Roman" w:hAnsi="Arial" w:cs="Arial"/>
                <w:color w:val="000000"/>
                <w:sz w:val="20"/>
                <w:szCs w:val="20"/>
              </w:rPr>
            </w:pP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F95241" w:rsidRDefault="00F95241" w:rsidP="00140BDF">
            <w:pPr>
              <w:rPr>
                <w:rFonts w:ascii="Arial" w:hAnsi="Arial" w:cs="Arial"/>
                <w:color w:val="000000"/>
              </w:rPr>
            </w:pPr>
            <w:r w:rsidRPr="004353FF">
              <w:rPr>
                <w:rFonts w:ascii="Arial" w:hAnsi="Arial" w:cs="Arial"/>
                <w:color w:val="000000"/>
              </w:rPr>
              <w:t xml:space="preserve">The PBAC recommended the </w:t>
            </w:r>
            <w:r>
              <w:rPr>
                <w:rFonts w:ascii="Arial" w:hAnsi="Arial" w:cs="Arial"/>
                <w:color w:val="000000"/>
              </w:rPr>
              <w:t xml:space="preserve">biosimilar brand of </w:t>
            </w:r>
            <w:r w:rsidRPr="004353FF">
              <w:rPr>
                <w:rFonts w:ascii="Arial" w:hAnsi="Arial" w:cs="Arial"/>
                <w:color w:val="000000"/>
              </w:rPr>
              <w:t>adalimumab (Hadlima</w:t>
            </w:r>
            <w:r w:rsidRPr="00140BDF">
              <w:rPr>
                <w:rFonts w:ascii="Arial" w:hAnsi="Arial" w:cs="Arial"/>
                <w:color w:val="000000"/>
              </w:rPr>
              <w:t>®</w:t>
            </w:r>
            <w:r w:rsidRPr="004353FF">
              <w:rPr>
                <w:rFonts w:ascii="Arial" w:hAnsi="Arial" w:cs="Arial"/>
                <w:color w:val="000000"/>
              </w:rPr>
              <w:t>) be listed for the rheumatoid arthritis (RA) indication for which the reference product Humira</w:t>
            </w:r>
            <w:r w:rsidRPr="00140BDF">
              <w:rPr>
                <w:rFonts w:ascii="Arial" w:hAnsi="Arial" w:cs="Arial"/>
                <w:color w:val="000000"/>
              </w:rPr>
              <w:t>®</w:t>
            </w:r>
            <w:r w:rsidRPr="004353FF">
              <w:rPr>
                <w:rFonts w:ascii="Arial" w:hAnsi="Arial" w:cs="Arial"/>
                <w:color w:val="000000"/>
              </w:rPr>
              <w:t xml:space="preserve"> is currently PBS listed.</w:t>
            </w:r>
          </w:p>
          <w:p w:rsidR="00084C6C" w:rsidRDefault="00084C6C" w:rsidP="00140BDF">
            <w:pPr>
              <w:rPr>
                <w:rFonts w:ascii="Arial" w:hAnsi="Arial" w:cs="Arial"/>
                <w:color w:val="000000"/>
              </w:rPr>
            </w:pPr>
          </w:p>
          <w:p w:rsidR="00084C6C" w:rsidRDefault="00F95241" w:rsidP="00084C6C">
            <w:pPr>
              <w:rPr>
                <w:rFonts w:ascii="Arial" w:hAnsi="Arial" w:cs="Arial"/>
                <w:color w:val="000000"/>
              </w:rPr>
            </w:pPr>
            <w:r w:rsidRPr="00140BDF">
              <w:rPr>
                <w:rFonts w:ascii="Arial" w:hAnsi="Arial" w:cs="Arial"/>
                <w:color w:val="000000"/>
              </w:rPr>
              <w:t>In Australia, decisions about indication extrapolation for biosimilar medicines are made by the Therapeutic Goods Administration</w:t>
            </w:r>
            <w:r>
              <w:rPr>
                <w:rFonts w:ascii="Arial" w:hAnsi="Arial" w:cs="Arial"/>
                <w:color w:val="000000"/>
              </w:rPr>
              <w:t xml:space="preserve"> (TGA)</w:t>
            </w:r>
            <w:r w:rsidRPr="00140BDF">
              <w:rPr>
                <w:rFonts w:ascii="Arial" w:hAnsi="Arial" w:cs="Arial"/>
                <w:color w:val="000000"/>
              </w:rPr>
              <w:t>. The PBAC noted that rheumatoid arthritis is the only TGA-approved indication for Hadlima®, and that the sponsor had not sought to have Hadlima® TGA-registered for the remaining Humira®-appr</w:t>
            </w:r>
            <w:r>
              <w:rPr>
                <w:rFonts w:ascii="Arial" w:hAnsi="Arial" w:cs="Arial"/>
                <w:color w:val="000000"/>
              </w:rPr>
              <w:t xml:space="preserve">oved indications at this time. </w:t>
            </w:r>
          </w:p>
          <w:p w:rsidR="00084C6C" w:rsidRDefault="00084C6C" w:rsidP="00084C6C">
            <w:pPr>
              <w:rPr>
                <w:rFonts w:ascii="Arial" w:hAnsi="Arial" w:cs="Arial"/>
                <w:color w:val="000000"/>
              </w:rPr>
            </w:pPr>
          </w:p>
          <w:p w:rsidR="00084C6C" w:rsidRDefault="00F95241" w:rsidP="00084C6C">
            <w:pPr>
              <w:rPr>
                <w:rFonts w:ascii="Arial" w:hAnsi="Arial" w:cs="Arial"/>
                <w:color w:val="000000"/>
              </w:rPr>
            </w:pPr>
            <w:r w:rsidRPr="004353FF">
              <w:rPr>
                <w:rFonts w:ascii="Arial" w:hAnsi="Arial" w:cs="Arial"/>
                <w:color w:val="000000"/>
              </w:rPr>
              <w:t>The PBAC advised that</w:t>
            </w:r>
            <w:r>
              <w:rPr>
                <w:rFonts w:ascii="Arial" w:hAnsi="Arial" w:cs="Arial"/>
                <w:color w:val="000000"/>
              </w:rPr>
              <w:t>,</w:t>
            </w:r>
            <w:r w:rsidRPr="004353FF">
              <w:rPr>
                <w:rFonts w:ascii="Arial" w:hAnsi="Arial" w:cs="Arial"/>
                <w:color w:val="000000"/>
              </w:rPr>
              <w:t xml:space="preserve"> under Section 101(4AACD) of the </w:t>
            </w:r>
            <w:r w:rsidRPr="008A54D0">
              <w:rPr>
                <w:rFonts w:ascii="Arial" w:hAnsi="Arial" w:cs="Arial"/>
                <w:i/>
                <w:color w:val="000000"/>
              </w:rPr>
              <w:t>National Health Act, 1953</w:t>
            </w:r>
            <w:r>
              <w:rPr>
                <w:rFonts w:ascii="Arial" w:hAnsi="Arial" w:cs="Arial"/>
                <w:color w:val="000000"/>
              </w:rPr>
              <w:t>,</w:t>
            </w:r>
            <w:r w:rsidRPr="004353FF">
              <w:rPr>
                <w:rFonts w:ascii="Arial" w:hAnsi="Arial" w:cs="Arial"/>
                <w:color w:val="000000"/>
              </w:rPr>
              <w:t xml:space="preserve"> in the Schedule of Pharmaceutical Benefits,</w:t>
            </w:r>
            <w:r w:rsidR="000623C3">
              <w:rPr>
                <w:rFonts w:ascii="Arial" w:hAnsi="Arial" w:cs="Arial"/>
                <w:color w:val="000000"/>
              </w:rPr>
              <w:t xml:space="preserve"> for respective PBS-listed indications for each brand,</w:t>
            </w:r>
            <w:r w:rsidRPr="004353FF">
              <w:rPr>
                <w:rFonts w:ascii="Arial" w:hAnsi="Arial" w:cs="Arial"/>
                <w:color w:val="000000"/>
              </w:rPr>
              <w:t xml:space="preserve"> Hadlima</w:t>
            </w:r>
            <w:r w:rsidRPr="00140BDF">
              <w:rPr>
                <w:rFonts w:ascii="Arial" w:hAnsi="Arial" w:cs="Arial"/>
                <w:color w:val="000000"/>
              </w:rPr>
              <w:t>®</w:t>
            </w:r>
            <w:r w:rsidRPr="004353FF">
              <w:rPr>
                <w:rFonts w:ascii="Arial" w:hAnsi="Arial" w:cs="Arial"/>
                <w:color w:val="000000"/>
              </w:rPr>
              <w:t>, Amgevita</w:t>
            </w:r>
            <w:r w:rsidRPr="00140BDF">
              <w:rPr>
                <w:rFonts w:ascii="Arial" w:hAnsi="Arial" w:cs="Arial"/>
                <w:color w:val="000000"/>
              </w:rPr>
              <w:t>®</w:t>
            </w:r>
            <w:r w:rsidRPr="004353FF">
              <w:rPr>
                <w:rFonts w:ascii="Arial" w:hAnsi="Arial" w:cs="Arial"/>
                <w:color w:val="000000"/>
              </w:rPr>
              <w:t xml:space="preserve"> and Humira</w:t>
            </w:r>
            <w:r w:rsidRPr="00140BDF">
              <w:rPr>
                <w:rFonts w:ascii="Arial" w:hAnsi="Arial" w:cs="Arial"/>
                <w:color w:val="000000"/>
              </w:rPr>
              <w:t>®</w:t>
            </w:r>
            <w:r w:rsidRPr="004353FF">
              <w:rPr>
                <w:rFonts w:ascii="Arial" w:hAnsi="Arial" w:cs="Arial"/>
                <w:color w:val="000000"/>
              </w:rPr>
              <w:t xml:space="preserve"> pre-filled syringes should be treated as equivalent </w:t>
            </w:r>
            <w:r>
              <w:rPr>
                <w:rFonts w:ascii="Arial" w:hAnsi="Arial" w:cs="Arial"/>
                <w:color w:val="000000"/>
              </w:rPr>
              <w:t xml:space="preserve">(‘a’ flagged) </w:t>
            </w:r>
            <w:r w:rsidRPr="004353FF">
              <w:rPr>
                <w:rFonts w:ascii="Arial" w:hAnsi="Arial" w:cs="Arial"/>
                <w:color w:val="000000"/>
              </w:rPr>
              <w:t>to each other and Hadlima, Amgevita and Humira cartridges should be treated as equivalent</w:t>
            </w:r>
            <w:r>
              <w:rPr>
                <w:rFonts w:ascii="Arial" w:hAnsi="Arial" w:cs="Arial"/>
                <w:color w:val="000000"/>
              </w:rPr>
              <w:t xml:space="preserve"> (‘a’ flagged)</w:t>
            </w:r>
            <w:r w:rsidRPr="004353FF">
              <w:rPr>
                <w:rFonts w:ascii="Arial" w:hAnsi="Arial" w:cs="Arial"/>
                <w:color w:val="000000"/>
              </w:rPr>
              <w:t xml:space="preserve"> to each other. </w:t>
            </w:r>
          </w:p>
          <w:p w:rsidR="00084C6C" w:rsidRDefault="00084C6C" w:rsidP="00084C6C">
            <w:pPr>
              <w:rPr>
                <w:rFonts w:ascii="Arial" w:hAnsi="Arial" w:cs="Arial"/>
                <w:color w:val="000000"/>
              </w:rPr>
            </w:pPr>
          </w:p>
          <w:p w:rsidR="00084C6C" w:rsidRDefault="00F95241" w:rsidP="00084C6C">
            <w:pPr>
              <w:rPr>
                <w:rFonts w:ascii="Arial" w:hAnsi="Arial" w:cs="Arial"/>
                <w:color w:val="000000"/>
              </w:rPr>
            </w:pPr>
            <w:r w:rsidRPr="004353FF">
              <w:rPr>
                <w:rFonts w:ascii="Arial" w:hAnsi="Arial" w:cs="Arial"/>
                <w:color w:val="000000"/>
              </w:rPr>
              <w:t xml:space="preserve">The PBAC advised that there would be no clinical or other concerns about appropriate use of medicines if the policy decision were made to apply the following uptake drivers to the RA indication: </w:t>
            </w:r>
          </w:p>
          <w:p w:rsidR="00084C6C" w:rsidRDefault="00F95241" w:rsidP="00084C6C">
            <w:pPr>
              <w:rPr>
                <w:rFonts w:ascii="Arial" w:hAnsi="Arial" w:cs="Arial"/>
                <w:color w:val="000000"/>
              </w:rPr>
            </w:pPr>
            <w:r w:rsidRPr="004353FF">
              <w:rPr>
                <w:rFonts w:ascii="Arial" w:hAnsi="Arial" w:cs="Arial"/>
                <w:color w:val="000000"/>
              </w:rPr>
              <w:t xml:space="preserve">• change to the prescribing software that gives preference to biosimilar for patients naïve to treatment with adalimumab; </w:t>
            </w:r>
          </w:p>
          <w:p w:rsidR="00D93EA1" w:rsidRPr="004353FF" w:rsidRDefault="00F95241" w:rsidP="00084C6C">
            <w:pPr>
              <w:rPr>
                <w:rFonts w:ascii="Arial" w:hAnsi="Arial" w:cs="Arial"/>
                <w:color w:val="000000"/>
              </w:rPr>
            </w:pPr>
            <w:r w:rsidRPr="004353FF">
              <w:rPr>
                <w:rFonts w:ascii="Arial" w:hAnsi="Arial" w:cs="Arial"/>
                <w:color w:val="000000"/>
              </w:rPr>
              <w:t>• lower the authority level to streamlined authority for patients continuing (i.e. subsequent continuing) on biosimilar adalimumab.</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F95241" w:rsidRDefault="00F95241" w:rsidP="007E6788">
            <w:pPr>
              <w:rPr>
                <w:rFonts w:ascii="Arial" w:hAnsi="Arial" w:cs="Arial"/>
                <w:color w:val="000000"/>
              </w:rPr>
            </w:pPr>
            <w:r>
              <w:rPr>
                <w:rFonts w:ascii="Arial" w:hAnsi="Arial" w:cs="Arial"/>
                <w:color w:val="000000"/>
              </w:rPr>
              <w:lastRenderedPageBreak/>
              <w:t>AMINO ACID FORMULA WITH VITAMINS, MINERALS AND LONG CHAIN POLYUNSATURATED FATTY ACIDS, WITHOUT PHENYLALANINE</w:t>
            </w:r>
            <w:r>
              <w:rPr>
                <w:rFonts w:ascii="Arial" w:hAnsi="Arial" w:cs="Arial"/>
                <w:color w:val="000000"/>
              </w:rPr>
              <w:br/>
            </w:r>
            <w:r>
              <w:rPr>
                <w:rFonts w:ascii="Arial" w:hAnsi="Arial" w:cs="Arial"/>
                <w:color w:val="000000"/>
              </w:rPr>
              <w:br/>
              <w:t>AMINO ACID FORMULA WITH FAT, CARBOHYDRATE, VITAMINS, MINERALS AND LONG CHAIN POLYUNSATURATED FATTY ACIDS WITHOUT PHENYLALANINE AND SUPPLEMENTED WITH DOCOSAHEXAENOIC ACID</w:t>
            </w:r>
            <w:r>
              <w:rPr>
                <w:rFonts w:ascii="Arial" w:hAnsi="Arial" w:cs="Arial"/>
                <w:color w:val="000000"/>
              </w:rPr>
              <w:br/>
            </w:r>
            <w:r>
              <w:rPr>
                <w:rFonts w:ascii="Arial" w:hAnsi="Arial" w:cs="Arial"/>
                <w:color w:val="000000"/>
              </w:rPr>
              <w:br/>
              <w:t xml:space="preserve">Oral powder 400 g </w:t>
            </w:r>
            <w:r>
              <w:rPr>
                <w:rFonts w:ascii="Arial" w:hAnsi="Arial" w:cs="Arial"/>
                <w:color w:val="000000"/>
              </w:rPr>
              <w:br/>
            </w:r>
            <w:r>
              <w:rPr>
                <w:rFonts w:ascii="Arial" w:hAnsi="Arial" w:cs="Arial"/>
                <w:color w:val="000000"/>
              </w:rPr>
              <w:br/>
              <w:t>Oral liquid 500 mL, 20</w:t>
            </w:r>
            <w:r>
              <w:rPr>
                <w:rFonts w:ascii="Arial" w:hAnsi="Arial" w:cs="Arial"/>
                <w:color w:val="000000"/>
              </w:rPr>
              <w:br/>
            </w:r>
            <w:r>
              <w:rPr>
                <w:rFonts w:ascii="Arial" w:hAnsi="Arial" w:cs="Arial"/>
                <w:color w:val="000000"/>
              </w:rPr>
              <w:br/>
              <w:t xml:space="preserve">PKU Start® </w:t>
            </w:r>
            <w:r>
              <w:rPr>
                <w:rFonts w:ascii="Arial" w:hAnsi="Arial" w:cs="Arial"/>
                <w:color w:val="000000"/>
              </w:rPr>
              <w:br/>
            </w:r>
            <w:r>
              <w:rPr>
                <w:rFonts w:ascii="Arial" w:hAnsi="Arial" w:cs="Arial"/>
                <w:color w:val="000000"/>
              </w:rPr>
              <w:br/>
              <w:t>PKU Baby®</w:t>
            </w:r>
            <w:r>
              <w:rPr>
                <w:rFonts w:ascii="Arial" w:hAnsi="Arial" w:cs="Arial"/>
                <w:color w:val="000000"/>
              </w:rPr>
              <w:br/>
            </w:r>
            <w:r>
              <w:rPr>
                <w:rFonts w:ascii="Arial" w:hAnsi="Arial" w:cs="Arial"/>
                <w:color w:val="000000"/>
              </w:rPr>
              <w:br/>
              <w:t>Vitaflo Australia Pty Ltd</w:t>
            </w:r>
            <w:r>
              <w:rPr>
                <w:rFonts w:ascii="Arial" w:hAnsi="Arial" w:cs="Arial"/>
                <w:color w:val="000000"/>
              </w:rPr>
              <w:br/>
            </w:r>
            <w:r>
              <w:rPr>
                <w:rFonts w:ascii="Arial" w:hAnsi="Arial" w:cs="Arial"/>
                <w:color w:val="000000"/>
              </w:rPr>
              <w:br/>
              <w:t xml:space="preserve">Orpharma Pty Ltd </w:t>
            </w:r>
          </w:p>
          <w:p w:rsidR="00F95241" w:rsidRDefault="00F95241" w:rsidP="007E6788">
            <w:pPr>
              <w:rPr>
                <w:rFonts w:ascii="Arial" w:hAnsi="Arial" w:cs="Arial"/>
                <w:color w:val="000000"/>
              </w:rPr>
            </w:pPr>
          </w:p>
          <w:p w:rsidR="00F95241" w:rsidRDefault="00F95241" w:rsidP="007E6788">
            <w:pPr>
              <w:rPr>
                <w:rFonts w:ascii="Arial" w:hAnsi="Arial" w:cs="Arial"/>
                <w:color w:val="000000"/>
              </w:rPr>
            </w:pPr>
            <w:r>
              <w:rPr>
                <w:rFonts w:ascii="Arial" w:hAnsi="Arial" w:cs="Arial"/>
                <w:color w:val="000000"/>
              </w:rPr>
              <w:t xml:space="preserve">Matter arising </w:t>
            </w:r>
          </w:p>
          <w:p w:rsidR="00F95241" w:rsidRPr="007E6788" w:rsidRDefault="00F95241" w:rsidP="007E6788">
            <w:pPr>
              <w:rPr>
                <w:rFonts w:ascii="Arial" w:hAnsi="Arial" w:cs="Arial"/>
                <w:color w:val="000000"/>
              </w:rPr>
            </w:pPr>
            <w:r>
              <w:rPr>
                <w:rFonts w:ascii="Arial" w:hAnsi="Arial" w:cs="Arial"/>
                <w:color w:val="000000"/>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3D7E12" w:rsidRDefault="00F95241" w:rsidP="00F45C50">
            <w:pPr>
              <w:rPr>
                <w:rFonts w:ascii="Arial" w:hAnsi="Arial" w:cs="Arial"/>
              </w:rPr>
            </w:pPr>
            <w:r>
              <w:rPr>
                <w:rFonts w:ascii="Arial" w:hAnsi="Arial" w:cs="Arial"/>
              </w:rPr>
              <w:t xml:space="preserve">Phenylketonuria </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EE6547" w:rsidRDefault="00F95241" w:rsidP="008B4B58">
            <w:pPr>
              <w:rPr>
                <w:rFonts w:ascii="Arial" w:hAnsi="Arial" w:cs="Arial"/>
              </w:rPr>
            </w:pPr>
            <w:r w:rsidRPr="00F45C50">
              <w:rPr>
                <w:rFonts w:ascii="Arial" w:hAnsi="Arial" w:cs="Arial"/>
              </w:rPr>
              <w:t xml:space="preserve">To provide a response to the PBAC regarding advice from the Nutritional Products Working Party (NPWP) on the total iron content in PKU Start and PKU Baby. </w:t>
            </w:r>
          </w:p>
        </w:tc>
        <w:tc>
          <w:tcPr>
            <w:tcW w:w="7104" w:type="dxa"/>
            <w:tcBorders>
              <w:top w:val="single" w:sz="4" w:space="0" w:color="auto"/>
              <w:left w:val="single" w:sz="4" w:space="0" w:color="auto"/>
              <w:bottom w:val="single" w:sz="4" w:space="0" w:color="auto"/>
              <w:right w:val="single" w:sz="4" w:space="0" w:color="auto"/>
            </w:tcBorders>
          </w:tcPr>
          <w:p w:rsidR="00F95241" w:rsidRPr="005118C0" w:rsidRDefault="00F95241" w:rsidP="008B4B58">
            <w:pPr>
              <w:rPr>
                <w:rFonts w:ascii="Arial" w:hAnsi="Arial" w:cs="Arial"/>
              </w:rPr>
            </w:pPr>
            <w:r w:rsidRPr="00CD5AFA">
              <w:rPr>
                <w:rFonts w:ascii="Arial" w:hAnsi="Arial" w:cs="Arial"/>
              </w:rPr>
              <w:t>The PBAC recommended the Restricted Benefit listing of PKU Start® for the dietary management of phenylketonuria (PKU) on a cost-minimisation basis to PKU Anamix Infant® brand of amino acid formula, at an equivalent price per gram of protein equivalent. The PBAC also recommended the retention of the PKU Baby® on the PBS. The Committee noted these products provide a level of iron below recommended daily intake for infants and recommended that an administrative note be included in both listings to advise prescribers of the low level of iron in these products.</w:t>
            </w:r>
          </w:p>
        </w:tc>
      </w:tr>
      <w:tr w:rsidR="00F95241" w:rsidRPr="003D7E12" w:rsidTr="005478AD">
        <w:trPr>
          <w:cantSplit/>
          <w:trHeight w:val="2849"/>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ED49A7">
            <w:pPr>
              <w:rPr>
                <w:rFonts w:ascii="Arial" w:hAnsi="Arial" w:cs="Arial"/>
                <w:color w:val="000000"/>
              </w:rPr>
            </w:pPr>
            <w:r w:rsidRPr="00ED49A7">
              <w:rPr>
                <w:rFonts w:ascii="Arial" w:hAnsi="Arial" w:cs="Arial"/>
                <w:color w:val="000000"/>
              </w:rPr>
              <w:lastRenderedPageBreak/>
              <w:t>APOMORPHINE</w:t>
            </w:r>
            <w:r w:rsidRPr="00ED49A7">
              <w:rPr>
                <w:rFonts w:ascii="Arial" w:hAnsi="Arial" w:cs="Arial"/>
                <w:color w:val="000000"/>
              </w:rPr>
              <w:br/>
            </w:r>
            <w:r w:rsidRPr="00ED49A7">
              <w:rPr>
                <w:rFonts w:ascii="Arial" w:hAnsi="Arial" w:cs="Arial"/>
                <w:color w:val="000000"/>
              </w:rPr>
              <w:br/>
              <w:t>Injection containing apomorphine hydrochloride 30 mg in 3 mL cartridge</w:t>
            </w:r>
            <w:r w:rsidRPr="00ED49A7">
              <w:rPr>
                <w:rFonts w:ascii="Arial" w:hAnsi="Arial" w:cs="Arial"/>
                <w:color w:val="000000"/>
              </w:rPr>
              <w:br/>
            </w:r>
            <w:r w:rsidRPr="00ED49A7">
              <w:rPr>
                <w:rFonts w:ascii="Arial" w:hAnsi="Arial" w:cs="Arial"/>
                <w:color w:val="000000"/>
              </w:rPr>
              <w:br/>
              <w:t>Apomine® Intermittent</w:t>
            </w:r>
            <w:r w:rsidRPr="00ED49A7">
              <w:rPr>
                <w:rFonts w:ascii="Arial" w:hAnsi="Arial" w:cs="Arial"/>
                <w:color w:val="000000"/>
              </w:rPr>
              <w:br/>
            </w:r>
            <w:r w:rsidRPr="00ED49A7">
              <w:rPr>
                <w:rFonts w:ascii="Arial" w:hAnsi="Arial" w:cs="Arial"/>
                <w:color w:val="000000"/>
              </w:rPr>
              <w:br/>
              <w:t>Pfizer Australia Pty Ltd</w:t>
            </w:r>
          </w:p>
          <w:p w:rsidR="00F95241" w:rsidRPr="00ED49A7" w:rsidRDefault="00F95241" w:rsidP="00ED49A7">
            <w:pPr>
              <w:rPr>
                <w:rFonts w:ascii="Arial" w:hAnsi="Arial" w:cs="Arial"/>
                <w:color w:val="000000"/>
              </w:rPr>
            </w:pPr>
          </w:p>
          <w:p w:rsidR="00F95241" w:rsidRDefault="00F95241" w:rsidP="003642C8">
            <w:pPr>
              <w:rPr>
                <w:rFonts w:ascii="Arial" w:hAnsi="Arial" w:cs="Arial"/>
              </w:rPr>
            </w:pPr>
            <w:r>
              <w:rPr>
                <w:rFonts w:ascii="Arial" w:hAnsi="Arial" w:cs="Arial"/>
              </w:rPr>
              <w:t>New listing</w:t>
            </w:r>
          </w:p>
          <w:p w:rsidR="00F95241" w:rsidRPr="00ED49A7" w:rsidRDefault="00F95241" w:rsidP="003642C8">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ED49A7" w:rsidRDefault="00F95241" w:rsidP="00216452">
            <w:pPr>
              <w:rPr>
                <w:rFonts w:ascii="Arial" w:hAnsi="Arial" w:cs="Arial"/>
                <w:color w:val="000000"/>
              </w:rPr>
            </w:pPr>
            <w:r w:rsidRPr="00ED49A7">
              <w:rPr>
                <w:rFonts w:ascii="Arial" w:hAnsi="Arial" w:cs="Arial"/>
                <w:color w:val="000000"/>
              </w:rPr>
              <w:t>Parkinson disease</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ED49A7" w:rsidRDefault="00F95241" w:rsidP="008B4B58">
            <w:pPr>
              <w:rPr>
                <w:rFonts w:ascii="Arial" w:hAnsi="Arial" w:cs="Arial"/>
                <w:color w:val="000000"/>
              </w:rPr>
            </w:pPr>
            <w:r w:rsidRPr="00ED49A7">
              <w:rPr>
                <w:rFonts w:ascii="Arial" w:hAnsi="Arial" w:cs="Arial"/>
                <w:color w:val="000000"/>
              </w:rPr>
              <w:t>To request a Section 100 (Highly Specialised Drug) listing of a new form of apomorphine.</w:t>
            </w:r>
          </w:p>
        </w:tc>
        <w:tc>
          <w:tcPr>
            <w:tcW w:w="7104" w:type="dxa"/>
            <w:tcBorders>
              <w:top w:val="single" w:sz="4" w:space="0" w:color="auto"/>
              <w:left w:val="single" w:sz="4" w:space="0" w:color="auto"/>
              <w:bottom w:val="single" w:sz="4" w:space="0" w:color="auto"/>
              <w:right w:val="single" w:sz="4" w:space="0" w:color="auto"/>
            </w:tcBorders>
          </w:tcPr>
          <w:p w:rsidR="00845092" w:rsidRPr="00ED49A7" w:rsidRDefault="00F95241" w:rsidP="006D57A0">
            <w:pPr>
              <w:rPr>
                <w:rFonts w:ascii="Arial" w:hAnsi="Arial" w:cs="Arial"/>
                <w:color w:val="000000"/>
                <w:szCs w:val="22"/>
              </w:rPr>
            </w:pPr>
            <w:r w:rsidRPr="00ED49A7">
              <w:rPr>
                <w:rFonts w:ascii="Arial" w:hAnsi="Arial" w:cs="Arial"/>
                <w:color w:val="000000"/>
                <w:szCs w:val="22"/>
              </w:rPr>
              <w:t xml:space="preserve">The PBAC recommended the </w:t>
            </w:r>
            <w:r w:rsidRPr="00ED49A7">
              <w:rPr>
                <w:rFonts w:ascii="Arial" w:hAnsi="Arial" w:cs="Arial"/>
                <w:color w:val="000000"/>
              </w:rPr>
              <w:t xml:space="preserve">Section 100 (Highly Specialised Drug) </w:t>
            </w:r>
            <w:r w:rsidRPr="00ED49A7">
              <w:rPr>
                <w:rFonts w:ascii="Arial" w:hAnsi="Arial" w:cs="Arial"/>
                <w:color w:val="000000"/>
                <w:szCs w:val="22"/>
              </w:rPr>
              <w:t xml:space="preserve">Authority Required listing of a new form of apomorphine (30 mg in 3 mL) delivered in a reusable multiple dose pen injector system for the treatment of Parkinson’s disease. The PBAC advised that, under Section 101 (4AACD) of the </w:t>
            </w:r>
            <w:r w:rsidRPr="006D57A0">
              <w:rPr>
                <w:rFonts w:ascii="Arial" w:hAnsi="Arial" w:cs="Arial"/>
                <w:i/>
                <w:color w:val="000000"/>
                <w:szCs w:val="22"/>
              </w:rPr>
              <w:t>National Health Act 1953</w:t>
            </w:r>
            <w:r w:rsidRPr="00ED49A7">
              <w:rPr>
                <w:rFonts w:ascii="Arial" w:hAnsi="Arial" w:cs="Arial"/>
                <w:color w:val="000000"/>
                <w:szCs w:val="22"/>
              </w:rPr>
              <w:t>, Apomine Intermittent 30 mg in 3 mL injection could be treated as equivalent</w:t>
            </w:r>
            <w:r w:rsidR="00845092">
              <w:rPr>
                <w:rFonts w:ascii="Arial" w:hAnsi="Arial" w:cs="Arial"/>
                <w:color w:val="000000"/>
                <w:szCs w:val="22"/>
              </w:rPr>
              <w:t xml:space="preserve"> (‘a’ flagged)</w:t>
            </w:r>
            <w:r w:rsidRPr="00ED49A7">
              <w:rPr>
                <w:rFonts w:ascii="Arial" w:hAnsi="Arial" w:cs="Arial"/>
                <w:color w:val="000000"/>
                <w:szCs w:val="22"/>
              </w:rPr>
              <w:t xml:space="preserve"> to Movapo</w:t>
            </w:r>
            <w:r>
              <w:rPr>
                <w:rFonts w:ascii="Arial" w:hAnsi="Arial" w:cs="Arial"/>
                <w:color w:val="000000"/>
                <w:szCs w:val="22"/>
              </w:rPr>
              <w:t xml:space="preserve"> Pen</w:t>
            </w:r>
            <w:r w:rsidRPr="00ED49A7">
              <w:rPr>
                <w:rFonts w:ascii="Arial" w:hAnsi="Arial" w:cs="Arial"/>
                <w:color w:val="000000"/>
                <w:szCs w:val="22"/>
              </w:rPr>
              <w:t xml:space="preserve"> 30 mg in 3 mL injection </w:t>
            </w:r>
            <w:r>
              <w:rPr>
                <w:rFonts w:ascii="Arial" w:hAnsi="Arial" w:cs="Arial"/>
                <w:color w:val="000000"/>
                <w:szCs w:val="22"/>
              </w:rPr>
              <w:t xml:space="preserve">(recommended at the March 2018 PBAC meeting) </w:t>
            </w:r>
            <w:r w:rsidRPr="00ED49A7">
              <w:rPr>
                <w:rFonts w:ascii="Arial" w:hAnsi="Arial" w:cs="Arial"/>
                <w:color w:val="000000"/>
                <w:szCs w:val="22"/>
              </w:rPr>
              <w:t>for the purposes of substitution at the pharmacy level. The Committee noted that Movapo is administered via a disposable injector pen, while this form (Apomine Intermittent) uses a reusable injector pen, and considered this difference could be managed through the regular patient education and counselling that is provided to patients by prescribers and pharmacists.</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ARIPIPRAZOLE</w:t>
            </w:r>
            <w:r>
              <w:rPr>
                <w:rFonts w:ascii="Arial" w:hAnsi="Arial" w:cs="Arial"/>
                <w:color w:val="000000"/>
              </w:rPr>
              <w:br/>
            </w:r>
            <w:r>
              <w:rPr>
                <w:rFonts w:ascii="Arial" w:hAnsi="Arial" w:cs="Arial"/>
                <w:color w:val="000000"/>
              </w:rPr>
              <w:br/>
              <w:t>Powder for injection 400 mg (as monohydrate) with diluent, pre-filled syringe</w:t>
            </w:r>
            <w:r>
              <w:rPr>
                <w:rFonts w:ascii="Arial" w:hAnsi="Arial" w:cs="Arial"/>
                <w:color w:val="000000"/>
              </w:rPr>
              <w:br/>
            </w:r>
            <w:r>
              <w:rPr>
                <w:rFonts w:ascii="Arial" w:hAnsi="Arial" w:cs="Arial"/>
                <w:color w:val="000000"/>
              </w:rPr>
              <w:br/>
              <w:t>Abilify Maintena®</w:t>
            </w:r>
            <w:r>
              <w:rPr>
                <w:rFonts w:ascii="Arial" w:hAnsi="Arial" w:cs="Arial"/>
                <w:color w:val="000000"/>
              </w:rPr>
              <w:br/>
            </w:r>
            <w:r>
              <w:rPr>
                <w:rFonts w:ascii="Arial" w:hAnsi="Arial" w:cs="Arial"/>
                <w:color w:val="000000"/>
              </w:rPr>
              <w:br/>
              <w:t>Lundbeck Australia Pty Ltd</w:t>
            </w:r>
          </w:p>
          <w:p w:rsidR="00F95241" w:rsidRDefault="00F95241" w:rsidP="00216452">
            <w:pPr>
              <w:rPr>
                <w:rFonts w:ascii="Arial" w:hAnsi="Arial" w:cs="Arial"/>
                <w:color w:val="000000"/>
              </w:rPr>
            </w:pPr>
          </w:p>
          <w:p w:rsidR="00F95241" w:rsidRDefault="00F95241" w:rsidP="003642C8">
            <w:pPr>
              <w:rPr>
                <w:rFonts w:ascii="Arial" w:hAnsi="Arial" w:cs="Arial"/>
              </w:rPr>
            </w:pPr>
            <w:r>
              <w:rPr>
                <w:rFonts w:ascii="Arial" w:hAnsi="Arial" w:cs="Arial"/>
              </w:rPr>
              <w:t>New listing</w:t>
            </w:r>
          </w:p>
          <w:p w:rsidR="00F95241" w:rsidRPr="007F7D95" w:rsidRDefault="00F95241" w:rsidP="003642C8">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216452">
            <w:pPr>
              <w:rPr>
                <w:rFonts w:ascii="Arial" w:hAnsi="Arial" w:cs="Arial"/>
                <w:color w:val="000000"/>
              </w:rPr>
            </w:pPr>
            <w:r>
              <w:rPr>
                <w:rFonts w:ascii="Arial" w:hAnsi="Arial" w:cs="Arial"/>
                <w:color w:val="000000"/>
              </w:rPr>
              <w:t>Schizophrenia</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8B4B58">
            <w:pPr>
              <w:rPr>
                <w:rFonts w:ascii="Arial" w:hAnsi="Arial" w:cs="Arial"/>
                <w:color w:val="000000"/>
              </w:rPr>
            </w:pPr>
            <w:r>
              <w:rPr>
                <w:rFonts w:ascii="Arial" w:hAnsi="Arial" w:cs="Arial"/>
                <w:color w:val="000000"/>
              </w:rPr>
              <w:t xml:space="preserve">To request an Authority Required (STREAMLINED) benefit for a new form of the </w:t>
            </w:r>
            <w:r w:rsidR="00303701">
              <w:rPr>
                <w:rFonts w:ascii="Arial" w:hAnsi="Arial" w:cs="Arial"/>
                <w:color w:val="000000"/>
              </w:rPr>
              <w:t xml:space="preserve">long acting injection </w:t>
            </w:r>
            <w:r w:rsidR="00303701" w:rsidRPr="00303701">
              <w:rPr>
                <w:rFonts w:ascii="Arial" w:hAnsi="Arial" w:cs="Arial"/>
                <w:color w:val="000000"/>
              </w:rPr>
              <w:t>aripiprazole</w:t>
            </w:r>
            <w:r>
              <w:rPr>
                <w:rFonts w:ascii="Arial" w:hAnsi="Arial" w:cs="Arial"/>
                <w:color w:val="000000"/>
              </w:rPr>
              <w:t>.</w:t>
            </w:r>
          </w:p>
        </w:tc>
        <w:tc>
          <w:tcPr>
            <w:tcW w:w="7104" w:type="dxa"/>
            <w:tcBorders>
              <w:top w:val="single" w:sz="4" w:space="0" w:color="auto"/>
              <w:left w:val="single" w:sz="4" w:space="0" w:color="auto"/>
              <w:bottom w:val="single" w:sz="4" w:space="0" w:color="auto"/>
              <w:right w:val="single" w:sz="4" w:space="0" w:color="auto"/>
            </w:tcBorders>
          </w:tcPr>
          <w:p w:rsidR="00F95241" w:rsidRPr="003D7E12" w:rsidRDefault="00F95241" w:rsidP="008B4B58">
            <w:pPr>
              <w:rPr>
                <w:rFonts w:ascii="Arial" w:hAnsi="Arial" w:cs="Arial"/>
              </w:rPr>
            </w:pPr>
            <w:r w:rsidRPr="00D13FF7">
              <w:rPr>
                <w:rFonts w:ascii="Arial" w:hAnsi="Arial" w:cs="Arial"/>
                <w:color w:val="000000"/>
              </w:rPr>
              <w:t xml:space="preserve">The PBAC recommended the Authority Required (STREAMLINED) listing of the new presentation of the currently listed aripiprazole 400 mg modified release injection for the treatment of schizophrenia. </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F45C50">
            <w:pPr>
              <w:rPr>
                <w:rFonts w:ascii="Arial" w:hAnsi="Arial" w:cs="Arial"/>
                <w:color w:val="000000"/>
              </w:rPr>
            </w:pPr>
            <w:r>
              <w:rPr>
                <w:rFonts w:ascii="Arial" w:hAnsi="Arial" w:cs="Arial"/>
                <w:color w:val="000000"/>
              </w:rPr>
              <w:t>AVELUMAB</w:t>
            </w:r>
            <w:r>
              <w:rPr>
                <w:rFonts w:ascii="Arial" w:hAnsi="Arial" w:cs="Arial"/>
                <w:color w:val="000000"/>
              </w:rPr>
              <w:br/>
            </w:r>
            <w:r>
              <w:rPr>
                <w:rFonts w:ascii="Arial" w:hAnsi="Arial" w:cs="Arial"/>
                <w:color w:val="000000"/>
              </w:rPr>
              <w:br/>
              <w:t>Solution concentrate for I.V. infusion 200 mg in 10 mL</w:t>
            </w:r>
            <w:r>
              <w:rPr>
                <w:rFonts w:ascii="Arial" w:hAnsi="Arial" w:cs="Arial"/>
                <w:color w:val="000000"/>
              </w:rPr>
              <w:br/>
            </w:r>
            <w:r>
              <w:rPr>
                <w:rFonts w:ascii="Arial" w:hAnsi="Arial" w:cs="Arial"/>
                <w:color w:val="000000"/>
              </w:rPr>
              <w:br/>
              <w:t>Bavencio®</w:t>
            </w:r>
            <w:r>
              <w:rPr>
                <w:rFonts w:ascii="Arial" w:hAnsi="Arial" w:cs="Arial"/>
                <w:color w:val="000000"/>
              </w:rPr>
              <w:br/>
            </w:r>
            <w:r>
              <w:rPr>
                <w:rFonts w:ascii="Arial" w:hAnsi="Arial" w:cs="Arial"/>
                <w:color w:val="000000"/>
              </w:rPr>
              <w:br/>
              <w:t>Merck Serono Australia Pty Ltd (with Pfizer Australia Pty Ltd)</w:t>
            </w:r>
          </w:p>
          <w:p w:rsidR="00F95241" w:rsidRDefault="00F95241" w:rsidP="00216452">
            <w:pPr>
              <w:rPr>
                <w:rFonts w:ascii="Arial" w:hAnsi="Arial" w:cs="Arial"/>
              </w:rPr>
            </w:pPr>
          </w:p>
          <w:p w:rsidR="00F95241" w:rsidRDefault="00F95241" w:rsidP="00216452">
            <w:pPr>
              <w:rPr>
                <w:rFonts w:ascii="Arial" w:hAnsi="Arial" w:cs="Arial"/>
              </w:rPr>
            </w:pPr>
            <w:r>
              <w:rPr>
                <w:rFonts w:ascii="Arial" w:hAnsi="Arial" w:cs="Arial"/>
              </w:rPr>
              <w:t>New listing</w:t>
            </w:r>
          </w:p>
          <w:p w:rsidR="00F95241" w:rsidRPr="0027735C" w:rsidRDefault="00F95241" w:rsidP="00216452">
            <w:pPr>
              <w:rPr>
                <w:rFonts w:ascii="Arial" w:hAnsi="Arial" w:cs="Arial"/>
              </w:rPr>
            </w:pPr>
            <w:r>
              <w:rPr>
                <w:rFonts w:ascii="Arial" w:hAnsi="Arial" w:cs="Arial"/>
              </w:rPr>
              <w:t>(Major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3D7E12" w:rsidRDefault="00F95241" w:rsidP="00216452">
            <w:pPr>
              <w:rPr>
                <w:rFonts w:ascii="Arial" w:hAnsi="Arial" w:cs="Arial"/>
              </w:rPr>
            </w:pPr>
            <w:r>
              <w:rPr>
                <w:rFonts w:ascii="Arial" w:hAnsi="Arial" w:cs="Arial"/>
              </w:rPr>
              <w:t>Metastatic merkel cell carcinoma (MCC)</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3D7E12" w:rsidRDefault="00F95241" w:rsidP="00AE09AA">
            <w:pPr>
              <w:rPr>
                <w:rFonts w:ascii="Arial" w:hAnsi="Arial" w:cs="Arial"/>
              </w:rPr>
            </w:pPr>
            <w:r>
              <w:rPr>
                <w:rFonts w:ascii="Arial" w:hAnsi="Arial" w:cs="Arial"/>
                <w:color w:val="000000"/>
              </w:rPr>
              <w:t>To request a Section 100 (Efficient Funding of Chemotherapy) Authority Required (STREAMLINED) listing for the treatment of patients with metastatic merkel cell carcinoma (MCC).</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740CB5" w:rsidRPr="001F5F77" w:rsidRDefault="00F95241" w:rsidP="00740CB5">
            <w:pPr>
              <w:jc w:val="both"/>
              <w:rPr>
                <w:rFonts w:ascii="Calibri" w:hAnsi="Calibri" w:cs="Calibri"/>
                <w:color w:val="000000"/>
                <w:sz w:val="22"/>
                <w:szCs w:val="22"/>
              </w:rPr>
            </w:pPr>
            <w:r w:rsidRPr="001F5F77">
              <w:rPr>
                <w:rFonts w:ascii="Arial" w:hAnsi="Arial" w:cs="Arial"/>
                <w:color w:val="000000"/>
              </w:rPr>
              <w:t xml:space="preserve">The PBAC recommended the </w:t>
            </w:r>
            <w:r w:rsidRPr="00277529">
              <w:rPr>
                <w:rFonts w:ascii="Arial" w:hAnsi="Arial" w:cs="Arial"/>
                <w:color w:val="000000"/>
              </w:rPr>
              <w:t xml:space="preserve">Section 100 (Efficient Funding of Chemotherapy) Authority Required (STREAMLINED) </w:t>
            </w:r>
            <w:r w:rsidRPr="001F5F77">
              <w:rPr>
                <w:rFonts w:ascii="Arial" w:hAnsi="Arial" w:cs="Arial"/>
                <w:color w:val="000000"/>
              </w:rPr>
              <w:t xml:space="preserve">listing of avelumab for the treatment of metastatic Merkel cell carcinoma (mMCC). The PBAC acknowledged that this is an aggressive, rare </w:t>
            </w:r>
            <w:r>
              <w:rPr>
                <w:rFonts w:ascii="Arial" w:hAnsi="Arial" w:cs="Arial"/>
                <w:color w:val="000000"/>
              </w:rPr>
              <w:t xml:space="preserve">form of </w:t>
            </w:r>
            <w:r w:rsidRPr="001F5F77">
              <w:rPr>
                <w:rFonts w:ascii="Arial" w:hAnsi="Arial" w:cs="Arial"/>
                <w:color w:val="000000"/>
              </w:rPr>
              <w:t>cancer and that avelumab treatment resulted in improved progression free and overall survival rates</w:t>
            </w:r>
            <w:r>
              <w:rPr>
                <w:rFonts w:ascii="Arial" w:hAnsi="Arial" w:cs="Arial"/>
                <w:color w:val="000000"/>
              </w:rPr>
              <w:t xml:space="preserve"> in patients</w:t>
            </w:r>
            <w:r w:rsidRPr="001F5F77">
              <w:rPr>
                <w:rFonts w:ascii="Arial" w:hAnsi="Arial" w:cs="Arial"/>
                <w:color w:val="000000"/>
              </w:rPr>
              <w:t xml:space="preserve">, and longer durations of response compared with currently available chemotherapy. Although noting that the data in the first line setting are limited and immature, the PBAC considered that a listing that enables use in </w:t>
            </w:r>
            <w:r w:rsidR="00845092">
              <w:rPr>
                <w:rFonts w:ascii="Arial" w:hAnsi="Arial" w:cs="Arial"/>
                <w:color w:val="000000"/>
              </w:rPr>
              <w:t>any</w:t>
            </w:r>
            <w:r w:rsidR="00845092" w:rsidRPr="001F5F77">
              <w:rPr>
                <w:rFonts w:ascii="Arial" w:hAnsi="Arial" w:cs="Arial"/>
                <w:color w:val="000000"/>
              </w:rPr>
              <w:t xml:space="preserve"> </w:t>
            </w:r>
            <w:r w:rsidRPr="001F5F77">
              <w:rPr>
                <w:rFonts w:ascii="Arial" w:hAnsi="Arial" w:cs="Arial"/>
                <w:color w:val="000000"/>
              </w:rPr>
              <w:t xml:space="preserve">line of therapy would allow equitable access. </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lastRenderedPageBreak/>
              <w:t>BUDESONIDE</w:t>
            </w:r>
            <w:r>
              <w:rPr>
                <w:rFonts w:ascii="Arial" w:hAnsi="Arial" w:cs="Arial"/>
                <w:color w:val="000000"/>
              </w:rPr>
              <w:br/>
            </w:r>
            <w:r>
              <w:rPr>
                <w:rFonts w:ascii="Arial" w:hAnsi="Arial" w:cs="Arial"/>
                <w:color w:val="000000"/>
              </w:rPr>
              <w:br/>
              <w:t>Capsule (modified release) 3 mg</w:t>
            </w:r>
            <w:r>
              <w:rPr>
                <w:rFonts w:ascii="Arial" w:hAnsi="Arial" w:cs="Arial"/>
                <w:color w:val="000000"/>
              </w:rPr>
              <w:br/>
            </w:r>
            <w:r>
              <w:rPr>
                <w:rFonts w:ascii="Arial" w:hAnsi="Arial" w:cs="Arial"/>
                <w:color w:val="000000"/>
              </w:rPr>
              <w:br/>
              <w:t>Entocort®</w:t>
            </w:r>
            <w:r>
              <w:rPr>
                <w:rFonts w:ascii="Arial" w:hAnsi="Arial" w:cs="Arial"/>
                <w:color w:val="000000"/>
              </w:rPr>
              <w:br/>
            </w:r>
            <w:r>
              <w:rPr>
                <w:rFonts w:ascii="Arial" w:hAnsi="Arial" w:cs="Arial"/>
                <w:color w:val="000000"/>
              </w:rPr>
              <w:br/>
              <w:t>Emerge Health Pty Ltd</w:t>
            </w:r>
          </w:p>
          <w:p w:rsidR="00F95241" w:rsidRDefault="00F95241" w:rsidP="00216452">
            <w:pPr>
              <w:rPr>
                <w:rFonts w:ascii="Arial" w:hAnsi="Arial" w:cs="Arial"/>
                <w:color w:val="000000"/>
              </w:rPr>
            </w:pPr>
          </w:p>
          <w:p w:rsidR="00F95241" w:rsidRDefault="00F95241" w:rsidP="00216452">
            <w:pPr>
              <w:rPr>
                <w:rFonts w:ascii="Arial" w:hAnsi="Arial" w:cs="Arial"/>
                <w:color w:val="000000"/>
              </w:rPr>
            </w:pPr>
            <w:r>
              <w:rPr>
                <w:rFonts w:ascii="Arial" w:hAnsi="Arial" w:cs="Arial"/>
                <w:color w:val="000000"/>
              </w:rPr>
              <w:t>New listing</w:t>
            </w:r>
          </w:p>
          <w:p w:rsidR="00F95241" w:rsidRPr="007F7D95" w:rsidRDefault="00F95241" w:rsidP="00216452">
            <w:pPr>
              <w:rPr>
                <w:rFonts w:ascii="Arial" w:hAnsi="Arial" w:cs="Arial"/>
                <w:color w:val="000000"/>
              </w:rPr>
            </w:pPr>
            <w:r>
              <w:rPr>
                <w:rFonts w:ascii="Arial" w:hAnsi="Arial" w:cs="Arial"/>
                <w:color w:val="000000"/>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AE09AA">
            <w:pPr>
              <w:rPr>
                <w:rFonts w:ascii="Arial" w:hAnsi="Arial" w:cs="Arial"/>
                <w:color w:val="000000"/>
              </w:rPr>
            </w:pPr>
            <w:r>
              <w:rPr>
                <w:rFonts w:ascii="Arial" w:hAnsi="Arial" w:cs="Arial"/>
                <w:color w:val="000000"/>
              </w:rPr>
              <w:t>Mild to moderate Crohn disease</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AE09AA">
            <w:pPr>
              <w:rPr>
                <w:rFonts w:ascii="Arial" w:hAnsi="Arial" w:cs="Arial"/>
                <w:color w:val="000000"/>
              </w:rPr>
            </w:pPr>
            <w:r>
              <w:rPr>
                <w:rFonts w:ascii="Arial" w:hAnsi="Arial" w:cs="Arial"/>
                <w:color w:val="000000"/>
              </w:rPr>
              <w:t>Resubmission to request an Authority Required (STREAMLINED) listing for the treatment of patients with mild to moderate Crohn's disease.</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F95241" w:rsidRPr="002B1DD9" w:rsidRDefault="00F95241" w:rsidP="00AE09AA">
            <w:pPr>
              <w:rPr>
                <w:rFonts w:ascii="Arial" w:hAnsi="Arial" w:cs="Arial"/>
                <w:color w:val="000000"/>
              </w:rPr>
            </w:pPr>
            <w:r w:rsidRPr="009D5572">
              <w:rPr>
                <w:rFonts w:ascii="Arial" w:hAnsi="Arial" w:cs="Arial"/>
                <w:color w:val="000000"/>
              </w:rPr>
              <w:t>The PBAC recommended the listing of budesonide for treatment of mild to moderate Crohn’s disease affecting the ileum and/or the ascending colon. The PBAC recommended the listing on cost minimisation basis against a weighted mixed comparator of mesalazine and prednisolone. In making this recommendation, the PBAC noted the clinical need for additional treatment options in patients with mild to moderate Crohn’s disease.</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CARMELLOSE</w:t>
            </w:r>
            <w:r>
              <w:rPr>
                <w:rFonts w:ascii="Arial" w:hAnsi="Arial" w:cs="Arial"/>
                <w:color w:val="000000"/>
              </w:rPr>
              <w:br/>
              <w:t>HYPROMELLOSE</w:t>
            </w:r>
            <w:r>
              <w:rPr>
                <w:rFonts w:ascii="Arial" w:hAnsi="Arial" w:cs="Arial"/>
                <w:color w:val="000000"/>
              </w:rPr>
              <w:br/>
            </w:r>
            <w:r>
              <w:rPr>
                <w:rFonts w:ascii="Arial" w:hAnsi="Arial" w:cs="Arial"/>
                <w:color w:val="000000"/>
              </w:rPr>
              <w:br/>
              <w:t>Eye drops containing carmellose sodium 5 mg per mL, 10 mL</w:t>
            </w:r>
            <w:r>
              <w:rPr>
                <w:rFonts w:ascii="Arial" w:hAnsi="Arial" w:cs="Arial"/>
                <w:color w:val="000000"/>
              </w:rPr>
              <w:br/>
              <w:t>Eye drops containing hypromellose 3 mg per mL, 10 mL</w:t>
            </w:r>
            <w:r>
              <w:rPr>
                <w:rFonts w:ascii="Arial" w:hAnsi="Arial" w:cs="Arial"/>
                <w:color w:val="000000"/>
              </w:rPr>
              <w:br/>
            </w:r>
            <w:r>
              <w:rPr>
                <w:rFonts w:ascii="Arial" w:hAnsi="Arial" w:cs="Arial"/>
                <w:color w:val="000000"/>
              </w:rPr>
              <w:br/>
              <w:t>Evolve® carmellose</w:t>
            </w:r>
            <w:r>
              <w:rPr>
                <w:rFonts w:ascii="Arial" w:hAnsi="Arial" w:cs="Arial"/>
                <w:color w:val="000000"/>
              </w:rPr>
              <w:br/>
              <w:t>Evolve® hypromellose</w:t>
            </w:r>
            <w:r>
              <w:rPr>
                <w:rFonts w:ascii="Arial" w:hAnsi="Arial" w:cs="Arial"/>
                <w:color w:val="000000"/>
              </w:rPr>
              <w:br/>
            </w:r>
            <w:r>
              <w:rPr>
                <w:rFonts w:ascii="Arial" w:hAnsi="Arial" w:cs="Arial"/>
                <w:color w:val="000000"/>
              </w:rPr>
              <w:br/>
              <w:t>Contact Lens Centre Australia</w:t>
            </w:r>
          </w:p>
          <w:p w:rsidR="00F95241" w:rsidRDefault="00F95241" w:rsidP="00216452">
            <w:pPr>
              <w:rPr>
                <w:rFonts w:ascii="Arial" w:hAnsi="Arial" w:cs="Arial"/>
                <w:color w:val="000000"/>
              </w:rPr>
            </w:pPr>
          </w:p>
          <w:p w:rsidR="00F95241" w:rsidRDefault="00F95241" w:rsidP="003642C8">
            <w:pPr>
              <w:rPr>
                <w:rFonts w:ascii="Arial" w:hAnsi="Arial" w:cs="Arial"/>
              </w:rPr>
            </w:pPr>
            <w:r>
              <w:rPr>
                <w:rFonts w:ascii="Arial" w:hAnsi="Arial" w:cs="Arial"/>
              </w:rPr>
              <w:t>New listing</w:t>
            </w:r>
          </w:p>
          <w:p w:rsidR="00F95241" w:rsidRDefault="00F95241" w:rsidP="003642C8">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Severe dry eye syndrome</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AE09AA">
            <w:pPr>
              <w:rPr>
                <w:rFonts w:ascii="Arial" w:hAnsi="Arial" w:cs="Arial"/>
                <w:color w:val="000000"/>
              </w:rPr>
            </w:pPr>
            <w:r>
              <w:rPr>
                <w:rFonts w:ascii="Arial" w:hAnsi="Arial" w:cs="Arial"/>
                <w:color w:val="000000"/>
              </w:rPr>
              <w:t>To request an Authority Required (STREAMLINED) listing for the treatment of severe dry eye syndrome.</w:t>
            </w:r>
          </w:p>
        </w:tc>
        <w:tc>
          <w:tcPr>
            <w:tcW w:w="7104" w:type="dxa"/>
            <w:tcBorders>
              <w:top w:val="single" w:sz="4" w:space="0" w:color="auto"/>
              <w:left w:val="single" w:sz="4" w:space="0" w:color="auto"/>
              <w:bottom w:val="single" w:sz="4" w:space="0" w:color="auto"/>
              <w:right w:val="single" w:sz="4" w:space="0" w:color="auto"/>
            </w:tcBorders>
          </w:tcPr>
          <w:p w:rsidR="00740CB5" w:rsidRPr="007215E1" w:rsidRDefault="00F95241" w:rsidP="000B655F">
            <w:pPr>
              <w:rPr>
                <w:rFonts w:ascii="Arial" w:hAnsi="Arial" w:cs="Arial"/>
                <w:color w:val="000000"/>
              </w:rPr>
            </w:pPr>
            <w:r w:rsidRPr="007215E1">
              <w:rPr>
                <w:rFonts w:ascii="Arial" w:hAnsi="Arial" w:cs="Arial"/>
                <w:color w:val="000000"/>
              </w:rPr>
              <w:t>The PBAC recommended Authority Required (STREAMLINED) listings for carmellose (Evolve® carmellose 0.5%) and hypromellose (Evolve® hypromellose 0.3%) multi-use eye drops for the treatment of severe dry eye syndrome in patients who are sensitive to preservatives. The PBAC advised that carmellose 0.5% and hypromellose 0.3% should be cost-minimised against the lowest co</w:t>
            </w:r>
            <w:r w:rsidR="00AE09AA">
              <w:rPr>
                <w:rFonts w:ascii="Arial" w:hAnsi="Arial" w:cs="Arial"/>
                <w:color w:val="000000"/>
              </w:rPr>
              <w:t>st PBS-listed ocular lubricant.</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CLADRIBINE</w:t>
            </w:r>
            <w:r>
              <w:rPr>
                <w:rFonts w:ascii="Arial" w:hAnsi="Arial" w:cs="Arial"/>
                <w:color w:val="000000"/>
              </w:rPr>
              <w:br/>
            </w:r>
            <w:r>
              <w:rPr>
                <w:rFonts w:ascii="Arial" w:hAnsi="Arial" w:cs="Arial"/>
                <w:color w:val="000000"/>
              </w:rPr>
              <w:br/>
              <w:t>Tablet 10 mg</w:t>
            </w:r>
            <w:r>
              <w:rPr>
                <w:rFonts w:ascii="Arial" w:hAnsi="Arial" w:cs="Arial"/>
                <w:color w:val="000000"/>
              </w:rPr>
              <w:br/>
            </w:r>
            <w:r>
              <w:rPr>
                <w:rFonts w:ascii="Arial" w:hAnsi="Arial" w:cs="Arial"/>
                <w:color w:val="000000"/>
              </w:rPr>
              <w:br/>
              <w:t>Mavenclad®</w:t>
            </w:r>
            <w:r>
              <w:rPr>
                <w:rFonts w:ascii="Arial" w:hAnsi="Arial" w:cs="Arial"/>
                <w:color w:val="000000"/>
              </w:rPr>
              <w:br/>
            </w:r>
            <w:r>
              <w:rPr>
                <w:rFonts w:ascii="Arial" w:hAnsi="Arial" w:cs="Arial"/>
                <w:color w:val="000000"/>
              </w:rPr>
              <w:br/>
              <w:t xml:space="preserve">Merck Serono Australia Pty Ltd </w:t>
            </w:r>
          </w:p>
          <w:p w:rsidR="00F95241" w:rsidRDefault="00F95241" w:rsidP="00216452">
            <w:pPr>
              <w:rPr>
                <w:rFonts w:ascii="Arial" w:hAnsi="Arial" w:cs="Arial"/>
                <w:color w:val="000000"/>
              </w:rPr>
            </w:pPr>
          </w:p>
          <w:p w:rsidR="00F95241" w:rsidRDefault="00F95241" w:rsidP="001F60A0">
            <w:pPr>
              <w:rPr>
                <w:rFonts w:ascii="Arial" w:hAnsi="Arial" w:cs="Arial"/>
                <w:color w:val="000000"/>
              </w:rPr>
            </w:pPr>
            <w:r>
              <w:rPr>
                <w:rFonts w:ascii="Arial" w:hAnsi="Arial" w:cs="Arial"/>
                <w:color w:val="000000"/>
              </w:rPr>
              <w:t>New listing</w:t>
            </w:r>
          </w:p>
          <w:p w:rsidR="00F95241" w:rsidRPr="007F7D95" w:rsidRDefault="00F95241" w:rsidP="001F60A0">
            <w:pPr>
              <w:rPr>
                <w:rFonts w:ascii="Arial" w:hAnsi="Arial" w:cs="Arial"/>
                <w:color w:val="000000"/>
              </w:rPr>
            </w:pPr>
            <w:r>
              <w:rPr>
                <w:rFonts w:ascii="Arial" w:hAnsi="Arial" w:cs="Arial"/>
                <w:color w:val="000000"/>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AE09AA">
            <w:pPr>
              <w:rPr>
                <w:rFonts w:ascii="Arial" w:hAnsi="Arial" w:cs="Arial"/>
                <w:color w:val="000000"/>
              </w:rPr>
            </w:pPr>
            <w:r>
              <w:rPr>
                <w:rFonts w:ascii="Arial" w:hAnsi="Arial" w:cs="Arial"/>
                <w:color w:val="000000"/>
              </w:rPr>
              <w:t>Relapsing remitting multiple sclerosis (RRMS)</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216452">
            <w:pPr>
              <w:rPr>
                <w:rFonts w:ascii="Arial" w:hAnsi="Arial" w:cs="Arial"/>
                <w:color w:val="000000"/>
              </w:rPr>
            </w:pPr>
            <w:r>
              <w:rPr>
                <w:rFonts w:ascii="Arial" w:hAnsi="Arial" w:cs="Arial"/>
                <w:color w:val="000000"/>
              </w:rPr>
              <w:t>Resubmission to request an Authority Required listing for the treatment of relapsing remitting multiple sclerosis (RRMS).</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8A5807" w:rsidRPr="00D41A86" w:rsidRDefault="00F95241" w:rsidP="008A5807">
            <w:pPr>
              <w:jc w:val="both"/>
              <w:rPr>
                <w:rFonts w:ascii="Calibri" w:hAnsi="Calibri" w:cs="Calibri"/>
                <w:color w:val="000000"/>
                <w:sz w:val="22"/>
                <w:szCs w:val="22"/>
              </w:rPr>
            </w:pPr>
            <w:r w:rsidRPr="00D41A86">
              <w:rPr>
                <w:rFonts w:ascii="Arial" w:hAnsi="Arial" w:cs="Arial"/>
                <w:color w:val="000000"/>
              </w:rPr>
              <w:t>The PBAC recommended the listing of cladribine for the treatment of relapsing-remitting multiple sclerosis</w:t>
            </w:r>
            <w:r w:rsidR="008A5807">
              <w:rPr>
                <w:rFonts w:ascii="Arial" w:hAnsi="Arial" w:cs="Arial"/>
                <w:color w:val="000000"/>
              </w:rPr>
              <w:t xml:space="preserve">. </w:t>
            </w:r>
            <w:r w:rsidR="008A5807" w:rsidRPr="008A5807">
              <w:rPr>
                <w:rFonts w:ascii="Arial" w:hAnsi="Arial" w:cs="Arial"/>
                <w:color w:val="000000"/>
              </w:rPr>
              <w:t>The PBAC’s recommendation for listing was based on, amongst other matters, its assessment than the cost-effectiveness of cladribine would be acceptable if it wer</w:t>
            </w:r>
            <w:r w:rsidR="006905FD">
              <w:rPr>
                <w:rFonts w:ascii="Arial" w:hAnsi="Arial" w:cs="Arial"/>
                <w:color w:val="000000"/>
              </w:rPr>
              <w:t>e cost-minimised against fingoli</w:t>
            </w:r>
            <w:r w:rsidR="008A5807" w:rsidRPr="008A5807">
              <w:rPr>
                <w:rFonts w:ascii="Arial" w:hAnsi="Arial" w:cs="Arial"/>
                <w:color w:val="000000"/>
              </w:rPr>
              <w:t>m</w:t>
            </w:r>
            <w:r w:rsidR="006905FD">
              <w:rPr>
                <w:rFonts w:ascii="Arial" w:hAnsi="Arial" w:cs="Arial"/>
                <w:color w:val="000000"/>
              </w:rPr>
              <w:t>o</w:t>
            </w:r>
            <w:r w:rsidR="008A5807" w:rsidRPr="008A5807">
              <w:rPr>
                <w:rFonts w:ascii="Arial" w:hAnsi="Arial" w:cs="Arial"/>
                <w:color w:val="000000"/>
              </w:rPr>
              <w:t>d</w:t>
            </w:r>
            <w:r w:rsidR="008A5807">
              <w:rPr>
                <w:rFonts w:ascii="Arial" w:hAnsi="Arial" w:cs="Arial"/>
                <w:color w:val="000000"/>
              </w:rPr>
              <w:t>.</w:t>
            </w:r>
            <w:r w:rsidRPr="00D41A86">
              <w:rPr>
                <w:rFonts w:ascii="Arial" w:hAnsi="Arial" w:cs="Arial"/>
                <w:color w:val="000000"/>
              </w:rPr>
              <w:t xml:space="preserve"> </w:t>
            </w:r>
          </w:p>
        </w:tc>
      </w:tr>
      <w:tr w:rsidR="00AA1CFF"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AA1CFF" w:rsidRDefault="00AA1CFF" w:rsidP="00216452">
            <w:pPr>
              <w:rPr>
                <w:rFonts w:ascii="Arial" w:hAnsi="Arial" w:cs="Arial"/>
                <w:color w:val="000000"/>
              </w:rPr>
            </w:pPr>
            <w:r>
              <w:rPr>
                <w:rFonts w:ascii="Arial" w:hAnsi="Arial" w:cs="Arial"/>
                <w:color w:val="000000"/>
              </w:rPr>
              <w:lastRenderedPageBreak/>
              <w:t>CLOZAPINE</w:t>
            </w:r>
          </w:p>
          <w:p w:rsidR="00AA1CFF" w:rsidRDefault="00AA1CFF" w:rsidP="00216452">
            <w:pPr>
              <w:rPr>
                <w:rFonts w:ascii="Arial" w:hAnsi="Arial" w:cs="Arial"/>
                <w:color w:val="000000"/>
              </w:rPr>
            </w:pPr>
          </w:p>
          <w:p w:rsidR="00AA1CFF" w:rsidRDefault="00AA1CFF" w:rsidP="00216452">
            <w:pPr>
              <w:rPr>
                <w:rFonts w:ascii="Arial" w:hAnsi="Arial" w:cs="Arial"/>
                <w:color w:val="000000"/>
              </w:rPr>
            </w:pPr>
            <w:r>
              <w:rPr>
                <w:rFonts w:ascii="Arial" w:hAnsi="Arial" w:cs="Arial"/>
                <w:color w:val="000000"/>
              </w:rPr>
              <w:t>Oral liquid 50 mg per mL, 100 mL</w:t>
            </w:r>
          </w:p>
          <w:p w:rsidR="00AA1CFF" w:rsidRDefault="00AA1CFF" w:rsidP="00216452">
            <w:pPr>
              <w:rPr>
                <w:rFonts w:ascii="Arial" w:hAnsi="Arial" w:cs="Arial"/>
                <w:color w:val="000000"/>
              </w:rPr>
            </w:pPr>
          </w:p>
          <w:p w:rsidR="00AA1CFF" w:rsidRDefault="00AA1CFF" w:rsidP="00216452">
            <w:pPr>
              <w:rPr>
                <w:rFonts w:ascii="Arial" w:hAnsi="Arial" w:cs="Arial"/>
                <w:color w:val="000000"/>
              </w:rPr>
            </w:pPr>
            <w:r>
              <w:rPr>
                <w:rFonts w:ascii="Arial" w:hAnsi="Arial" w:cs="Arial"/>
                <w:color w:val="000000"/>
              </w:rPr>
              <w:t>Versacloz®</w:t>
            </w:r>
          </w:p>
          <w:p w:rsidR="00AA1CFF" w:rsidRDefault="00AA1CFF" w:rsidP="00216452">
            <w:pPr>
              <w:rPr>
                <w:rFonts w:ascii="Arial" w:hAnsi="Arial" w:cs="Arial"/>
                <w:color w:val="000000"/>
              </w:rPr>
            </w:pPr>
          </w:p>
          <w:p w:rsidR="00AA1CFF" w:rsidRDefault="00AA1CFF" w:rsidP="00216452">
            <w:pPr>
              <w:rPr>
                <w:rFonts w:ascii="Arial" w:hAnsi="Arial" w:cs="Arial"/>
                <w:color w:val="000000"/>
              </w:rPr>
            </w:pPr>
            <w:r>
              <w:rPr>
                <w:rFonts w:ascii="Arial" w:hAnsi="Arial" w:cs="Arial"/>
                <w:color w:val="000000"/>
              </w:rPr>
              <w:t>Pfizer Australia Pty Ltd</w:t>
            </w:r>
          </w:p>
          <w:p w:rsidR="00AA1CFF" w:rsidRDefault="00AA1CFF" w:rsidP="00216452">
            <w:pPr>
              <w:rPr>
                <w:rFonts w:ascii="Arial" w:hAnsi="Arial" w:cs="Arial"/>
                <w:color w:val="000000"/>
              </w:rPr>
            </w:pPr>
          </w:p>
          <w:p w:rsidR="00AA1CFF" w:rsidRDefault="001366E9" w:rsidP="00216452">
            <w:pPr>
              <w:rPr>
                <w:rFonts w:ascii="Arial" w:hAnsi="Arial" w:cs="Arial"/>
                <w:color w:val="000000"/>
              </w:rPr>
            </w:pPr>
            <w:r>
              <w:rPr>
                <w:rFonts w:ascii="Arial" w:hAnsi="Arial" w:cs="Arial"/>
                <w:color w:val="000000"/>
              </w:rPr>
              <w:t>New listing</w:t>
            </w:r>
          </w:p>
          <w:p w:rsidR="00C618E5" w:rsidRDefault="00C618E5" w:rsidP="00216452">
            <w:pPr>
              <w:rPr>
                <w:rFonts w:ascii="Arial" w:hAnsi="Arial" w:cs="Arial"/>
                <w:color w:val="000000"/>
              </w:rPr>
            </w:pPr>
            <w:r>
              <w:rPr>
                <w:rFonts w:ascii="Arial" w:hAnsi="Arial" w:cs="Arial"/>
                <w:color w:val="000000"/>
              </w:rPr>
              <w:t>(Minor Submission)</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AA1CFF" w:rsidRDefault="00AA1CFF" w:rsidP="00D41A86">
            <w:pPr>
              <w:rPr>
                <w:rFonts w:ascii="Arial" w:hAnsi="Arial" w:cs="Arial"/>
                <w:color w:val="000000"/>
              </w:rPr>
            </w:pPr>
            <w:r>
              <w:rPr>
                <w:rFonts w:ascii="Arial" w:hAnsi="Arial" w:cs="Arial"/>
                <w:color w:val="000000"/>
              </w:rPr>
              <w:t>Schizophrenia</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AA1CFF" w:rsidRDefault="00AA1CFF" w:rsidP="00216452">
            <w:pPr>
              <w:rPr>
                <w:rFonts w:ascii="Arial" w:hAnsi="Arial" w:cs="Arial"/>
                <w:color w:val="000000"/>
              </w:rPr>
            </w:pPr>
            <w:r>
              <w:rPr>
                <w:rFonts w:ascii="Arial" w:hAnsi="Arial" w:cs="Arial"/>
                <w:color w:val="000000"/>
              </w:rPr>
              <w:t xml:space="preserve">To request a temporary Authority Required and Authority Required (STREAMLINED), Section 100 Highly Specialised Drugs Program (HSD) Public Hospital, Private Hospital and Community Access listings as an alternative to the currently listed clozapine (Clopine Suspension®) to address the currently supply shortage issue. </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AA1CFF" w:rsidRPr="00D41A86" w:rsidRDefault="00287C8C" w:rsidP="00AE09AA">
            <w:pPr>
              <w:spacing w:after="120"/>
              <w:jc w:val="both"/>
              <w:rPr>
                <w:rFonts w:ascii="Arial" w:hAnsi="Arial" w:cs="Arial"/>
                <w:color w:val="000000"/>
              </w:rPr>
            </w:pPr>
            <w:r w:rsidRPr="00287C8C">
              <w:rPr>
                <w:rFonts w:ascii="Arial" w:hAnsi="Arial" w:cs="Arial"/>
                <w:color w:val="000000"/>
              </w:rPr>
              <w:t>The PBAC recommended the temporary Section 100 Highly Specialised Drugs Program (HSD) and Section 100 Community Access listings of clozapine (Versacloz®) on the Pharmaceutical Benefits Scheme (PBS) to address the current supply shortage of clozapine (Clopine Suspension®, 50 mg per mL clozapine suspension).</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D41A86">
            <w:pPr>
              <w:rPr>
                <w:rFonts w:ascii="Arial" w:hAnsi="Arial" w:cs="Arial"/>
                <w:color w:val="000000"/>
              </w:rPr>
            </w:pPr>
            <w:r>
              <w:rPr>
                <w:rFonts w:ascii="Arial" w:hAnsi="Arial" w:cs="Arial"/>
                <w:color w:val="000000"/>
              </w:rPr>
              <w:t>CRIZOTINIB</w:t>
            </w:r>
            <w:r>
              <w:rPr>
                <w:rFonts w:ascii="Arial" w:hAnsi="Arial" w:cs="Arial"/>
                <w:color w:val="000000"/>
              </w:rPr>
              <w:br/>
            </w:r>
            <w:r>
              <w:rPr>
                <w:rFonts w:ascii="Arial" w:hAnsi="Arial" w:cs="Arial"/>
                <w:color w:val="000000"/>
              </w:rPr>
              <w:br/>
              <w:t>Capsule 200 mg</w:t>
            </w:r>
            <w:r>
              <w:rPr>
                <w:rFonts w:ascii="Arial" w:hAnsi="Arial" w:cs="Arial"/>
                <w:color w:val="000000"/>
              </w:rPr>
              <w:br/>
              <w:t>Capsule 250 mg</w:t>
            </w:r>
            <w:r>
              <w:rPr>
                <w:rFonts w:ascii="Arial" w:hAnsi="Arial" w:cs="Arial"/>
                <w:color w:val="000000"/>
              </w:rPr>
              <w:br/>
            </w:r>
            <w:r>
              <w:rPr>
                <w:rFonts w:ascii="Arial" w:hAnsi="Arial" w:cs="Arial"/>
                <w:color w:val="000000"/>
              </w:rPr>
              <w:br/>
              <w:t>Xalkori®</w:t>
            </w:r>
            <w:r>
              <w:rPr>
                <w:rFonts w:ascii="Arial" w:hAnsi="Arial" w:cs="Arial"/>
                <w:color w:val="000000"/>
              </w:rPr>
              <w:br/>
            </w:r>
            <w:r>
              <w:rPr>
                <w:rFonts w:ascii="Arial" w:hAnsi="Arial" w:cs="Arial"/>
                <w:color w:val="000000"/>
              </w:rPr>
              <w:br/>
              <w:t>Pfizer Australia Pty Ltd</w:t>
            </w:r>
          </w:p>
          <w:p w:rsidR="00F95241" w:rsidRDefault="00F95241" w:rsidP="00216452">
            <w:pPr>
              <w:rPr>
                <w:rFonts w:ascii="Arial" w:hAnsi="Arial" w:cs="Arial"/>
                <w:color w:val="000000"/>
              </w:rPr>
            </w:pPr>
          </w:p>
          <w:p w:rsidR="00F95241" w:rsidRDefault="00F95241" w:rsidP="00216452">
            <w:pPr>
              <w:rPr>
                <w:rFonts w:ascii="Arial" w:hAnsi="Arial" w:cs="Arial"/>
                <w:color w:val="000000"/>
              </w:rPr>
            </w:pPr>
            <w:r>
              <w:rPr>
                <w:rFonts w:ascii="Arial" w:hAnsi="Arial" w:cs="Arial"/>
                <w:color w:val="000000"/>
              </w:rPr>
              <w:t>Change to listing</w:t>
            </w:r>
          </w:p>
          <w:p w:rsidR="00F95241" w:rsidRPr="007F7D95" w:rsidRDefault="00F95241" w:rsidP="00C618E5">
            <w:pPr>
              <w:rPr>
                <w:rFonts w:ascii="Arial" w:hAnsi="Arial" w:cs="Arial"/>
                <w:color w:val="000000"/>
              </w:rPr>
            </w:pPr>
            <w:r>
              <w:rPr>
                <w:rFonts w:ascii="Arial" w:hAnsi="Arial" w:cs="Arial"/>
                <w:color w:val="000000"/>
              </w:rPr>
              <w:t xml:space="preserve">(Minor </w:t>
            </w:r>
            <w:r w:rsidR="00C618E5">
              <w:rPr>
                <w:rFonts w:ascii="Arial" w:hAnsi="Arial" w:cs="Arial"/>
                <w:color w:val="000000"/>
              </w:rPr>
              <w:t>S</w:t>
            </w:r>
            <w:r>
              <w:rPr>
                <w:rFonts w:ascii="Arial" w:hAnsi="Arial" w:cs="Arial"/>
                <w:color w:val="000000"/>
              </w:rPr>
              <w:t>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216452">
            <w:pPr>
              <w:rPr>
                <w:rFonts w:ascii="Arial" w:hAnsi="Arial" w:cs="Arial"/>
                <w:color w:val="000000"/>
              </w:rPr>
            </w:pPr>
            <w:r>
              <w:rPr>
                <w:rFonts w:ascii="Arial" w:hAnsi="Arial" w:cs="Arial"/>
                <w:color w:val="000000"/>
              </w:rPr>
              <w:t>Stage IIIB (locally advanced) or Stage IV (metastatic) non-small cell lung cancer (NSCLC) with a ROS1 gene rearrangement confirmed by fluorescent in situ hybridisation (FISH) testing</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AE09AA">
            <w:pPr>
              <w:rPr>
                <w:rFonts w:ascii="Arial" w:hAnsi="Arial" w:cs="Arial"/>
                <w:color w:val="000000"/>
              </w:rPr>
            </w:pPr>
            <w:r>
              <w:rPr>
                <w:rFonts w:ascii="Arial" w:hAnsi="Arial" w:cs="Arial"/>
                <w:color w:val="000000"/>
              </w:rPr>
              <w:t>Resubmission to request an Authority Required listing for the treatment of patients with Stage IIIB (locally advanced) or Stage IV (metastatic) NSCLC with a ROS1 gene rearrangement confirmed by FISH testing, in patients who have failed at least one treatment with platinum based chemotherapy.</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F95241" w:rsidRDefault="00F95241" w:rsidP="00857575">
            <w:pPr>
              <w:jc w:val="both"/>
              <w:rPr>
                <w:rFonts w:ascii="Arial" w:hAnsi="Arial" w:cs="Arial"/>
                <w:color w:val="000000"/>
              </w:rPr>
            </w:pPr>
            <w:r w:rsidRPr="00D41A86">
              <w:rPr>
                <w:rFonts w:ascii="Arial" w:hAnsi="Arial" w:cs="Arial"/>
                <w:color w:val="000000"/>
              </w:rPr>
              <w:t>The PBAC recommended the</w:t>
            </w:r>
            <w:r>
              <w:rPr>
                <w:rFonts w:ascii="Arial" w:hAnsi="Arial" w:cs="Arial"/>
                <w:color w:val="000000"/>
              </w:rPr>
              <w:t xml:space="preserve"> Authority Required</w:t>
            </w:r>
            <w:r w:rsidRPr="00D41A86">
              <w:rPr>
                <w:rFonts w:ascii="Arial" w:hAnsi="Arial" w:cs="Arial"/>
                <w:color w:val="000000"/>
              </w:rPr>
              <w:t xml:space="preserve"> listing of crizotinib for the treatment of c-ROS proto-oncogene 1 (ROS1) positive locally advanced (Stage IIIB) or metastatic (Stage IV) non-small cell lung cancer (NSCLC). In making this recommendation, the PBAC acknowledged that there is a high unmet clinical need in the small proposed population. Further, the PBAC advised that crizotinib’s effectiveness and safety profile in the ROS1-positive NSCLC population is likely to be similar to that in the ALK-positive NSCLC population, for which it is already PBS listed. The PBAC noted that the Medical Services Advisory Committee (MSAC) had foreshadowed its support for a new Medical Benefits Schedule (MBS) item for ROS1 testing to inform eligibility for crizotinib treatment in this population (</w:t>
            </w:r>
            <w:hyperlink r:id="rId9" w:history="1">
              <w:r w:rsidRPr="00857575">
                <w:rPr>
                  <w:rStyle w:val="Hyperlink"/>
                  <w:rFonts w:ascii="Arial" w:hAnsi="Arial" w:cs="Arial"/>
                </w:rPr>
                <w:t>Public Summary Document, Application No. 1454, crizotinib, November 2017 MSAC meeting</w:t>
              </w:r>
            </w:hyperlink>
            <w:r>
              <w:rPr>
                <w:rFonts w:ascii="Arial" w:hAnsi="Arial" w:cs="Arial"/>
                <w:color w:val="000000"/>
              </w:rPr>
              <w:t>*</w:t>
            </w:r>
            <w:r w:rsidRPr="00D41A86">
              <w:rPr>
                <w:rFonts w:ascii="Arial" w:hAnsi="Arial" w:cs="Arial"/>
                <w:color w:val="000000"/>
              </w:rPr>
              <w:t>).</w:t>
            </w:r>
            <w:r>
              <w:rPr>
                <w:rFonts w:ascii="Arial" w:hAnsi="Arial" w:cs="Arial"/>
                <w:color w:val="000000"/>
              </w:rPr>
              <w:t xml:space="preserve"> </w:t>
            </w:r>
            <w:r w:rsidRPr="00D41A86">
              <w:rPr>
                <w:rFonts w:ascii="Arial" w:hAnsi="Arial" w:cs="Arial"/>
                <w:color w:val="000000"/>
              </w:rPr>
              <w:t xml:space="preserve">The PBAC advised that there was neither any new evidence nor any compelling justifications in the minor resubmission that was likely to necessitate any change to its previous interpretation of the clinical evidence. However, the PBAC considered that changes to the economic model in relation to the efficacy of the comparator and the comparative effectiveness of crizotinib resulted in a high but acceptable incremental cost-effectiveness ratio, at the price proposed in the minor resubmission. </w:t>
            </w:r>
          </w:p>
          <w:p w:rsidR="00675F60" w:rsidRPr="00D41A86" w:rsidRDefault="00F95241" w:rsidP="00AE09AA">
            <w:pPr>
              <w:jc w:val="both"/>
              <w:rPr>
                <w:rFonts w:ascii="Arial" w:hAnsi="Arial" w:cs="Arial"/>
                <w:color w:val="000000"/>
              </w:rPr>
            </w:pPr>
            <w:r>
              <w:rPr>
                <w:rFonts w:ascii="Arial" w:hAnsi="Arial" w:cs="Arial"/>
                <w:color w:val="000000"/>
              </w:rPr>
              <w:t>*</w:t>
            </w:r>
            <w:r w:rsidR="00AE09AA" w:rsidRPr="0099109F">
              <w:rPr>
                <w:rFonts w:ascii="Arial" w:hAnsi="Arial" w:cs="Arial"/>
              </w:rPr>
              <w:t>http://www.msac.gov.au/internet/msac/publishing.nsf/Content/1454-Public</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lastRenderedPageBreak/>
              <w:t>DEFERASIROX</w:t>
            </w:r>
            <w:r>
              <w:rPr>
                <w:rFonts w:ascii="Arial" w:hAnsi="Arial" w:cs="Arial"/>
                <w:color w:val="000000"/>
              </w:rPr>
              <w:br/>
            </w:r>
            <w:r>
              <w:rPr>
                <w:rFonts w:ascii="Arial" w:hAnsi="Arial" w:cs="Arial"/>
                <w:color w:val="000000"/>
              </w:rPr>
              <w:br/>
              <w:t>Tablet 90 mg</w:t>
            </w:r>
            <w:r>
              <w:rPr>
                <w:rFonts w:ascii="Arial" w:hAnsi="Arial" w:cs="Arial"/>
                <w:color w:val="000000"/>
              </w:rPr>
              <w:br/>
              <w:t>Tablet 180 mg</w:t>
            </w:r>
            <w:r>
              <w:rPr>
                <w:rFonts w:ascii="Arial" w:hAnsi="Arial" w:cs="Arial"/>
                <w:color w:val="000000"/>
              </w:rPr>
              <w:br/>
              <w:t>Tablet 360 mg</w:t>
            </w:r>
            <w:r>
              <w:rPr>
                <w:rFonts w:ascii="Arial" w:hAnsi="Arial" w:cs="Arial"/>
                <w:color w:val="000000"/>
              </w:rPr>
              <w:br/>
            </w:r>
            <w:r>
              <w:rPr>
                <w:rFonts w:ascii="Arial" w:hAnsi="Arial" w:cs="Arial"/>
                <w:color w:val="000000"/>
              </w:rPr>
              <w:br/>
              <w:t>Jadenu®</w:t>
            </w:r>
            <w:r>
              <w:rPr>
                <w:rFonts w:ascii="Arial" w:hAnsi="Arial" w:cs="Arial"/>
                <w:color w:val="000000"/>
              </w:rPr>
              <w:br/>
            </w:r>
            <w:r>
              <w:rPr>
                <w:rFonts w:ascii="Arial" w:hAnsi="Arial" w:cs="Arial"/>
                <w:color w:val="000000"/>
              </w:rPr>
              <w:br/>
              <w:t>Novartis Pharmaceuticals Australia Pty Ltd</w:t>
            </w:r>
          </w:p>
          <w:p w:rsidR="00F95241" w:rsidRDefault="00F95241" w:rsidP="00216452">
            <w:pPr>
              <w:rPr>
                <w:rFonts w:ascii="Arial" w:hAnsi="Arial" w:cs="Arial"/>
                <w:color w:val="000000"/>
              </w:rPr>
            </w:pPr>
          </w:p>
          <w:p w:rsidR="00F95241" w:rsidRDefault="00F95241" w:rsidP="003642C8">
            <w:pPr>
              <w:rPr>
                <w:rFonts w:ascii="Arial" w:hAnsi="Arial" w:cs="Arial"/>
              </w:rPr>
            </w:pPr>
            <w:r>
              <w:rPr>
                <w:rFonts w:ascii="Arial" w:hAnsi="Arial" w:cs="Arial"/>
              </w:rPr>
              <w:t>New listing</w:t>
            </w:r>
          </w:p>
          <w:p w:rsidR="00F95241" w:rsidRDefault="00F95241" w:rsidP="003642C8">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Chronic iron overload</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FC07F8" w:rsidRDefault="00F95241" w:rsidP="00AE09AA">
            <w:pPr>
              <w:rPr>
                <w:rFonts w:ascii="Arial" w:hAnsi="Arial" w:cs="Arial"/>
              </w:rPr>
            </w:pPr>
            <w:r>
              <w:rPr>
                <w:rFonts w:ascii="Arial" w:hAnsi="Arial" w:cs="Arial"/>
                <w:color w:val="000000"/>
              </w:rPr>
              <w:t>To request Section 100 (Highly Specialised Drug) listings of a new form of deferasirox.</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675F60" w:rsidRPr="004353FF" w:rsidRDefault="00F95241" w:rsidP="000B655F">
            <w:pPr>
              <w:rPr>
                <w:rFonts w:ascii="Arial" w:hAnsi="Arial" w:cs="Arial"/>
                <w:color w:val="000000"/>
              </w:rPr>
            </w:pPr>
            <w:r w:rsidRPr="004353FF">
              <w:rPr>
                <w:rFonts w:ascii="Arial" w:hAnsi="Arial" w:cs="Arial"/>
                <w:color w:val="000000"/>
              </w:rPr>
              <w:t>The PBAC recommended</w:t>
            </w:r>
            <w:r>
              <w:rPr>
                <w:rFonts w:ascii="Arial" w:hAnsi="Arial" w:cs="Arial"/>
                <w:color w:val="000000"/>
              </w:rPr>
              <w:t xml:space="preserve"> </w:t>
            </w:r>
            <w:r w:rsidRPr="004353FF">
              <w:rPr>
                <w:rFonts w:ascii="Arial" w:hAnsi="Arial" w:cs="Arial"/>
                <w:color w:val="000000"/>
              </w:rPr>
              <w:t>Section 100</w:t>
            </w:r>
            <w:r>
              <w:rPr>
                <w:rFonts w:ascii="Arial" w:hAnsi="Arial" w:cs="Arial"/>
                <w:color w:val="000000"/>
              </w:rPr>
              <w:t xml:space="preserve"> (</w:t>
            </w:r>
            <w:r w:rsidRPr="004353FF">
              <w:rPr>
                <w:rFonts w:ascii="Arial" w:hAnsi="Arial" w:cs="Arial"/>
                <w:color w:val="000000"/>
              </w:rPr>
              <w:t>Highly Specialised Drugs Program</w:t>
            </w:r>
            <w:r>
              <w:rPr>
                <w:rFonts w:ascii="Arial" w:hAnsi="Arial" w:cs="Arial"/>
                <w:color w:val="000000"/>
              </w:rPr>
              <w:t xml:space="preserve">) listing </w:t>
            </w:r>
            <w:r w:rsidRPr="004353FF">
              <w:rPr>
                <w:rFonts w:ascii="Arial" w:hAnsi="Arial" w:cs="Arial"/>
                <w:color w:val="000000"/>
              </w:rPr>
              <w:t>of deferasirox film coated tablets for the treatment of chronic iron overload d</w:t>
            </w:r>
            <w:r>
              <w:rPr>
                <w:rFonts w:ascii="Arial" w:hAnsi="Arial" w:cs="Arial"/>
                <w:color w:val="000000"/>
              </w:rPr>
              <w:t xml:space="preserve">ue to disorders of haemopoiesis. </w:t>
            </w:r>
            <w:r w:rsidRPr="004353FF">
              <w:rPr>
                <w:rFonts w:ascii="Arial" w:hAnsi="Arial" w:cs="Arial"/>
                <w:color w:val="000000"/>
              </w:rPr>
              <w:t>The PBAC’s recommendation for listing was based on its assessment that deferasirox film coated tablets were biocomparable, rather than bioequivalent, to deferasirox dispersible tablets and a cost-minimisation analysis between the film coated and dispersible tablets.</w:t>
            </w:r>
          </w:p>
        </w:tc>
      </w:tr>
      <w:tr w:rsidR="00F95241" w:rsidRPr="003D7E12" w:rsidTr="005478AD">
        <w:trPr>
          <w:cantSplit/>
          <w:trHeight w:val="571"/>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DOLUTEGRAVIR WITH RILPIVIRINE</w:t>
            </w:r>
            <w:r>
              <w:rPr>
                <w:rFonts w:ascii="Arial" w:hAnsi="Arial" w:cs="Arial"/>
                <w:color w:val="000000"/>
              </w:rPr>
              <w:br/>
            </w:r>
            <w:r>
              <w:rPr>
                <w:rFonts w:ascii="Arial" w:hAnsi="Arial" w:cs="Arial"/>
                <w:color w:val="000000"/>
              </w:rPr>
              <w:br/>
              <w:t>Tablet containing dolutegravir 50 mg with rilpivirine 25 mg</w:t>
            </w:r>
            <w:r>
              <w:rPr>
                <w:rFonts w:ascii="Arial" w:hAnsi="Arial" w:cs="Arial"/>
                <w:color w:val="000000"/>
              </w:rPr>
              <w:br/>
            </w:r>
            <w:r>
              <w:rPr>
                <w:rFonts w:ascii="Arial" w:hAnsi="Arial" w:cs="Arial"/>
                <w:color w:val="000000"/>
              </w:rPr>
              <w:br/>
              <w:t>Juluca®</w:t>
            </w:r>
            <w:r>
              <w:rPr>
                <w:rFonts w:ascii="Arial" w:hAnsi="Arial" w:cs="Arial"/>
                <w:color w:val="000000"/>
              </w:rPr>
              <w:br/>
            </w:r>
            <w:r>
              <w:rPr>
                <w:rFonts w:ascii="Arial" w:hAnsi="Arial" w:cs="Arial"/>
                <w:color w:val="000000"/>
              </w:rPr>
              <w:br/>
              <w:t>ViiV Healthcare Pty Ltd</w:t>
            </w:r>
          </w:p>
          <w:p w:rsidR="00F95241" w:rsidRDefault="00F95241" w:rsidP="00216452">
            <w:pPr>
              <w:rPr>
                <w:rFonts w:ascii="Arial" w:hAnsi="Arial" w:cs="Arial"/>
                <w:color w:val="000000"/>
              </w:rPr>
            </w:pPr>
          </w:p>
          <w:p w:rsidR="00F95241" w:rsidRDefault="00F95241" w:rsidP="003642C8">
            <w:pPr>
              <w:rPr>
                <w:rFonts w:ascii="Arial" w:hAnsi="Arial" w:cs="Arial"/>
              </w:rPr>
            </w:pPr>
            <w:r>
              <w:rPr>
                <w:rFonts w:ascii="Arial" w:hAnsi="Arial" w:cs="Arial"/>
              </w:rPr>
              <w:t>New listing</w:t>
            </w:r>
          </w:p>
          <w:p w:rsidR="00F95241" w:rsidRDefault="00F95241" w:rsidP="003642C8">
            <w:pPr>
              <w:rPr>
                <w:rFonts w:ascii="Arial" w:hAnsi="Arial" w:cs="Arial"/>
                <w:color w:val="000000"/>
              </w:rPr>
            </w:pPr>
            <w:r>
              <w:rPr>
                <w:rFonts w:ascii="Arial" w:hAnsi="Arial" w:cs="Arial"/>
              </w:rPr>
              <w:t>(Major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3D7E12" w:rsidRDefault="00F95241" w:rsidP="00216452">
            <w:pPr>
              <w:rPr>
                <w:rFonts w:ascii="Arial" w:hAnsi="Arial" w:cs="Arial"/>
              </w:rPr>
            </w:pPr>
            <w:r>
              <w:rPr>
                <w:rFonts w:ascii="Arial" w:hAnsi="Arial" w:cs="Arial"/>
              </w:rPr>
              <w:t>Human immunodeficiency virus (HIV) infection</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B113BB" w:rsidRDefault="00F95241" w:rsidP="00AE09AA">
            <w:pPr>
              <w:rPr>
                <w:rFonts w:ascii="Arial" w:hAnsi="Arial" w:cs="Arial"/>
              </w:rPr>
            </w:pPr>
            <w:r>
              <w:rPr>
                <w:rFonts w:ascii="Arial" w:hAnsi="Arial" w:cs="Arial"/>
              </w:rPr>
              <w:t>T</w:t>
            </w:r>
            <w:r>
              <w:rPr>
                <w:rFonts w:ascii="Arial" w:hAnsi="Arial" w:cs="Arial"/>
                <w:color w:val="000000"/>
              </w:rPr>
              <w:t>o request a Section 100 (Highly Specialised Drugs Program - Community Access) Authority Required (STREAMLINED) listing for the treatment of patients with HIV infection.</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AE09AA" w:rsidRDefault="00F95241" w:rsidP="00AE09AA">
            <w:pPr>
              <w:rPr>
                <w:rFonts w:ascii="Arial" w:hAnsi="Arial" w:cs="Arial"/>
              </w:rPr>
            </w:pPr>
            <w:r w:rsidRPr="001F5F77">
              <w:rPr>
                <w:rFonts w:ascii="Arial" w:hAnsi="Arial" w:cs="Arial"/>
              </w:rPr>
              <w:t xml:space="preserve">The PBAC recommended the listing of the combination drug dolutegravir with rilpivirine (Juluca®) for the treatment of HIV infection in patients who are virologically suppressed on current treatment, on a weighted price cost minimisation basis </w:t>
            </w:r>
            <w:r w:rsidR="00AE09AA">
              <w:rPr>
                <w:rFonts w:ascii="Arial" w:hAnsi="Arial" w:cs="Arial"/>
              </w:rPr>
              <w:t>with alternative treatments.</w:t>
            </w:r>
          </w:p>
          <w:p w:rsidR="00AE09AA" w:rsidRDefault="00AE09AA" w:rsidP="00AE09AA">
            <w:pPr>
              <w:rPr>
                <w:rFonts w:ascii="Arial" w:hAnsi="Arial" w:cs="Arial"/>
              </w:rPr>
            </w:pPr>
          </w:p>
          <w:p w:rsidR="00675F60" w:rsidRPr="001F5F77" w:rsidRDefault="00F95241" w:rsidP="00AE09AA">
            <w:pPr>
              <w:rPr>
                <w:rFonts w:ascii="Calibri" w:hAnsi="Calibri" w:cs="Calibri"/>
                <w:color w:val="000000"/>
                <w:sz w:val="22"/>
                <w:szCs w:val="22"/>
              </w:rPr>
            </w:pPr>
            <w:r w:rsidRPr="001F5F77">
              <w:rPr>
                <w:rFonts w:ascii="Arial" w:hAnsi="Arial" w:cs="Arial"/>
              </w:rPr>
              <w:t>The PBAC considered the alternative treatments for the cost minimisation to be Stribild® or Eviplera® for most patients and Odefsey® or Genvoya® for patients with renal impairment who cannot use Stribild or Eviplera. The PBAC considered Juluca to be of similar effectiveness and safety to these alternative treatments</w:t>
            </w:r>
          </w:p>
        </w:tc>
      </w:tr>
      <w:tr w:rsidR="00F95241" w:rsidRPr="003D7E12" w:rsidTr="005478AD">
        <w:trPr>
          <w:trHeight w:val="430"/>
        </w:trPr>
        <w:tc>
          <w:tcPr>
            <w:tcW w:w="310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87868" w:rsidRPr="008D0109" w:rsidRDefault="00F95241" w:rsidP="00C87868">
            <w:pPr>
              <w:rPr>
                <w:rFonts w:ascii="Arial" w:hAnsi="Arial" w:cs="Arial"/>
                <w:color w:val="000000"/>
              </w:rPr>
            </w:pPr>
            <w:r w:rsidRPr="008D0109">
              <w:rPr>
                <w:rFonts w:ascii="Arial" w:hAnsi="Arial" w:cs="Arial"/>
                <w:color w:val="000000"/>
              </w:rPr>
              <w:t>1) ERTUGLIFLOZIN WITH SITAGLIPTIN</w:t>
            </w:r>
          </w:p>
          <w:p w:rsidR="00C87868" w:rsidRPr="008D0109" w:rsidRDefault="00C87868" w:rsidP="00C87868">
            <w:pPr>
              <w:rPr>
                <w:rFonts w:ascii="Arial" w:hAnsi="Arial" w:cs="Arial"/>
                <w:color w:val="000000"/>
              </w:rPr>
            </w:pPr>
            <w:r w:rsidRPr="008D0109">
              <w:rPr>
                <w:rFonts w:ascii="Arial" w:hAnsi="Arial" w:cs="Arial"/>
                <w:color w:val="000000"/>
              </w:rPr>
              <w:t xml:space="preserve">2) ERTUGLIFLOZIN </w:t>
            </w:r>
          </w:p>
          <w:p w:rsidR="00C87868" w:rsidRPr="008D0109" w:rsidRDefault="00F95241" w:rsidP="00C87868">
            <w:pPr>
              <w:rPr>
                <w:rFonts w:ascii="Arial" w:hAnsi="Arial" w:cs="Arial"/>
                <w:color w:val="000000"/>
              </w:rPr>
            </w:pPr>
            <w:r w:rsidRPr="008D0109">
              <w:rPr>
                <w:rFonts w:ascii="Arial" w:hAnsi="Arial" w:cs="Arial"/>
                <w:color w:val="000000"/>
              </w:rPr>
              <w:t>3) ERTUGLIFLOZIN WITH METFORMIN</w:t>
            </w:r>
          </w:p>
          <w:p w:rsidR="00C87868" w:rsidRPr="008D0109" w:rsidRDefault="00C87868" w:rsidP="00C87868">
            <w:pPr>
              <w:rPr>
                <w:rFonts w:ascii="Arial" w:hAnsi="Arial" w:cs="Arial"/>
                <w:color w:val="000000"/>
              </w:rPr>
            </w:pPr>
            <w:r w:rsidRPr="008D0109">
              <w:rPr>
                <w:rFonts w:ascii="Arial" w:hAnsi="Arial" w:cs="Arial"/>
                <w:color w:val="000000"/>
              </w:rPr>
              <w:t>4) SITAGLIPTIN</w:t>
            </w:r>
          </w:p>
          <w:p w:rsidR="00C87868" w:rsidRPr="008D0109" w:rsidRDefault="00C87868" w:rsidP="00C87868">
            <w:pPr>
              <w:rPr>
                <w:rFonts w:ascii="Arial" w:hAnsi="Arial" w:cs="Arial"/>
                <w:color w:val="000000"/>
              </w:rPr>
            </w:pPr>
            <w:r w:rsidRPr="008D0109">
              <w:rPr>
                <w:rFonts w:ascii="Arial" w:hAnsi="Arial" w:cs="Arial"/>
                <w:color w:val="000000"/>
              </w:rPr>
              <w:t>5) SITAGLIPTIN WITH METFORMIN</w:t>
            </w:r>
          </w:p>
          <w:p w:rsidR="00C87868" w:rsidRPr="008D0109" w:rsidRDefault="00C87868" w:rsidP="00C87868">
            <w:pPr>
              <w:rPr>
                <w:rFonts w:ascii="Arial" w:hAnsi="Arial" w:cs="Arial"/>
                <w:color w:val="000000"/>
              </w:rPr>
            </w:pPr>
          </w:p>
          <w:p w:rsidR="00C87868" w:rsidRPr="008D0109" w:rsidRDefault="00F95241" w:rsidP="00C87868">
            <w:pPr>
              <w:rPr>
                <w:rFonts w:ascii="Arial" w:hAnsi="Arial" w:cs="Arial"/>
                <w:color w:val="000000"/>
              </w:rPr>
            </w:pPr>
            <w:r w:rsidRPr="008D0109">
              <w:rPr>
                <w:rFonts w:ascii="Arial" w:hAnsi="Arial" w:cs="Arial"/>
                <w:color w:val="000000"/>
              </w:rPr>
              <w:t xml:space="preserve">1) Tablet containing 5 mg ertugliflozin with 100 mg sitagliptin (as phosphate monohydrate) </w:t>
            </w:r>
          </w:p>
          <w:p w:rsidR="00C87868" w:rsidRPr="008D0109" w:rsidRDefault="00F95241" w:rsidP="00C87868">
            <w:pPr>
              <w:rPr>
                <w:rFonts w:ascii="Arial" w:hAnsi="Arial" w:cs="Arial"/>
                <w:color w:val="000000"/>
              </w:rPr>
            </w:pPr>
            <w:r w:rsidRPr="008D0109">
              <w:rPr>
                <w:rFonts w:ascii="Arial" w:hAnsi="Arial" w:cs="Arial"/>
                <w:color w:val="000000"/>
              </w:rPr>
              <w:lastRenderedPageBreak/>
              <w:t xml:space="preserve">Tablet containing 15 mg ertugliflozin with 100 mg sitagliptin (as phosphate monohydrate) </w:t>
            </w:r>
          </w:p>
          <w:p w:rsidR="00C87868" w:rsidRPr="008D0109" w:rsidRDefault="00F95241" w:rsidP="00C87868">
            <w:pPr>
              <w:rPr>
                <w:rFonts w:ascii="Arial" w:hAnsi="Arial" w:cs="Arial"/>
                <w:color w:val="000000"/>
              </w:rPr>
            </w:pPr>
            <w:r w:rsidRPr="008D0109">
              <w:rPr>
                <w:rFonts w:ascii="Arial" w:hAnsi="Arial" w:cs="Arial"/>
                <w:color w:val="000000"/>
              </w:rPr>
              <w:t>2) Ertugliflozin Tablet 5 mg</w:t>
            </w:r>
          </w:p>
          <w:p w:rsidR="00C87868" w:rsidRPr="008D0109" w:rsidRDefault="00F95241" w:rsidP="00C87868">
            <w:pPr>
              <w:rPr>
                <w:rFonts w:ascii="Arial" w:hAnsi="Arial" w:cs="Arial"/>
                <w:color w:val="000000"/>
              </w:rPr>
            </w:pPr>
            <w:r w:rsidRPr="008D0109">
              <w:rPr>
                <w:rFonts w:ascii="Arial" w:hAnsi="Arial" w:cs="Arial"/>
                <w:color w:val="000000"/>
              </w:rPr>
              <w:t xml:space="preserve">Ertugliflozin Tablet 15 mg </w:t>
            </w:r>
          </w:p>
          <w:p w:rsidR="00C87868" w:rsidRPr="008D0109" w:rsidRDefault="00F95241" w:rsidP="00C87868">
            <w:pPr>
              <w:rPr>
                <w:rFonts w:ascii="Arial" w:hAnsi="Arial" w:cs="Arial"/>
                <w:color w:val="000000"/>
              </w:rPr>
            </w:pPr>
            <w:r w:rsidRPr="008D0109">
              <w:rPr>
                <w:rFonts w:ascii="Arial" w:hAnsi="Arial" w:cs="Arial"/>
                <w:color w:val="000000"/>
              </w:rPr>
              <w:t>3) Tablet containing 2.5 mg ertugliflozin with 500 mg metformin hydrochloride</w:t>
            </w:r>
          </w:p>
          <w:p w:rsidR="00C87868" w:rsidRPr="008D0109" w:rsidRDefault="00F95241" w:rsidP="00C87868">
            <w:pPr>
              <w:rPr>
                <w:rFonts w:ascii="Arial" w:hAnsi="Arial" w:cs="Arial"/>
                <w:color w:val="000000"/>
              </w:rPr>
            </w:pPr>
            <w:r w:rsidRPr="008D0109">
              <w:rPr>
                <w:rFonts w:ascii="Arial" w:hAnsi="Arial" w:cs="Arial"/>
                <w:color w:val="000000"/>
              </w:rPr>
              <w:t>Tablet containing 2.5 mg ertugliflozin with 1 g metformin hydrochloride</w:t>
            </w:r>
          </w:p>
          <w:p w:rsidR="00C87868" w:rsidRPr="008D0109" w:rsidRDefault="00F95241" w:rsidP="00C87868">
            <w:pPr>
              <w:rPr>
                <w:rFonts w:ascii="Arial" w:hAnsi="Arial" w:cs="Arial"/>
                <w:color w:val="000000"/>
              </w:rPr>
            </w:pPr>
            <w:r w:rsidRPr="008D0109">
              <w:rPr>
                <w:rFonts w:ascii="Arial" w:hAnsi="Arial" w:cs="Arial"/>
                <w:color w:val="000000"/>
              </w:rPr>
              <w:t>Tablet containing 7.5 mg ertugliflozin with 500 mg metformin hydrochloride</w:t>
            </w:r>
          </w:p>
          <w:p w:rsidR="00C87868" w:rsidRPr="008D0109" w:rsidRDefault="00F95241" w:rsidP="00C87868">
            <w:pPr>
              <w:rPr>
                <w:rFonts w:ascii="Arial" w:hAnsi="Arial" w:cs="Arial"/>
                <w:color w:val="000000"/>
              </w:rPr>
            </w:pPr>
            <w:r w:rsidRPr="008D0109">
              <w:rPr>
                <w:rFonts w:ascii="Arial" w:hAnsi="Arial" w:cs="Arial"/>
                <w:color w:val="000000"/>
              </w:rPr>
              <w:t>Tablet containing 7.5 mg ertugliflozin with 1 g metformin hydrochloride</w:t>
            </w:r>
          </w:p>
          <w:p w:rsidR="00C87868" w:rsidRPr="008D0109" w:rsidRDefault="00F95241" w:rsidP="00C87868">
            <w:pPr>
              <w:rPr>
                <w:rFonts w:ascii="Arial" w:hAnsi="Arial" w:cs="Arial"/>
                <w:color w:val="000000"/>
              </w:rPr>
            </w:pPr>
            <w:r w:rsidRPr="008D0109">
              <w:rPr>
                <w:rFonts w:ascii="Arial" w:hAnsi="Arial" w:cs="Arial"/>
                <w:color w:val="000000"/>
              </w:rPr>
              <w:t>4) Sitagliptin Tablet 25 mg (as phosphate monohydrate)</w:t>
            </w:r>
          </w:p>
          <w:p w:rsidR="00C87868" w:rsidRPr="008D0109" w:rsidRDefault="00F95241" w:rsidP="00C87868">
            <w:pPr>
              <w:rPr>
                <w:rFonts w:ascii="Arial" w:hAnsi="Arial" w:cs="Arial"/>
                <w:color w:val="000000"/>
              </w:rPr>
            </w:pPr>
            <w:r w:rsidRPr="008D0109">
              <w:rPr>
                <w:rFonts w:ascii="Arial" w:hAnsi="Arial" w:cs="Arial"/>
                <w:color w:val="000000"/>
              </w:rPr>
              <w:t>Sitagliptin Tablet 50 mg (as phosphate monohydrate)</w:t>
            </w:r>
          </w:p>
          <w:p w:rsidR="00C87868" w:rsidRPr="008D0109" w:rsidRDefault="00F95241" w:rsidP="00C87868">
            <w:pPr>
              <w:rPr>
                <w:rFonts w:ascii="Arial" w:hAnsi="Arial" w:cs="Arial"/>
                <w:color w:val="000000"/>
              </w:rPr>
            </w:pPr>
            <w:r w:rsidRPr="008D0109">
              <w:rPr>
                <w:rFonts w:ascii="Arial" w:hAnsi="Arial" w:cs="Arial"/>
                <w:color w:val="000000"/>
              </w:rPr>
              <w:t>Sitagliptin Tablet 100 mg (as phosphate monohydrate)</w:t>
            </w:r>
          </w:p>
          <w:p w:rsidR="00C87868" w:rsidRPr="008D0109" w:rsidRDefault="00F95241" w:rsidP="00C87868">
            <w:pPr>
              <w:rPr>
                <w:rFonts w:ascii="Arial" w:hAnsi="Arial" w:cs="Arial"/>
                <w:color w:val="000000"/>
              </w:rPr>
            </w:pPr>
            <w:r w:rsidRPr="008D0109">
              <w:rPr>
                <w:rFonts w:ascii="Arial" w:hAnsi="Arial" w:cs="Arial"/>
                <w:color w:val="000000"/>
              </w:rPr>
              <w:t xml:space="preserve">5) Tablet containing 50 mg sitagliptin (as phosphate monohydrate) with 500 mg metformin hydrochloride </w:t>
            </w:r>
          </w:p>
          <w:p w:rsidR="00C87868" w:rsidRPr="008D0109" w:rsidRDefault="00F95241" w:rsidP="00C87868">
            <w:pPr>
              <w:rPr>
                <w:rFonts w:ascii="Arial" w:hAnsi="Arial" w:cs="Arial"/>
                <w:color w:val="000000"/>
              </w:rPr>
            </w:pPr>
            <w:r w:rsidRPr="008D0109">
              <w:rPr>
                <w:rFonts w:ascii="Arial" w:hAnsi="Arial" w:cs="Arial"/>
                <w:color w:val="000000"/>
              </w:rPr>
              <w:t>Tablet containing 50 mg sitagliptin (as phosphate monohydrate) with 850 mg metformin hydrochloride</w:t>
            </w:r>
          </w:p>
          <w:p w:rsidR="00C87868" w:rsidRPr="008D0109" w:rsidRDefault="00F95241" w:rsidP="00C87868">
            <w:pPr>
              <w:rPr>
                <w:rFonts w:ascii="Arial" w:hAnsi="Arial" w:cs="Arial"/>
                <w:color w:val="000000"/>
              </w:rPr>
            </w:pPr>
            <w:r w:rsidRPr="008D0109">
              <w:rPr>
                <w:rFonts w:ascii="Arial" w:hAnsi="Arial" w:cs="Arial"/>
                <w:color w:val="000000"/>
              </w:rPr>
              <w:t>Tablet containing 50 mg sitagliptin (as phosphate monohydrate) with 1000 mg metformin hydrochloride</w:t>
            </w:r>
          </w:p>
          <w:p w:rsidR="00C87868" w:rsidRPr="008D0109" w:rsidRDefault="00F95241" w:rsidP="00C87868">
            <w:pPr>
              <w:rPr>
                <w:rFonts w:ascii="Arial" w:hAnsi="Arial" w:cs="Arial"/>
                <w:color w:val="000000"/>
              </w:rPr>
            </w:pPr>
            <w:r w:rsidRPr="008D0109">
              <w:rPr>
                <w:rFonts w:ascii="Arial" w:hAnsi="Arial" w:cs="Arial"/>
                <w:color w:val="000000"/>
              </w:rPr>
              <w:t xml:space="preserve">Tablet (modified release) containing 50 mg sitagliptin (as </w:t>
            </w:r>
            <w:r w:rsidRPr="008D0109">
              <w:rPr>
                <w:rFonts w:ascii="Arial" w:hAnsi="Arial" w:cs="Arial"/>
                <w:color w:val="000000"/>
              </w:rPr>
              <w:lastRenderedPageBreak/>
              <w:t xml:space="preserve">phosphate monohydrate) with 1000 mg metformin hydrochloride </w:t>
            </w:r>
          </w:p>
          <w:p w:rsidR="00C87868" w:rsidRPr="008D0109" w:rsidRDefault="00F95241" w:rsidP="00C87868">
            <w:pPr>
              <w:rPr>
                <w:rFonts w:ascii="Arial" w:hAnsi="Arial" w:cs="Arial"/>
                <w:color w:val="000000"/>
              </w:rPr>
            </w:pPr>
            <w:r w:rsidRPr="008D0109">
              <w:rPr>
                <w:rFonts w:ascii="Arial" w:hAnsi="Arial" w:cs="Arial"/>
                <w:color w:val="000000"/>
              </w:rPr>
              <w:t xml:space="preserve">Tablet (modified release) containing 100 mg sitagliptin (as phosphate monohydrate) with 1000 mg metformin hydrochloride </w:t>
            </w:r>
          </w:p>
          <w:p w:rsidR="00C87868" w:rsidRPr="008D0109" w:rsidRDefault="00C87868" w:rsidP="00C87868">
            <w:pPr>
              <w:rPr>
                <w:rFonts w:ascii="Arial" w:hAnsi="Arial" w:cs="Arial"/>
                <w:color w:val="000000"/>
              </w:rPr>
            </w:pPr>
          </w:p>
          <w:p w:rsidR="00C87868" w:rsidRPr="008D0109" w:rsidRDefault="00F95241" w:rsidP="00C87868">
            <w:pPr>
              <w:rPr>
                <w:rFonts w:ascii="Arial" w:hAnsi="Arial" w:cs="Arial"/>
                <w:color w:val="000000"/>
              </w:rPr>
            </w:pPr>
            <w:r w:rsidRPr="008D0109">
              <w:rPr>
                <w:rFonts w:ascii="Arial" w:hAnsi="Arial" w:cs="Arial"/>
                <w:color w:val="000000"/>
              </w:rPr>
              <w:t>Steglujan®</w:t>
            </w:r>
          </w:p>
          <w:p w:rsidR="00C87868" w:rsidRPr="008D0109" w:rsidRDefault="00C87868" w:rsidP="00C87868">
            <w:pPr>
              <w:rPr>
                <w:rFonts w:ascii="Arial" w:hAnsi="Arial" w:cs="Arial"/>
                <w:color w:val="000000"/>
              </w:rPr>
            </w:pPr>
            <w:r w:rsidRPr="008D0109">
              <w:rPr>
                <w:rFonts w:ascii="Arial" w:hAnsi="Arial" w:cs="Arial"/>
                <w:color w:val="000000"/>
              </w:rPr>
              <w:t>Steglatro®</w:t>
            </w:r>
          </w:p>
          <w:p w:rsidR="00C87868" w:rsidRPr="008D0109" w:rsidRDefault="00C87868" w:rsidP="00C87868">
            <w:pPr>
              <w:rPr>
                <w:rFonts w:ascii="Arial" w:hAnsi="Arial" w:cs="Arial"/>
                <w:color w:val="000000"/>
              </w:rPr>
            </w:pPr>
            <w:r w:rsidRPr="008D0109">
              <w:rPr>
                <w:rFonts w:ascii="Arial" w:hAnsi="Arial" w:cs="Arial"/>
                <w:color w:val="000000"/>
              </w:rPr>
              <w:t>Segluromet®</w:t>
            </w:r>
          </w:p>
          <w:p w:rsidR="00C87868" w:rsidRPr="008D0109" w:rsidRDefault="00F95241" w:rsidP="00C87868">
            <w:pPr>
              <w:rPr>
                <w:rFonts w:ascii="Arial" w:hAnsi="Arial" w:cs="Arial"/>
                <w:color w:val="000000"/>
              </w:rPr>
            </w:pPr>
            <w:r w:rsidRPr="008D0109">
              <w:rPr>
                <w:rFonts w:ascii="Arial" w:hAnsi="Arial" w:cs="Arial"/>
                <w:color w:val="000000"/>
              </w:rPr>
              <w:t>Januvia®</w:t>
            </w:r>
          </w:p>
          <w:p w:rsidR="00C87868" w:rsidRPr="008D0109" w:rsidRDefault="00C87868" w:rsidP="00C87868">
            <w:pPr>
              <w:rPr>
                <w:rFonts w:ascii="Arial" w:hAnsi="Arial" w:cs="Arial"/>
                <w:color w:val="000000"/>
              </w:rPr>
            </w:pPr>
            <w:r w:rsidRPr="008D0109">
              <w:rPr>
                <w:rFonts w:ascii="Arial" w:hAnsi="Arial" w:cs="Arial"/>
                <w:color w:val="000000"/>
              </w:rPr>
              <w:t>Janumet®</w:t>
            </w:r>
          </w:p>
          <w:p w:rsidR="00C87868" w:rsidRPr="008D0109" w:rsidRDefault="00C87868" w:rsidP="00C87868">
            <w:pPr>
              <w:rPr>
                <w:rFonts w:ascii="Arial" w:hAnsi="Arial" w:cs="Arial"/>
                <w:color w:val="000000"/>
              </w:rPr>
            </w:pPr>
            <w:r w:rsidRPr="008D0109">
              <w:rPr>
                <w:rFonts w:ascii="Arial" w:hAnsi="Arial" w:cs="Arial"/>
                <w:color w:val="000000"/>
              </w:rPr>
              <w:t>Janumet XR®</w:t>
            </w:r>
          </w:p>
          <w:p w:rsidR="00C87868" w:rsidRPr="008D0109" w:rsidRDefault="00C87868" w:rsidP="00C87868">
            <w:pPr>
              <w:rPr>
                <w:rFonts w:ascii="Arial" w:hAnsi="Arial" w:cs="Arial"/>
                <w:color w:val="000000"/>
              </w:rPr>
            </w:pPr>
          </w:p>
          <w:p w:rsidR="00F95241" w:rsidRPr="008D0109" w:rsidRDefault="00F95241" w:rsidP="00C87868">
            <w:pPr>
              <w:rPr>
                <w:rFonts w:ascii="Arial" w:hAnsi="Arial" w:cs="Arial"/>
                <w:color w:val="000000"/>
              </w:rPr>
            </w:pPr>
            <w:r w:rsidRPr="008D0109">
              <w:rPr>
                <w:rFonts w:ascii="Arial" w:hAnsi="Arial" w:cs="Arial"/>
                <w:color w:val="000000"/>
              </w:rPr>
              <w:t>Merck Sharp &amp; Dohme (Australia) Pty Ltd</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8D0109" w:rsidRDefault="00F95241" w:rsidP="00216452">
            <w:pPr>
              <w:rPr>
                <w:rFonts w:ascii="Arial" w:hAnsi="Arial" w:cs="Arial"/>
                <w:color w:val="000000"/>
              </w:rPr>
            </w:pPr>
            <w:r w:rsidRPr="008D0109">
              <w:rPr>
                <w:rFonts w:ascii="Arial" w:hAnsi="Arial" w:cs="Arial"/>
                <w:color w:val="000000"/>
              </w:rPr>
              <w:lastRenderedPageBreak/>
              <w:t>Type 2 diabetes mellitus (T2DM)</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8D0109" w:rsidRDefault="00F95241" w:rsidP="00F16766">
            <w:pPr>
              <w:rPr>
                <w:rFonts w:ascii="Arial" w:hAnsi="Arial" w:cs="Arial"/>
                <w:color w:val="000000"/>
              </w:rPr>
            </w:pPr>
            <w:r w:rsidRPr="008D0109">
              <w:rPr>
                <w:rFonts w:ascii="Arial" w:hAnsi="Arial" w:cs="Arial"/>
                <w:color w:val="000000"/>
              </w:rPr>
              <w:t>To request an Authority Required (STREAMLINED) listing for triple oral combination therapy of ertugliflozin and sitagliptin with metformin for the treatment of patients with type 2 diabetes mellitus (T2DM).</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AE09AA" w:rsidRPr="008D0109" w:rsidRDefault="00F95241" w:rsidP="00AE09AA">
            <w:pPr>
              <w:rPr>
                <w:rFonts w:ascii="Arial" w:hAnsi="Arial" w:cs="Arial"/>
                <w:color w:val="000000"/>
              </w:rPr>
            </w:pPr>
            <w:r w:rsidRPr="008D0109">
              <w:rPr>
                <w:rFonts w:ascii="Arial" w:hAnsi="Arial" w:cs="Arial"/>
                <w:color w:val="000000"/>
              </w:rPr>
              <w:t>The PBAC recommended the Authority Required (STREAMLINED) listing of ertugliflozin with sitagliptin fixed dose combination (FDC) products for use in combination with metformin as triple oral therapy in patients with Type 2 diabetes mellitus. The recommendation was made on a cost-minimisation basis to dapagliflozin with saxagliptin and e</w:t>
            </w:r>
            <w:r w:rsidR="00AE09AA" w:rsidRPr="008D0109">
              <w:rPr>
                <w:rFonts w:ascii="Arial" w:hAnsi="Arial" w:cs="Arial"/>
                <w:color w:val="000000"/>
              </w:rPr>
              <w:t xml:space="preserve">mpagliflozin with linagliptin. </w:t>
            </w:r>
          </w:p>
          <w:p w:rsidR="00AE09AA" w:rsidRPr="008D0109" w:rsidRDefault="00AE09AA" w:rsidP="00AE09AA">
            <w:pPr>
              <w:rPr>
                <w:rFonts w:ascii="Arial" w:hAnsi="Arial" w:cs="Arial"/>
                <w:color w:val="000000"/>
              </w:rPr>
            </w:pPr>
          </w:p>
          <w:p w:rsidR="00675F60" w:rsidRPr="008D0109" w:rsidRDefault="00F95241" w:rsidP="00AE09AA">
            <w:pPr>
              <w:rPr>
                <w:rFonts w:ascii="Calibri" w:hAnsi="Calibri" w:cs="Calibri"/>
                <w:color w:val="000000"/>
              </w:rPr>
            </w:pPr>
            <w:r w:rsidRPr="008D0109">
              <w:rPr>
                <w:rFonts w:ascii="Arial" w:hAnsi="Arial" w:cs="Arial"/>
                <w:color w:val="000000"/>
              </w:rPr>
              <w:t xml:space="preserve">The PBAC considered that the evidence presented in the submission supported a claim of non-inferior efficacy and safety for ertugliflozin with sitagliptin, compared to dapagliflozin with saxagliptin and empagliflozin with linagliptin, all in combination with metformin. </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lastRenderedPageBreak/>
              <w:t>1) ERTUGLIFLOZIN</w:t>
            </w:r>
            <w:r>
              <w:rPr>
                <w:rFonts w:ascii="Arial" w:hAnsi="Arial" w:cs="Arial"/>
                <w:color w:val="000000"/>
              </w:rPr>
              <w:br/>
              <w:t>2) ERTUGLIFLOZIN with METFORMIN</w:t>
            </w:r>
            <w:r>
              <w:rPr>
                <w:rFonts w:ascii="Arial" w:hAnsi="Arial" w:cs="Arial"/>
                <w:color w:val="000000"/>
              </w:rPr>
              <w:br/>
            </w:r>
            <w:r>
              <w:rPr>
                <w:rFonts w:ascii="Arial" w:hAnsi="Arial" w:cs="Arial"/>
                <w:color w:val="000000"/>
              </w:rPr>
              <w:br/>
              <w:t>1) Tablet containing 15 mg ertugliflozin</w:t>
            </w:r>
            <w:r>
              <w:rPr>
                <w:rFonts w:ascii="Arial" w:hAnsi="Arial" w:cs="Arial"/>
                <w:color w:val="000000"/>
              </w:rPr>
              <w:br/>
            </w:r>
            <w:r>
              <w:rPr>
                <w:rFonts w:ascii="Arial" w:hAnsi="Arial" w:cs="Arial"/>
                <w:color w:val="000000"/>
              </w:rPr>
              <w:br/>
              <w:t>2) Tablet containing 7.5 mg ertugliflozin with 500 mg metformin hydrochloride;</w:t>
            </w:r>
            <w:r>
              <w:rPr>
                <w:rFonts w:ascii="Arial" w:hAnsi="Arial" w:cs="Arial"/>
                <w:color w:val="000000"/>
              </w:rPr>
              <w:br/>
              <w:t>Tablet containing 7.5 mg ertugliflozin with 1 g metformin hydrochloride</w:t>
            </w:r>
            <w:r>
              <w:rPr>
                <w:rFonts w:ascii="Arial" w:hAnsi="Arial" w:cs="Arial"/>
                <w:color w:val="000000"/>
              </w:rPr>
              <w:br/>
            </w:r>
            <w:r>
              <w:rPr>
                <w:rFonts w:ascii="Arial" w:hAnsi="Arial" w:cs="Arial"/>
                <w:color w:val="000000"/>
              </w:rPr>
              <w:br/>
            </w:r>
            <w:r>
              <w:rPr>
                <w:rFonts w:ascii="Arial" w:hAnsi="Arial" w:cs="Arial"/>
                <w:color w:val="000000"/>
              </w:rPr>
              <w:br/>
              <w:t xml:space="preserve">1) Steglatro® </w:t>
            </w:r>
            <w:r>
              <w:rPr>
                <w:rFonts w:ascii="Arial" w:hAnsi="Arial" w:cs="Arial"/>
                <w:color w:val="000000"/>
              </w:rPr>
              <w:br/>
              <w:t xml:space="preserve">2) Segluromet® </w:t>
            </w:r>
            <w:r>
              <w:rPr>
                <w:rFonts w:ascii="Arial" w:hAnsi="Arial" w:cs="Arial"/>
                <w:color w:val="000000"/>
              </w:rPr>
              <w:br/>
            </w:r>
            <w:r>
              <w:rPr>
                <w:rFonts w:ascii="Arial" w:hAnsi="Arial" w:cs="Arial"/>
                <w:color w:val="000000"/>
              </w:rPr>
              <w:br/>
              <w:t xml:space="preserve">Merck Sharp &amp; Dohme (Australia) Pty Limited </w:t>
            </w:r>
          </w:p>
          <w:p w:rsidR="00F95241" w:rsidRDefault="00F95241" w:rsidP="00216452">
            <w:pPr>
              <w:rPr>
                <w:rFonts w:ascii="Arial" w:hAnsi="Arial" w:cs="Arial"/>
                <w:color w:val="000000"/>
              </w:rPr>
            </w:pPr>
          </w:p>
          <w:p w:rsidR="00F95241" w:rsidRDefault="00F95241" w:rsidP="00216452">
            <w:pPr>
              <w:rPr>
                <w:rFonts w:ascii="Arial" w:hAnsi="Arial" w:cs="Arial"/>
                <w:color w:val="000000"/>
              </w:rPr>
            </w:pPr>
            <w:r>
              <w:rPr>
                <w:rFonts w:ascii="Arial" w:hAnsi="Arial" w:cs="Arial"/>
                <w:color w:val="000000"/>
              </w:rPr>
              <w:t>New listing</w:t>
            </w:r>
          </w:p>
          <w:p w:rsidR="00F95241" w:rsidRPr="007F7D95" w:rsidRDefault="00F95241" w:rsidP="00216452">
            <w:pPr>
              <w:rPr>
                <w:rFonts w:ascii="Arial" w:hAnsi="Arial" w:cs="Arial"/>
                <w:color w:val="000000"/>
              </w:rPr>
            </w:pPr>
            <w:r>
              <w:rPr>
                <w:rFonts w:ascii="Arial" w:hAnsi="Arial" w:cs="Arial"/>
                <w:color w:val="000000"/>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D41A86">
            <w:pPr>
              <w:rPr>
                <w:rFonts w:ascii="Arial" w:hAnsi="Arial" w:cs="Arial"/>
                <w:color w:val="000000"/>
              </w:rPr>
            </w:pPr>
            <w:r>
              <w:rPr>
                <w:rFonts w:ascii="Arial" w:hAnsi="Arial" w:cs="Arial"/>
                <w:color w:val="000000"/>
              </w:rPr>
              <w:t>Type 2 diabetes mellitus (T2DM)</w:t>
            </w:r>
          </w:p>
          <w:p w:rsidR="00F95241" w:rsidRPr="007F7D95" w:rsidRDefault="00F95241" w:rsidP="00216452">
            <w:pPr>
              <w:rPr>
                <w:rFonts w:ascii="Arial" w:hAnsi="Arial" w:cs="Arial"/>
                <w:color w:val="000000"/>
              </w:rPr>
            </w:pP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D41A86">
            <w:pPr>
              <w:rPr>
                <w:rFonts w:ascii="Arial" w:hAnsi="Arial" w:cs="Arial"/>
                <w:color w:val="000000"/>
              </w:rPr>
            </w:pPr>
            <w:r>
              <w:rPr>
                <w:rFonts w:ascii="Arial" w:hAnsi="Arial" w:cs="Arial"/>
                <w:color w:val="000000"/>
              </w:rPr>
              <w:t>Resubmission to request an Authority Required (STREAMLINED) listing for higher strength formulations of ertugliflozin and ertugliflozin with metformin for dual oral combination therapy for patients with type 2 diabetes mellitus who are inadequately controlled with metformin or a sulfonylurea.</w:t>
            </w:r>
          </w:p>
          <w:p w:rsidR="00F95241" w:rsidRPr="00D41A86" w:rsidRDefault="00F95241" w:rsidP="00216452">
            <w:pPr>
              <w:rPr>
                <w:rFonts w:ascii="Arial" w:hAnsi="Arial" w:cs="Arial"/>
                <w:color w:val="000000"/>
              </w:rPr>
            </w:pP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675F60" w:rsidRPr="00D41A86" w:rsidRDefault="00F95241" w:rsidP="00D41A86">
            <w:pPr>
              <w:rPr>
                <w:rFonts w:ascii="Arial" w:hAnsi="Arial" w:cs="Arial"/>
                <w:color w:val="000000"/>
                <w:szCs w:val="22"/>
              </w:rPr>
            </w:pPr>
            <w:r w:rsidRPr="00D41A86">
              <w:rPr>
                <w:rFonts w:ascii="Arial" w:hAnsi="Arial" w:cs="Arial"/>
                <w:color w:val="000000"/>
                <w:szCs w:val="22"/>
              </w:rPr>
              <w:t xml:space="preserve">The PBAC recommended the addition of 15 mg ertugliflozin, 7.5 mg ertugliflozin with 500 mg metformin and 7.5 mg ertugliflozin with 1 g metformin to the PBS. The PBAC recalled the main concern from the previous submission was the absence of a positive TGA delegate’s overview for the ertugliflozin 15 mg strength. The PBAC noted the re-submission presented a positive TGA delegate’s overview and clinical justification for accepting the higher strength of ertugliflozin, however noted that there appeared to remain a limited clinical need for the higher strength. The PBAC was supportive of the requested Authority Required (STREAMLINED) listing for the 15 mg ertugliflozin for dual oral therapy with metformin or sulfonylurea, and ertugliflozin with metformin fixed dose combination products, for the treatment of Type 2 diabetes in patients inadequately controlled with metformin or a sulfonylurea. </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Default="00F95241" w:rsidP="00216452">
            <w:pPr>
              <w:rPr>
                <w:rFonts w:ascii="Arial" w:hAnsi="Arial" w:cs="Arial"/>
                <w:color w:val="000000"/>
              </w:rPr>
            </w:pPr>
            <w:r w:rsidRPr="00D03C40">
              <w:rPr>
                <w:rFonts w:ascii="Arial" w:hAnsi="Arial" w:cs="Arial"/>
                <w:color w:val="000000"/>
              </w:rPr>
              <w:t>EVEROLIMUS</w:t>
            </w:r>
            <w:r w:rsidRPr="00D03C40">
              <w:rPr>
                <w:rFonts w:ascii="Arial" w:hAnsi="Arial" w:cs="Arial"/>
                <w:color w:val="000000"/>
              </w:rPr>
              <w:br/>
            </w:r>
            <w:r w:rsidRPr="00D03C40">
              <w:rPr>
                <w:rFonts w:ascii="Arial" w:hAnsi="Arial" w:cs="Arial"/>
                <w:color w:val="000000"/>
              </w:rPr>
              <w:br/>
              <w:t xml:space="preserve">Tablet, dispersible, 2 mg </w:t>
            </w:r>
            <w:r w:rsidRPr="00D03C40">
              <w:rPr>
                <w:rFonts w:ascii="Arial" w:hAnsi="Arial" w:cs="Arial"/>
                <w:color w:val="000000"/>
              </w:rPr>
              <w:br/>
              <w:t xml:space="preserve">Tablet, dispersible, 3 mg </w:t>
            </w:r>
            <w:r w:rsidRPr="00D03C40">
              <w:rPr>
                <w:rFonts w:ascii="Arial" w:hAnsi="Arial" w:cs="Arial"/>
                <w:color w:val="000000"/>
              </w:rPr>
              <w:br/>
              <w:t xml:space="preserve">Tablet, dispersible, 5 mg </w:t>
            </w:r>
            <w:r w:rsidRPr="00D03C40">
              <w:rPr>
                <w:rFonts w:ascii="Arial" w:hAnsi="Arial" w:cs="Arial"/>
                <w:color w:val="000000"/>
              </w:rPr>
              <w:br/>
            </w:r>
            <w:r w:rsidRPr="00D03C40">
              <w:rPr>
                <w:rFonts w:ascii="Arial" w:hAnsi="Arial" w:cs="Arial"/>
                <w:color w:val="000000"/>
              </w:rPr>
              <w:br/>
              <w:t>Afinitor</w:t>
            </w:r>
            <w:r w:rsidRPr="00B07376">
              <w:rPr>
                <w:rFonts w:ascii="Arial" w:hAnsi="Arial" w:cs="Arial"/>
                <w:color w:val="000000"/>
                <w:vertAlign w:val="superscript"/>
              </w:rPr>
              <w:t>®</w:t>
            </w:r>
            <w:r w:rsidRPr="00D03C40">
              <w:rPr>
                <w:rFonts w:ascii="Arial" w:hAnsi="Arial" w:cs="Arial"/>
                <w:color w:val="000000"/>
              </w:rPr>
              <w:t xml:space="preserve"> </w:t>
            </w:r>
            <w:r w:rsidRPr="00D03C40">
              <w:rPr>
                <w:rFonts w:ascii="Arial" w:hAnsi="Arial" w:cs="Arial"/>
                <w:color w:val="000000"/>
              </w:rPr>
              <w:br/>
            </w:r>
            <w:r w:rsidRPr="00D03C40">
              <w:rPr>
                <w:rFonts w:ascii="Arial" w:hAnsi="Arial" w:cs="Arial"/>
                <w:color w:val="000000"/>
              </w:rPr>
              <w:br/>
              <w:t>Novartis Pharmaceuticals Australia</w:t>
            </w:r>
          </w:p>
          <w:p w:rsidR="00F95241" w:rsidRDefault="00F95241" w:rsidP="00216452">
            <w:pPr>
              <w:rPr>
                <w:rFonts w:ascii="Arial" w:hAnsi="Arial" w:cs="Arial"/>
                <w:color w:val="000000"/>
              </w:rPr>
            </w:pPr>
          </w:p>
          <w:p w:rsidR="00F95241" w:rsidRDefault="00F95241" w:rsidP="00216452">
            <w:pPr>
              <w:rPr>
                <w:rFonts w:ascii="Arial" w:hAnsi="Arial" w:cs="Arial"/>
                <w:color w:val="000000"/>
              </w:rPr>
            </w:pPr>
            <w:r>
              <w:rPr>
                <w:rFonts w:ascii="Arial" w:hAnsi="Arial" w:cs="Arial"/>
                <w:color w:val="000000"/>
              </w:rPr>
              <w:t>Change to listing</w:t>
            </w:r>
          </w:p>
          <w:p w:rsidR="00F95241" w:rsidRPr="00F216D9" w:rsidRDefault="00F95241" w:rsidP="00216452">
            <w:pPr>
              <w:rPr>
                <w:rFonts w:ascii="Arial" w:hAnsi="Arial" w:cs="Arial"/>
                <w:color w:val="000000"/>
              </w:rPr>
            </w:pPr>
            <w:r>
              <w:rPr>
                <w:rFonts w:ascii="Arial" w:hAnsi="Arial" w:cs="Arial"/>
                <w:color w:val="000000"/>
              </w:rPr>
              <w:t xml:space="preserve">(Other) </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3D7E12" w:rsidRDefault="00F95241" w:rsidP="00216452">
            <w:pPr>
              <w:rPr>
                <w:rFonts w:ascii="Arial" w:hAnsi="Arial" w:cs="Arial"/>
              </w:rPr>
            </w:pPr>
            <w:r w:rsidRPr="00D03C40">
              <w:rPr>
                <w:rFonts w:ascii="Arial" w:hAnsi="Arial" w:cs="Arial"/>
                <w:color w:val="000000"/>
              </w:rPr>
              <w:t>Tuberous sclerosis complex</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Default="00F95241" w:rsidP="00216452">
            <w:pPr>
              <w:rPr>
                <w:rFonts w:ascii="Arial" w:hAnsi="Arial" w:cs="Arial"/>
                <w:color w:val="000000"/>
              </w:rPr>
            </w:pPr>
            <w:r w:rsidRPr="00D03C40">
              <w:rPr>
                <w:rFonts w:ascii="Arial" w:hAnsi="Arial" w:cs="Arial"/>
                <w:color w:val="000000"/>
              </w:rPr>
              <w:t>To request an Authority Required listing for the treatment of patients with refractory seizures associated with tuberous sclerosis complex in combination with other anti-epileptic medications.</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D64E87" w:rsidRPr="009C2036" w:rsidRDefault="00F95241" w:rsidP="009C2036">
            <w:pPr>
              <w:jc w:val="both"/>
              <w:rPr>
                <w:rFonts w:ascii="Arial" w:hAnsi="Arial" w:cs="Arial"/>
                <w:color w:val="000000"/>
              </w:rPr>
            </w:pPr>
            <w:r w:rsidRPr="009C2036">
              <w:rPr>
                <w:rFonts w:ascii="Arial" w:hAnsi="Arial" w:cs="Arial"/>
                <w:color w:val="000000"/>
              </w:rPr>
              <w:t xml:space="preserve">The PBAC recommended the </w:t>
            </w:r>
            <w:r w:rsidRPr="00D03C40">
              <w:rPr>
                <w:rFonts w:ascii="Arial" w:hAnsi="Arial" w:cs="Arial"/>
                <w:color w:val="000000"/>
              </w:rPr>
              <w:t>Authority Required</w:t>
            </w:r>
            <w:r w:rsidRPr="009C2036">
              <w:rPr>
                <w:rFonts w:ascii="Arial" w:hAnsi="Arial" w:cs="Arial"/>
                <w:color w:val="000000"/>
              </w:rPr>
              <w:t xml:space="preserve"> listing of everolimus (in a dispersible tablet form) for the treatment of refractory seizures associated with tuberous sclerosis complex (TSC). The PBAC noted the high clinical need for a treatment for this condition and requested further work is undertaken with the sponsor to develop an appropriate restriction</w:t>
            </w:r>
            <w:r w:rsidR="00D64E87">
              <w:rPr>
                <w:rFonts w:ascii="Arial" w:hAnsi="Arial" w:cs="Arial"/>
                <w:color w:val="000000"/>
              </w:rPr>
              <w:t xml:space="preserve"> to give effect to its recommendation</w:t>
            </w:r>
            <w:r w:rsidRPr="009C2036">
              <w:rPr>
                <w:rFonts w:ascii="Arial" w:hAnsi="Arial" w:cs="Arial"/>
                <w:color w:val="000000"/>
              </w:rPr>
              <w:t>.</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lastRenderedPageBreak/>
              <w:t>FERRIC DERISOMALTOSE</w:t>
            </w:r>
            <w:r>
              <w:rPr>
                <w:rFonts w:ascii="Arial" w:hAnsi="Arial" w:cs="Arial"/>
                <w:color w:val="000000"/>
              </w:rPr>
              <w:br/>
            </w:r>
            <w:r>
              <w:rPr>
                <w:rFonts w:ascii="Arial" w:hAnsi="Arial" w:cs="Arial"/>
                <w:color w:val="000000"/>
              </w:rPr>
              <w:br/>
              <w:t>Injection 500 mg (iron) in 5 mL</w:t>
            </w:r>
            <w:r>
              <w:rPr>
                <w:rFonts w:ascii="Arial" w:hAnsi="Arial" w:cs="Arial"/>
                <w:color w:val="000000"/>
              </w:rPr>
              <w:br/>
            </w:r>
            <w:r>
              <w:rPr>
                <w:rFonts w:ascii="Arial" w:hAnsi="Arial" w:cs="Arial"/>
                <w:color w:val="000000"/>
              </w:rPr>
              <w:br/>
              <w:t>Monofer®</w:t>
            </w:r>
            <w:r>
              <w:rPr>
                <w:rFonts w:ascii="Arial" w:hAnsi="Arial" w:cs="Arial"/>
                <w:color w:val="000000"/>
              </w:rPr>
              <w:br/>
            </w:r>
            <w:r>
              <w:rPr>
                <w:rFonts w:ascii="Arial" w:hAnsi="Arial" w:cs="Arial"/>
                <w:color w:val="000000"/>
              </w:rPr>
              <w:br/>
              <w:t>Pfizer Australia Pty Ltd</w:t>
            </w:r>
          </w:p>
          <w:p w:rsidR="00F95241" w:rsidRDefault="00F95241" w:rsidP="00216452">
            <w:pPr>
              <w:rPr>
                <w:rFonts w:ascii="Arial" w:hAnsi="Arial" w:cs="Arial"/>
                <w:color w:val="000000"/>
              </w:rPr>
            </w:pPr>
          </w:p>
          <w:p w:rsidR="00F95241" w:rsidRDefault="00F95241" w:rsidP="003642C8">
            <w:pPr>
              <w:rPr>
                <w:rFonts w:ascii="Arial" w:hAnsi="Arial" w:cs="Arial"/>
              </w:rPr>
            </w:pPr>
            <w:r>
              <w:rPr>
                <w:rFonts w:ascii="Arial" w:hAnsi="Arial" w:cs="Arial"/>
              </w:rPr>
              <w:t>New listing</w:t>
            </w:r>
          </w:p>
          <w:p w:rsidR="00F95241" w:rsidRPr="007F7D95" w:rsidRDefault="00F95241" w:rsidP="003642C8">
            <w:pPr>
              <w:rPr>
                <w:rFonts w:ascii="Arial" w:hAnsi="Arial" w:cs="Arial"/>
                <w:color w:val="000000"/>
              </w:rPr>
            </w:pPr>
            <w:r>
              <w:rPr>
                <w:rFonts w:ascii="Arial" w:hAnsi="Arial" w:cs="Arial"/>
              </w:rPr>
              <w:t>(Major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3D7E12" w:rsidRDefault="00F95241" w:rsidP="00216452">
            <w:pPr>
              <w:rPr>
                <w:rFonts w:ascii="Arial" w:hAnsi="Arial" w:cs="Arial"/>
              </w:rPr>
            </w:pPr>
            <w:r>
              <w:rPr>
                <w:rFonts w:ascii="Arial" w:hAnsi="Arial" w:cs="Arial"/>
              </w:rPr>
              <w:t>Iron deficiency anaemia (IDA)</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B113BB" w:rsidRDefault="00F95241" w:rsidP="008D0109">
            <w:pPr>
              <w:rPr>
                <w:rFonts w:ascii="Arial" w:hAnsi="Arial" w:cs="Arial"/>
              </w:rPr>
            </w:pPr>
            <w:r>
              <w:rPr>
                <w:rFonts w:ascii="Arial" w:hAnsi="Arial" w:cs="Arial"/>
                <w:color w:val="000000"/>
              </w:rPr>
              <w:t>To request an unrestricted benefit listing.</w:t>
            </w:r>
          </w:p>
        </w:tc>
        <w:tc>
          <w:tcPr>
            <w:tcW w:w="7104" w:type="dxa"/>
            <w:tcBorders>
              <w:top w:val="single" w:sz="4" w:space="0" w:color="auto"/>
              <w:left w:val="single" w:sz="4" w:space="0" w:color="auto"/>
              <w:bottom w:val="single" w:sz="4" w:space="0" w:color="auto"/>
              <w:right w:val="single" w:sz="4" w:space="0" w:color="auto"/>
            </w:tcBorders>
          </w:tcPr>
          <w:p w:rsidR="00D64E87" w:rsidRPr="002D031D" w:rsidRDefault="00F95241" w:rsidP="00420FFF">
            <w:pPr>
              <w:rPr>
                <w:rFonts w:ascii="Arial" w:hAnsi="Arial" w:cs="Arial"/>
              </w:rPr>
            </w:pPr>
            <w:r w:rsidRPr="00F45C50">
              <w:rPr>
                <w:rFonts w:ascii="Arial" w:hAnsi="Arial" w:cs="Arial"/>
              </w:rPr>
              <w:t>The PBAC recommended the</w:t>
            </w:r>
            <w:r>
              <w:rPr>
                <w:rFonts w:ascii="Arial" w:hAnsi="Arial" w:cs="Arial"/>
              </w:rPr>
              <w:t xml:space="preserve"> unrestricted</w:t>
            </w:r>
            <w:r w:rsidRPr="00F45C50">
              <w:rPr>
                <w:rFonts w:ascii="Arial" w:hAnsi="Arial" w:cs="Arial"/>
              </w:rPr>
              <w:t xml:space="preserve"> listing of ferric derisomaltose for the treatment of iron deficiency anaemia when treatment with oral iron is ineffective or not tolerated. This recommendation was made on a cost-minimisation basis with the main comparator, ferric carboxymaltose. The equi-effective doses were 1 mg ferric derisomalt</w:t>
            </w:r>
            <w:r>
              <w:rPr>
                <w:rFonts w:ascii="Arial" w:hAnsi="Arial" w:cs="Arial"/>
              </w:rPr>
              <w:t xml:space="preserve">ose: 1 mg ferric carboxymaltose. </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D30064">
            <w:pPr>
              <w:rPr>
                <w:rFonts w:ascii="Arial" w:hAnsi="Arial" w:cs="Arial"/>
                <w:color w:val="000000"/>
              </w:rPr>
            </w:pPr>
            <w:r>
              <w:rPr>
                <w:rFonts w:ascii="Arial" w:hAnsi="Arial" w:cs="Arial"/>
                <w:color w:val="000000"/>
              </w:rPr>
              <w:t>GOLIMUMAB</w:t>
            </w:r>
            <w:r>
              <w:rPr>
                <w:rFonts w:ascii="Arial" w:hAnsi="Arial" w:cs="Arial"/>
                <w:color w:val="000000"/>
              </w:rPr>
              <w:br/>
            </w:r>
            <w:r>
              <w:rPr>
                <w:rFonts w:ascii="Arial" w:hAnsi="Arial" w:cs="Arial"/>
                <w:color w:val="000000"/>
              </w:rPr>
              <w:br/>
              <w:t>Injection 50 mg in 0.5 mL single use pre</w:t>
            </w:r>
            <w:r>
              <w:rPr>
                <w:rFonts w:ascii="Arial" w:hAnsi="Arial" w:cs="Arial"/>
                <w:color w:val="000000"/>
              </w:rPr>
              <w:noBreakHyphen/>
              <w:t>filled syringe</w:t>
            </w:r>
            <w:r>
              <w:rPr>
                <w:rFonts w:ascii="Arial" w:hAnsi="Arial" w:cs="Arial"/>
                <w:color w:val="000000"/>
              </w:rPr>
              <w:br/>
              <w:t>Injection 50 mg in 0.5 mL single use pre</w:t>
            </w:r>
            <w:r>
              <w:rPr>
                <w:rFonts w:ascii="Arial" w:hAnsi="Arial" w:cs="Arial"/>
                <w:color w:val="000000"/>
              </w:rPr>
              <w:noBreakHyphen/>
              <w:t>filled pen</w:t>
            </w:r>
            <w:r>
              <w:rPr>
                <w:rFonts w:ascii="Arial" w:hAnsi="Arial" w:cs="Arial"/>
                <w:color w:val="000000"/>
              </w:rPr>
              <w:br/>
            </w:r>
            <w:r>
              <w:rPr>
                <w:rFonts w:ascii="Arial" w:hAnsi="Arial" w:cs="Arial"/>
                <w:color w:val="000000"/>
              </w:rPr>
              <w:br/>
              <w:t>Simponi®</w:t>
            </w:r>
            <w:r>
              <w:rPr>
                <w:rFonts w:ascii="Arial" w:hAnsi="Arial" w:cs="Arial"/>
                <w:color w:val="000000"/>
              </w:rPr>
              <w:br/>
              <w:t>Simponi Smartject®</w:t>
            </w:r>
            <w:r>
              <w:rPr>
                <w:rFonts w:ascii="Arial" w:hAnsi="Arial" w:cs="Arial"/>
                <w:color w:val="000000"/>
              </w:rPr>
              <w:br/>
            </w:r>
            <w:r>
              <w:rPr>
                <w:rFonts w:ascii="Arial" w:hAnsi="Arial" w:cs="Arial"/>
                <w:color w:val="000000"/>
              </w:rPr>
              <w:br/>
              <w:t>Janssen Cilag Pty Ltd</w:t>
            </w:r>
          </w:p>
          <w:p w:rsidR="00F95241" w:rsidRDefault="00F95241" w:rsidP="00216452">
            <w:pPr>
              <w:rPr>
                <w:rFonts w:ascii="Arial" w:hAnsi="Arial" w:cs="Arial"/>
                <w:color w:val="000000"/>
              </w:rPr>
            </w:pPr>
          </w:p>
          <w:p w:rsidR="00F95241" w:rsidRDefault="00F95241" w:rsidP="00216452">
            <w:pPr>
              <w:rPr>
                <w:rFonts w:ascii="Arial" w:hAnsi="Arial" w:cs="Arial"/>
                <w:color w:val="000000"/>
              </w:rPr>
            </w:pPr>
            <w:r>
              <w:rPr>
                <w:rFonts w:ascii="Arial" w:hAnsi="Arial" w:cs="Arial"/>
                <w:color w:val="000000"/>
              </w:rPr>
              <w:t>Change to listing</w:t>
            </w:r>
          </w:p>
          <w:p w:rsidR="00F95241" w:rsidRPr="007F7D95" w:rsidRDefault="00F95241" w:rsidP="00216452">
            <w:pPr>
              <w:rPr>
                <w:rFonts w:ascii="Arial" w:hAnsi="Arial" w:cs="Arial"/>
                <w:color w:val="000000"/>
              </w:rPr>
            </w:pPr>
            <w:r>
              <w:rPr>
                <w:rFonts w:ascii="Arial" w:hAnsi="Arial" w:cs="Arial"/>
                <w:color w:val="000000"/>
              </w:rPr>
              <w:t>(Major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D30064">
            <w:pPr>
              <w:rPr>
                <w:rFonts w:ascii="Arial" w:hAnsi="Arial" w:cs="Arial"/>
                <w:color w:val="000000"/>
              </w:rPr>
            </w:pPr>
            <w:r>
              <w:rPr>
                <w:rFonts w:ascii="Arial" w:hAnsi="Arial" w:cs="Arial"/>
                <w:color w:val="000000"/>
              </w:rPr>
              <w:t>Active non-radiographic axial spondyloarthritis (nr-axSpA)</w:t>
            </w:r>
          </w:p>
          <w:p w:rsidR="00F95241" w:rsidRPr="007F7D95" w:rsidRDefault="00F95241" w:rsidP="00216452">
            <w:pPr>
              <w:rPr>
                <w:rFonts w:ascii="Arial" w:hAnsi="Arial" w:cs="Arial"/>
                <w:color w:val="000000"/>
              </w:rPr>
            </w:pP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8D0109">
            <w:pPr>
              <w:rPr>
                <w:rFonts w:ascii="Arial" w:hAnsi="Arial" w:cs="Arial"/>
                <w:color w:val="000000"/>
              </w:rPr>
            </w:pPr>
            <w:r>
              <w:rPr>
                <w:rFonts w:ascii="Arial" w:hAnsi="Arial" w:cs="Arial"/>
                <w:color w:val="000000"/>
              </w:rPr>
              <w:t>Resubmission to request an Authority Required listing for the treatment of active non-radiographic axial spondyloarthritis (nr-axSpA).</w:t>
            </w:r>
          </w:p>
        </w:tc>
        <w:tc>
          <w:tcPr>
            <w:tcW w:w="7104" w:type="dxa"/>
            <w:tcBorders>
              <w:top w:val="single" w:sz="4" w:space="0" w:color="auto"/>
              <w:left w:val="single" w:sz="4" w:space="0" w:color="auto"/>
              <w:bottom w:val="single" w:sz="4" w:space="0" w:color="auto"/>
              <w:right w:val="single" w:sz="4" w:space="0" w:color="auto"/>
            </w:tcBorders>
          </w:tcPr>
          <w:p w:rsidR="00D64E87" w:rsidRPr="00D30064" w:rsidRDefault="00F95241" w:rsidP="00D64E87">
            <w:pPr>
              <w:jc w:val="both"/>
              <w:rPr>
                <w:rFonts w:ascii="Calibri" w:hAnsi="Calibri" w:cs="Calibri"/>
                <w:color w:val="000000"/>
                <w:sz w:val="24"/>
                <w:szCs w:val="24"/>
              </w:rPr>
            </w:pPr>
            <w:r>
              <w:rPr>
                <w:rFonts w:ascii="Arial" w:hAnsi="Arial" w:cs="Arial"/>
                <w:color w:val="000000"/>
              </w:rPr>
              <w:t>Th</w:t>
            </w:r>
            <w:r w:rsidRPr="00582C60">
              <w:rPr>
                <w:rFonts w:ascii="Arial" w:hAnsi="Arial" w:cs="Arial"/>
                <w:color w:val="000000"/>
              </w:rPr>
              <w:t xml:space="preserve">e PBAC recommended extending the PBS-listing of golimumab to include </w:t>
            </w:r>
            <w:r>
              <w:rPr>
                <w:rFonts w:ascii="Arial" w:hAnsi="Arial" w:cs="Arial"/>
                <w:color w:val="000000"/>
              </w:rPr>
              <w:t xml:space="preserve">an </w:t>
            </w:r>
            <w:r w:rsidRPr="00582C60">
              <w:rPr>
                <w:rFonts w:ascii="Arial" w:hAnsi="Arial" w:cs="Arial"/>
                <w:color w:val="000000"/>
              </w:rPr>
              <w:t xml:space="preserve">Authority Required (written) listing </w:t>
            </w:r>
            <w:r>
              <w:rPr>
                <w:rFonts w:ascii="Arial" w:hAnsi="Arial" w:cs="Arial"/>
                <w:color w:val="000000"/>
              </w:rPr>
              <w:t xml:space="preserve">for </w:t>
            </w:r>
            <w:r w:rsidRPr="00582C60">
              <w:rPr>
                <w:rFonts w:ascii="Arial" w:hAnsi="Arial" w:cs="Arial"/>
                <w:color w:val="000000"/>
              </w:rPr>
              <w:t>the treatment of patients with non-radiographic axi</w:t>
            </w:r>
            <w:r>
              <w:rPr>
                <w:rFonts w:ascii="Arial" w:hAnsi="Arial" w:cs="Arial"/>
                <w:color w:val="000000"/>
              </w:rPr>
              <w:t xml:space="preserve">al spondyloarthritis (nr-axSpA). </w:t>
            </w:r>
            <w:r w:rsidRPr="00582C60">
              <w:rPr>
                <w:rFonts w:ascii="Arial" w:hAnsi="Arial" w:cs="Arial"/>
                <w:color w:val="000000"/>
              </w:rPr>
              <w:t xml:space="preserve">The PBAC </w:t>
            </w:r>
            <w:r>
              <w:rPr>
                <w:rFonts w:ascii="Arial" w:hAnsi="Arial" w:cs="Arial"/>
                <w:color w:val="000000"/>
              </w:rPr>
              <w:t>was</w:t>
            </w:r>
            <w:r w:rsidRPr="00582C60">
              <w:rPr>
                <w:rFonts w:ascii="Arial" w:hAnsi="Arial" w:cs="Arial"/>
                <w:color w:val="000000"/>
              </w:rPr>
              <w:t xml:space="preserve"> satisfied that golimumab provides, for some patients, a significant improvement in efficacy over conventional care. The PBAC considered that the cost-effectiveness of golimumab was acceptable at the price applied in the economic model. The PBAC considered that effective controls would be needed to ensure that cost-effective treatment was realised and to limit the financial costs to the PBS to the restricted patient group. </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lastRenderedPageBreak/>
              <w:t>GUANFACINE</w:t>
            </w:r>
            <w:r>
              <w:rPr>
                <w:rFonts w:ascii="Arial" w:hAnsi="Arial" w:cs="Arial"/>
                <w:color w:val="000000"/>
              </w:rPr>
              <w:br/>
            </w:r>
            <w:r>
              <w:rPr>
                <w:rFonts w:ascii="Arial" w:hAnsi="Arial" w:cs="Arial"/>
                <w:color w:val="000000"/>
              </w:rPr>
              <w:br/>
              <w:t>Tablet containing guanfacine hydrochloride 1 mg</w:t>
            </w:r>
            <w:r>
              <w:rPr>
                <w:rFonts w:ascii="Arial" w:hAnsi="Arial" w:cs="Arial"/>
                <w:color w:val="000000"/>
              </w:rPr>
              <w:br/>
              <w:t>Tablet containing guanfacine hydrochloride 2 mg</w:t>
            </w:r>
            <w:r>
              <w:rPr>
                <w:rFonts w:ascii="Arial" w:hAnsi="Arial" w:cs="Arial"/>
                <w:color w:val="000000"/>
              </w:rPr>
              <w:br/>
              <w:t>Tablet containing guanfacine hydrochloride 3 mg</w:t>
            </w:r>
            <w:r>
              <w:rPr>
                <w:rFonts w:ascii="Arial" w:hAnsi="Arial" w:cs="Arial"/>
                <w:color w:val="000000"/>
              </w:rPr>
              <w:br/>
              <w:t>Tablet containing guanfacine hydrochloride 4 mg</w:t>
            </w:r>
            <w:r>
              <w:rPr>
                <w:rFonts w:ascii="Arial" w:hAnsi="Arial" w:cs="Arial"/>
                <w:color w:val="000000"/>
              </w:rPr>
              <w:br/>
            </w:r>
            <w:r>
              <w:rPr>
                <w:rFonts w:ascii="Arial" w:hAnsi="Arial" w:cs="Arial"/>
                <w:color w:val="000000"/>
              </w:rPr>
              <w:br/>
              <w:t>Intuniv®</w:t>
            </w:r>
            <w:r>
              <w:rPr>
                <w:rFonts w:ascii="Arial" w:hAnsi="Arial" w:cs="Arial"/>
                <w:color w:val="000000"/>
              </w:rPr>
              <w:br/>
            </w:r>
            <w:r>
              <w:rPr>
                <w:rFonts w:ascii="Arial" w:hAnsi="Arial" w:cs="Arial"/>
                <w:color w:val="000000"/>
              </w:rPr>
              <w:br/>
              <w:t>Shire Australia Pty Limited</w:t>
            </w:r>
          </w:p>
          <w:p w:rsidR="00F95241" w:rsidRDefault="00F95241" w:rsidP="00216452">
            <w:pPr>
              <w:rPr>
                <w:rFonts w:ascii="Arial" w:hAnsi="Arial" w:cs="Arial"/>
                <w:color w:val="000000"/>
              </w:rPr>
            </w:pPr>
          </w:p>
          <w:p w:rsidR="00F95241" w:rsidRPr="007F7D95" w:rsidRDefault="00F95241" w:rsidP="00216452">
            <w:pPr>
              <w:rPr>
                <w:rFonts w:ascii="Arial" w:hAnsi="Arial" w:cs="Arial"/>
                <w:color w:val="000000"/>
              </w:rPr>
            </w:pPr>
            <w:r w:rsidRPr="000E26D0">
              <w:rPr>
                <w:rFonts w:ascii="Arial" w:hAnsi="Arial" w:cs="Arial"/>
                <w:color w:val="000000"/>
              </w:rPr>
              <w:t>Change to recommended listing</w:t>
            </w:r>
            <w:r>
              <w:rPr>
                <w:rFonts w:ascii="Arial" w:hAnsi="Arial" w:cs="Arial"/>
                <w:color w:val="000000"/>
              </w:rPr>
              <w:t xml:space="preserve"> (Minor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8D0109">
            <w:pPr>
              <w:rPr>
                <w:rFonts w:ascii="Arial" w:hAnsi="Arial" w:cs="Arial"/>
                <w:color w:val="000000"/>
              </w:rPr>
            </w:pPr>
            <w:r>
              <w:rPr>
                <w:rFonts w:ascii="Arial" w:hAnsi="Arial" w:cs="Arial"/>
                <w:color w:val="000000"/>
              </w:rPr>
              <w:t>Attention deficit hyperactivity disorder (ADHD)</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8D0109">
            <w:pPr>
              <w:rPr>
                <w:rFonts w:ascii="Arial" w:hAnsi="Arial" w:cs="Arial"/>
                <w:color w:val="000000"/>
              </w:rPr>
            </w:pPr>
            <w:r>
              <w:rPr>
                <w:rFonts w:ascii="Arial" w:hAnsi="Arial" w:cs="Arial"/>
                <w:color w:val="000000"/>
              </w:rPr>
              <w:t>Resubmission to request an Authority Required (STREAMLINED) listing for the treatment of attention deficit hyperactivity disorder (ADHD) as add-on therapy in patients who have an inadequate response to stimulant therapy.</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D64E87" w:rsidRPr="00D41A86" w:rsidRDefault="00F95241" w:rsidP="004865D7">
            <w:pPr>
              <w:rPr>
                <w:rFonts w:ascii="Calibri" w:hAnsi="Calibri" w:cs="Calibri"/>
                <w:color w:val="000000"/>
                <w:sz w:val="24"/>
                <w:szCs w:val="24"/>
              </w:rPr>
            </w:pPr>
            <w:r w:rsidRPr="00D41A86">
              <w:rPr>
                <w:rFonts w:ascii="Arial" w:hAnsi="Arial" w:cs="Arial"/>
                <w:color w:val="000000"/>
                <w:szCs w:val="22"/>
              </w:rPr>
              <w:t>The PBAC recommended the</w:t>
            </w:r>
            <w:r>
              <w:rPr>
                <w:rFonts w:ascii="Arial" w:hAnsi="Arial" w:cs="Arial"/>
                <w:color w:val="000000"/>
                <w:szCs w:val="22"/>
              </w:rPr>
              <w:t xml:space="preserve"> </w:t>
            </w:r>
            <w:r>
              <w:rPr>
                <w:rFonts w:ascii="Arial" w:hAnsi="Arial" w:cs="Arial"/>
                <w:color w:val="000000"/>
              </w:rPr>
              <w:t>Authority Required (STREAMLINED)</w:t>
            </w:r>
            <w:r>
              <w:rPr>
                <w:rFonts w:ascii="Arial" w:hAnsi="Arial" w:cs="Arial"/>
                <w:color w:val="000000"/>
                <w:szCs w:val="22"/>
              </w:rPr>
              <w:t xml:space="preserve"> listing of guanfacine</w:t>
            </w:r>
            <w:r w:rsidRPr="00D41A86">
              <w:rPr>
                <w:rFonts w:ascii="Arial" w:hAnsi="Arial" w:cs="Arial"/>
                <w:color w:val="000000"/>
                <w:szCs w:val="22"/>
              </w:rPr>
              <w:t>, as add-on therapy in conjunction with optimised stimulant therapy, for attention deficit hyperactivity disorder (ADHD) in patients experiencing residual moderate-to-severe ADHD symptoms. The PBAC recalled that at its July 2017 meeting it considered that guanfacine was of superior comparative effectiveness and inferior comparative safety compared to placebo in the add-on therapy setting requested in th</w:t>
            </w:r>
            <w:r>
              <w:rPr>
                <w:rFonts w:ascii="Arial" w:hAnsi="Arial" w:cs="Arial"/>
                <w:color w:val="000000"/>
                <w:szCs w:val="22"/>
              </w:rPr>
              <w:t>is</w:t>
            </w:r>
            <w:r w:rsidRPr="00D41A86">
              <w:rPr>
                <w:rFonts w:ascii="Arial" w:hAnsi="Arial" w:cs="Arial"/>
                <w:color w:val="000000"/>
                <w:szCs w:val="22"/>
              </w:rPr>
              <w:t xml:space="preserve"> resubmission. The PBAC considered the </w:t>
            </w:r>
            <w:r>
              <w:rPr>
                <w:rFonts w:ascii="Arial" w:hAnsi="Arial" w:cs="Arial"/>
                <w:color w:val="000000"/>
                <w:szCs w:val="22"/>
              </w:rPr>
              <w:t>re</w:t>
            </w:r>
            <w:r w:rsidRPr="00D41A86">
              <w:rPr>
                <w:rFonts w:ascii="Arial" w:hAnsi="Arial" w:cs="Arial"/>
                <w:color w:val="000000"/>
                <w:szCs w:val="22"/>
              </w:rPr>
              <w:t>submission had addressed outstanding issues regarding the price and utilisation estimates, however recommended</w:t>
            </w:r>
            <w:r>
              <w:rPr>
                <w:rFonts w:ascii="Arial" w:hAnsi="Arial" w:cs="Arial"/>
                <w:color w:val="000000"/>
                <w:szCs w:val="22"/>
              </w:rPr>
              <w:t xml:space="preserve"> a risk share arrangement </w:t>
            </w:r>
            <w:r w:rsidRPr="00D41A86">
              <w:rPr>
                <w:rFonts w:ascii="Arial" w:hAnsi="Arial" w:cs="Arial"/>
                <w:color w:val="000000"/>
                <w:szCs w:val="22"/>
              </w:rPr>
              <w:t>would be required to address residual uncertainties regarding the likely uptake and use of guanfacine.</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GUSELKUMAB</w:t>
            </w:r>
            <w:r>
              <w:rPr>
                <w:rFonts w:ascii="Arial" w:hAnsi="Arial" w:cs="Arial"/>
                <w:color w:val="000000"/>
              </w:rPr>
              <w:br/>
            </w:r>
            <w:r>
              <w:rPr>
                <w:rFonts w:ascii="Arial" w:hAnsi="Arial" w:cs="Arial"/>
                <w:color w:val="000000"/>
              </w:rPr>
              <w:br/>
              <w:t xml:space="preserve">Injection 100 mg in 1 mL single use pre-filled syringe </w:t>
            </w:r>
            <w:r>
              <w:rPr>
                <w:rFonts w:ascii="Arial" w:hAnsi="Arial" w:cs="Arial"/>
                <w:color w:val="000000"/>
              </w:rPr>
              <w:br/>
            </w:r>
            <w:r>
              <w:rPr>
                <w:rFonts w:ascii="Arial" w:hAnsi="Arial" w:cs="Arial"/>
                <w:color w:val="000000"/>
              </w:rPr>
              <w:br/>
              <w:t>Tremfya®</w:t>
            </w:r>
            <w:r>
              <w:rPr>
                <w:rFonts w:ascii="Arial" w:hAnsi="Arial" w:cs="Arial"/>
                <w:color w:val="000000"/>
              </w:rPr>
              <w:br/>
            </w:r>
            <w:r>
              <w:rPr>
                <w:rFonts w:ascii="Arial" w:hAnsi="Arial" w:cs="Arial"/>
                <w:color w:val="000000"/>
              </w:rPr>
              <w:br/>
              <w:t>Janssen-Cilag Pty Ltd</w:t>
            </w:r>
          </w:p>
          <w:p w:rsidR="00F95241" w:rsidRDefault="00F95241" w:rsidP="00216452">
            <w:pPr>
              <w:rPr>
                <w:rFonts w:ascii="Arial" w:hAnsi="Arial" w:cs="Arial"/>
                <w:color w:val="000000"/>
              </w:rPr>
            </w:pPr>
          </w:p>
          <w:p w:rsidR="00F95241" w:rsidRDefault="00F95241" w:rsidP="00216452">
            <w:pPr>
              <w:rPr>
                <w:rFonts w:ascii="Arial" w:hAnsi="Arial" w:cs="Arial"/>
                <w:color w:val="000000"/>
              </w:rPr>
            </w:pPr>
            <w:r>
              <w:rPr>
                <w:rFonts w:ascii="Arial" w:hAnsi="Arial" w:cs="Arial"/>
                <w:color w:val="000000"/>
              </w:rPr>
              <w:t>New listing</w:t>
            </w:r>
          </w:p>
          <w:p w:rsidR="00F95241" w:rsidRPr="007F7D95" w:rsidRDefault="00F95241" w:rsidP="00216452">
            <w:pPr>
              <w:rPr>
                <w:rFonts w:ascii="Arial" w:hAnsi="Arial" w:cs="Arial"/>
                <w:color w:val="000000"/>
              </w:rPr>
            </w:pPr>
            <w:r>
              <w:rPr>
                <w:rFonts w:ascii="Arial" w:hAnsi="Arial" w:cs="Arial"/>
                <w:color w:val="000000"/>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1F293F">
            <w:pPr>
              <w:rPr>
                <w:rFonts w:ascii="Arial" w:hAnsi="Arial" w:cs="Arial"/>
                <w:color w:val="000000"/>
              </w:rPr>
            </w:pPr>
            <w:r>
              <w:rPr>
                <w:rFonts w:ascii="Arial" w:hAnsi="Arial" w:cs="Arial"/>
                <w:color w:val="000000"/>
              </w:rPr>
              <w:t>Severe chronic plaque psoriasis</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D41A86" w:rsidRDefault="00F95241" w:rsidP="001F293F">
            <w:pPr>
              <w:rPr>
                <w:rFonts w:ascii="Arial" w:hAnsi="Arial" w:cs="Arial"/>
                <w:color w:val="000000"/>
                <w:szCs w:val="22"/>
              </w:rPr>
            </w:pPr>
            <w:r>
              <w:rPr>
                <w:rFonts w:ascii="Arial" w:hAnsi="Arial" w:cs="Arial"/>
                <w:color w:val="000000"/>
              </w:rPr>
              <w:t>Resubmission to request an Authority Required listing for the treatment of severe chronic plaque psori</w:t>
            </w:r>
            <w:r w:rsidR="001F293F">
              <w:rPr>
                <w:rFonts w:ascii="Arial" w:hAnsi="Arial" w:cs="Arial"/>
                <w:color w:val="000000"/>
              </w:rPr>
              <w:t>asis.</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A834C4" w:rsidRPr="00D41A86" w:rsidRDefault="00F95241" w:rsidP="00D41A86">
            <w:pPr>
              <w:rPr>
                <w:rFonts w:ascii="Arial" w:hAnsi="Arial" w:cs="Arial"/>
                <w:color w:val="000000"/>
                <w:szCs w:val="22"/>
              </w:rPr>
            </w:pPr>
            <w:r w:rsidRPr="00D41A86">
              <w:rPr>
                <w:rFonts w:ascii="Arial" w:hAnsi="Arial" w:cs="Arial"/>
                <w:color w:val="000000"/>
                <w:szCs w:val="22"/>
              </w:rPr>
              <w:t xml:space="preserve">The PBAC recommended an Authority Required listing of guselkumab on a cost-minimisation basis against the lowest cost biological agent available for severe </w:t>
            </w:r>
            <w:r w:rsidR="00A834C4" w:rsidRPr="00A834C4">
              <w:rPr>
                <w:rFonts w:ascii="Arial" w:hAnsi="Arial" w:cs="Arial"/>
                <w:color w:val="000000"/>
                <w:szCs w:val="22"/>
              </w:rPr>
              <w:t xml:space="preserve">chronic plaque psoriasis </w:t>
            </w:r>
            <w:r w:rsidR="00A834C4">
              <w:rPr>
                <w:rFonts w:ascii="Arial" w:hAnsi="Arial" w:cs="Arial"/>
                <w:color w:val="000000"/>
                <w:szCs w:val="22"/>
              </w:rPr>
              <w:t>(</w:t>
            </w:r>
            <w:r w:rsidRPr="00D41A86">
              <w:rPr>
                <w:rFonts w:ascii="Arial" w:hAnsi="Arial" w:cs="Arial"/>
                <w:color w:val="000000"/>
                <w:szCs w:val="22"/>
              </w:rPr>
              <w:t>CPP</w:t>
            </w:r>
            <w:r w:rsidR="00A834C4">
              <w:rPr>
                <w:rFonts w:ascii="Arial" w:hAnsi="Arial" w:cs="Arial"/>
                <w:color w:val="000000"/>
                <w:szCs w:val="22"/>
              </w:rPr>
              <w:t>)</w:t>
            </w:r>
            <w:r w:rsidRPr="00D41A86">
              <w:rPr>
                <w:rFonts w:ascii="Arial" w:hAnsi="Arial" w:cs="Arial"/>
                <w:color w:val="000000"/>
                <w:szCs w:val="22"/>
              </w:rPr>
              <w:t xml:space="preserve">. In making this recommendation, the PBAC accepted any of the current PBS listed bDMARDs for severe CPP could be an alternative therapy to guselkumab. </w:t>
            </w:r>
          </w:p>
        </w:tc>
      </w:tr>
      <w:tr w:rsidR="00016C5B" w:rsidRPr="002F3992" w:rsidTr="005478AD">
        <w:trPr>
          <w:cantSplit/>
          <w:trHeight w:val="430"/>
        </w:trPr>
        <w:tc>
          <w:tcPr>
            <w:tcW w:w="310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16C5B" w:rsidRDefault="00016C5B" w:rsidP="00016C5B">
            <w:pPr>
              <w:rPr>
                <w:rFonts w:ascii="Arial" w:hAnsi="Arial" w:cs="Arial"/>
                <w:color w:val="000000"/>
              </w:rPr>
            </w:pPr>
            <w:r w:rsidRPr="00016C5B">
              <w:rPr>
                <w:rFonts w:ascii="Arial" w:hAnsi="Arial" w:cs="Arial"/>
                <w:color w:val="000000"/>
              </w:rPr>
              <w:lastRenderedPageBreak/>
              <w:t>HEPATITIS B SURF</w:t>
            </w:r>
            <w:r>
              <w:rPr>
                <w:rFonts w:ascii="Arial" w:hAnsi="Arial" w:cs="Arial"/>
                <w:color w:val="000000"/>
              </w:rPr>
              <w:t xml:space="preserve">ACE ANTIGEN RECOMBINANT </w:t>
            </w:r>
            <w:r w:rsidRPr="00016C5B">
              <w:rPr>
                <w:rFonts w:ascii="Arial" w:hAnsi="Arial" w:cs="Arial"/>
                <w:color w:val="000000"/>
              </w:rPr>
              <w:t>VACCINE</w:t>
            </w:r>
            <w:r>
              <w:rPr>
                <w:rFonts w:ascii="Arial" w:hAnsi="Arial" w:cs="Arial"/>
                <w:color w:val="000000"/>
              </w:rPr>
              <w:br/>
            </w:r>
            <w:r>
              <w:rPr>
                <w:rFonts w:ascii="Arial" w:hAnsi="Arial" w:cs="Arial"/>
                <w:color w:val="000000"/>
              </w:rPr>
              <w:br/>
            </w:r>
            <w:r w:rsidR="001E080C">
              <w:rPr>
                <w:rFonts w:ascii="Arial" w:hAnsi="Arial" w:cs="Arial"/>
                <w:color w:val="000000"/>
              </w:rPr>
              <w:t>Injection 20 micrograms in 1 mL vial</w:t>
            </w:r>
            <w:r>
              <w:rPr>
                <w:rFonts w:ascii="Arial" w:hAnsi="Arial" w:cs="Arial"/>
                <w:color w:val="000000"/>
              </w:rPr>
              <w:br/>
            </w:r>
            <w:r>
              <w:rPr>
                <w:rFonts w:ascii="Arial" w:hAnsi="Arial" w:cs="Arial"/>
                <w:color w:val="000000"/>
              </w:rPr>
              <w:br/>
            </w:r>
            <w:r w:rsidRPr="00016C5B">
              <w:rPr>
                <w:rFonts w:ascii="Arial" w:hAnsi="Arial" w:cs="Arial"/>
                <w:color w:val="000000"/>
              </w:rPr>
              <w:t xml:space="preserve">Engerix-B </w:t>
            </w:r>
            <w:r>
              <w:rPr>
                <w:rFonts w:ascii="Arial" w:hAnsi="Arial" w:cs="Arial"/>
                <w:color w:val="000000"/>
              </w:rPr>
              <w:t>®</w:t>
            </w:r>
            <w:r>
              <w:rPr>
                <w:rFonts w:ascii="Arial" w:hAnsi="Arial" w:cs="Arial"/>
                <w:color w:val="000000"/>
              </w:rPr>
              <w:br/>
            </w:r>
            <w:r>
              <w:rPr>
                <w:rFonts w:ascii="Arial" w:hAnsi="Arial" w:cs="Arial"/>
                <w:color w:val="000000"/>
              </w:rPr>
              <w:br/>
              <w:t>GlaxoSmithKline Australia Pty Ltd</w:t>
            </w:r>
          </w:p>
          <w:p w:rsidR="00016C5B" w:rsidRDefault="00016C5B" w:rsidP="00016C5B">
            <w:pPr>
              <w:rPr>
                <w:rFonts w:ascii="Arial" w:hAnsi="Arial" w:cs="Arial"/>
                <w:color w:val="000000"/>
              </w:rPr>
            </w:pPr>
          </w:p>
          <w:p w:rsidR="00016C5B" w:rsidRDefault="00016C5B" w:rsidP="00016C5B">
            <w:pPr>
              <w:rPr>
                <w:rFonts w:ascii="Arial" w:hAnsi="Arial" w:cs="Arial"/>
              </w:rPr>
            </w:pPr>
            <w:r>
              <w:rPr>
                <w:rFonts w:ascii="Arial" w:hAnsi="Arial" w:cs="Arial"/>
              </w:rPr>
              <w:t>New listing</w:t>
            </w:r>
          </w:p>
          <w:p w:rsidR="00016C5B" w:rsidRDefault="00016C5B" w:rsidP="00216452">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16C5B" w:rsidRDefault="00016C5B" w:rsidP="00216452">
            <w:pPr>
              <w:rPr>
                <w:rFonts w:ascii="Arial" w:hAnsi="Arial" w:cs="Arial"/>
              </w:rPr>
            </w:pPr>
            <w:r>
              <w:rPr>
                <w:rFonts w:ascii="Arial" w:hAnsi="Arial" w:cs="Arial"/>
              </w:rPr>
              <w:t>Hepatitis B</w:t>
            </w:r>
            <w:r w:rsidR="001E080C">
              <w:rPr>
                <w:rFonts w:ascii="Arial" w:hAnsi="Arial" w:cs="Arial"/>
              </w:rPr>
              <w:t xml:space="preserve"> virus infection</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16C5B" w:rsidRPr="006B54B6" w:rsidRDefault="00261E00" w:rsidP="00D4199C">
            <w:pPr>
              <w:rPr>
                <w:rFonts w:ascii="Arial" w:hAnsi="Arial" w:cs="Arial"/>
                <w:color w:val="000000"/>
                <w:szCs w:val="22"/>
              </w:rPr>
            </w:pPr>
            <w:r w:rsidRPr="00261E00">
              <w:rPr>
                <w:rFonts w:ascii="Arial" w:hAnsi="Arial" w:cs="Arial"/>
                <w:color w:val="000000"/>
                <w:szCs w:val="22"/>
              </w:rPr>
              <w:t>To request temporary National Immunisation Program (NIP) listing of Hepatitis B surface antigen recombinant vaccine, Engerix-B (adult formulation), for use in adolescents and adults due to a shortage of the NIP listed adult formulation of H-B-Vax II for the same indication and population.</w:t>
            </w:r>
          </w:p>
        </w:tc>
        <w:tc>
          <w:tcPr>
            <w:tcW w:w="7104" w:type="dxa"/>
            <w:tcBorders>
              <w:top w:val="single" w:sz="4" w:space="0" w:color="auto"/>
              <w:left w:val="single" w:sz="4" w:space="0" w:color="auto"/>
              <w:bottom w:val="single" w:sz="4" w:space="0" w:color="auto"/>
              <w:right w:val="single" w:sz="4" w:space="0" w:color="auto"/>
            </w:tcBorders>
          </w:tcPr>
          <w:p w:rsidR="00016C5B" w:rsidRPr="006B54B6" w:rsidRDefault="0090663E" w:rsidP="00AB6AD3">
            <w:pPr>
              <w:rPr>
                <w:rFonts w:ascii="Arial" w:hAnsi="Arial" w:cs="Arial"/>
                <w:color w:val="000000"/>
                <w:szCs w:val="22"/>
              </w:rPr>
            </w:pPr>
            <w:r w:rsidRPr="0090663E">
              <w:rPr>
                <w:rFonts w:ascii="Arial" w:hAnsi="Arial" w:cs="Arial"/>
                <w:color w:val="000000"/>
                <w:szCs w:val="22"/>
              </w:rPr>
              <w:t>The PBAC recommended that Engerix-B (adul</w:t>
            </w:r>
            <w:r>
              <w:rPr>
                <w:rFonts w:ascii="Arial" w:hAnsi="Arial" w:cs="Arial"/>
                <w:color w:val="000000"/>
                <w:szCs w:val="22"/>
              </w:rPr>
              <w:t>t formulation</w:t>
            </w:r>
            <w:r w:rsidRPr="0090663E">
              <w:rPr>
                <w:rFonts w:ascii="Arial" w:hAnsi="Arial" w:cs="Arial"/>
                <w:color w:val="000000"/>
                <w:szCs w:val="22"/>
              </w:rPr>
              <w:t xml:space="preserve">) be a designated vaccine for the purposes of Section 9B of the </w:t>
            </w:r>
            <w:r w:rsidRPr="0090663E">
              <w:rPr>
                <w:rFonts w:ascii="Arial" w:hAnsi="Arial" w:cs="Arial"/>
                <w:i/>
                <w:color w:val="000000"/>
                <w:szCs w:val="22"/>
              </w:rPr>
              <w:t>National Health Act 1953</w:t>
            </w:r>
            <w:r w:rsidRPr="0090663E">
              <w:rPr>
                <w:rFonts w:ascii="Arial" w:hAnsi="Arial" w:cs="Arial"/>
                <w:color w:val="000000"/>
                <w:szCs w:val="22"/>
              </w:rPr>
              <w:t xml:space="preserve"> on a temporary basis for use in adolescents and adults until either the current shortage of H-B-Vax II (adult formulation, Seqirus Australia Pty Ltd) has been resolved, or 31 December 2019 (when shortage is predicted to end), whichever were to occur first.  The PBAC considered that Engerix-B was sufficiently interchangeable with H-B-VAX II based on the advice of the Australian Technical Advisory Group on Imm</w:t>
            </w:r>
            <w:r w:rsidR="00261E00">
              <w:rPr>
                <w:rFonts w:ascii="Arial" w:hAnsi="Arial" w:cs="Arial"/>
                <w:color w:val="000000"/>
                <w:szCs w:val="22"/>
              </w:rPr>
              <w:t>unisation</w:t>
            </w:r>
            <w:r w:rsidRPr="0090663E">
              <w:rPr>
                <w:rFonts w:ascii="Arial" w:hAnsi="Arial" w:cs="Arial"/>
                <w:color w:val="000000"/>
                <w:szCs w:val="22"/>
              </w:rPr>
              <w:t>, and noted that the temporary listing would be cost neutral. The PBAC considered that the temporary listing would ensure ongoing coverage for the catch up populations that are eligible for the vaccine under the NIP.</w:t>
            </w:r>
          </w:p>
        </w:tc>
      </w:tr>
      <w:tr w:rsidR="0056205B" w:rsidRPr="002F3992" w:rsidTr="005478AD">
        <w:trPr>
          <w:cantSplit/>
          <w:trHeight w:val="430"/>
        </w:trPr>
        <w:tc>
          <w:tcPr>
            <w:tcW w:w="310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56205B" w:rsidRDefault="0056205B" w:rsidP="00216452">
            <w:pPr>
              <w:rPr>
                <w:rFonts w:ascii="Arial" w:hAnsi="Arial" w:cs="Arial"/>
                <w:color w:val="000000"/>
              </w:rPr>
            </w:pPr>
            <w:r>
              <w:rPr>
                <w:rFonts w:ascii="Arial" w:hAnsi="Arial" w:cs="Arial"/>
                <w:color w:val="000000"/>
              </w:rPr>
              <w:t>INSECT ALLERGEN EXTRACTS</w:t>
            </w:r>
          </w:p>
          <w:p w:rsidR="0056205B" w:rsidRDefault="0056205B" w:rsidP="00216452">
            <w:pPr>
              <w:rPr>
                <w:rFonts w:ascii="Arial" w:hAnsi="Arial" w:cs="Arial"/>
                <w:color w:val="000000"/>
              </w:rPr>
            </w:pPr>
          </w:p>
          <w:p w:rsidR="0056205B" w:rsidRDefault="0056205B" w:rsidP="00216452">
            <w:pPr>
              <w:rPr>
                <w:rFonts w:ascii="Arial" w:hAnsi="Arial" w:cs="Arial"/>
                <w:color w:val="000000"/>
              </w:rPr>
            </w:pPr>
            <w:r>
              <w:rPr>
                <w:rFonts w:ascii="Arial" w:hAnsi="Arial" w:cs="Arial"/>
                <w:color w:val="000000"/>
              </w:rPr>
              <w:t>1) Honey bee venom, injection set containing 550 micrograms with diluent</w:t>
            </w:r>
          </w:p>
          <w:p w:rsidR="0056205B" w:rsidRDefault="0056205B" w:rsidP="00216452">
            <w:pPr>
              <w:rPr>
                <w:rFonts w:ascii="Arial" w:hAnsi="Arial" w:cs="Arial"/>
                <w:color w:val="000000"/>
              </w:rPr>
            </w:pPr>
            <w:r>
              <w:rPr>
                <w:rFonts w:ascii="Arial" w:hAnsi="Arial" w:cs="Arial"/>
                <w:color w:val="000000"/>
              </w:rPr>
              <w:t>2) Paper wasp venom, injection set containing 550 micrograms</w:t>
            </w:r>
          </w:p>
          <w:p w:rsidR="0056205B" w:rsidRDefault="0056205B" w:rsidP="00216452">
            <w:pPr>
              <w:rPr>
                <w:rFonts w:ascii="Arial" w:hAnsi="Arial" w:cs="Arial"/>
                <w:color w:val="000000"/>
              </w:rPr>
            </w:pPr>
            <w:r>
              <w:rPr>
                <w:rFonts w:ascii="Arial" w:hAnsi="Arial" w:cs="Arial"/>
                <w:color w:val="000000"/>
              </w:rPr>
              <w:t>3) Yellow jacket venom, injection set containing 550 micrograms</w:t>
            </w:r>
          </w:p>
          <w:p w:rsidR="0056205B" w:rsidRDefault="0056205B" w:rsidP="00216452">
            <w:pPr>
              <w:rPr>
                <w:rFonts w:ascii="Arial" w:hAnsi="Arial" w:cs="Arial"/>
                <w:color w:val="000000"/>
              </w:rPr>
            </w:pPr>
          </w:p>
          <w:p w:rsidR="0056205B" w:rsidRDefault="0056205B" w:rsidP="00216452">
            <w:pPr>
              <w:rPr>
                <w:rFonts w:ascii="Arial" w:hAnsi="Arial" w:cs="Arial"/>
                <w:color w:val="000000"/>
              </w:rPr>
            </w:pPr>
            <w:r>
              <w:rPr>
                <w:rFonts w:ascii="Arial" w:hAnsi="Arial" w:cs="Arial"/>
                <w:color w:val="000000"/>
              </w:rPr>
              <w:t>Hymenoptera Honey Bee Venom®</w:t>
            </w:r>
          </w:p>
          <w:p w:rsidR="0056205B" w:rsidRDefault="0056205B" w:rsidP="00216452">
            <w:pPr>
              <w:rPr>
                <w:rFonts w:ascii="Arial" w:hAnsi="Arial" w:cs="Arial"/>
                <w:color w:val="000000"/>
              </w:rPr>
            </w:pPr>
            <w:r>
              <w:rPr>
                <w:rFonts w:ascii="Arial" w:hAnsi="Arial" w:cs="Arial"/>
                <w:color w:val="000000"/>
              </w:rPr>
              <w:t>Hymenoptera Paper Wasp Venom®</w:t>
            </w:r>
          </w:p>
          <w:p w:rsidR="0056205B" w:rsidRDefault="0056205B" w:rsidP="00216452">
            <w:pPr>
              <w:rPr>
                <w:rFonts w:ascii="Arial" w:hAnsi="Arial" w:cs="Arial"/>
                <w:color w:val="000000"/>
              </w:rPr>
            </w:pPr>
            <w:r>
              <w:rPr>
                <w:rFonts w:ascii="Arial" w:hAnsi="Arial" w:cs="Arial"/>
                <w:color w:val="000000"/>
              </w:rPr>
              <w:t>Hymenoptera Yellow Jacket Venom®</w:t>
            </w:r>
          </w:p>
          <w:p w:rsidR="0056205B" w:rsidRDefault="0056205B" w:rsidP="00216452">
            <w:pPr>
              <w:rPr>
                <w:rFonts w:ascii="Arial" w:hAnsi="Arial" w:cs="Arial"/>
                <w:color w:val="000000"/>
              </w:rPr>
            </w:pPr>
          </w:p>
          <w:p w:rsidR="0056205B" w:rsidRDefault="0056205B" w:rsidP="00216452">
            <w:pPr>
              <w:rPr>
                <w:rFonts w:ascii="Arial" w:hAnsi="Arial" w:cs="Arial"/>
                <w:color w:val="000000"/>
              </w:rPr>
            </w:pPr>
            <w:r>
              <w:rPr>
                <w:rFonts w:ascii="Arial" w:hAnsi="Arial" w:cs="Arial"/>
                <w:color w:val="000000"/>
              </w:rPr>
              <w:t>Stallergenes Australia Pty Ltd</w:t>
            </w:r>
          </w:p>
          <w:p w:rsidR="0056205B" w:rsidRDefault="0056205B" w:rsidP="00216452">
            <w:pPr>
              <w:rPr>
                <w:rFonts w:ascii="Arial" w:hAnsi="Arial" w:cs="Arial"/>
                <w:color w:val="000000"/>
              </w:rPr>
            </w:pPr>
          </w:p>
          <w:p w:rsidR="0056205B" w:rsidRDefault="001366E9" w:rsidP="00216452">
            <w:pPr>
              <w:rPr>
                <w:rFonts w:ascii="Arial" w:hAnsi="Arial" w:cs="Arial"/>
                <w:color w:val="000000"/>
              </w:rPr>
            </w:pPr>
            <w:r>
              <w:rPr>
                <w:rFonts w:ascii="Arial" w:hAnsi="Arial" w:cs="Arial"/>
                <w:color w:val="000000"/>
              </w:rPr>
              <w:t>New Listing</w:t>
            </w:r>
          </w:p>
          <w:p w:rsidR="0056205B" w:rsidRDefault="0056205B" w:rsidP="00216452">
            <w:pPr>
              <w:rPr>
                <w:rFonts w:ascii="Arial" w:hAnsi="Arial" w:cs="Arial"/>
                <w:color w:val="000000"/>
              </w:rPr>
            </w:pPr>
            <w:r>
              <w:rPr>
                <w:rFonts w:ascii="Arial" w:hAnsi="Arial" w:cs="Arial"/>
                <w:color w:val="000000"/>
              </w:rPr>
              <w:t>(Minor Submission)</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56205B" w:rsidRDefault="001366E9" w:rsidP="00216452">
            <w:pPr>
              <w:rPr>
                <w:rFonts w:ascii="Arial" w:hAnsi="Arial" w:cs="Arial"/>
              </w:rPr>
            </w:pPr>
            <w:r>
              <w:rPr>
                <w:rFonts w:ascii="Arial" w:hAnsi="Arial" w:cs="Arial"/>
              </w:rPr>
              <w:t>Unrestricted</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56205B" w:rsidRPr="006B54B6" w:rsidRDefault="00734F90" w:rsidP="00D4199C">
            <w:pPr>
              <w:rPr>
                <w:rFonts w:ascii="Arial" w:hAnsi="Arial" w:cs="Arial"/>
                <w:color w:val="000000"/>
                <w:szCs w:val="22"/>
              </w:rPr>
            </w:pPr>
            <w:r w:rsidRPr="006B54B6">
              <w:rPr>
                <w:rFonts w:ascii="Arial" w:hAnsi="Arial" w:cs="Arial"/>
                <w:color w:val="000000"/>
                <w:szCs w:val="22"/>
              </w:rPr>
              <w:t xml:space="preserve">To request temporary listings for substitute products as alternatives for the currently listed bee venom, paper wasp venom and yellow jacket venom. </w:t>
            </w:r>
          </w:p>
        </w:tc>
        <w:tc>
          <w:tcPr>
            <w:tcW w:w="7104" w:type="dxa"/>
            <w:tcBorders>
              <w:top w:val="single" w:sz="4" w:space="0" w:color="auto"/>
              <w:left w:val="single" w:sz="4" w:space="0" w:color="auto"/>
              <w:bottom w:val="single" w:sz="4" w:space="0" w:color="auto"/>
              <w:right w:val="single" w:sz="4" w:space="0" w:color="auto"/>
            </w:tcBorders>
          </w:tcPr>
          <w:p w:rsidR="00A834C4" w:rsidRPr="006B54B6" w:rsidRDefault="006B54B6" w:rsidP="00AB6AD3">
            <w:pPr>
              <w:rPr>
                <w:rFonts w:ascii="Arial" w:hAnsi="Arial" w:cs="Arial"/>
                <w:color w:val="000000"/>
                <w:szCs w:val="22"/>
              </w:rPr>
            </w:pPr>
            <w:r w:rsidRPr="006B54B6">
              <w:rPr>
                <w:rFonts w:ascii="Arial" w:hAnsi="Arial" w:cs="Arial"/>
                <w:color w:val="000000"/>
                <w:szCs w:val="22"/>
              </w:rPr>
              <w:t>The PBAC recommended the temporary listing of Hymenoptera branded honey bee venom, paper wasp venom and yellow jacket venom to address the current shortage of PBS-listed insect allergen extracts.</w:t>
            </w:r>
          </w:p>
        </w:tc>
      </w:tr>
      <w:tr w:rsidR="00F95241" w:rsidRPr="002F399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194CCD" w:rsidP="00216452">
            <w:pPr>
              <w:rPr>
                <w:rFonts w:ascii="Arial" w:hAnsi="Arial" w:cs="Arial"/>
                <w:color w:val="000000"/>
              </w:rPr>
            </w:pPr>
            <w:r>
              <w:rPr>
                <w:rFonts w:ascii="Arial" w:hAnsi="Arial" w:cs="Arial"/>
                <w:color w:val="000000"/>
              </w:rPr>
              <w:lastRenderedPageBreak/>
              <w:t>INSULIN</w:t>
            </w:r>
            <w:r w:rsidR="00F95241">
              <w:rPr>
                <w:rFonts w:ascii="Arial" w:hAnsi="Arial" w:cs="Arial"/>
                <w:color w:val="000000"/>
              </w:rPr>
              <w:t xml:space="preserve"> GLARGINE</w:t>
            </w:r>
            <w:r w:rsidR="00F95241">
              <w:rPr>
                <w:rFonts w:ascii="Arial" w:hAnsi="Arial" w:cs="Arial"/>
                <w:color w:val="000000"/>
              </w:rPr>
              <w:br/>
            </w:r>
            <w:r w:rsidR="00F95241">
              <w:rPr>
                <w:rFonts w:ascii="Arial" w:hAnsi="Arial" w:cs="Arial"/>
                <w:color w:val="000000"/>
              </w:rPr>
              <w:br/>
              <w:t>Injections (human analogue), cartridges, 100 units per mL, 3 mL, 5</w:t>
            </w:r>
            <w:r w:rsidR="00F95241">
              <w:rPr>
                <w:rFonts w:ascii="Arial" w:hAnsi="Arial" w:cs="Arial"/>
                <w:color w:val="000000"/>
              </w:rPr>
              <w:br/>
            </w:r>
            <w:r w:rsidR="00F95241">
              <w:rPr>
                <w:rFonts w:ascii="Arial" w:hAnsi="Arial" w:cs="Arial"/>
                <w:color w:val="000000"/>
              </w:rPr>
              <w:br/>
              <w:t>Semglee®</w:t>
            </w:r>
            <w:r w:rsidR="00F95241">
              <w:rPr>
                <w:rFonts w:ascii="Arial" w:hAnsi="Arial" w:cs="Arial"/>
                <w:color w:val="000000"/>
              </w:rPr>
              <w:br/>
            </w:r>
            <w:r w:rsidR="00F95241">
              <w:rPr>
                <w:rFonts w:ascii="Arial" w:hAnsi="Arial" w:cs="Arial"/>
                <w:color w:val="000000"/>
              </w:rPr>
              <w:br/>
              <w:t>Alphapharm Pty Ltd</w:t>
            </w:r>
          </w:p>
          <w:p w:rsidR="00F95241" w:rsidRDefault="00F95241" w:rsidP="00216452">
            <w:pPr>
              <w:rPr>
                <w:rFonts w:ascii="Arial" w:hAnsi="Arial" w:cs="Arial"/>
                <w:color w:val="000000"/>
              </w:rPr>
            </w:pPr>
            <w:r>
              <w:rPr>
                <w:rFonts w:ascii="Arial" w:hAnsi="Arial" w:cs="Arial"/>
                <w:color w:val="000000"/>
              </w:rPr>
              <w:t xml:space="preserve"> </w:t>
            </w:r>
          </w:p>
          <w:p w:rsidR="00F95241" w:rsidRDefault="00F95241" w:rsidP="003642C8">
            <w:pPr>
              <w:rPr>
                <w:rFonts w:ascii="Arial" w:hAnsi="Arial" w:cs="Arial"/>
              </w:rPr>
            </w:pPr>
            <w:r>
              <w:rPr>
                <w:rFonts w:ascii="Arial" w:hAnsi="Arial" w:cs="Arial"/>
              </w:rPr>
              <w:t>New listing</w:t>
            </w:r>
          </w:p>
          <w:p w:rsidR="00F95241" w:rsidRPr="00D4199C" w:rsidRDefault="00F95241" w:rsidP="003642C8">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2F3992" w:rsidRDefault="00F95241" w:rsidP="00216452">
            <w:pPr>
              <w:rPr>
                <w:rFonts w:ascii="Arial" w:hAnsi="Arial" w:cs="Arial"/>
              </w:rPr>
            </w:pPr>
            <w:r>
              <w:rPr>
                <w:rFonts w:ascii="Arial" w:hAnsi="Arial" w:cs="Arial"/>
              </w:rPr>
              <w:t>Unrestricted (indicated for diabetes mellitus)</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2F3992" w:rsidRDefault="00F95241" w:rsidP="001F293F">
            <w:pPr>
              <w:rPr>
                <w:rFonts w:ascii="Arial" w:hAnsi="Arial" w:cs="Arial"/>
              </w:rPr>
            </w:pPr>
            <w:r>
              <w:rPr>
                <w:rFonts w:ascii="Arial" w:hAnsi="Arial" w:cs="Arial"/>
                <w:color w:val="000000"/>
              </w:rPr>
              <w:t>To request an unrestricted benefit listing for this biosimilar brand for all indications for which the reference biologic is currently PBS listed.</w:t>
            </w:r>
          </w:p>
        </w:tc>
        <w:tc>
          <w:tcPr>
            <w:tcW w:w="7104" w:type="dxa"/>
            <w:tcBorders>
              <w:top w:val="single" w:sz="4" w:space="0" w:color="auto"/>
              <w:left w:val="single" w:sz="4" w:space="0" w:color="auto"/>
              <w:bottom w:val="single" w:sz="4" w:space="0" w:color="auto"/>
              <w:right w:val="single" w:sz="4" w:space="0" w:color="auto"/>
            </w:tcBorders>
          </w:tcPr>
          <w:p w:rsidR="00A834C4" w:rsidRPr="00194CCD" w:rsidRDefault="00F95241" w:rsidP="00AB6AD3">
            <w:pPr>
              <w:rPr>
                <w:rFonts w:ascii="Arial" w:hAnsi="Arial" w:cs="Arial"/>
                <w:color w:val="000000"/>
              </w:rPr>
            </w:pPr>
            <w:r w:rsidRPr="00D4199C">
              <w:rPr>
                <w:rFonts w:ascii="Arial" w:hAnsi="Arial" w:cs="Arial"/>
                <w:color w:val="000000"/>
              </w:rPr>
              <w:t>The PBAC recommended</w:t>
            </w:r>
            <w:r>
              <w:rPr>
                <w:rFonts w:ascii="Arial" w:hAnsi="Arial" w:cs="Arial"/>
                <w:color w:val="000000"/>
              </w:rPr>
              <w:t xml:space="preserve"> the unrestricted</w:t>
            </w:r>
            <w:r w:rsidRPr="00D4199C">
              <w:rPr>
                <w:rFonts w:ascii="Arial" w:hAnsi="Arial" w:cs="Arial"/>
                <w:color w:val="000000"/>
              </w:rPr>
              <w:t xml:space="preserve"> listing the biosimilar brand of insulin glargine (Semglee</w:t>
            </w:r>
            <w:r w:rsidR="00194CCD" w:rsidRPr="00D4199C">
              <w:rPr>
                <w:rFonts w:ascii="Arial" w:hAnsi="Arial" w:cs="Arial"/>
                <w:color w:val="000000"/>
              </w:rPr>
              <w:t>®</w:t>
            </w:r>
            <w:r w:rsidRPr="00D4199C">
              <w:rPr>
                <w:rFonts w:ascii="Arial" w:hAnsi="Arial" w:cs="Arial"/>
                <w:color w:val="000000"/>
              </w:rPr>
              <w:t>)</w:t>
            </w:r>
            <w:r>
              <w:rPr>
                <w:rFonts w:ascii="Arial" w:hAnsi="Arial" w:cs="Arial"/>
                <w:color w:val="000000"/>
              </w:rPr>
              <w:t xml:space="preserve">. </w:t>
            </w:r>
            <w:r w:rsidRPr="00D4199C">
              <w:rPr>
                <w:rFonts w:ascii="Arial" w:hAnsi="Arial" w:cs="Arial"/>
                <w:color w:val="000000"/>
              </w:rPr>
              <w:t xml:space="preserve"> The PBAC advised that, under Section 101(4AACD) of </w:t>
            </w:r>
            <w:r w:rsidRPr="00AB6AD3">
              <w:rPr>
                <w:rFonts w:ascii="Arial" w:hAnsi="Arial" w:cs="Arial"/>
                <w:i/>
                <w:color w:val="000000"/>
              </w:rPr>
              <w:t>the National Health Act, 1953</w:t>
            </w:r>
            <w:r w:rsidRPr="00D4199C">
              <w:rPr>
                <w:rFonts w:ascii="Arial" w:hAnsi="Arial" w:cs="Arial"/>
                <w:color w:val="000000"/>
              </w:rPr>
              <w:t xml:space="preserve">, the Semglee® and Lantus </w:t>
            </w:r>
            <w:r w:rsidR="00A834C4">
              <w:rPr>
                <w:rFonts w:ascii="Arial" w:hAnsi="Arial" w:cs="Arial"/>
                <w:color w:val="000000"/>
              </w:rPr>
              <w:t xml:space="preserve">Solostar </w:t>
            </w:r>
            <w:r w:rsidRPr="00D4199C">
              <w:rPr>
                <w:rFonts w:ascii="Arial" w:hAnsi="Arial" w:cs="Arial"/>
                <w:color w:val="000000"/>
              </w:rPr>
              <w:t>brands of insulin glargine injection device could be marked as equivalent in the Schedule of Pharmaceutical Benefits for the purposes of substitution at the pharmacy level</w:t>
            </w:r>
            <w:r w:rsidR="00A834C4">
              <w:rPr>
                <w:rFonts w:ascii="Arial" w:hAnsi="Arial" w:cs="Arial"/>
                <w:color w:val="000000"/>
              </w:rPr>
              <w:t xml:space="preserve"> (‘a’ flagged)</w:t>
            </w:r>
            <w:r w:rsidRPr="00D4199C">
              <w:rPr>
                <w:rFonts w:ascii="Arial" w:hAnsi="Arial" w:cs="Arial"/>
                <w:color w:val="000000"/>
              </w:rPr>
              <w:t>. The PBAC considered that any differences in the devices could be safely managed by health care professionals in the course of regular patient education and counselling that is</w:t>
            </w:r>
            <w:r w:rsidR="00194CCD">
              <w:rPr>
                <w:rFonts w:ascii="Arial" w:hAnsi="Arial" w:cs="Arial"/>
                <w:color w:val="000000"/>
              </w:rPr>
              <w:t xml:space="preserve"> provided on the use of devices.</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IXEKIZUMAB</w:t>
            </w:r>
            <w:r>
              <w:rPr>
                <w:rFonts w:ascii="Arial" w:hAnsi="Arial" w:cs="Arial"/>
                <w:color w:val="000000"/>
              </w:rPr>
              <w:br/>
            </w:r>
            <w:r>
              <w:rPr>
                <w:rFonts w:ascii="Arial" w:hAnsi="Arial" w:cs="Arial"/>
                <w:color w:val="000000"/>
              </w:rPr>
              <w:br/>
              <w:t>Injection 80 mg in 1 mL single dose pre-filled pen</w:t>
            </w:r>
            <w:r>
              <w:rPr>
                <w:rFonts w:ascii="Arial" w:hAnsi="Arial" w:cs="Arial"/>
                <w:color w:val="000000"/>
              </w:rPr>
              <w:br/>
              <w:t>Injection 80 mg in 1 mL single dose pre-filled syringe</w:t>
            </w:r>
            <w:r>
              <w:rPr>
                <w:rFonts w:ascii="Arial" w:hAnsi="Arial" w:cs="Arial"/>
                <w:color w:val="000000"/>
              </w:rPr>
              <w:br/>
            </w:r>
            <w:r>
              <w:rPr>
                <w:rFonts w:ascii="Arial" w:hAnsi="Arial" w:cs="Arial"/>
                <w:color w:val="000000"/>
              </w:rPr>
              <w:br/>
              <w:t xml:space="preserve">Taltz® </w:t>
            </w:r>
            <w:r>
              <w:rPr>
                <w:rFonts w:ascii="Arial" w:hAnsi="Arial" w:cs="Arial"/>
                <w:color w:val="000000"/>
              </w:rPr>
              <w:br/>
            </w:r>
            <w:r>
              <w:rPr>
                <w:rFonts w:ascii="Arial" w:hAnsi="Arial" w:cs="Arial"/>
                <w:color w:val="000000"/>
              </w:rPr>
              <w:br/>
              <w:t xml:space="preserve">Eli Lilly Australia Pty Ltd </w:t>
            </w:r>
          </w:p>
          <w:p w:rsidR="00F95241" w:rsidRDefault="00F95241" w:rsidP="00216452">
            <w:pPr>
              <w:rPr>
                <w:rFonts w:ascii="Arial" w:hAnsi="Arial" w:cs="Arial"/>
                <w:color w:val="000000"/>
              </w:rPr>
            </w:pPr>
          </w:p>
          <w:p w:rsidR="00F95241" w:rsidRDefault="00F95241" w:rsidP="00216452">
            <w:pPr>
              <w:rPr>
                <w:rFonts w:ascii="Arial" w:hAnsi="Arial" w:cs="Arial"/>
                <w:color w:val="000000"/>
              </w:rPr>
            </w:pPr>
            <w:r>
              <w:rPr>
                <w:rFonts w:ascii="Arial" w:hAnsi="Arial" w:cs="Arial"/>
                <w:color w:val="000000"/>
              </w:rPr>
              <w:t>Change to listing</w:t>
            </w:r>
          </w:p>
          <w:p w:rsidR="00F95241" w:rsidRPr="00E917A2" w:rsidRDefault="00F95241" w:rsidP="00216452">
            <w:pPr>
              <w:rPr>
                <w:rFonts w:ascii="Arial" w:hAnsi="Arial" w:cs="Arial"/>
                <w:color w:val="000000"/>
              </w:rPr>
            </w:pPr>
            <w:r>
              <w:rPr>
                <w:rFonts w:ascii="Arial" w:hAnsi="Arial" w:cs="Arial"/>
                <w:color w:val="000000"/>
              </w:rPr>
              <w:t>(Major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3D7E12" w:rsidRDefault="00F95241" w:rsidP="00216452">
            <w:pPr>
              <w:rPr>
                <w:rFonts w:ascii="Arial" w:hAnsi="Arial" w:cs="Arial"/>
              </w:rPr>
            </w:pPr>
            <w:r>
              <w:rPr>
                <w:rFonts w:ascii="Arial" w:hAnsi="Arial" w:cs="Arial"/>
              </w:rPr>
              <w:t>Severe active psoriatic arthritis</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E917A2">
            <w:pPr>
              <w:rPr>
                <w:rFonts w:ascii="Arial" w:hAnsi="Arial" w:cs="Arial"/>
                <w:color w:val="000000"/>
              </w:rPr>
            </w:pPr>
            <w:r>
              <w:rPr>
                <w:rFonts w:ascii="Arial" w:hAnsi="Arial" w:cs="Arial"/>
                <w:color w:val="000000"/>
              </w:rPr>
              <w:t>To request an Authority Required listing for the treatment of severe active psoriatic arthritis.</w:t>
            </w:r>
          </w:p>
          <w:p w:rsidR="00F95241" w:rsidRPr="003D7E12" w:rsidRDefault="00F95241" w:rsidP="00216452">
            <w:pPr>
              <w:rPr>
                <w:rFonts w:ascii="Arial" w:hAnsi="Arial" w:cs="Arial"/>
                <w:color w:val="000000"/>
              </w:rPr>
            </w:pPr>
          </w:p>
        </w:tc>
        <w:tc>
          <w:tcPr>
            <w:tcW w:w="7104" w:type="dxa"/>
            <w:tcBorders>
              <w:top w:val="single" w:sz="4" w:space="0" w:color="auto"/>
              <w:left w:val="single" w:sz="4" w:space="0" w:color="auto"/>
              <w:bottom w:val="single" w:sz="4" w:space="0" w:color="auto"/>
              <w:right w:val="single" w:sz="4" w:space="0" w:color="auto"/>
            </w:tcBorders>
          </w:tcPr>
          <w:p w:rsidR="00A834C4" w:rsidRPr="00E917A2" w:rsidRDefault="00F95241" w:rsidP="00216452">
            <w:pPr>
              <w:rPr>
                <w:rFonts w:ascii="Arial" w:hAnsi="Arial" w:cs="Arial"/>
                <w:color w:val="000000"/>
                <w:sz w:val="22"/>
                <w:szCs w:val="22"/>
              </w:rPr>
            </w:pPr>
            <w:r w:rsidRPr="00E917A2">
              <w:rPr>
                <w:rFonts w:ascii="Arial" w:hAnsi="Arial" w:cs="Arial"/>
                <w:color w:val="000000"/>
                <w:szCs w:val="22"/>
              </w:rPr>
              <w:t>The PBAC recommended the</w:t>
            </w:r>
            <w:r>
              <w:rPr>
                <w:rFonts w:ascii="Arial" w:hAnsi="Arial" w:cs="Arial"/>
                <w:color w:val="000000"/>
                <w:szCs w:val="22"/>
              </w:rPr>
              <w:t xml:space="preserve"> </w:t>
            </w:r>
            <w:r>
              <w:rPr>
                <w:rFonts w:ascii="Arial" w:hAnsi="Arial" w:cs="Arial"/>
                <w:color w:val="000000"/>
              </w:rPr>
              <w:t>Authority Required</w:t>
            </w:r>
            <w:r w:rsidRPr="00E917A2">
              <w:rPr>
                <w:rFonts w:ascii="Arial" w:hAnsi="Arial" w:cs="Arial"/>
                <w:color w:val="000000"/>
                <w:szCs w:val="22"/>
              </w:rPr>
              <w:t xml:space="preserve"> listing of ixekizumab for the treatment of severe psoriatic arthritis on a cost-minimisation basis against the least costly biological Disease Modifying Anti-Rheumatic Drug (bDMARD). In making this recommendation, the PBAC accepted any of the current PBS listed bDMARDs for severe PsA could be an alternative therapy to ixekizumab.</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CC65A5" w:rsidRDefault="00F95241" w:rsidP="00216452">
            <w:pPr>
              <w:rPr>
                <w:rFonts w:ascii="Arial" w:hAnsi="Arial" w:cs="Arial"/>
                <w:color w:val="000000"/>
              </w:rPr>
            </w:pPr>
            <w:r w:rsidRPr="00CC65A5">
              <w:rPr>
                <w:rFonts w:ascii="Arial" w:hAnsi="Arial" w:cs="Arial"/>
                <w:color w:val="000000"/>
              </w:rPr>
              <w:t>LANREOTIDE</w:t>
            </w:r>
          </w:p>
          <w:p w:rsidR="00F95241" w:rsidRPr="00CC65A5" w:rsidRDefault="00F95241" w:rsidP="00216452">
            <w:pPr>
              <w:rPr>
                <w:rFonts w:ascii="Arial" w:hAnsi="Arial" w:cs="Arial"/>
                <w:color w:val="000000"/>
              </w:rPr>
            </w:pPr>
          </w:p>
          <w:p w:rsidR="00F95241" w:rsidRPr="00CC65A5" w:rsidRDefault="00F95241" w:rsidP="00216452">
            <w:pPr>
              <w:rPr>
                <w:rFonts w:ascii="Arial" w:hAnsi="Arial" w:cs="Arial"/>
                <w:color w:val="000000"/>
              </w:rPr>
            </w:pPr>
            <w:r w:rsidRPr="00CC65A5">
              <w:rPr>
                <w:rFonts w:ascii="Arial" w:hAnsi="Arial" w:cs="Arial"/>
                <w:color w:val="000000"/>
              </w:rPr>
              <w:t xml:space="preserve">Injection 120 mg (as acetate) in single dose pre-filled syringe. </w:t>
            </w:r>
          </w:p>
          <w:p w:rsidR="00F95241" w:rsidRPr="00CC65A5" w:rsidRDefault="00F95241" w:rsidP="00216452">
            <w:pPr>
              <w:rPr>
                <w:rFonts w:ascii="Arial" w:hAnsi="Arial" w:cs="Arial"/>
                <w:color w:val="000000"/>
              </w:rPr>
            </w:pPr>
          </w:p>
          <w:p w:rsidR="00F95241" w:rsidRPr="00CC65A5" w:rsidRDefault="00F95241" w:rsidP="00216452">
            <w:pPr>
              <w:rPr>
                <w:rFonts w:ascii="Arial" w:hAnsi="Arial" w:cs="Arial"/>
                <w:color w:val="000000"/>
              </w:rPr>
            </w:pPr>
            <w:r w:rsidRPr="00CC65A5">
              <w:rPr>
                <w:rFonts w:ascii="Arial" w:hAnsi="Arial" w:cs="Arial"/>
                <w:color w:val="000000"/>
              </w:rPr>
              <w:t>Somatuline® Autogel®</w:t>
            </w:r>
          </w:p>
          <w:p w:rsidR="00F95241" w:rsidRPr="00CC65A5" w:rsidRDefault="00F95241" w:rsidP="00216452">
            <w:pPr>
              <w:rPr>
                <w:rFonts w:ascii="Arial" w:hAnsi="Arial" w:cs="Arial"/>
                <w:color w:val="000000"/>
              </w:rPr>
            </w:pPr>
          </w:p>
          <w:p w:rsidR="00F95241" w:rsidRPr="00CC65A5" w:rsidRDefault="00F95241" w:rsidP="00216452">
            <w:pPr>
              <w:rPr>
                <w:rFonts w:ascii="Arial" w:hAnsi="Arial" w:cs="Arial"/>
                <w:color w:val="000000"/>
              </w:rPr>
            </w:pPr>
            <w:r w:rsidRPr="00CC65A5">
              <w:rPr>
                <w:rFonts w:ascii="Arial" w:hAnsi="Arial" w:cs="Arial"/>
                <w:color w:val="000000"/>
              </w:rPr>
              <w:t>Ipsen Pty Ltd</w:t>
            </w:r>
          </w:p>
          <w:p w:rsidR="00F95241" w:rsidRPr="00CC65A5" w:rsidRDefault="00F95241" w:rsidP="00216452">
            <w:pPr>
              <w:rPr>
                <w:rFonts w:ascii="Arial" w:hAnsi="Arial" w:cs="Arial"/>
                <w:color w:val="000000"/>
              </w:rPr>
            </w:pPr>
          </w:p>
          <w:p w:rsidR="00F95241" w:rsidRPr="00CC65A5" w:rsidRDefault="00F95241" w:rsidP="00216452">
            <w:pPr>
              <w:rPr>
                <w:rFonts w:ascii="Arial" w:hAnsi="Arial" w:cs="Arial"/>
                <w:color w:val="000000"/>
              </w:rPr>
            </w:pPr>
            <w:r w:rsidRPr="00CC65A5">
              <w:rPr>
                <w:rFonts w:ascii="Arial" w:hAnsi="Arial" w:cs="Arial"/>
                <w:color w:val="000000"/>
              </w:rPr>
              <w:t>Change to listing</w:t>
            </w:r>
          </w:p>
          <w:p w:rsidR="00F95241" w:rsidRPr="00CC65A5" w:rsidRDefault="00F95241" w:rsidP="00216452">
            <w:pPr>
              <w:rPr>
                <w:rFonts w:ascii="Arial" w:hAnsi="Arial" w:cs="Arial"/>
                <w:color w:val="000000"/>
              </w:rPr>
            </w:pPr>
            <w:r w:rsidRPr="00CC65A5">
              <w:rPr>
                <w:rFonts w:ascii="Arial" w:hAnsi="Arial" w:cs="Arial"/>
                <w:color w:val="000000"/>
              </w:rPr>
              <w:t>(Minor Submission)</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CC65A5" w:rsidRDefault="00F95241" w:rsidP="00216452">
            <w:pPr>
              <w:rPr>
                <w:rFonts w:ascii="Arial" w:hAnsi="Arial" w:cs="Arial"/>
                <w:color w:val="000000"/>
              </w:rPr>
            </w:pPr>
            <w:r w:rsidRPr="00CC65A5">
              <w:rPr>
                <w:rFonts w:ascii="Arial" w:hAnsi="Arial" w:cs="Arial"/>
                <w:color w:val="000000"/>
              </w:rPr>
              <w:t>Non-functional gastroentero-pancreatic neuroendocrine tumours (GEP-NETs).</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CC65A5" w:rsidRDefault="00F95241" w:rsidP="00216452">
            <w:pPr>
              <w:rPr>
                <w:rFonts w:ascii="Arial" w:hAnsi="Arial" w:cs="Arial"/>
                <w:color w:val="000000"/>
              </w:rPr>
            </w:pPr>
            <w:r w:rsidRPr="00CC65A5">
              <w:rPr>
                <w:rFonts w:ascii="Arial" w:hAnsi="Arial" w:cs="Arial"/>
                <w:color w:val="000000"/>
              </w:rPr>
              <w:t>Resubmission to request a Section 100 (Highly Specialised Drugs Program) Authority Required (STREAMLINED) listing for the treatment of non-functional GEP-NETs in adult patients with unresectable locally advanced or metastatic disease.</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6D0D20" w:rsidRPr="00CC65A5" w:rsidRDefault="00F95241" w:rsidP="00914BFF">
            <w:pPr>
              <w:rPr>
                <w:rFonts w:ascii="Arial" w:hAnsi="Arial" w:cs="Arial"/>
                <w:color w:val="000000"/>
                <w:sz w:val="22"/>
                <w:szCs w:val="22"/>
              </w:rPr>
            </w:pPr>
            <w:r w:rsidRPr="00CC65A5">
              <w:rPr>
                <w:rFonts w:ascii="Arial" w:hAnsi="Arial" w:cs="Arial"/>
                <w:color w:val="000000"/>
                <w:szCs w:val="22"/>
              </w:rPr>
              <w:t xml:space="preserve">The PBAC recommended extending the listing of lanreotide Injection 120 mg (as acetate) in single dose pre-filled syringe to include the treatment of non-functional gastroenteropancreatic neuroendocrine tumours in adults with unresectable locally advanced or metastatic disease. The PBAC were satisfied that lanreotide would be sufficiently cost-effective at the sponsor’s proposed price given the proposed Risk Sharing Arrangement, small patient population and high clinical need. </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8B1FCB">
            <w:pPr>
              <w:rPr>
                <w:rFonts w:ascii="Arial" w:hAnsi="Arial" w:cs="Arial"/>
                <w:color w:val="000000"/>
              </w:rPr>
            </w:pPr>
            <w:r>
              <w:rPr>
                <w:rFonts w:ascii="Arial" w:hAnsi="Arial" w:cs="Arial"/>
                <w:color w:val="000000"/>
              </w:rPr>
              <w:lastRenderedPageBreak/>
              <w:t>LENVATINIB</w:t>
            </w:r>
            <w:r>
              <w:rPr>
                <w:rFonts w:ascii="Arial" w:hAnsi="Arial" w:cs="Arial"/>
                <w:color w:val="000000"/>
              </w:rPr>
              <w:br/>
            </w:r>
            <w:r>
              <w:rPr>
                <w:rFonts w:ascii="Arial" w:hAnsi="Arial" w:cs="Arial"/>
                <w:color w:val="000000"/>
              </w:rPr>
              <w:br/>
              <w:t>Capsule 4 mg (as mesilate)</w:t>
            </w:r>
            <w:r>
              <w:rPr>
                <w:rFonts w:ascii="Arial" w:hAnsi="Arial" w:cs="Arial"/>
                <w:color w:val="000000"/>
              </w:rPr>
              <w:br/>
              <w:t>Capsule 10 mg (as mesilate)</w:t>
            </w:r>
            <w:r>
              <w:rPr>
                <w:rFonts w:ascii="Arial" w:hAnsi="Arial" w:cs="Arial"/>
                <w:color w:val="000000"/>
              </w:rPr>
              <w:br/>
            </w:r>
            <w:r>
              <w:rPr>
                <w:rFonts w:ascii="Arial" w:hAnsi="Arial" w:cs="Arial"/>
                <w:color w:val="000000"/>
              </w:rPr>
              <w:br/>
              <w:t>Lenvima®</w:t>
            </w:r>
            <w:r>
              <w:rPr>
                <w:rFonts w:ascii="Arial" w:hAnsi="Arial" w:cs="Arial"/>
                <w:color w:val="000000"/>
              </w:rPr>
              <w:br/>
            </w:r>
            <w:r>
              <w:rPr>
                <w:rFonts w:ascii="Arial" w:hAnsi="Arial" w:cs="Arial"/>
                <w:color w:val="000000"/>
              </w:rPr>
              <w:br/>
              <w:t>Eisai Australia Pty Ltd</w:t>
            </w:r>
          </w:p>
          <w:p w:rsidR="00F95241" w:rsidRDefault="00F95241" w:rsidP="00216452">
            <w:pPr>
              <w:rPr>
                <w:rFonts w:ascii="Arial" w:hAnsi="Arial" w:cs="Arial"/>
                <w:color w:val="000000"/>
              </w:rPr>
            </w:pPr>
          </w:p>
          <w:p w:rsidR="00F95241" w:rsidRDefault="00F95241" w:rsidP="001F60A0">
            <w:pPr>
              <w:rPr>
                <w:rFonts w:ascii="Arial" w:hAnsi="Arial" w:cs="Arial"/>
              </w:rPr>
            </w:pPr>
            <w:r>
              <w:rPr>
                <w:rFonts w:ascii="Arial" w:hAnsi="Arial" w:cs="Arial"/>
              </w:rPr>
              <w:t>Change to listing</w:t>
            </w:r>
          </w:p>
          <w:p w:rsidR="00F95241" w:rsidRPr="007F7D95" w:rsidRDefault="00F95241" w:rsidP="001F60A0">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216452">
            <w:pPr>
              <w:rPr>
                <w:rFonts w:ascii="Arial" w:hAnsi="Arial" w:cs="Arial"/>
                <w:color w:val="000000"/>
              </w:rPr>
            </w:pPr>
            <w:r>
              <w:rPr>
                <w:rFonts w:ascii="Arial" w:hAnsi="Arial" w:cs="Arial"/>
                <w:color w:val="000000"/>
              </w:rPr>
              <w:t>Locally advanced or metastatic differentiated thyroid cancer</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8B1FCB">
            <w:pPr>
              <w:rPr>
                <w:rFonts w:ascii="Arial" w:hAnsi="Arial" w:cs="Arial"/>
                <w:color w:val="000000"/>
              </w:rPr>
            </w:pPr>
            <w:r>
              <w:rPr>
                <w:rFonts w:ascii="Arial" w:hAnsi="Arial" w:cs="Arial"/>
                <w:color w:val="000000"/>
              </w:rPr>
              <w:t xml:space="preserve">To request a change to the maximum quantity for the current Authority Required (STREAMLINED) listing. </w:t>
            </w:r>
          </w:p>
          <w:p w:rsidR="00F95241" w:rsidRPr="007F7D95" w:rsidRDefault="00F95241" w:rsidP="00216452">
            <w:pPr>
              <w:rPr>
                <w:rFonts w:ascii="Arial" w:hAnsi="Arial" w:cs="Arial"/>
                <w:color w:val="000000"/>
              </w:rPr>
            </w:pPr>
          </w:p>
        </w:tc>
        <w:tc>
          <w:tcPr>
            <w:tcW w:w="7104" w:type="dxa"/>
            <w:tcBorders>
              <w:top w:val="single" w:sz="4" w:space="0" w:color="auto"/>
              <w:left w:val="single" w:sz="4" w:space="0" w:color="auto"/>
              <w:bottom w:val="single" w:sz="4" w:space="0" w:color="auto"/>
              <w:right w:val="single" w:sz="4" w:space="0" w:color="auto"/>
            </w:tcBorders>
          </w:tcPr>
          <w:p w:rsidR="0099109F" w:rsidRDefault="00F95241" w:rsidP="0099109F">
            <w:pPr>
              <w:rPr>
                <w:rFonts w:ascii="Arial" w:hAnsi="Arial" w:cs="Arial"/>
                <w:color w:val="000000"/>
                <w:szCs w:val="22"/>
              </w:rPr>
            </w:pPr>
            <w:r w:rsidRPr="008B1FCB">
              <w:rPr>
                <w:rFonts w:ascii="Arial" w:hAnsi="Arial" w:cs="Arial"/>
                <w:color w:val="000000"/>
                <w:szCs w:val="22"/>
              </w:rPr>
              <w:t>The PBAC recommended an amendment to the Authority Required (STREAMLINED) listing for lenvatinib (Lenvima®) for the treatment of locally advanced or metastatic differentiated thyroid cancer, to  allow for prescribing of one pack of 10 mg and two packs of 4 mg capsules.</w:t>
            </w:r>
          </w:p>
          <w:p w:rsidR="0099109F" w:rsidRDefault="0099109F" w:rsidP="0099109F">
            <w:pPr>
              <w:rPr>
                <w:rFonts w:ascii="Arial" w:hAnsi="Arial" w:cs="Arial"/>
                <w:color w:val="000000"/>
                <w:szCs w:val="22"/>
              </w:rPr>
            </w:pPr>
          </w:p>
          <w:p w:rsidR="006D0D20" w:rsidRPr="0099109F" w:rsidRDefault="00F95241" w:rsidP="0099109F">
            <w:pPr>
              <w:rPr>
                <w:rFonts w:ascii="Arial" w:hAnsi="Arial" w:cs="Arial"/>
                <w:color w:val="000000"/>
                <w:szCs w:val="22"/>
              </w:rPr>
            </w:pPr>
            <w:r w:rsidRPr="008B1FCB">
              <w:rPr>
                <w:rFonts w:ascii="Arial" w:hAnsi="Arial" w:cs="Arial"/>
                <w:color w:val="000000"/>
                <w:szCs w:val="22"/>
              </w:rPr>
              <w:t xml:space="preserve">The PBAC, noting the advice from the </w:t>
            </w:r>
            <w:r>
              <w:rPr>
                <w:rFonts w:ascii="Arial" w:hAnsi="Arial" w:cs="Arial"/>
                <w:color w:val="000000"/>
                <w:szCs w:val="22"/>
              </w:rPr>
              <w:t>Department</w:t>
            </w:r>
            <w:r w:rsidRPr="008B1FCB">
              <w:rPr>
                <w:rFonts w:ascii="Arial" w:hAnsi="Arial" w:cs="Arial"/>
                <w:color w:val="000000"/>
                <w:szCs w:val="22"/>
              </w:rPr>
              <w:t>, considered that this amendment should occur by removing the administrative advice stating, “no increase in the maximum quantity or the number of units may be authorised” in the current lenvatinib restriction, rather than by the addition of new item codes. The PBAC noted that this would allow patients taking an 8 mg dose to access one months’ supply via an authority request.</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A0700F" w:rsidRPr="00A0700F" w:rsidRDefault="00A0700F" w:rsidP="00A0700F">
            <w:pPr>
              <w:rPr>
                <w:rFonts w:ascii="Arial" w:hAnsi="Arial" w:cs="Arial"/>
                <w:color w:val="000000"/>
              </w:rPr>
            </w:pPr>
            <w:r w:rsidRPr="00A0700F">
              <w:rPr>
                <w:rFonts w:ascii="Arial" w:hAnsi="Arial" w:cs="Arial"/>
                <w:color w:val="000000"/>
              </w:rPr>
              <w:lastRenderedPageBreak/>
              <w:t>LUMACAFTOR with IVACAFTOR</w:t>
            </w:r>
          </w:p>
          <w:p w:rsidR="00A0700F" w:rsidRPr="00A0700F" w:rsidRDefault="00A0700F" w:rsidP="00A0700F">
            <w:pPr>
              <w:rPr>
                <w:rFonts w:ascii="Arial" w:hAnsi="Arial" w:cs="Arial"/>
                <w:color w:val="000000"/>
              </w:rPr>
            </w:pPr>
          </w:p>
          <w:p w:rsidR="00A0700F" w:rsidRPr="00A0700F" w:rsidRDefault="00A0700F" w:rsidP="00A0700F">
            <w:pPr>
              <w:rPr>
                <w:rFonts w:ascii="Arial" w:hAnsi="Arial" w:cs="Arial"/>
                <w:color w:val="000000"/>
              </w:rPr>
            </w:pPr>
            <w:r w:rsidRPr="00A0700F">
              <w:rPr>
                <w:rFonts w:ascii="Arial" w:hAnsi="Arial" w:cs="Arial"/>
                <w:color w:val="000000"/>
              </w:rPr>
              <w:t>Tablet containing lumacaftor 200mg with ivacaftor 125 mg</w:t>
            </w:r>
          </w:p>
          <w:p w:rsidR="00A0700F" w:rsidRPr="00A0700F" w:rsidRDefault="00A0700F" w:rsidP="00A0700F">
            <w:pPr>
              <w:rPr>
                <w:rFonts w:ascii="Arial" w:hAnsi="Arial" w:cs="Arial"/>
                <w:color w:val="000000"/>
              </w:rPr>
            </w:pPr>
            <w:r w:rsidRPr="00A0700F">
              <w:rPr>
                <w:rFonts w:ascii="Arial" w:hAnsi="Arial" w:cs="Arial"/>
                <w:color w:val="000000"/>
              </w:rPr>
              <w:t>Tablet containing lumacaftor 100 mg with ivacaftor 125 mg</w:t>
            </w:r>
          </w:p>
          <w:p w:rsidR="00A0700F" w:rsidRPr="00A0700F" w:rsidRDefault="00A0700F" w:rsidP="00A0700F">
            <w:pPr>
              <w:rPr>
                <w:rFonts w:ascii="Arial" w:hAnsi="Arial" w:cs="Arial"/>
                <w:color w:val="000000"/>
              </w:rPr>
            </w:pPr>
          </w:p>
          <w:p w:rsidR="00A0700F" w:rsidRPr="00A0700F" w:rsidRDefault="00A0700F" w:rsidP="00A0700F">
            <w:pPr>
              <w:rPr>
                <w:rFonts w:ascii="Arial" w:hAnsi="Arial" w:cs="Arial"/>
                <w:color w:val="000000"/>
              </w:rPr>
            </w:pPr>
          </w:p>
          <w:p w:rsidR="00A0700F" w:rsidRPr="00A0700F" w:rsidRDefault="00A0700F" w:rsidP="00A0700F">
            <w:pPr>
              <w:rPr>
                <w:rFonts w:ascii="Arial" w:hAnsi="Arial" w:cs="Arial"/>
                <w:color w:val="000000"/>
              </w:rPr>
            </w:pPr>
            <w:r w:rsidRPr="00A0700F">
              <w:rPr>
                <w:rFonts w:ascii="Arial" w:hAnsi="Arial" w:cs="Arial"/>
                <w:color w:val="000000"/>
              </w:rPr>
              <w:t>Orkambi®</w:t>
            </w:r>
          </w:p>
          <w:p w:rsidR="00A0700F" w:rsidRPr="00A0700F" w:rsidRDefault="00A0700F" w:rsidP="00A0700F">
            <w:pPr>
              <w:rPr>
                <w:rFonts w:ascii="Arial" w:hAnsi="Arial" w:cs="Arial"/>
                <w:color w:val="000000"/>
              </w:rPr>
            </w:pPr>
          </w:p>
          <w:p w:rsidR="00A0700F" w:rsidRPr="00A0700F" w:rsidRDefault="00A0700F" w:rsidP="00A0700F">
            <w:pPr>
              <w:rPr>
                <w:rFonts w:ascii="Arial" w:hAnsi="Arial" w:cs="Arial"/>
                <w:color w:val="000000"/>
              </w:rPr>
            </w:pPr>
            <w:r w:rsidRPr="00A0700F">
              <w:rPr>
                <w:rFonts w:ascii="Arial" w:hAnsi="Arial" w:cs="Arial"/>
                <w:color w:val="000000"/>
              </w:rPr>
              <w:t>Vertex Pharmaceuticals (Australia) Pty Ltd</w:t>
            </w:r>
          </w:p>
          <w:p w:rsidR="00A0700F" w:rsidRPr="00A0700F" w:rsidRDefault="00A0700F" w:rsidP="00A0700F">
            <w:pPr>
              <w:rPr>
                <w:rFonts w:ascii="Arial" w:hAnsi="Arial" w:cs="Arial"/>
                <w:color w:val="000000"/>
              </w:rPr>
            </w:pPr>
          </w:p>
          <w:p w:rsidR="00A0700F" w:rsidRPr="00A0700F" w:rsidRDefault="00A0700F" w:rsidP="00A0700F">
            <w:pPr>
              <w:rPr>
                <w:rFonts w:ascii="Arial" w:hAnsi="Arial" w:cs="Arial"/>
                <w:color w:val="000000"/>
              </w:rPr>
            </w:pPr>
            <w:r w:rsidRPr="00A0700F">
              <w:rPr>
                <w:rFonts w:ascii="Arial" w:hAnsi="Arial" w:cs="Arial"/>
                <w:color w:val="000000"/>
              </w:rPr>
              <w:t>New listing</w:t>
            </w:r>
          </w:p>
          <w:p w:rsidR="00F95241" w:rsidRPr="007F7D95" w:rsidRDefault="00A0700F" w:rsidP="00A0700F">
            <w:pPr>
              <w:rPr>
                <w:rFonts w:ascii="Arial" w:hAnsi="Arial" w:cs="Arial"/>
                <w:color w:val="000000"/>
              </w:rPr>
            </w:pPr>
            <w:r w:rsidRPr="00A0700F">
              <w:rPr>
                <w:rFonts w:ascii="Arial" w:hAnsi="Arial" w:cs="Arial"/>
                <w:color w:val="000000"/>
              </w:rPr>
              <w:t>(Two major submissions, one for 6 – 11 year olds and one for 12+ year olds)</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D41A86">
            <w:pPr>
              <w:rPr>
                <w:rFonts w:ascii="Arial" w:hAnsi="Arial" w:cs="Arial"/>
                <w:color w:val="000000"/>
              </w:rPr>
            </w:pPr>
            <w:r>
              <w:rPr>
                <w:rFonts w:ascii="Arial" w:hAnsi="Arial" w:cs="Arial"/>
                <w:color w:val="000000"/>
              </w:rPr>
              <w:t>Cystic fibrosis</w:t>
            </w:r>
          </w:p>
          <w:p w:rsidR="00F95241" w:rsidRPr="007F7D95" w:rsidRDefault="00F95241" w:rsidP="00216452">
            <w:pPr>
              <w:rPr>
                <w:rFonts w:ascii="Arial" w:hAnsi="Arial" w:cs="Arial"/>
                <w:color w:val="000000"/>
              </w:rPr>
            </w:pP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A0700F" w:rsidP="00216452">
            <w:pPr>
              <w:rPr>
                <w:rFonts w:ascii="Arial" w:hAnsi="Arial" w:cs="Arial"/>
                <w:color w:val="000000"/>
              </w:rPr>
            </w:pPr>
            <w:r w:rsidRPr="00A0700F">
              <w:rPr>
                <w:rFonts w:ascii="Arial" w:hAnsi="Arial" w:cs="Arial"/>
                <w:color w:val="000000"/>
              </w:rPr>
              <w:t>To request a Section 100 (Highly Specialised Drugs Program) Authority Required listing for the treatment of cystic fibrosis in patients aged 6 years and over who are homozygous for the F508del mutation in the CF transmembrane conductance regulator (CFTR) gene.</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A0700F" w:rsidRPr="00A0700F" w:rsidRDefault="00A0700F" w:rsidP="00A0700F">
            <w:pPr>
              <w:rPr>
                <w:rFonts w:ascii="Arial" w:hAnsi="Arial" w:cs="Arial"/>
                <w:color w:val="000000"/>
              </w:rPr>
            </w:pPr>
            <w:r w:rsidRPr="00A0700F">
              <w:rPr>
                <w:rFonts w:ascii="Arial" w:hAnsi="Arial" w:cs="Arial"/>
                <w:color w:val="000000"/>
              </w:rPr>
              <w:t>The PBAC recommended the PBS listing of lumacaftor with ivacaftor (Orkambi®) for the treatment of all patients aged 6 years and over who are homozygous for the F508</w:t>
            </w:r>
            <w:r w:rsidR="003B7283">
              <w:rPr>
                <w:rFonts w:ascii="Arial" w:hAnsi="Arial" w:cs="Arial"/>
                <w:color w:val="000000"/>
              </w:rPr>
              <w:t>del mutation in the CFTR gene.</w:t>
            </w:r>
          </w:p>
          <w:p w:rsidR="00A0700F" w:rsidRPr="00A0700F" w:rsidRDefault="00A0700F" w:rsidP="00A0700F">
            <w:pPr>
              <w:rPr>
                <w:rFonts w:ascii="Arial" w:hAnsi="Arial" w:cs="Arial"/>
                <w:color w:val="000000"/>
              </w:rPr>
            </w:pPr>
          </w:p>
          <w:p w:rsidR="00A0700F" w:rsidRPr="00A0700F" w:rsidRDefault="00A0700F" w:rsidP="00A0700F">
            <w:pPr>
              <w:rPr>
                <w:rFonts w:ascii="Arial" w:hAnsi="Arial" w:cs="Arial"/>
                <w:color w:val="000000"/>
              </w:rPr>
            </w:pPr>
            <w:r w:rsidRPr="00A0700F">
              <w:rPr>
                <w:rFonts w:ascii="Arial" w:hAnsi="Arial" w:cs="Arial"/>
                <w:color w:val="000000"/>
              </w:rPr>
              <w:t>The PBAC made its recommendation on the basis of 24 weeks of data in children aged 6 – 11 years and 96 weeks of data in patients aged 12 years and over.  These data show treatment is beneficial for patients over these periods. However, as treatment for cystic fibrosis is life long, the PBAC, like the Therapeutic Goods Administration (TGA), has asked the sponsor collect longer term information on the effectiveness and safety</w:t>
            </w:r>
            <w:r w:rsidR="003B7283">
              <w:rPr>
                <w:rFonts w:ascii="Arial" w:hAnsi="Arial" w:cs="Arial"/>
                <w:color w:val="000000"/>
              </w:rPr>
              <w:t xml:space="preserve"> of lumacaftor with ivacaftor.</w:t>
            </w:r>
          </w:p>
          <w:p w:rsidR="00A0700F" w:rsidRPr="00A0700F" w:rsidRDefault="00A0700F" w:rsidP="00A0700F">
            <w:pPr>
              <w:rPr>
                <w:rFonts w:ascii="Arial" w:hAnsi="Arial" w:cs="Arial"/>
                <w:color w:val="000000"/>
              </w:rPr>
            </w:pPr>
          </w:p>
          <w:p w:rsidR="00A0700F" w:rsidRPr="00A0700F" w:rsidRDefault="00A0700F" w:rsidP="00A0700F">
            <w:pPr>
              <w:rPr>
                <w:rFonts w:ascii="Arial" w:hAnsi="Arial" w:cs="Arial"/>
                <w:color w:val="000000"/>
              </w:rPr>
            </w:pPr>
            <w:r w:rsidRPr="00A0700F">
              <w:rPr>
                <w:rFonts w:ascii="Arial" w:hAnsi="Arial" w:cs="Arial"/>
                <w:color w:val="000000"/>
              </w:rPr>
              <w:t>The PBAC considered it would be appropriate for the listing of lumacaftor with ivacaftor to occur under a Managed Access Program (MAP).</w:t>
            </w:r>
          </w:p>
          <w:p w:rsidR="00A0700F" w:rsidRPr="00A0700F" w:rsidRDefault="00A0700F" w:rsidP="00A0700F">
            <w:pPr>
              <w:rPr>
                <w:rFonts w:ascii="Arial" w:hAnsi="Arial" w:cs="Arial"/>
                <w:color w:val="000000"/>
              </w:rPr>
            </w:pPr>
          </w:p>
          <w:p w:rsidR="00A0700F" w:rsidRPr="00A0700F" w:rsidRDefault="00A0700F" w:rsidP="00A0700F">
            <w:pPr>
              <w:rPr>
                <w:rFonts w:ascii="Arial" w:hAnsi="Arial" w:cs="Arial"/>
                <w:color w:val="000000"/>
              </w:rPr>
            </w:pPr>
            <w:r w:rsidRPr="00A0700F">
              <w:rPr>
                <w:rFonts w:ascii="Arial" w:hAnsi="Arial" w:cs="Arial"/>
                <w:color w:val="000000"/>
              </w:rPr>
              <w:t>The PBAC recommended that as part of the MAP, the sponsor be required to provide the PBAC with the results for the long term study (study 110) that it is currently conducting in 6 – 11 year olds, as well as a report for the post-market study the sponsor is u</w:t>
            </w:r>
            <w:r w:rsidR="003B7283">
              <w:rPr>
                <w:rFonts w:ascii="Arial" w:hAnsi="Arial" w:cs="Arial"/>
                <w:color w:val="000000"/>
              </w:rPr>
              <w:t>ndertaking in 6- 11 year olds.</w:t>
            </w:r>
          </w:p>
          <w:p w:rsidR="00A0700F" w:rsidRPr="00A0700F" w:rsidRDefault="00A0700F" w:rsidP="00A0700F">
            <w:pPr>
              <w:rPr>
                <w:rFonts w:ascii="Arial" w:hAnsi="Arial" w:cs="Arial"/>
                <w:color w:val="000000"/>
              </w:rPr>
            </w:pPr>
          </w:p>
          <w:p w:rsidR="00A0700F" w:rsidRPr="00A0700F" w:rsidRDefault="00A0700F" w:rsidP="00A0700F">
            <w:pPr>
              <w:rPr>
                <w:rFonts w:ascii="Arial" w:hAnsi="Arial" w:cs="Arial"/>
                <w:color w:val="000000"/>
              </w:rPr>
            </w:pPr>
            <w:r w:rsidRPr="00A0700F">
              <w:rPr>
                <w:rFonts w:ascii="Arial" w:hAnsi="Arial" w:cs="Arial"/>
                <w:color w:val="000000"/>
              </w:rPr>
              <w:t>The MAP considered appropriate by the PBAC would provide for subsidy to be paid at the sponsor’s asking price for an extended period to allow the sponsor to provide further data to satisfy the PBAC that the differences in the rates of decline in lung function and pulmonary exacerbations observed over a 96 week trial period are sustained over a longer time period of at least 4 y</w:t>
            </w:r>
            <w:r w:rsidR="003B7283">
              <w:rPr>
                <w:rFonts w:ascii="Arial" w:hAnsi="Arial" w:cs="Arial"/>
                <w:color w:val="000000"/>
              </w:rPr>
              <w:t>ears in real clinical practice.</w:t>
            </w:r>
          </w:p>
          <w:p w:rsidR="00A0700F" w:rsidRPr="00A0700F" w:rsidRDefault="00A0700F" w:rsidP="00A0700F">
            <w:pPr>
              <w:rPr>
                <w:rFonts w:ascii="Arial" w:hAnsi="Arial" w:cs="Arial"/>
                <w:color w:val="000000"/>
              </w:rPr>
            </w:pPr>
          </w:p>
          <w:p w:rsidR="00A0700F" w:rsidRPr="00A0700F" w:rsidRDefault="00A0700F" w:rsidP="00A0700F">
            <w:pPr>
              <w:rPr>
                <w:rFonts w:ascii="Arial" w:hAnsi="Arial" w:cs="Arial"/>
                <w:color w:val="000000"/>
              </w:rPr>
            </w:pPr>
            <w:r w:rsidRPr="00A0700F">
              <w:rPr>
                <w:rFonts w:ascii="Arial" w:hAnsi="Arial" w:cs="Arial"/>
                <w:color w:val="000000"/>
              </w:rPr>
              <w:t xml:space="preserve">If, at the end of the initial period of the MAP, the sponsor’s assumptions on rate of decline of lung function cannot be substantiated or can only be partially substantiated under the MAP, the price paid for lumacaftor with ivacaftor would reduce to a level consistent with the </w:t>
            </w:r>
            <w:r w:rsidR="003B7283">
              <w:rPr>
                <w:rFonts w:ascii="Arial" w:hAnsi="Arial" w:cs="Arial"/>
                <w:color w:val="000000"/>
              </w:rPr>
              <w:t>evidence provided to the PBAC.</w:t>
            </w:r>
          </w:p>
          <w:p w:rsidR="00A0700F" w:rsidRPr="00A0700F" w:rsidRDefault="00A0700F" w:rsidP="00A0700F">
            <w:pPr>
              <w:rPr>
                <w:rFonts w:ascii="Arial" w:hAnsi="Arial" w:cs="Arial"/>
                <w:color w:val="000000"/>
              </w:rPr>
            </w:pPr>
          </w:p>
          <w:p w:rsidR="00A91A92" w:rsidRPr="00D41A86" w:rsidRDefault="00A0700F" w:rsidP="003B7283">
            <w:pPr>
              <w:rPr>
                <w:rFonts w:ascii="Calibri" w:hAnsi="Calibri" w:cs="Calibri"/>
                <w:color w:val="000000"/>
                <w:sz w:val="22"/>
                <w:szCs w:val="22"/>
              </w:rPr>
            </w:pPr>
            <w:r w:rsidRPr="00A0700F">
              <w:rPr>
                <w:rFonts w:ascii="Arial" w:hAnsi="Arial" w:cs="Arial"/>
                <w:color w:val="000000"/>
              </w:rPr>
              <w:t>The PBAC noted that lumacaftor with ivacaftor has not been approved by the TGA for u</w:t>
            </w:r>
            <w:r w:rsidR="003B7283">
              <w:rPr>
                <w:rFonts w:ascii="Arial" w:hAnsi="Arial" w:cs="Arial"/>
                <w:color w:val="000000"/>
              </w:rPr>
              <w:t>se in patients aged 2- 5 years.</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lastRenderedPageBreak/>
              <w:t>MENINGOCOCCAL POLYSACCHARIDE SERO (GROUPS A, C, W-135 AND Y) OLIGOSACCHARIDE CONJUGATE VACCINE</w:t>
            </w:r>
            <w:r>
              <w:rPr>
                <w:rFonts w:ascii="Arial" w:hAnsi="Arial" w:cs="Arial"/>
                <w:color w:val="000000"/>
              </w:rPr>
              <w:br/>
            </w:r>
            <w:r>
              <w:rPr>
                <w:rFonts w:ascii="Arial" w:hAnsi="Arial" w:cs="Arial"/>
                <w:color w:val="000000"/>
              </w:rPr>
              <w:br/>
              <w:t>Injection 0.5mL combination pack</w:t>
            </w:r>
            <w:r>
              <w:rPr>
                <w:rFonts w:ascii="Arial" w:hAnsi="Arial" w:cs="Arial"/>
                <w:color w:val="000000"/>
              </w:rPr>
              <w:br/>
            </w:r>
            <w:r>
              <w:rPr>
                <w:rFonts w:ascii="Arial" w:hAnsi="Arial" w:cs="Arial"/>
                <w:color w:val="000000"/>
              </w:rPr>
              <w:br/>
              <w:t>Menveo®</w:t>
            </w:r>
            <w:r>
              <w:rPr>
                <w:rFonts w:ascii="Arial" w:hAnsi="Arial" w:cs="Arial"/>
                <w:color w:val="000000"/>
              </w:rPr>
              <w:br/>
            </w:r>
            <w:r>
              <w:rPr>
                <w:rFonts w:ascii="Arial" w:hAnsi="Arial" w:cs="Arial"/>
                <w:color w:val="000000"/>
              </w:rPr>
              <w:br/>
              <w:t>GlaxoSmithKline Australia Pty Ltd</w:t>
            </w:r>
          </w:p>
          <w:p w:rsidR="00F95241" w:rsidRDefault="00F95241" w:rsidP="00216452">
            <w:pPr>
              <w:rPr>
                <w:rFonts w:ascii="Arial" w:hAnsi="Arial" w:cs="Arial"/>
                <w:color w:val="000000"/>
              </w:rPr>
            </w:pPr>
          </w:p>
          <w:p w:rsidR="00F95241" w:rsidRDefault="00F95241" w:rsidP="003642C8">
            <w:pPr>
              <w:rPr>
                <w:rFonts w:ascii="Arial" w:hAnsi="Arial" w:cs="Arial"/>
              </w:rPr>
            </w:pPr>
            <w:r>
              <w:rPr>
                <w:rFonts w:ascii="Arial" w:hAnsi="Arial" w:cs="Arial"/>
              </w:rPr>
              <w:t>New listing</w:t>
            </w:r>
          </w:p>
          <w:p w:rsidR="00F95241" w:rsidRPr="003D7E12" w:rsidRDefault="00F95241" w:rsidP="003642C8">
            <w:pPr>
              <w:rPr>
                <w:rFonts w:ascii="Arial" w:hAnsi="Arial" w:cs="Arial"/>
                <w:color w:val="000000"/>
              </w:rPr>
            </w:pPr>
            <w:r>
              <w:rPr>
                <w:rFonts w:ascii="Arial" w:hAnsi="Arial" w:cs="Arial"/>
              </w:rPr>
              <w:t>(Major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3D7E12" w:rsidRDefault="00F95241" w:rsidP="00216452">
            <w:pPr>
              <w:rPr>
                <w:rFonts w:ascii="Arial" w:hAnsi="Arial" w:cs="Arial"/>
                <w:color w:val="000000"/>
              </w:rPr>
            </w:pPr>
            <w:r>
              <w:rPr>
                <w:rFonts w:ascii="Arial" w:hAnsi="Arial" w:cs="Arial"/>
                <w:color w:val="000000"/>
              </w:rPr>
              <w:t>Meningococcal disease</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0A73B1" w:rsidRDefault="00F95241" w:rsidP="00216452">
            <w:pPr>
              <w:rPr>
                <w:rFonts w:ascii="Arial" w:hAnsi="Arial" w:cs="Arial"/>
                <w:color w:val="000000"/>
              </w:rPr>
            </w:pPr>
            <w:r>
              <w:rPr>
                <w:rFonts w:ascii="Arial" w:hAnsi="Arial" w:cs="Arial"/>
                <w:color w:val="000000"/>
              </w:rPr>
              <w:t>To request listing on the National Immunisation Program (NIP) for the immunisation of adolescents aged approximately 15 years of age (Year 9 or 10 students), with a catch-up program for school-aged adolescents/young adults aged up to and including 19 years, delivered through a combination of strategies including school-based delivery and via primary care providers.</w:t>
            </w:r>
          </w:p>
        </w:tc>
        <w:tc>
          <w:tcPr>
            <w:tcW w:w="7104" w:type="dxa"/>
            <w:tcBorders>
              <w:top w:val="single" w:sz="4" w:space="0" w:color="auto"/>
              <w:left w:val="single" w:sz="4" w:space="0" w:color="auto"/>
              <w:bottom w:val="single" w:sz="4" w:space="0" w:color="auto"/>
              <w:right w:val="single" w:sz="4" w:space="0" w:color="auto"/>
            </w:tcBorders>
          </w:tcPr>
          <w:p w:rsidR="006D0D20" w:rsidRPr="000A73B1" w:rsidRDefault="00F95241" w:rsidP="006D307D">
            <w:pPr>
              <w:rPr>
                <w:rFonts w:ascii="Arial" w:hAnsi="Arial" w:cs="Arial"/>
                <w:color w:val="000000"/>
                <w:sz w:val="24"/>
                <w:szCs w:val="24"/>
              </w:rPr>
            </w:pPr>
            <w:r w:rsidRPr="000A73B1">
              <w:rPr>
                <w:rFonts w:ascii="Arial" w:hAnsi="Arial" w:cs="Arial"/>
                <w:color w:val="000000"/>
              </w:rPr>
              <w:t xml:space="preserve">The PBAC recommended that meningococcal serogroups A, C, W135 and Y oligosaccharides conjugate (MenACWY-CRM, Menveo®) vaccine be a designated vaccine for the purposes of </w:t>
            </w:r>
            <w:r w:rsidR="006D0D20" w:rsidRPr="006D0D20">
              <w:rPr>
                <w:rFonts w:ascii="Arial" w:hAnsi="Arial" w:cs="Arial"/>
                <w:color w:val="000000"/>
              </w:rPr>
              <w:t xml:space="preserve">Section 9B of the </w:t>
            </w:r>
            <w:r w:rsidR="006D0D20" w:rsidRPr="0081277E">
              <w:rPr>
                <w:rFonts w:ascii="Arial" w:hAnsi="Arial" w:cs="Arial"/>
                <w:i/>
                <w:color w:val="000000"/>
              </w:rPr>
              <w:t>National Health Act 1953</w:t>
            </w:r>
            <w:r w:rsidRPr="000A73B1">
              <w:rPr>
                <w:rFonts w:ascii="Arial" w:hAnsi="Arial" w:cs="Arial"/>
                <w:color w:val="000000"/>
              </w:rPr>
              <w:t xml:space="preserve">for the prevention of </w:t>
            </w:r>
            <w:r w:rsidRPr="006D307D">
              <w:rPr>
                <w:rFonts w:ascii="Arial" w:hAnsi="Arial" w:cs="Arial"/>
                <w:color w:val="000000"/>
              </w:rPr>
              <w:t>invasive meningococcal disease</w:t>
            </w:r>
            <w:r w:rsidRPr="000A73B1">
              <w:rPr>
                <w:rFonts w:ascii="Arial" w:hAnsi="Arial" w:cs="Arial"/>
                <w:color w:val="000000"/>
              </w:rPr>
              <w:t xml:space="preserve"> caused by </w:t>
            </w:r>
            <w:r w:rsidRPr="006D307D">
              <w:rPr>
                <w:rFonts w:ascii="Arial" w:hAnsi="Arial" w:cs="Arial"/>
                <w:i/>
                <w:color w:val="000000"/>
              </w:rPr>
              <w:t>Neisseria meningitidis</w:t>
            </w:r>
            <w:r w:rsidRPr="000A73B1">
              <w:rPr>
                <w:rFonts w:ascii="Arial" w:hAnsi="Arial" w:cs="Arial"/>
                <w:color w:val="000000"/>
              </w:rPr>
              <w:t xml:space="preserve"> serogroups A, C, W135, and Y (MenA, MenC, MenW135 and MenY, respectively)</w:t>
            </w:r>
            <w:r>
              <w:rPr>
                <w:rFonts w:ascii="Arial" w:hAnsi="Arial" w:cs="Arial"/>
                <w:color w:val="000000"/>
              </w:rPr>
              <w:t xml:space="preserve">. The recommendation was for </w:t>
            </w:r>
            <w:r w:rsidRPr="000A73B1">
              <w:rPr>
                <w:rFonts w:ascii="Arial" w:hAnsi="Arial" w:cs="Arial"/>
                <w:color w:val="000000"/>
              </w:rPr>
              <w:t>a single dose for adolescents as part of a school based immunisation program for year 10 students (aged 14-16) and via a catch-up program for a single dose for adolescents aged up to 19 years old. The PBAC noted that the sponsor of MenACWY-CRM chose not to present a cost-effectiveness analysis compared with ‘no vaccine’ (placebo) in this submission, hence the basis of the recommendation for MenACWY-CRM for adolescents is</w:t>
            </w:r>
            <w:r>
              <w:rPr>
                <w:rFonts w:ascii="Arial" w:hAnsi="Arial" w:cs="Arial"/>
                <w:color w:val="000000"/>
              </w:rPr>
              <w:t xml:space="preserve"> cost-minimisation with MenACWY-</w:t>
            </w:r>
            <w:r w:rsidRPr="000A73B1">
              <w:rPr>
                <w:rFonts w:ascii="Arial" w:hAnsi="Arial" w:cs="Arial"/>
                <w:color w:val="000000"/>
              </w:rPr>
              <w:t>TT</w:t>
            </w:r>
            <w:r>
              <w:rPr>
                <w:rFonts w:ascii="Arial" w:hAnsi="Arial" w:cs="Arial"/>
                <w:color w:val="000000"/>
              </w:rPr>
              <w:t xml:space="preserve"> (</w:t>
            </w:r>
            <w:r w:rsidRPr="005F3FFE">
              <w:rPr>
                <w:rFonts w:ascii="Arial" w:hAnsi="Arial" w:cs="Arial"/>
                <w:color w:val="000000"/>
              </w:rPr>
              <w:t>Nimenrix</w:t>
            </w:r>
            <w:r w:rsidRPr="000A73B1">
              <w:rPr>
                <w:rFonts w:ascii="Arial" w:hAnsi="Arial" w:cs="Arial"/>
                <w:color w:val="000000"/>
              </w:rPr>
              <w:t>®</w:t>
            </w:r>
            <w:r>
              <w:rPr>
                <w:rFonts w:ascii="Arial" w:hAnsi="Arial" w:cs="Arial"/>
                <w:color w:val="000000"/>
              </w:rPr>
              <w:t>, recommended at the March 2018 PBAC meeting</w:t>
            </w:r>
            <w:r w:rsidRPr="005F3FFE">
              <w:rPr>
                <w:rFonts w:ascii="Arial" w:hAnsi="Arial" w:cs="Arial"/>
                <w:color w:val="000000"/>
              </w:rPr>
              <w:t>)</w:t>
            </w:r>
            <w:r w:rsidRPr="000A73B1">
              <w:rPr>
                <w:rFonts w:ascii="Arial" w:hAnsi="Arial" w:cs="Arial"/>
                <w:color w:val="000000"/>
              </w:rPr>
              <w:t xml:space="preserve"> for the same population</w:t>
            </w:r>
            <w:r>
              <w:rPr>
                <w:rFonts w:ascii="Arial" w:hAnsi="Arial" w:cs="Arial"/>
                <w:color w:val="000000"/>
              </w:rPr>
              <w:t xml:space="preserve">. The </w:t>
            </w:r>
            <w:r w:rsidRPr="000A73B1">
              <w:rPr>
                <w:rFonts w:ascii="Arial" w:hAnsi="Arial" w:cs="Arial"/>
                <w:color w:val="000000"/>
              </w:rPr>
              <w:t xml:space="preserve">equi-effective doses </w:t>
            </w:r>
            <w:r>
              <w:rPr>
                <w:rFonts w:ascii="Arial" w:hAnsi="Arial" w:cs="Arial"/>
                <w:color w:val="000000"/>
              </w:rPr>
              <w:t>are</w:t>
            </w:r>
            <w:r w:rsidRPr="000A73B1">
              <w:rPr>
                <w:rFonts w:ascii="Arial" w:hAnsi="Arial" w:cs="Arial"/>
                <w:color w:val="000000"/>
              </w:rPr>
              <w:t xml:space="preserve"> 0.5 mL Me</w:t>
            </w:r>
            <w:r w:rsidR="00813EF9">
              <w:rPr>
                <w:rFonts w:ascii="Arial" w:hAnsi="Arial" w:cs="Arial"/>
                <w:color w:val="000000"/>
              </w:rPr>
              <w:t>nACWY-CRM and 0.5mL MenACWY-TT.</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MESALAZINE</w:t>
            </w:r>
            <w:r>
              <w:rPr>
                <w:rFonts w:ascii="Arial" w:hAnsi="Arial" w:cs="Arial"/>
                <w:color w:val="000000"/>
              </w:rPr>
              <w:br/>
            </w:r>
            <w:r>
              <w:rPr>
                <w:rFonts w:ascii="Arial" w:hAnsi="Arial" w:cs="Arial"/>
                <w:color w:val="000000"/>
              </w:rPr>
              <w:br/>
              <w:t>Tablet 1 g (enteric coated)</w:t>
            </w:r>
            <w:r>
              <w:rPr>
                <w:rFonts w:ascii="Arial" w:hAnsi="Arial" w:cs="Arial"/>
                <w:color w:val="000000"/>
              </w:rPr>
              <w:br/>
            </w:r>
            <w:r>
              <w:rPr>
                <w:rFonts w:ascii="Arial" w:hAnsi="Arial" w:cs="Arial"/>
                <w:color w:val="000000"/>
              </w:rPr>
              <w:br/>
              <w:t xml:space="preserve">Salofalk® </w:t>
            </w:r>
            <w:r>
              <w:rPr>
                <w:rFonts w:ascii="Arial" w:hAnsi="Arial" w:cs="Arial"/>
                <w:color w:val="000000"/>
              </w:rPr>
              <w:br/>
            </w:r>
            <w:r>
              <w:rPr>
                <w:rFonts w:ascii="Arial" w:hAnsi="Arial" w:cs="Arial"/>
                <w:color w:val="000000"/>
              </w:rPr>
              <w:br/>
              <w:t>Orphan Australia Pty Ltd</w:t>
            </w:r>
          </w:p>
          <w:p w:rsidR="00F95241" w:rsidRDefault="00F95241" w:rsidP="00216452">
            <w:pPr>
              <w:rPr>
                <w:rFonts w:ascii="Arial" w:hAnsi="Arial" w:cs="Arial"/>
                <w:color w:val="000000"/>
              </w:rPr>
            </w:pPr>
          </w:p>
          <w:p w:rsidR="00F95241" w:rsidRDefault="00F95241" w:rsidP="003642C8">
            <w:pPr>
              <w:rPr>
                <w:rFonts w:ascii="Arial" w:hAnsi="Arial" w:cs="Arial"/>
              </w:rPr>
            </w:pPr>
            <w:r>
              <w:rPr>
                <w:rFonts w:ascii="Arial" w:hAnsi="Arial" w:cs="Arial"/>
              </w:rPr>
              <w:t>New listing</w:t>
            </w:r>
          </w:p>
          <w:p w:rsidR="00F95241" w:rsidRPr="007F7D95" w:rsidRDefault="00F95241" w:rsidP="003642C8">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216452">
            <w:pPr>
              <w:rPr>
                <w:rFonts w:ascii="Arial" w:hAnsi="Arial" w:cs="Arial"/>
                <w:color w:val="000000"/>
              </w:rPr>
            </w:pPr>
            <w:r>
              <w:rPr>
                <w:rFonts w:ascii="Arial" w:hAnsi="Arial" w:cs="Arial"/>
                <w:color w:val="000000"/>
              </w:rPr>
              <w:t>Ulcerative colitis; Crohn disease</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813EF9">
            <w:pPr>
              <w:rPr>
                <w:rFonts w:ascii="Arial" w:hAnsi="Arial" w:cs="Arial"/>
                <w:color w:val="000000"/>
              </w:rPr>
            </w:pPr>
            <w:r>
              <w:rPr>
                <w:rFonts w:ascii="Arial" w:hAnsi="Arial" w:cs="Arial"/>
                <w:color w:val="000000"/>
              </w:rPr>
              <w:t>To request an Authority Required (STREAMLINED) listing for a new strength of mesalazine for the treatment of ulcerative colitis and Crohn disease.</w:t>
            </w:r>
          </w:p>
        </w:tc>
        <w:tc>
          <w:tcPr>
            <w:tcW w:w="7104" w:type="dxa"/>
            <w:tcBorders>
              <w:top w:val="single" w:sz="4" w:space="0" w:color="auto"/>
              <w:left w:val="single" w:sz="4" w:space="0" w:color="auto"/>
              <w:bottom w:val="single" w:sz="4" w:space="0" w:color="auto"/>
              <w:right w:val="single" w:sz="4" w:space="0" w:color="auto"/>
            </w:tcBorders>
          </w:tcPr>
          <w:p w:rsidR="006D0D20" w:rsidRPr="005B4EDB" w:rsidRDefault="00F95241" w:rsidP="0066611B">
            <w:pPr>
              <w:rPr>
                <w:rFonts w:ascii="Arial" w:hAnsi="Arial" w:cs="Arial"/>
                <w:color w:val="000000"/>
                <w:sz w:val="24"/>
                <w:szCs w:val="24"/>
              </w:rPr>
            </w:pPr>
            <w:r w:rsidRPr="005B4EDB">
              <w:rPr>
                <w:rFonts w:ascii="Arial" w:hAnsi="Arial" w:cs="Arial"/>
                <w:color w:val="000000"/>
              </w:rPr>
              <w:t>The PBAC recommended the</w:t>
            </w:r>
            <w:r>
              <w:rPr>
                <w:rFonts w:ascii="Arial" w:hAnsi="Arial" w:cs="Arial"/>
                <w:color w:val="000000"/>
              </w:rPr>
              <w:t xml:space="preserve"> </w:t>
            </w:r>
            <w:r w:rsidRPr="005B4EDB">
              <w:rPr>
                <w:rFonts w:ascii="Arial" w:hAnsi="Arial" w:cs="Arial"/>
                <w:color w:val="000000"/>
              </w:rPr>
              <w:t>A</w:t>
            </w:r>
            <w:r>
              <w:rPr>
                <w:rFonts w:ascii="Arial" w:hAnsi="Arial" w:cs="Arial"/>
                <w:color w:val="000000"/>
              </w:rPr>
              <w:t>uthority Required (STREAMLINED)</w:t>
            </w:r>
            <w:r w:rsidRPr="005B4EDB">
              <w:rPr>
                <w:rFonts w:ascii="Arial" w:hAnsi="Arial" w:cs="Arial"/>
                <w:color w:val="000000"/>
              </w:rPr>
              <w:t xml:space="preserve"> listing of mesalazine 1 g enteric-coated tablets a for the treatment of ulcerative colitis and Crohn disease on a cost-minimisation basis against the oral formulation of mesalazine on the PBS with the lowest price per milligram of mesalazine and with the same restriction as the currently lis</w:t>
            </w:r>
            <w:r w:rsidR="00813EF9">
              <w:rPr>
                <w:rFonts w:ascii="Arial" w:hAnsi="Arial" w:cs="Arial"/>
                <w:color w:val="000000"/>
              </w:rPr>
              <w:t>ted tablet forms of mesalazine.</w:t>
            </w:r>
          </w:p>
        </w:tc>
      </w:tr>
      <w:tr w:rsidR="00F95241" w:rsidRPr="003D7E12" w:rsidTr="005478AD">
        <w:trPr>
          <w:cantSplit/>
          <w:trHeight w:val="49"/>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lastRenderedPageBreak/>
              <w:t>METHOTREXATE</w:t>
            </w:r>
            <w:r>
              <w:rPr>
                <w:rFonts w:ascii="Arial" w:hAnsi="Arial" w:cs="Arial"/>
                <w:color w:val="000000"/>
              </w:rPr>
              <w:br/>
            </w:r>
            <w:r>
              <w:rPr>
                <w:rFonts w:ascii="Arial" w:hAnsi="Arial" w:cs="Arial"/>
                <w:color w:val="000000"/>
              </w:rPr>
              <w:br/>
              <w:t>Injection 7.5 mg in 0.3 mL pre-filled syringe</w:t>
            </w:r>
            <w:r>
              <w:rPr>
                <w:rFonts w:ascii="Arial" w:hAnsi="Arial" w:cs="Arial"/>
                <w:color w:val="000000"/>
              </w:rPr>
              <w:br/>
              <w:t>Injection 10 mg in 0.4 mL pre-filled syringe</w:t>
            </w:r>
            <w:r>
              <w:rPr>
                <w:rFonts w:ascii="Arial" w:hAnsi="Arial" w:cs="Arial"/>
                <w:color w:val="000000"/>
              </w:rPr>
              <w:br/>
              <w:t>Injection 15 mg in 0.6 mL pre-filled syringe</w:t>
            </w:r>
            <w:r>
              <w:rPr>
                <w:rFonts w:ascii="Arial" w:hAnsi="Arial" w:cs="Arial"/>
                <w:color w:val="000000"/>
              </w:rPr>
              <w:br/>
              <w:t>Injection 20 mg in 0.8 mL pre-filled syringe</w:t>
            </w:r>
            <w:r>
              <w:rPr>
                <w:rFonts w:ascii="Arial" w:hAnsi="Arial" w:cs="Arial"/>
                <w:color w:val="000000"/>
              </w:rPr>
              <w:br/>
              <w:t>Injection 25 mg in 1 mL pre-filled syringe</w:t>
            </w:r>
            <w:r>
              <w:rPr>
                <w:rFonts w:ascii="Arial" w:hAnsi="Arial" w:cs="Arial"/>
                <w:color w:val="000000"/>
              </w:rPr>
              <w:br/>
            </w:r>
            <w:r>
              <w:rPr>
                <w:rFonts w:ascii="Arial" w:hAnsi="Arial" w:cs="Arial"/>
                <w:color w:val="000000"/>
              </w:rPr>
              <w:br/>
              <w:t>Methoblastin® PFS</w:t>
            </w:r>
            <w:r>
              <w:rPr>
                <w:rFonts w:ascii="Arial" w:hAnsi="Arial" w:cs="Arial"/>
                <w:color w:val="000000"/>
              </w:rPr>
              <w:br/>
            </w:r>
            <w:r>
              <w:rPr>
                <w:rFonts w:ascii="Arial" w:hAnsi="Arial" w:cs="Arial"/>
                <w:color w:val="000000"/>
              </w:rPr>
              <w:br/>
              <w:t>Pfizer Australia Pty Ltd</w:t>
            </w:r>
          </w:p>
          <w:p w:rsidR="00F95241" w:rsidRDefault="00F95241" w:rsidP="00216452">
            <w:pPr>
              <w:rPr>
                <w:rFonts w:ascii="Arial" w:hAnsi="Arial" w:cs="Arial"/>
                <w:color w:val="000000"/>
              </w:rPr>
            </w:pPr>
          </w:p>
          <w:p w:rsidR="00F95241" w:rsidRDefault="00F95241" w:rsidP="003642C8">
            <w:pPr>
              <w:rPr>
                <w:rFonts w:ascii="Arial" w:hAnsi="Arial" w:cs="Arial"/>
              </w:rPr>
            </w:pPr>
            <w:r>
              <w:rPr>
                <w:rFonts w:ascii="Arial" w:hAnsi="Arial" w:cs="Arial"/>
              </w:rPr>
              <w:t>New listing</w:t>
            </w:r>
          </w:p>
          <w:p w:rsidR="00F95241" w:rsidRPr="007F7D95" w:rsidRDefault="00F95241" w:rsidP="003642C8">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216452">
            <w:pPr>
              <w:rPr>
                <w:rFonts w:ascii="Arial" w:hAnsi="Arial" w:cs="Arial"/>
                <w:color w:val="000000"/>
              </w:rPr>
            </w:pPr>
            <w:r>
              <w:rPr>
                <w:rFonts w:ascii="Arial" w:hAnsi="Arial" w:cs="Arial"/>
                <w:color w:val="000000"/>
              </w:rPr>
              <w:t>Severe active rheumatoid arthritis; Severe psoriasis</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813EF9">
            <w:pPr>
              <w:rPr>
                <w:rFonts w:ascii="Arial" w:hAnsi="Arial" w:cs="Arial"/>
                <w:color w:val="000000"/>
              </w:rPr>
            </w:pPr>
            <w:r>
              <w:rPr>
                <w:rFonts w:ascii="Arial" w:hAnsi="Arial" w:cs="Arial"/>
                <w:color w:val="000000"/>
              </w:rPr>
              <w:t>To request an Authority Required (STREAMLINED) listing of a new pre-filled syringe form of methotrexate.</w:t>
            </w:r>
          </w:p>
        </w:tc>
        <w:tc>
          <w:tcPr>
            <w:tcW w:w="7104" w:type="dxa"/>
            <w:tcBorders>
              <w:top w:val="single" w:sz="4" w:space="0" w:color="auto"/>
              <w:left w:val="single" w:sz="4" w:space="0" w:color="auto"/>
              <w:bottom w:val="single" w:sz="4" w:space="0" w:color="auto"/>
              <w:right w:val="single" w:sz="4" w:space="0" w:color="auto"/>
            </w:tcBorders>
          </w:tcPr>
          <w:p w:rsidR="0097171A" w:rsidRDefault="00F95241" w:rsidP="0097171A">
            <w:pPr>
              <w:rPr>
                <w:rFonts w:ascii="Arial" w:hAnsi="Arial" w:cs="Arial"/>
                <w:color w:val="000000"/>
                <w:szCs w:val="22"/>
              </w:rPr>
            </w:pPr>
            <w:r w:rsidRPr="00EB5C05">
              <w:rPr>
                <w:rFonts w:ascii="Arial" w:hAnsi="Arial" w:cs="Arial"/>
                <w:color w:val="000000"/>
                <w:szCs w:val="22"/>
              </w:rPr>
              <w:t>The PBAC recommended the Authority Required (STREAMLINED) listing of five new forms of subcutaneous methotrexate (7.5 mg/0.3 mL, 10 mg/0.4 mL, 15 mg/0.6 mL, 20 mg/0.8 mL, 25 mg/1 mL) for the same indications as the currently PBS listed brand of subcutaneous methotrexate, Trexject®.</w:t>
            </w:r>
          </w:p>
          <w:p w:rsidR="0097171A" w:rsidRDefault="0097171A" w:rsidP="0097171A">
            <w:pPr>
              <w:rPr>
                <w:rFonts w:ascii="Arial" w:hAnsi="Arial" w:cs="Arial"/>
                <w:color w:val="000000"/>
                <w:szCs w:val="22"/>
              </w:rPr>
            </w:pPr>
          </w:p>
          <w:p w:rsidR="006D0D20" w:rsidRPr="00EB5C05" w:rsidRDefault="00F95241" w:rsidP="0097171A">
            <w:pPr>
              <w:rPr>
                <w:rFonts w:ascii="Arial" w:hAnsi="Arial" w:cs="Arial"/>
                <w:color w:val="000000"/>
                <w:sz w:val="22"/>
                <w:szCs w:val="22"/>
              </w:rPr>
            </w:pPr>
            <w:r w:rsidRPr="00EB5C05">
              <w:rPr>
                <w:rFonts w:ascii="Arial" w:hAnsi="Arial" w:cs="Arial"/>
                <w:color w:val="000000"/>
                <w:szCs w:val="22"/>
              </w:rPr>
              <w:t xml:space="preserve">The PBAC advised, under Section 101(4AACD) of the </w:t>
            </w:r>
            <w:r w:rsidRPr="005441A9">
              <w:rPr>
                <w:rFonts w:ascii="Arial" w:hAnsi="Arial" w:cs="Arial"/>
                <w:i/>
                <w:color w:val="000000"/>
                <w:szCs w:val="22"/>
              </w:rPr>
              <w:t>National Health Act 1953</w:t>
            </w:r>
            <w:r w:rsidRPr="00EB5C05">
              <w:rPr>
                <w:rFonts w:ascii="Arial" w:hAnsi="Arial" w:cs="Arial"/>
                <w:color w:val="000000"/>
                <w:szCs w:val="22"/>
              </w:rPr>
              <w:t xml:space="preserve"> that methotrexate 7.5 mg in 0.3 mL syringe and 7.5 mg in 0.15 mL syringe; methotrexate 10 mg in 0.4 mL syringe and 10 mg in 0.2 mL syringe; methotrexate 15 mg in 0.6 mL syringe and 15 mg in 0.3 mL syringe; methotrexate 20 mg in 0.8 mL syringe and 20 mg in 0.4 mL syringe; methotrexate 25 mL in 1 mL syringe and 25 mg in 0.5 mL syringe could be marked as equivalent </w:t>
            </w:r>
            <w:r w:rsidR="006D0D20">
              <w:rPr>
                <w:rFonts w:ascii="Arial" w:hAnsi="Arial" w:cs="Arial"/>
                <w:color w:val="000000"/>
                <w:szCs w:val="22"/>
              </w:rPr>
              <w:t xml:space="preserve">(‘a’ flagged) </w:t>
            </w:r>
            <w:r w:rsidRPr="00EB5C05">
              <w:rPr>
                <w:rFonts w:ascii="Arial" w:hAnsi="Arial" w:cs="Arial"/>
                <w:color w:val="000000"/>
                <w:szCs w:val="22"/>
              </w:rPr>
              <w:t>in the Schedule of Pharmaceutical Benefits for the purposes of substitution at the point of dispensing.</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D30064">
            <w:pPr>
              <w:rPr>
                <w:rFonts w:ascii="Arial" w:hAnsi="Arial" w:cs="Arial"/>
                <w:color w:val="000000"/>
              </w:rPr>
            </w:pPr>
            <w:r>
              <w:rPr>
                <w:rFonts w:ascii="Arial" w:hAnsi="Arial" w:cs="Arial"/>
                <w:color w:val="000000"/>
              </w:rPr>
              <w:t>MIDOSTAURIN</w:t>
            </w:r>
            <w:r>
              <w:rPr>
                <w:rFonts w:ascii="Arial" w:hAnsi="Arial" w:cs="Arial"/>
                <w:color w:val="000000"/>
              </w:rPr>
              <w:br/>
            </w:r>
            <w:r>
              <w:rPr>
                <w:rFonts w:ascii="Arial" w:hAnsi="Arial" w:cs="Arial"/>
                <w:color w:val="000000"/>
              </w:rPr>
              <w:br/>
              <w:t>Capsule 25 mg</w:t>
            </w:r>
            <w:r>
              <w:rPr>
                <w:rFonts w:ascii="Arial" w:hAnsi="Arial" w:cs="Arial"/>
                <w:color w:val="000000"/>
              </w:rPr>
              <w:br/>
            </w:r>
            <w:r>
              <w:rPr>
                <w:rFonts w:ascii="Arial" w:hAnsi="Arial" w:cs="Arial"/>
                <w:color w:val="000000"/>
              </w:rPr>
              <w:br/>
              <w:t>Rydapt®</w:t>
            </w:r>
            <w:r>
              <w:rPr>
                <w:rFonts w:ascii="Arial" w:hAnsi="Arial" w:cs="Arial"/>
                <w:color w:val="000000"/>
              </w:rPr>
              <w:br/>
            </w:r>
            <w:r>
              <w:rPr>
                <w:rFonts w:ascii="Arial" w:hAnsi="Arial" w:cs="Arial"/>
                <w:color w:val="000000"/>
              </w:rPr>
              <w:br/>
              <w:t>Novartis Pharmaceuticals Australia Pty Ltd</w:t>
            </w:r>
          </w:p>
          <w:p w:rsidR="00F95241" w:rsidRDefault="00F95241" w:rsidP="00216452">
            <w:pPr>
              <w:rPr>
                <w:rFonts w:ascii="Arial" w:hAnsi="Arial" w:cs="Arial"/>
                <w:color w:val="000000"/>
              </w:rPr>
            </w:pPr>
          </w:p>
          <w:p w:rsidR="00F95241" w:rsidRDefault="00F95241" w:rsidP="00216452">
            <w:pPr>
              <w:rPr>
                <w:rFonts w:ascii="Arial" w:hAnsi="Arial" w:cs="Arial"/>
                <w:color w:val="000000"/>
              </w:rPr>
            </w:pPr>
            <w:r>
              <w:rPr>
                <w:rFonts w:ascii="Arial" w:hAnsi="Arial" w:cs="Arial"/>
                <w:color w:val="000000"/>
              </w:rPr>
              <w:t>New listing</w:t>
            </w:r>
          </w:p>
          <w:p w:rsidR="00F95241" w:rsidRDefault="00F95241" w:rsidP="00216452">
            <w:pPr>
              <w:rPr>
                <w:rFonts w:ascii="Arial" w:hAnsi="Arial" w:cs="Arial"/>
                <w:color w:val="000000"/>
              </w:rPr>
            </w:pPr>
            <w:r>
              <w:rPr>
                <w:rFonts w:ascii="Arial" w:hAnsi="Arial" w:cs="Arial"/>
                <w:color w:val="000000"/>
              </w:rPr>
              <w:t>(Major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D30064">
            <w:pPr>
              <w:rPr>
                <w:rFonts w:ascii="Arial" w:hAnsi="Arial" w:cs="Arial"/>
                <w:color w:val="000000"/>
              </w:rPr>
            </w:pPr>
            <w:r>
              <w:rPr>
                <w:rFonts w:ascii="Arial" w:hAnsi="Arial" w:cs="Arial"/>
                <w:color w:val="000000"/>
              </w:rPr>
              <w:t>Acute myeloid leukaemia (AML)</w:t>
            </w:r>
          </w:p>
          <w:p w:rsidR="00F95241" w:rsidRDefault="00F95241" w:rsidP="00216452">
            <w:pPr>
              <w:rPr>
                <w:rFonts w:ascii="Arial" w:hAnsi="Arial" w:cs="Arial"/>
                <w:color w:val="000000"/>
              </w:rPr>
            </w:pP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D30064">
            <w:pPr>
              <w:rPr>
                <w:rFonts w:ascii="Arial" w:hAnsi="Arial" w:cs="Arial"/>
                <w:color w:val="000000"/>
              </w:rPr>
            </w:pPr>
            <w:r>
              <w:rPr>
                <w:rFonts w:ascii="Arial" w:hAnsi="Arial" w:cs="Arial"/>
                <w:color w:val="000000"/>
              </w:rPr>
              <w:t>Resubmission to request a Section 100 (Highly Specialised Drugs Program) Authority Required listing of midostaurin for the treatment of patients with newly diagnosed FMS-like tyrosine kinase 3 (FLT3) mutation positive acute myeloid leukaemia (AML).</w:t>
            </w:r>
          </w:p>
          <w:p w:rsidR="00F95241" w:rsidRDefault="00F95241" w:rsidP="00216452">
            <w:pPr>
              <w:rPr>
                <w:rFonts w:ascii="Arial" w:hAnsi="Arial" w:cs="Arial"/>
                <w:color w:val="000000"/>
              </w:rPr>
            </w:pPr>
          </w:p>
        </w:tc>
        <w:tc>
          <w:tcPr>
            <w:tcW w:w="7104" w:type="dxa"/>
            <w:tcBorders>
              <w:top w:val="single" w:sz="4" w:space="0" w:color="auto"/>
              <w:left w:val="single" w:sz="4" w:space="0" w:color="auto"/>
              <w:bottom w:val="single" w:sz="4" w:space="0" w:color="auto"/>
              <w:right w:val="single" w:sz="4" w:space="0" w:color="auto"/>
            </w:tcBorders>
          </w:tcPr>
          <w:p w:rsidR="003A05E5" w:rsidRPr="00925ECD" w:rsidRDefault="00F95241" w:rsidP="005C136D">
            <w:pPr>
              <w:rPr>
                <w:rFonts w:ascii="Arial" w:hAnsi="Arial" w:cs="Arial"/>
                <w:color w:val="000000"/>
              </w:rPr>
            </w:pPr>
            <w:r w:rsidRPr="00D30064">
              <w:rPr>
                <w:rFonts w:ascii="Arial" w:hAnsi="Arial" w:cs="Arial"/>
                <w:color w:val="000000"/>
              </w:rPr>
              <w:t xml:space="preserve">The PBAC recommended the Section 100 (Highly Specialised Drugs Program) Authority Required listing of midostaurin for the treatment of FMS-like tyrosine kinase-3 (FLT3) mutation positive acute myeloid leukaemia (AML). In reaching this outcome, the PBAC acknowledged the high unmet clinical need in the proposed PBS population and considered that midostaurin treatment improved outcomes in FLT3 positive AML patients. </w:t>
            </w:r>
            <w:r w:rsidRPr="00D30064">
              <w:rPr>
                <w:rFonts w:ascii="Arial" w:hAnsi="Arial" w:cs="Arial"/>
                <w:color w:val="000000"/>
              </w:rPr>
              <w:br/>
              <w:t xml:space="preserve">The PBAC was satisfied that the economic model presented in the resubmission addressed a majority of the concerns raised by the Committee at its November 2017 consideration of midostaurin. Taking into account all the evidence presented in the resubmission, and the reduced price across all treatment settings proposed in the pre-PBAC response, the PBAC </w:t>
            </w:r>
            <w:r w:rsidR="003A05E5">
              <w:rPr>
                <w:rFonts w:ascii="Arial" w:hAnsi="Arial" w:cs="Arial"/>
                <w:color w:val="000000"/>
              </w:rPr>
              <w:t>considered</w:t>
            </w:r>
            <w:r w:rsidR="003A05E5" w:rsidRPr="00D30064">
              <w:rPr>
                <w:rFonts w:ascii="Arial" w:hAnsi="Arial" w:cs="Arial"/>
                <w:color w:val="000000"/>
              </w:rPr>
              <w:t xml:space="preserve"> </w:t>
            </w:r>
            <w:r w:rsidRPr="00D30064">
              <w:rPr>
                <w:rFonts w:ascii="Arial" w:hAnsi="Arial" w:cs="Arial"/>
                <w:color w:val="000000"/>
              </w:rPr>
              <w:t xml:space="preserve">that midostaurin was acceptably cost-effective at the price proposed by the resubmission, noting the unmet clinical need in patients with an uncommon disease with high rates of fatality. The PBAC advised that a risk sharing agreement be negotiated with the sponsor prior to PBS listing, to mitigate the risk of leakage </w:t>
            </w:r>
            <w:r w:rsidR="005C136D">
              <w:rPr>
                <w:rFonts w:ascii="Arial" w:hAnsi="Arial" w:cs="Arial"/>
                <w:color w:val="000000"/>
              </w:rPr>
              <w:t xml:space="preserve">outside the </w:t>
            </w:r>
            <w:r w:rsidR="005C136D" w:rsidRPr="00D30064">
              <w:rPr>
                <w:rFonts w:ascii="Arial" w:hAnsi="Arial" w:cs="Arial"/>
                <w:color w:val="000000"/>
              </w:rPr>
              <w:t>proposed PBS population</w:t>
            </w:r>
            <w:r w:rsidRPr="00D30064">
              <w:rPr>
                <w:rFonts w:ascii="Arial" w:hAnsi="Arial" w:cs="Arial"/>
                <w:color w:val="000000"/>
              </w:rPr>
              <w:t xml:space="preserve">. </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99109F" w:rsidRDefault="00F95241" w:rsidP="00FA6817">
            <w:pPr>
              <w:rPr>
                <w:rFonts w:ascii="Arial" w:hAnsi="Arial" w:cs="Arial"/>
                <w:color w:val="000000"/>
              </w:rPr>
            </w:pPr>
            <w:r w:rsidRPr="00545757">
              <w:rPr>
                <w:rFonts w:ascii="Arial" w:hAnsi="Arial" w:cs="Arial"/>
                <w:color w:val="000000"/>
              </w:rPr>
              <w:lastRenderedPageBreak/>
              <w:t>NIVOLUMAB and IPILIMUMAB</w:t>
            </w:r>
            <w:r w:rsidRPr="00545757">
              <w:rPr>
                <w:rFonts w:ascii="Arial" w:hAnsi="Arial" w:cs="Arial"/>
                <w:color w:val="000000"/>
              </w:rPr>
              <w:br/>
            </w:r>
            <w:r w:rsidRPr="00545757">
              <w:rPr>
                <w:rFonts w:ascii="Arial" w:hAnsi="Arial" w:cs="Arial"/>
                <w:color w:val="000000"/>
              </w:rPr>
              <w:br/>
              <w:t xml:space="preserve">nivolumab: </w:t>
            </w:r>
            <w:r w:rsidRPr="00545757">
              <w:rPr>
                <w:rFonts w:ascii="Arial" w:hAnsi="Arial" w:cs="Arial"/>
                <w:color w:val="000000"/>
              </w:rPr>
              <w:br/>
              <w:t xml:space="preserve">Injection concentrate for I.V. infusion 40 mg in 4 mL </w:t>
            </w:r>
            <w:r w:rsidRPr="00545757">
              <w:rPr>
                <w:rFonts w:ascii="Arial" w:hAnsi="Arial" w:cs="Arial"/>
                <w:color w:val="000000"/>
              </w:rPr>
              <w:br/>
              <w:t>Injection concentrate for I.V. infusion 100 mg in 10 mL</w:t>
            </w:r>
            <w:r w:rsidRPr="00545757">
              <w:rPr>
                <w:rFonts w:ascii="Arial" w:hAnsi="Arial" w:cs="Arial"/>
                <w:color w:val="000000"/>
              </w:rPr>
              <w:br/>
              <w:t xml:space="preserve">ipilimumab: </w:t>
            </w:r>
            <w:r w:rsidRPr="00545757">
              <w:rPr>
                <w:rFonts w:ascii="Arial" w:hAnsi="Arial" w:cs="Arial"/>
                <w:color w:val="000000"/>
              </w:rPr>
              <w:br/>
              <w:t xml:space="preserve">Injection concentrate for I.V. infusion 50 mg in 10 mL </w:t>
            </w:r>
            <w:r w:rsidRPr="00545757">
              <w:rPr>
                <w:rFonts w:ascii="Arial" w:hAnsi="Arial" w:cs="Arial"/>
                <w:color w:val="000000"/>
              </w:rPr>
              <w:br/>
              <w:t>Injection concentrate for I.V. infusion 200 mg in 40 mL</w:t>
            </w:r>
          </w:p>
          <w:p w:rsidR="0099109F" w:rsidRDefault="0099109F" w:rsidP="00FA6817">
            <w:pPr>
              <w:rPr>
                <w:rFonts w:ascii="Arial" w:hAnsi="Arial" w:cs="Arial"/>
                <w:color w:val="000000"/>
              </w:rPr>
            </w:pPr>
          </w:p>
          <w:p w:rsidR="00F95241" w:rsidRPr="00545757" w:rsidRDefault="00F95241" w:rsidP="00FA6817">
            <w:pPr>
              <w:rPr>
                <w:rFonts w:ascii="Arial" w:hAnsi="Arial" w:cs="Arial"/>
                <w:color w:val="000000"/>
              </w:rPr>
            </w:pPr>
            <w:r w:rsidRPr="00545757">
              <w:rPr>
                <w:rFonts w:ascii="Arial" w:hAnsi="Arial" w:cs="Arial"/>
                <w:color w:val="000000"/>
              </w:rPr>
              <w:t>Opdivo® and Yervoy®</w:t>
            </w:r>
            <w:r w:rsidRPr="00545757">
              <w:rPr>
                <w:rFonts w:ascii="Arial" w:hAnsi="Arial" w:cs="Arial"/>
                <w:color w:val="000000"/>
              </w:rPr>
              <w:br/>
            </w:r>
            <w:r w:rsidRPr="00545757">
              <w:rPr>
                <w:rFonts w:ascii="Arial" w:hAnsi="Arial" w:cs="Arial"/>
                <w:color w:val="000000"/>
              </w:rPr>
              <w:br/>
              <w:t>Bristol-Myers Squibb Australia Pty Ltd</w:t>
            </w:r>
          </w:p>
          <w:p w:rsidR="00F95241" w:rsidRPr="00545757" w:rsidRDefault="00F95241" w:rsidP="00216452">
            <w:pPr>
              <w:rPr>
                <w:rFonts w:ascii="Arial" w:hAnsi="Arial" w:cs="Arial"/>
                <w:color w:val="000000"/>
              </w:rPr>
            </w:pPr>
          </w:p>
          <w:p w:rsidR="00F95241" w:rsidRPr="00545757" w:rsidRDefault="00F95241" w:rsidP="00216452">
            <w:pPr>
              <w:rPr>
                <w:rFonts w:ascii="Arial" w:hAnsi="Arial" w:cs="Arial"/>
                <w:color w:val="000000"/>
              </w:rPr>
            </w:pPr>
            <w:r w:rsidRPr="00545757">
              <w:rPr>
                <w:rFonts w:ascii="Arial" w:hAnsi="Arial" w:cs="Arial"/>
                <w:color w:val="000000"/>
              </w:rPr>
              <w:t>New listing</w:t>
            </w:r>
          </w:p>
          <w:p w:rsidR="00F95241" w:rsidRPr="00545757" w:rsidRDefault="00F95241" w:rsidP="00216452">
            <w:pPr>
              <w:rPr>
                <w:rFonts w:ascii="Arial" w:hAnsi="Arial" w:cs="Arial"/>
                <w:color w:val="000000"/>
              </w:rPr>
            </w:pPr>
            <w:r w:rsidRPr="00545757">
              <w:rPr>
                <w:rFonts w:ascii="Arial" w:hAnsi="Arial" w:cs="Arial"/>
                <w:color w:val="000000"/>
              </w:rPr>
              <w:t>(Major submission)</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545757" w:rsidRDefault="00F95241" w:rsidP="00813EF9">
            <w:pPr>
              <w:rPr>
                <w:rFonts w:ascii="Arial" w:hAnsi="Arial" w:cs="Arial"/>
                <w:color w:val="000000"/>
              </w:rPr>
            </w:pPr>
            <w:r w:rsidRPr="00545757">
              <w:rPr>
                <w:rFonts w:ascii="Arial" w:hAnsi="Arial" w:cs="Arial"/>
                <w:color w:val="000000"/>
              </w:rPr>
              <w:t>Malignant melanoma</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545757" w:rsidRDefault="00F95241" w:rsidP="00813EF9">
            <w:pPr>
              <w:rPr>
                <w:rFonts w:ascii="Arial" w:hAnsi="Arial" w:cs="Arial"/>
                <w:color w:val="000000"/>
              </w:rPr>
            </w:pPr>
            <w:r w:rsidRPr="00545757">
              <w:rPr>
                <w:rFonts w:ascii="Arial" w:hAnsi="Arial" w:cs="Arial"/>
                <w:color w:val="000000"/>
              </w:rPr>
              <w:t>Resubmission to request a Section 100 (Efficient Funding of Chemotherapy) Authority Required (STREAMLINED) listing for the concurrent use of nivolumab and ipilimumab for the treatment of unresectable Stage III or Stage IV malignant melanoma.</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3A05E5" w:rsidRPr="00FA6817" w:rsidRDefault="00F95241" w:rsidP="0094290F">
            <w:pPr>
              <w:jc w:val="both"/>
              <w:rPr>
                <w:rFonts w:ascii="Arial" w:hAnsi="Arial" w:cs="Arial"/>
                <w:color w:val="000000"/>
              </w:rPr>
            </w:pPr>
            <w:r w:rsidRPr="00FA6817">
              <w:rPr>
                <w:rFonts w:ascii="Arial" w:hAnsi="Arial" w:cs="Arial"/>
                <w:color w:val="000000"/>
              </w:rPr>
              <w:t>The PBAC recommended the Section 100 (Efficient Funding of Chemotherapy – Public and Private Hospital) Authority Required (</w:t>
            </w:r>
            <w:r w:rsidRPr="0094290F">
              <w:rPr>
                <w:rFonts w:ascii="Arial" w:hAnsi="Arial" w:cs="Arial"/>
              </w:rPr>
              <w:t>STREAMLINED) listing of concurrent use of nivolumab and ipilimumab (NIVO+IPI) for the treatment of unresectable Stage III or Stage IV malignant melanoma</w:t>
            </w:r>
            <w:r w:rsidR="0094290F" w:rsidRPr="0094290F">
              <w:rPr>
                <w:rFonts w:ascii="Arial" w:hAnsi="Arial" w:cs="Arial"/>
              </w:rPr>
              <w:t xml:space="preserve"> in two treatment settings. One setting is</w:t>
            </w:r>
            <w:r w:rsidRPr="0094290F">
              <w:rPr>
                <w:rFonts w:ascii="Arial" w:hAnsi="Arial" w:cs="Arial"/>
              </w:rPr>
              <w:t xml:space="preserve"> first-line immunotherapy in patients with BRAF V600 mutation negative melanoma</w:t>
            </w:r>
            <w:r w:rsidR="0094290F" w:rsidRPr="0094290F">
              <w:rPr>
                <w:rFonts w:ascii="Arial" w:hAnsi="Arial" w:cs="Arial"/>
              </w:rPr>
              <w:t xml:space="preserve">. The second setting is in patients with BRAF V600 mutation positive melanoma whose disease has progressed following treatment with </w:t>
            </w:r>
            <w:r w:rsidR="0094290F">
              <w:rPr>
                <w:rFonts w:ascii="Arial" w:hAnsi="Arial" w:cs="Arial"/>
              </w:rPr>
              <w:t>a BRAF inhibitor</w:t>
            </w:r>
            <w:r w:rsidRPr="0094290F">
              <w:rPr>
                <w:rFonts w:ascii="Arial" w:hAnsi="Arial" w:cs="Arial"/>
              </w:rPr>
              <w:t>. In making this recommendation, the PBAC considered the high unmet clinical need in an aggressive and debilitating malignancy and advised that NIVO+IPI resulted in a modest, yet meaningful, improvement in progression free survival for some patients compared to nivolumab monotherapy</w:t>
            </w:r>
            <w:r w:rsidR="003A05E5" w:rsidRPr="0094290F">
              <w:rPr>
                <w:rFonts w:ascii="Arial" w:hAnsi="Arial" w:cs="Arial"/>
              </w:rPr>
              <w:t>. The PBAC noted that</w:t>
            </w:r>
            <w:r w:rsidRPr="0094290F">
              <w:rPr>
                <w:rFonts w:ascii="Arial" w:hAnsi="Arial" w:cs="Arial"/>
              </w:rPr>
              <w:t xml:space="preserve"> the effect on quality of life and overall survival remained unknown</w:t>
            </w:r>
            <w:r w:rsidR="003A05E5" w:rsidRPr="0094290F">
              <w:rPr>
                <w:rFonts w:ascii="Arial" w:hAnsi="Arial" w:cs="Arial"/>
              </w:rPr>
              <w:t xml:space="preserve"> and that</w:t>
            </w:r>
            <w:r w:rsidRPr="0094290F">
              <w:rPr>
                <w:rFonts w:ascii="Arial" w:hAnsi="Arial" w:cs="Arial"/>
              </w:rPr>
              <w:t xml:space="preserve"> the NIVO+IPI combination resulted in a higher adverse event rate compared to nivolumab monotherapy.</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5C32BC">
            <w:pPr>
              <w:rPr>
                <w:rFonts w:ascii="Arial" w:hAnsi="Arial" w:cs="Arial"/>
                <w:color w:val="000000"/>
              </w:rPr>
            </w:pPr>
            <w:r>
              <w:rPr>
                <w:rFonts w:ascii="Arial" w:hAnsi="Arial" w:cs="Arial"/>
                <w:color w:val="000000"/>
              </w:rPr>
              <w:t>OBINUTUZUMAB</w:t>
            </w:r>
            <w:r>
              <w:rPr>
                <w:rFonts w:ascii="Arial" w:hAnsi="Arial" w:cs="Arial"/>
                <w:color w:val="000000"/>
              </w:rPr>
              <w:br/>
            </w:r>
            <w:r>
              <w:rPr>
                <w:rFonts w:ascii="Arial" w:hAnsi="Arial" w:cs="Arial"/>
                <w:color w:val="000000"/>
              </w:rPr>
              <w:br/>
              <w:t>Solution for I.V. infusion 1000 mg in 40 mL</w:t>
            </w:r>
            <w:r>
              <w:rPr>
                <w:rFonts w:ascii="Arial" w:hAnsi="Arial" w:cs="Arial"/>
                <w:color w:val="000000"/>
              </w:rPr>
              <w:br/>
            </w:r>
            <w:r>
              <w:rPr>
                <w:rFonts w:ascii="Arial" w:hAnsi="Arial" w:cs="Arial"/>
                <w:color w:val="000000"/>
              </w:rPr>
              <w:br/>
              <w:t>Gazyva®</w:t>
            </w:r>
            <w:r>
              <w:rPr>
                <w:rFonts w:ascii="Arial" w:hAnsi="Arial" w:cs="Arial"/>
                <w:color w:val="000000"/>
              </w:rPr>
              <w:br/>
            </w:r>
            <w:r>
              <w:rPr>
                <w:rFonts w:ascii="Arial" w:hAnsi="Arial" w:cs="Arial"/>
                <w:color w:val="000000"/>
              </w:rPr>
              <w:br/>
              <w:t>Roche Products Pty Ltd</w:t>
            </w:r>
          </w:p>
          <w:p w:rsidR="00F95241" w:rsidRDefault="00F95241" w:rsidP="00216452">
            <w:pPr>
              <w:rPr>
                <w:rFonts w:ascii="Arial" w:hAnsi="Arial" w:cs="Arial"/>
                <w:color w:val="000000"/>
              </w:rPr>
            </w:pPr>
          </w:p>
          <w:p w:rsidR="00F95241" w:rsidRDefault="00F95241" w:rsidP="001F60A0">
            <w:pPr>
              <w:rPr>
                <w:rFonts w:ascii="Arial" w:hAnsi="Arial" w:cs="Arial"/>
              </w:rPr>
            </w:pPr>
            <w:r>
              <w:rPr>
                <w:rFonts w:ascii="Arial" w:hAnsi="Arial" w:cs="Arial"/>
              </w:rPr>
              <w:t>Change to listing</w:t>
            </w:r>
          </w:p>
          <w:p w:rsidR="00F95241" w:rsidRPr="007F7D95" w:rsidRDefault="00F95241" w:rsidP="001F60A0">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813EF9">
            <w:pPr>
              <w:rPr>
                <w:rFonts w:ascii="Arial" w:hAnsi="Arial" w:cs="Arial"/>
                <w:color w:val="000000"/>
              </w:rPr>
            </w:pPr>
            <w:r>
              <w:rPr>
                <w:rFonts w:ascii="Arial" w:hAnsi="Arial" w:cs="Arial"/>
                <w:color w:val="000000"/>
              </w:rPr>
              <w:t>Chronic lymphocytic leukaemia (CLL)</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813EF9">
            <w:pPr>
              <w:rPr>
                <w:rFonts w:ascii="Arial" w:hAnsi="Arial" w:cs="Arial"/>
                <w:color w:val="000000"/>
              </w:rPr>
            </w:pPr>
            <w:r>
              <w:rPr>
                <w:rFonts w:ascii="Arial" w:hAnsi="Arial" w:cs="Arial"/>
                <w:color w:val="000000"/>
              </w:rPr>
              <w:t>To request that the current listings be changed to Au</w:t>
            </w:r>
            <w:r w:rsidR="00813EF9">
              <w:rPr>
                <w:rFonts w:ascii="Arial" w:hAnsi="Arial" w:cs="Arial"/>
                <w:color w:val="000000"/>
              </w:rPr>
              <w:t>thority Required (STREAMLINED).</w:t>
            </w:r>
          </w:p>
        </w:tc>
        <w:tc>
          <w:tcPr>
            <w:tcW w:w="7104" w:type="dxa"/>
            <w:tcBorders>
              <w:top w:val="single" w:sz="4" w:space="0" w:color="auto"/>
              <w:left w:val="single" w:sz="4" w:space="0" w:color="auto"/>
              <w:bottom w:val="single" w:sz="4" w:space="0" w:color="auto"/>
              <w:right w:val="single" w:sz="4" w:space="0" w:color="auto"/>
            </w:tcBorders>
          </w:tcPr>
          <w:p w:rsidR="00F95241" w:rsidRPr="00216452" w:rsidRDefault="00F95241" w:rsidP="00216452">
            <w:pPr>
              <w:rPr>
                <w:rFonts w:ascii="Arial" w:hAnsi="Arial" w:cs="Arial"/>
                <w:color w:val="000000"/>
              </w:rPr>
            </w:pPr>
            <w:r w:rsidRPr="00390063">
              <w:rPr>
                <w:rFonts w:ascii="Arial" w:hAnsi="Arial" w:cs="Arial"/>
                <w:color w:val="000000"/>
                <w:szCs w:val="22"/>
              </w:rPr>
              <w:t>The PBAC recommended changing the current S</w:t>
            </w:r>
            <w:r>
              <w:rPr>
                <w:rFonts w:ascii="Arial" w:hAnsi="Arial" w:cs="Arial"/>
                <w:color w:val="000000"/>
                <w:szCs w:val="22"/>
              </w:rPr>
              <w:t xml:space="preserve">ection </w:t>
            </w:r>
            <w:r w:rsidRPr="00390063">
              <w:rPr>
                <w:rFonts w:ascii="Arial" w:hAnsi="Arial" w:cs="Arial"/>
                <w:color w:val="000000"/>
                <w:szCs w:val="22"/>
              </w:rPr>
              <w:t xml:space="preserve">100 </w:t>
            </w:r>
            <w:r>
              <w:rPr>
                <w:rFonts w:ascii="Arial" w:hAnsi="Arial" w:cs="Arial"/>
                <w:color w:val="000000"/>
                <w:szCs w:val="22"/>
              </w:rPr>
              <w:t>(</w:t>
            </w:r>
            <w:r w:rsidRPr="00390063">
              <w:rPr>
                <w:rFonts w:ascii="Arial" w:hAnsi="Arial" w:cs="Arial"/>
                <w:color w:val="000000"/>
                <w:szCs w:val="22"/>
              </w:rPr>
              <w:t>Efficient Fundin</w:t>
            </w:r>
            <w:r>
              <w:rPr>
                <w:rFonts w:ascii="Arial" w:hAnsi="Arial" w:cs="Arial"/>
                <w:color w:val="000000"/>
                <w:szCs w:val="22"/>
              </w:rPr>
              <w:t xml:space="preserve">g of Chemotherapy (EFC) Program) </w:t>
            </w:r>
            <w:r w:rsidRPr="00390063">
              <w:rPr>
                <w:rFonts w:ascii="Arial" w:hAnsi="Arial" w:cs="Arial"/>
                <w:color w:val="000000"/>
                <w:szCs w:val="22"/>
              </w:rPr>
              <w:t>Authority Required (Written) listing for obinutuzumab to a S</w:t>
            </w:r>
            <w:r>
              <w:rPr>
                <w:rFonts w:ascii="Arial" w:hAnsi="Arial" w:cs="Arial"/>
                <w:color w:val="000000"/>
                <w:szCs w:val="22"/>
              </w:rPr>
              <w:t>ection</w:t>
            </w:r>
            <w:r w:rsidRPr="00390063">
              <w:rPr>
                <w:rFonts w:ascii="Arial" w:hAnsi="Arial" w:cs="Arial"/>
                <w:color w:val="000000"/>
                <w:szCs w:val="22"/>
              </w:rPr>
              <w:t>100 EFC Authority Required (</w:t>
            </w:r>
            <w:r>
              <w:rPr>
                <w:rFonts w:ascii="Arial" w:hAnsi="Arial" w:cs="Arial"/>
                <w:color w:val="000000"/>
              </w:rPr>
              <w:t>STREAMLINED</w:t>
            </w:r>
            <w:r w:rsidRPr="00390063">
              <w:rPr>
                <w:rFonts w:ascii="Arial" w:hAnsi="Arial" w:cs="Arial"/>
                <w:color w:val="000000"/>
                <w:szCs w:val="22"/>
              </w:rPr>
              <w:t xml:space="preserve">) for treatment of </w:t>
            </w:r>
            <w:r>
              <w:rPr>
                <w:rFonts w:ascii="Arial" w:hAnsi="Arial" w:cs="Arial"/>
                <w:color w:val="000000"/>
                <w:szCs w:val="22"/>
              </w:rPr>
              <w:t>CLL</w:t>
            </w:r>
            <w:r w:rsidRPr="00390063">
              <w:rPr>
                <w:rFonts w:ascii="Arial" w:hAnsi="Arial" w:cs="Arial"/>
                <w:color w:val="000000"/>
                <w:szCs w:val="22"/>
              </w:rPr>
              <w:t xml:space="preserve">. The PBAC recalled that, at its March 2015 meeting, it recommended listing obinutuzumab on the PBS as a Written Authority to </w:t>
            </w:r>
            <w:r w:rsidRPr="00216452">
              <w:rPr>
                <w:rFonts w:ascii="Arial" w:hAnsi="Arial" w:cs="Arial"/>
                <w:color w:val="000000"/>
              </w:rPr>
              <w:t xml:space="preserve">prevent usage outside of the restriction, with a view to reviewing the restriction level after two years when a more accurate estimation of the patient population would be possible. The PBAC was satisfied that a Streamlined Authority was appropriate based on: </w:t>
            </w:r>
          </w:p>
          <w:p w:rsidR="00F95241" w:rsidRPr="00216452" w:rsidRDefault="00F95241" w:rsidP="00216452">
            <w:pPr>
              <w:pStyle w:val="ListParagraph"/>
              <w:numPr>
                <w:ilvl w:val="0"/>
                <w:numId w:val="7"/>
              </w:numPr>
              <w:ind w:left="421" w:hanging="284"/>
              <w:rPr>
                <w:rFonts w:ascii="Arial" w:hAnsi="Arial" w:cs="Arial"/>
                <w:color w:val="000000"/>
                <w:sz w:val="20"/>
                <w:szCs w:val="20"/>
              </w:rPr>
            </w:pPr>
            <w:r>
              <w:rPr>
                <w:rFonts w:ascii="Arial" w:hAnsi="Arial" w:cs="Arial"/>
                <w:color w:val="000000"/>
                <w:sz w:val="20"/>
                <w:szCs w:val="20"/>
              </w:rPr>
              <w:t>U</w:t>
            </w:r>
            <w:r w:rsidRPr="00216452">
              <w:rPr>
                <w:rFonts w:ascii="Arial" w:hAnsi="Arial" w:cs="Arial"/>
                <w:color w:val="000000"/>
                <w:sz w:val="20"/>
                <w:szCs w:val="20"/>
              </w:rPr>
              <w:t xml:space="preserve">tilisation analysis by the Drug Utilisation Sub Committee Secretariat </w:t>
            </w:r>
            <w:r>
              <w:rPr>
                <w:rFonts w:ascii="Arial" w:hAnsi="Arial" w:cs="Arial"/>
                <w:color w:val="000000"/>
                <w:sz w:val="20"/>
                <w:szCs w:val="20"/>
              </w:rPr>
              <w:t>showing</w:t>
            </w:r>
            <w:r w:rsidRPr="00216452">
              <w:rPr>
                <w:rFonts w:ascii="Arial" w:hAnsi="Arial" w:cs="Arial"/>
                <w:color w:val="000000"/>
                <w:sz w:val="20"/>
                <w:szCs w:val="20"/>
              </w:rPr>
              <w:t xml:space="preserve"> that the PBS usage of obinutuzumab over the first two years of listing was significantly lower than that predicted in the original submission; and </w:t>
            </w:r>
          </w:p>
          <w:p w:rsidR="00646858" w:rsidRPr="00216452" w:rsidRDefault="00F95241" w:rsidP="007E5C19">
            <w:pPr>
              <w:pStyle w:val="ListParagraph"/>
              <w:numPr>
                <w:ilvl w:val="0"/>
                <w:numId w:val="7"/>
              </w:numPr>
              <w:ind w:left="421" w:hanging="284"/>
              <w:rPr>
                <w:rFonts w:ascii="Calibri" w:hAnsi="Calibri" w:cs="Calibri"/>
                <w:color w:val="000000"/>
              </w:rPr>
            </w:pPr>
            <w:r w:rsidRPr="00216452">
              <w:rPr>
                <w:rFonts w:ascii="Arial" w:hAnsi="Arial" w:cs="Arial"/>
                <w:color w:val="000000"/>
                <w:sz w:val="20"/>
                <w:szCs w:val="20"/>
              </w:rPr>
              <w:t xml:space="preserve">The recent listing of two other drugs on the PBS for patients with CLL who cannot </w:t>
            </w:r>
            <w:r w:rsidRPr="00D9476F">
              <w:rPr>
                <w:rFonts w:ascii="Arial" w:hAnsi="Arial" w:cs="Arial"/>
                <w:sz w:val="20"/>
                <w:szCs w:val="20"/>
              </w:rPr>
              <w:t xml:space="preserve">tolerate a fludarabine </w:t>
            </w:r>
            <w:r w:rsidRPr="00216452">
              <w:rPr>
                <w:rFonts w:ascii="Arial" w:hAnsi="Arial" w:cs="Arial"/>
                <w:color w:val="000000"/>
                <w:sz w:val="20"/>
                <w:szCs w:val="20"/>
              </w:rPr>
              <w:t>based regimen (ofatumumab and rituximab).</w:t>
            </w:r>
          </w:p>
        </w:tc>
      </w:tr>
      <w:tr w:rsidR="00F95241" w:rsidRPr="003D7E12" w:rsidTr="005478AD">
        <w:trPr>
          <w:cantSplit/>
          <w:trHeight w:val="553"/>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lastRenderedPageBreak/>
              <w:t>OCTREOTIDE</w:t>
            </w:r>
            <w:r>
              <w:rPr>
                <w:rFonts w:ascii="Arial" w:hAnsi="Arial" w:cs="Arial"/>
                <w:color w:val="000000"/>
              </w:rPr>
              <w:br/>
            </w:r>
            <w:r>
              <w:rPr>
                <w:rFonts w:ascii="Arial" w:hAnsi="Arial" w:cs="Arial"/>
                <w:color w:val="000000"/>
              </w:rPr>
              <w:br/>
              <w:t>Injection (modified release) 10 mg (as acetate), vial and diluent syringe</w:t>
            </w:r>
            <w:r>
              <w:rPr>
                <w:rFonts w:ascii="Arial" w:hAnsi="Arial" w:cs="Arial"/>
                <w:color w:val="000000"/>
              </w:rPr>
              <w:br/>
              <w:t>Injection (modified release) 20 mg (as acetate), vial and diluent syringe</w:t>
            </w:r>
            <w:r>
              <w:rPr>
                <w:rFonts w:ascii="Arial" w:hAnsi="Arial" w:cs="Arial"/>
                <w:color w:val="000000"/>
              </w:rPr>
              <w:br/>
              <w:t>Injection (modified release) 30 mg (as acetate), vial and diluent syringe</w:t>
            </w:r>
            <w:r>
              <w:rPr>
                <w:rFonts w:ascii="Arial" w:hAnsi="Arial" w:cs="Arial"/>
                <w:color w:val="000000"/>
              </w:rPr>
              <w:br/>
            </w:r>
            <w:r>
              <w:rPr>
                <w:rFonts w:ascii="Arial" w:hAnsi="Arial" w:cs="Arial"/>
                <w:color w:val="000000"/>
              </w:rPr>
              <w:br/>
              <w:t>Sandostatin LAR®</w:t>
            </w:r>
            <w:r>
              <w:rPr>
                <w:rFonts w:ascii="Arial" w:hAnsi="Arial" w:cs="Arial"/>
                <w:color w:val="000000"/>
              </w:rPr>
              <w:br/>
            </w:r>
            <w:r>
              <w:rPr>
                <w:rFonts w:ascii="Arial" w:hAnsi="Arial" w:cs="Arial"/>
                <w:color w:val="000000"/>
              </w:rPr>
              <w:br/>
              <w:t>Novartis Pharmaceuticals Australia Pty Ltd</w:t>
            </w:r>
          </w:p>
          <w:p w:rsidR="00F95241" w:rsidRDefault="00F95241" w:rsidP="00216452">
            <w:pPr>
              <w:rPr>
                <w:rFonts w:ascii="Arial" w:hAnsi="Arial" w:cs="Arial"/>
                <w:color w:val="000000"/>
              </w:rPr>
            </w:pPr>
          </w:p>
          <w:p w:rsidR="00F95241" w:rsidRDefault="00F95241" w:rsidP="001F60A0">
            <w:pPr>
              <w:rPr>
                <w:rFonts w:ascii="Arial" w:hAnsi="Arial" w:cs="Arial"/>
              </w:rPr>
            </w:pPr>
            <w:r>
              <w:rPr>
                <w:rFonts w:ascii="Arial" w:hAnsi="Arial" w:cs="Arial"/>
              </w:rPr>
              <w:t>Change to listing</w:t>
            </w:r>
          </w:p>
          <w:p w:rsidR="00F95241" w:rsidRPr="007F7D95" w:rsidRDefault="00F95241" w:rsidP="001F60A0">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813EF9">
            <w:pPr>
              <w:rPr>
                <w:rFonts w:ascii="Arial" w:hAnsi="Arial" w:cs="Arial"/>
                <w:color w:val="000000"/>
              </w:rPr>
            </w:pPr>
            <w:r>
              <w:rPr>
                <w:rFonts w:ascii="Arial" w:hAnsi="Arial" w:cs="Arial"/>
                <w:color w:val="000000"/>
              </w:rPr>
              <w:t>Functional carcinoid tumour;</w:t>
            </w:r>
            <w:r>
              <w:rPr>
                <w:rFonts w:ascii="Arial" w:hAnsi="Arial" w:cs="Arial"/>
                <w:color w:val="000000"/>
              </w:rPr>
              <w:br/>
              <w:t>Acromegaly;</w:t>
            </w:r>
            <w:r>
              <w:rPr>
                <w:rFonts w:ascii="Arial" w:hAnsi="Arial" w:cs="Arial"/>
                <w:color w:val="000000"/>
              </w:rPr>
              <w:br/>
              <w:t xml:space="preserve">Vasoactive intestinal peptide secreting tumour (VIPoma) </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813EF9">
            <w:pPr>
              <w:rPr>
                <w:rFonts w:ascii="Arial" w:hAnsi="Arial" w:cs="Arial"/>
                <w:color w:val="000000"/>
              </w:rPr>
            </w:pPr>
            <w:r>
              <w:rPr>
                <w:rFonts w:ascii="Arial" w:hAnsi="Arial" w:cs="Arial"/>
                <w:color w:val="000000"/>
              </w:rPr>
              <w:t>To request that the current listing supply arrangements be expanded to include Section 100 (Highly Specialised Drugs Program - Community Access) Authority Required (STREAMLINED) listings.</w:t>
            </w:r>
          </w:p>
        </w:tc>
        <w:tc>
          <w:tcPr>
            <w:tcW w:w="7104" w:type="dxa"/>
            <w:tcBorders>
              <w:top w:val="single" w:sz="4" w:space="0" w:color="auto"/>
              <w:left w:val="single" w:sz="4" w:space="0" w:color="auto"/>
              <w:bottom w:val="single" w:sz="4" w:space="0" w:color="auto"/>
              <w:right w:val="single" w:sz="4" w:space="0" w:color="auto"/>
            </w:tcBorders>
          </w:tcPr>
          <w:p w:rsidR="00F95241" w:rsidRPr="00FB64B4" w:rsidRDefault="00F95241" w:rsidP="00813EF9">
            <w:pPr>
              <w:rPr>
                <w:rFonts w:ascii="Arial" w:hAnsi="Arial" w:cs="Arial"/>
                <w:color w:val="000000"/>
              </w:rPr>
            </w:pPr>
            <w:r w:rsidRPr="00FB64B4">
              <w:rPr>
                <w:rFonts w:ascii="Arial" w:hAnsi="Arial" w:cs="Arial"/>
                <w:color w:val="000000"/>
              </w:rPr>
              <w:t xml:space="preserve">The PBAC recommended the extension of the current listings for octreotide injection (modified release) 10 mg, 20 mg, 30 mg (as acetate), vial and diluent syringe </w:t>
            </w:r>
            <w:r w:rsidRPr="00D9476F">
              <w:rPr>
                <w:rFonts w:ascii="Arial" w:hAnsi="Arial" w:cs="Arial"/>
              </w:rPr>
              <w:t xml:space="preserve">from Section 100 Highly Specialised Drugs (HSD) program to a Section 100 HSD Community Access, Authority Required (STREAMLINED) for patients with acromegaly, functional carcinoid tumours and vasoactive intestinal peptide secreting tumours (VIPomas) under the conditions noted below.  The PBAC recommended </w:t>
            </w:r>
            <w:r w:rsidRPr="00FB64B4">
              <w:rPr>
                <w:rFonts w:ascii="Arial" w:hAnsi="Arial" w:cs="Arial"/>
                <w:color w:val="000000"/>
              </w:rPr>
              <w:t>that the continuing phase of treatment be made available under Section 100 HSD program (Community Access), while the initial phase of treatment should remain unchanged under Section 100 – HSD program (Public and Private Hospitals).</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PEMBROLIZUMAB</w:t>
            </w:r>
            <w:r>
              <w:rPr>
                <w:rFonts w:ascii="Arial" w:hAnsi="Arial" w:cs="Arial"/>
                <w:color w:val="000000"/>
              </w:rPr>
              <w:br/>
            </w:r>
            <w:r>
              <w:rPr>
                <w:rFonts w:ascii="Arial" w:hAnsi="Arial" w:cs="Arial"/>
                <w:color w:val="000000"/>
              </w:rPr>
              <w:br/>
              <w:t xml:space="preserve">Powder for injection 50 mg </w:t>
            </w:r>
            <w:r>
              <w:rPr>
                <w:rFonts w:ascii="Arial" w:hAnsi="Arial" w:cs="Arial"/>
                <w:color w:val="000000"/>
              </w:rPr>
              <w:br/>
              <w:t>Solution concentrate for I.V. infusion 100 mg in 4 mL</w:t>
            </w:r>
            <w:r>
              <w:rPr>
                <w:rFonts w:ascii="Arial" w:hAnsi="Arial" w:cs="Arial"/>
                <w:color w:val="000000"/>
              </w:rPr>
              <w:br/>
            </w:r>
            <w:r>
              <w:rPr>
                <w:rFonts w:ascii="Arial" w:hAnsi="Arial" w:cs="Arial"/>
                <w:color w:val="000000"/>
              </w:rPr>
              <w:br/>
              <w:t>Keytruda®</w:t>
            </w:r>
            <w:r>
              <w:rPr>
                <w:rFonts w:ascii="Arial" w:hAnsi="Arial" w:cs="Arial"/>
                <w:color w:val="000000"/>
              </w:rPr>
              <w:br/>
            </w:r>
            <w:r>
              <w:rPr>
                <w:rFonts w:ascii="Arial" w:hAnsi="Arial" w:cs="Arial"/>
                <w:color w:val="000000"/>
              </w:rPr>
              <w:br/>
              <w:t>Merck, Sharp &amp; Dohme (Australia) Pty Ltd</w:t>
            </w:r>
          </w:p>
          <w:p w:rsidR="00F95241" w:rsidRDefault="00F95241" w:rsidP="00216452">
            <w:pPr>
              <w:rPr>
                <w:rFonts w:ascii="Arial" w:hAnsi="Arial" w:cs="Arial"/>
                <w:color w:val="000000"/>
              </w:rPr>
            </w:pPr>
          </w:p>
          <w:p w:rsidR="00F95241" w:rsidRDefault="00F95241" w:rsidP="00216452">
            <w:pPr>
              <w:rPr>
                <w:rFonts w:ascii="Arial" w:hAnsi="Arial" w:cs="Arial"/>
                <w:color w:val="000000"/>
              </w:rPr>
            </w:pPr>
            <w:r>
              <w:rPr>
                <w:rFonts w:ascii="Arial" w:hAnsi="Arial" w:cs="Arial"/>
                <w:color w:val="000000"/>
              </w:rPr>
              <w:t>Change to listing</w:t>
            </w:r>
          </w:p>
          <w:p w:rsidR="00F95241" w:rsidRPr="007F7D95" w:rsidRDefault="00F95241" w:rsidP="00216452">
            <w:pPr>
              <w:rPr>
                <w:rFonts w:ascii="Arial" w:hAnsi="Arial" w:cs="Arial"/>
                <w:color w:val="000000"/>
              </w:rPr>
            </w:pPr>
            <w:r>
              <w:rPr>
                <w:rFonts w:ascii="Arial" w:hAnsi="Arial" w:cs="Arial"/>
                <w:color w:val="000000"/>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813EF9">
            <w:pPr>
              <w:rPr>
                <w:rFonts w:ascii="Arial" w:hAnsi="Arial" w:cs="Arial"/>
                <w:color w:val="000000"/>
              </w:rPr>
            </w:pPr>
            <w:r>
              <w:rPr>
                <w:rFonts w:ascii="Arial" w:hAnsi="Arial" w:cs="Arial"/>
                <w:color w:val="000000"/>
              </w:rPr>
              <w:t>First-line treatment of patients with metastatic non-small cell lung cancer (NSCLC)</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813EF9">
            <w:pPr>
              <w:rPr>
                <w:rFonts w:ascii="Arial" w:hAnsi="Arial" w:cs="Arial"/>
                <w:color w:val="000000"/>
              </w:rPr>
            </w:pPr>
            <w:r>
              <w:rPr>
                <w:rFonts w:ascii="Arial" w:hAnsi="Arial" w:cs="Arial"/>
                <w:color w:val="000000"/>
              </w:rPr>
              <w:t>Resubmission to request a Section 100 (Efficient Funding of Chemotherapy) Authority Required (STREAMLINED) listing as first line monotherapy in patients expressing PD-L1 for NSCLC.</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F95241" w:rsidRDefault="00F95241" w:rsidP="00D41A86">
            <w:pPr>
              <w:jc w:val="both"/>
              <w:rPr>
                <w:rFonts w:ascii="Arial" w:hAnsi="Arial" w:cs="Arial"/>
                <w:color w:val="000000"/>
                <w:szCs w:val="22"/>
              </w:rPr>
            </w:pPr>
            <w:r w:rsidRPr="00D41A86">
              <w:rPr>
                <w:rFonts w:ascii="Arial" w:hAnsi="Arial" w:cs="Arial"/>
                <w:color w:val="000000"/>
                <w:szCs w:val="22"/>
              </w:rPr>
              <w:t xml:space="preserve">The PBAC recommended listing pembrolizumab for the first-line treatment of patients with metastatic (Stage IV) non-small cell lung cancer (NSCLC), who have high expression of programmed cell death ligand 1 (PD-L1), defined as a tumour proportion score (TPS) of ≥50%. The PBAC’s recommendation for listing was based on, among other matters, its assessment that the cost-effectiveness of pembrolizumab was within an acceptable range based on a respecified economic model, and there was a sufficiently confident basis to estimate the overall net cost to the PBS </w:t>
            </w:r>
            <w:r w:rsidR="00646858">
              <w:rPr>
                <w:rFonts w:ascii="Arial" w:hAnsi="Arial" w:cs="Arial"/>
                <w:color w:val="000000"/>
                <w:szCs w:val="22"/>
              </w:rPr>
              <w:t xml:space="preserve">in </w:t>
            </w:r>
            <w:r w:rsidRPr="00D41A86">
              <w:rPr>
                <w:rFonts w:ascii="Arial" w:hAnsi="Arial" w:cs="Arial"/>
                <w:color w:val="000000"/>
                <w:szCs w:val="22"/>
              </w:rPr>
              <w:t xml:space="preserve">each year </w:t>
            </w:r>
            <w:r w:rsidR="00646858">
              <w:rPr>
                <w:rFonts w:ascii="Arial" w:hAnsi="Arial" w:cs="Arial"/>
                <w:color w:val="000000"/>
                <w:szCs w:val="22"/>
              </w:rPr>
              <w:t>for</w:t>
            </w:r>
            <w:r w:rsidR="00646858" w:rsidRPr="00D41A86">
              <w:rPr>
                <w:rFonts w:ascii="Arial" w:hAnsi="Arial" w:cs="Arial"/>
                <w:color w:val="000000"/>
                <w:szCs w:val="22"/>
              </w:rPr>
              <w:t xml:space="preserve"> </w:t>
            </w:r>
            <w:r w:rsidRPr="00D41A86">
              <w:rPr>
                <w:rFonts w:ascii="Arial" w:hAnsi="Arial" w:cs="Arial"/>
                <w:color w:val="000000"/>
                <w:szCs w:val="22"/>
              </w:rPr>
              <w:t>eligible patients defined by the requested listing.</w:t>
            </w:r>
          </w:p>
          <w:p w:rsidR="00813EF9" w:rsidRDefault="00813EF9" w:rsidP="00D41A86">
            <w:pPr>
              <w:jc w:val="both"/>
              <w:rPr>
                <w:rFonts w:ascii="Arial" w:hAnsi="Arial" w:cs="Arial"/>
                <w:color w:val="000000"/>
                <w:szCs w:val="22"/>
              </w:rPr>
            </w:pPr>
          </w:p>
          <w:p w:rsidR="00646858" w:rsidRPr="00B3647A" w:rsidRDefault="00646858" w:rsidP="00646858">
            <w:pPr>
              <w:jc w:val="both"/>
              <w:rPr>
                <w:rFonts w:ascii="Arial" w:hAnsi="Arial" w:cs="Arial"/>
                <w:color w:val="000000"/>
              </w:rPr>
            </w:pPr>
            <w:r>
              <w:rPr>
                <w:rFonts w:ascii="Arial" w:hAnsi="Arial" w:cs="Arial"/>
                <w:color w:val="000000"/>
              </w:rPr>
              <w:t xml:space="preserve">The PBAC noted that the </w:t>
            </w:r>
            <w:r w:rsidR="00F95241" w:rsidRPr="00D41A86">
              <w:rPr>
                <w:rFonts w:ascii="Arial" w:hAnsi="Arial" w:cs="Arial"/>
                <w:color w:val="000000"/>
              </w:rPr>
              <w:t xml:space="preserve">Medical Services Advisory Committee (MSAC) had foreshadowed its support for a new Medical Benefits Schedule (MBS) item </w:t>
            </w:r>
            <w:r w:rsidR="00F95241" w:rsidRPr="00B3647A">
              <w:rPr>
                <w:rFonts w:ascii="Arial" w:hAnsi="Arial" w:cs="Arial"/>
                <w:color w:val="000000"/>
              </w:rPr>
              <w:t xml:space="preserve">for the </w:t>
            </w:r>
            <w:r w:rsidR="00F95241">
              <w:rPr>
                <w:rFonts w:ascii="Arial" w:hAnsi="Arial" w:cs="Arial"/>
                <w:color w:val="000000"/>
              </w:rPr>
              <w:t>immunohistochemistry testing of PD-L1</w:t>
            </w:r>
            <w:r w:rsidR="00F95241" w:rsidRPr="00B3647A">
              <w:rPr>
                <w:rFonts w:ascii="Arial" w:hAnsi="Arial" w:cs="Arial"/>
                <w:color w:val="000000"/>
              </w:rPr>
              <w:t xml:space="preserve"> expression to help determin</w:t>
            </w:r>
            <w:r w:rsidR="00F95241">
              <w:rPr>
                <w:rFonts w:ascii="Arial" w:hAnsi="Arial" w:cs="Arial"/>
                <w:color w:val="000000"/>
              </w:rPr>
              <w:t xml:space="preserve">e eligibility for PBS subsidised </w:t>
            </w:r>
            <w:r w:rsidR="00F95241" w:rsidRPr="00B3647A">
              <w:rPr>
                <w:rFonts w:ascii="Arial" w:hAnsi="Arial" w:cs="Arial"/>
                <w:color w:val="000000"/>
              </w:rPr>
              <w:t xml:space="preserve">pembrolizumab </w:t>
            </w:r>
            <w:r w:rsidR="00F95241" w:rsidRPr="00D41A86">
              <w:rPr>
                <w:rFonts w:ascii="Arial" w:hAnsi="Arial" w:cs="Arial"/>
                <w:color w:val="000000"/>
              </w:rPr>
              <w:t>(</w:t>
            </w:r>
            <w:hyperlink r:id="rId10" w:history="1">
              <w:r w:rsidR="00F95241" w:rsidRPr="00B3647A">
                <w:rPr>
                  <w:rStyle w:val="Hyperlink"/>
                  <w:rFonts w:ascii="Arial" w:hAnsi="Arial" w:cs="Arial"/>
                </w:rPr>
                <w:t>Public Summary Document, Application No. 1440.1</w:t>
              </w:r>
            </w:hyperlink>
            <w:r w:rsidR="00F95241" w:rsidRPr="00D41A86">
              <w:rPr>
                <w:rFonts w:ascii="Arial" w:hAnsi="Arial" w:cs="Arial"/>
                <w:color w:val="000000"/>
              </w:rPr>
              <w:t>).</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872924">
            <w:pPr>
              <w:rPr>
                <w:rFonts w:ascii="Arial" w:hAnsi="Arial" w:cs="Arial"/>
                <w:color w:val="000000"/>
              </w:rPr>
            </w:pPr>
            <w:r>
              <w:rPr>
                <w:rFonts w:ascii="Arial" w:hAnsi="Arial" w:cs="Arial"/>
                <w:color w:val="000000"/>
              </w:rPr>
              <w:lastRenderedPageBreak/>
              <w:t>PEMBROLIZUMAB</w:t>
            </w:r>
            <w:r>
              <w:rPr>
                <w:rFonts w:ascii="Arial" w:hAnsi="Arial" w:cs="Arial"/>
                <w:color w:val="000000"/>
              </w:rPr>
              <w:br/>
            </w:r>
            <w:r>
              <w:rPr>
                <w:rFonts w:ascii="Arial" w:hAnsi="Arial" w:cs="Arial"/>
                <w:color w:val="000000"/>
              </w:rPr>
              <w:br/>
              <w:t>Solution concentrate for I.V. infusion 100 mg in 4 mL</w:t>
            </w:r>
            <w:r>
              <w:rPr>
                <w:rFonts w:ascii="Arial" w:hAnsi="Arial" w:cs="Arial"/>
                <w:color w:val="000000"/>
              </w:rPr>
              <w:br/>
            </w:r>
            <w:r>
              <w:rPr>
                <w:rFonts w:ascii="Arial" w:hAnsi="Arial" w:cs="Arial"/>
                <w:color w:val="000000"/>
              </w:rPr>
              <w:br/>
              <w:t>Keytruda®</w:t>
            </w:r>
            <w:r>
              <w:rPr>
                <w:rFonts w:ascii="Arial" w:hAnsi="Arial" w:cs="Arial"/>
                <w:color w:val="000000"/>
              </w:rPr>
              <w:br/>
            </w:r>
            <w:r>
              <w:rPr>
                <w:rFonts w:ascii="Arial" w:hAnsi="Arial" w:cs="Arial"/>
                <w:color w:val="000000"/>
              </w:rPr>
              <w:br/>
              <w:t>Merck Sharp &amp; Dohme (Australia) Pty Ltd</w:t>
            </w:r>
          </w:p>
          <w:p w:rsidR="00F95241" w:rsidRDefault="00F95241" w:rsidP="00216452">
            <w:pPr>
              <w:rPr>
                <w:rFonts w:ascii="Arial" w:hAnsi="Arial" w:cs="Arial"/>
                <w:color w:val="000000"/>
              </w:rPr>
            </w:pPr>
          </w:p>
          <w:p w:rsidR="00F95241" w:rsidRDefault="00F95241" w:rsidP="00216452">
            <w:pPr>
              <w:rPr>
                <w:rFonts w:ascii="Arial" w:hAnsi="Arial" w:cs="Arial"/>
                <w:color w:val="000000"/>
              </w:rPr>
            </w:pPr>
            <w:r>
              <w:rPr>
                <w:rFonts w:ascii="Arial" w:hAnsi="Arial" w:cs="Arial"/>
                <w:color w:val="000000"/>
              </w:rPr>
              <w:t>Change to listing</w:t>
            </w:r>
          </w:p>
          <w:p w:rsidR="00F95241" w:rsidRDefault="00F95241" w:rsidP="00216452">
            <w:pPr>
              <w:rPr>
                <w:rFonts w:ascii="Arial" w:hAnsi="Arial" w:cs="Arial"/>
                <w:color w:val="000000"/>
              </w:rPr>
            </w:pPr>
            <w:r>
              <w:rPr>
                <w:rFonts w:ascii="Arial" w:hAnsi="Arial" w:cs="Arial"/>
                <w:color w:val="000000"/>
              </w:rPr>
              <w:t>(Major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813EF9">
            <w:pPr>
              <w:rPr>
                <w:rFonts w:ascii="Arial" w:hAnsi="Arial" w:cs="Arial"/>
                <w:color w:val="000000"/>
              </w:rPr>
            </w:pPr>
            <w:r>
              <w:rPr>
                <w:rFonts w:ascii="Arial" w:hAnsi="Arial" w:cs="Arial"/>
                <w:color w:val="000000"/>
              </w:rPr>
              <w:t>Locally advanced or metastatic urothelial cancer (LA or mUC)</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813EF9">
            <w:pPr>
              <w:rPr>
                <w:rFonts w:ascii="Arial" w:hAnsi="Arial" w:cs="Arial"/>
                <w:color w:val="000000"/>
              </w:rPr>
            </w:pPr>
            <w:r>
              <w:rPr>
                <w:rFonts w:ascii="Arial" w:hAnsi="Arial" w:cs="Arial"/>
                <w:color w:val="000000"/>
              </w:rPr>
              <w:t>Resubmission to request a Section 100 (Efficient Funding of Chemotherapy) Authority Required (STREAMLINED) listing for the treatment of LA or mUC after the failure of a prior platinum-based chemotherapy.</w:t>
            </w:r>
          </w:p>
        </w:tc>
        <w:tc>
          <w:tcPr>
            <w:tcW w:w="7104" w:type="dxa"/>
            <w:tcBorders>
              <w:top w:val="single" w:sz="4" w:space="0" w:color="auto"/>
              <w:left w:val="single" w:sz="4" w:space="0" w:color="auto"/>
              <w:bottom w:val="single" w:sz="4" w:space="0" w:color="auto"/>
              <w:right w:val="single" w:sz="4" w:space="0" w:color="auto"/>
            </w:tcBorders>
          </w:tcPr>
          <w:p w:rsidR="00646858" w:rsidRPr="00872924" w:rsidRDefault="00F95241" w:rsidP="00D41A86">
            <w:pPr>
              <w:rPr>
                <w:rFonts w:ascii="Arial" w:hAnsi="Arial" w:cs="Arial"/>
                <w:color w:val="000000"/>
              </w:rPr>
            </w:pPr>
            <w:r w:rsidRPr="00872924">
              <w:rPr>
                <w:rFonts w:ascii="Arial" w:hAnsi="Arial" w:cs="Arial"/>
                <w:color w:val="000000"/>
              </w:rPr>
              <w:t xml:space="preserve">The PBAC recommended the Section 100 (Efficient Funding of Chemotherapy – Public and Private Hospital) Authority Required (STREAMLINED) listing of pembrolizumab for the second line treatment of locally advanced or metastatic urothelial cancer. In making this recommendation, the PBAC acknowledged the high clinical need for new treatments in urothelial cancer and the evidence from the pivotal clinical trial, KEYNOTE-045, which demonstrated improved overall survival for patients receiving pembrolizumab. The PBAC’s recommendation for listing was based on, among other matters, it’s assessment that the cost-effectiveness of pembrolizumab could be brought into an acceptable range with a reduced effective price. </w:t>
            </w:r>
          </w:p>
        </w:tc>
      </w:tr>
      <w:tr w:rsidR="000C7C2D"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0C7C2D" w:rsidRDefault="000C7C2D" w:rsidP="000C7C2D">
            <w:pPr>
              <w:pStyle w:val="Default"/>
              <w:rPr>
                <w:rFonts w:eastAsia="Times New Roman"/>
                <w:sz w:val="20"/>
                <w:szCs w:val="20"/>
                <w:lang w:eastAsia="en-AU"/>
              </w:rPr>
            </w:pPr>
            <w:r w:rsidRPr="000C7C2D">
              <w:rPr>
                <w:rFonts w:eastAsia="Times New Roman"/>
                <w:sz w:val="20"/>
                <w:szCs w:val="20"/>
                <w:lang w:eastAsia="en-AU"/>
              </w:rPr>
              <w:t xml:space="preserve">SOFOSBUVIR WITH VELPATASVIR AND VOXILAPREVIR </w:t>
            </w:r>
          </w:p>
          <w:p w:rsidR="000C7C2D" w:rsidRPr="000C7C2D" w:rsidRDefault="000C7C2D" w:rsidP="000C7C2D">
            <w:pPr>
              <w:pStyle w:val="Default"/>
              <w:rPr>
                <w:rFonts w:eastAsia="Times New Roman"/>
                <w:sz w:val="20"/>
                <w:szCs w:val="20"/>
                <w:lang w:eastAsia="en-AU"/>
              </w:rPr>
            </w:pPr>
          </w:p>
          <w:p w:rsidR="000C7C2D" w:rsidRDefault="000C7C2D" w:rsidP="000C7C2D">
            <w:pPr>
              <w:pStyle w:val="Default"/>
              <w:rPr>
                <w:rFonts w:eastAsia="Times New Roman"/>
                <w:sz w:val="20"/>
                <w:szCs w:val="20"/>
                <w:lang w:eastAsia="en-AU"/>
              </w:rPr>
            </w:pPr>
            <w:r w:rsidRPr="000C7C2D">
              <w:rPr>
                <w:rFonts w:eastAsia="Times New Roman"/>
                <w:sz w:val="20"/>
                <w:szCs w:val="20"/>
                <w:lang w:eastAsia="en-AU"/>
              </w:rPr>
              <w:t xml:space="preserve">Tablet containing sofosbuvir 400 mg with velpatasvir 100 mg and voxilaprevir 100 mg </w:t>
            </w:r>
          </w:p>
          <w:p w:rsidR="000C7C2D" w:rsidRPr="000C7C2D" w:rsidRDefault="000C7C2D" w:rsidP="000C7C2D">
            <w:pPr>
              <w:pStyle w:val="Default"/>
              <w:rPr>
                <w:rFonts w:eastAsia="Times New Roman"/>
                <w:sz w:val="20"/>
                <w:szCs w:val="20"/>
                <w:lang w:eastAsia="en-AU"/>
              </w:rPr>
            </w:pPr>
          </w:p>
          <w:p w:rsidR="000C7C2D" w:rsidRDefault="000C7C2D" w:rsidP="000C7C2D">
            <w:pPr>
              <w:pStyle w:val="Default"/>
              <w:rPr>
                <w:rFonts w:eastAsia="Times New Roman"/>
                <w:sz w:val="20"/>
                <w:szCs w:val="20"/>
                <w:lang w:eastAsia="en-AU"/>
              </w:rPr>
            </w:pPr>
            <w:r w:rsidRPr="000C7C2D">
              <w:rPr>
                <w:rFonts w:eastAsia="Times New Roman"/>
                <w:sz w:val="20"/>
                <w:szCs w:val="20"/>
                <w:lang w:eastAsia="en-AU"/>
              </w:rPr>
              <w:t xml:space="preserve">Vosevi® </w:t>
            </w:r>
          </w:p>
          <w:p w:rsidR="000C7C2D" w:rsidRPr="000C7C2D" w:rsidRDefault="000C7C2D" w:rsidP="000C7C2D">
            <w:pPr>
              <w:pStyle w:val="Default"/>
              <w:rPr>
                <w:rFonts w:eastAsia="Times New Roman"/>
                <w:sz w:val="20"/>
                <w:szCs w:val="20"/>
                <w:lang w:eastAsia="en-AU"/>
              </w:rPr>
            </w:pPr>
          </w:p>
          <w:p w:rsidR="000C7C2D" w:rsidRDefault="000C7C2D" w:rsidP="000C7C2D">
            <w:pPr>
              <w:pStyle w:val="Default"/>
              <w:rPr>
                <w:rFonts w:eastAsia="Times New Roman"/>
                <w:sz w:val="20"/>
                <w:szCs w:val="20"/>
                <w:lang w:eastAsia="en-AU"/>
              </w:rPr>
            </w:pPr>
            <w:r w:rsidRPr="000C7C2D">
              <w:rPr>
                <w:rFonts w:eastAsia="Times New Roman"/>
                <w:sz w:val="20"/>
                <w:szCs w:val="20"/>
                <w:lang w:eastAsia="en-AU"/>
              </w:rPr>
              <w:t xml:space="preserve">Gilead Sciences Pty Ltd </w:t>
            </w:r>
          </w:p>
          <w:p w:rsidR="000C7C2D" w:rsidRPr="000C7C2D" w:rsidRDefault="000C7C2D" w:rsidP="000C7C2D">
            <w:pPr>
              <w:pStyle w:val="Default"/>
              <w:rPr>
                <w:rFonts w:eastAsia="Times New Roman"/>
                <w:sz w:val="20"/>
                <w:szCs w:val="20"/>
                <w:lang w:eastAsia="en-AU"/>
              </w:rPr>
            </w:pPr>
          </w:p>
          <w:p w:rsidR="000C7C2D" w:rsidRPr="009247DB" w:rsidRDefault="000C7C2D" w:rsidP="009247DB">
            <w:pPr>
              <w:pStyle w:val="Default"/>
              <w:rPr>
                <w:rFonts w:eastAsia="Times New Roman"/>
                <w:sz w:val="20"/>
                <w:szCs w:val="20"/>
                <w:lang w:eastAsia="en-AU"/>
              </w:rPr>
            </w:pPr>
            <w:r w:rsidRPr="000C7C2D">
              <w:rPr>
                <w:rFonts w:eastAsia="Times New Roman"/>
                <w:sz w:val="20"/>
                <w:szCs w:val="20"/>
                <w:lang w:eastAsia="en-AU"/>
              </w:rPr>
              <w:t xml:space="preserve">New listing </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0C7C2D" w:rsidRDefault="000C7C2D" w:rsidP="00872924">
            <w:pPr>
              <w:rPr>
                <w:rFonts w:ascii="Arial" w:hAnsi="Arial" w:cs="Arial"/>
                <w:color w:val="000000"/>
              </w:rPr>
            </w:pPr>
            <w:r>
              <w:rPr>
                <w:rFonts w:ascii="Arial" w:hAnsi="Arial" w:cs="Arial"/>
                <w:color w:val="000000"/>
              </w:rPr>
              <w:t>Chronic hepatitis C virus (HCV) infection</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C7C2D" w:rsidRDefault="000C7C2D" w:rsidP="00813EF9">
            <w:pPr>
              <w:pStyle w:val="Default"/>
            </w:pPr>
            <w:r w:rsidRPr="000C7C2D">
              <w:rPr>
                <w:rFonts w:eastAsia="Times New Roman"/>
                <w:sz w:val="20"/>
                <w:szCs w:val="20"/>
                <w:lang w:eastAsia="en-AU"/>
              </w:rPr>
              <w:t>To request a General Schedule and Section 100 (Highly Specialised Drugs Program) listing for the treatment of HCV infection in adults who have failed treatment with an NS5A-based direct acting antiviral treatment r</w:t>
            </w:r>
            <w:r w:rsidR="00813EF9">
              <w:rPr>
                <w:rFonts w:eastAsia="Times New Roman"/>
                <w:sz w:val="20"/>
                <w:szCs w:val="20"/>
                <w:lang w:eastAsia="en-AU"/>
              </w:rPr>
              <w:t>egimen, regardless of genotype.</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646858" w:rsidRPr="00872924" w:rsidRDefault="009247DB" w:rsidP="009247DB">
            <w:pPr>
              <w:rPr>
                <w:rFonts w:ascii="Arial" w:hAnsi="Arial" w:cs="Arial"/>
                <w:color w:val="000000"/>
              </w:rPr>
            </w:pPr>
            <w:r w:rsidRPr="009247DB">
              <w:rPr>
                <w:rFonts w:ascii="Arial" w:hAnsi="Arial" w:cs="Arial"/>
                <w:color w:val="000000"/>
              </w:rPr>
              <w:t>The PBAC recommended</w:t>
            </w:r>
            <w:r w:rsidR="00860A5B">
              <w:rPr>
                <w:rFonts w:ascii="Arial" w:hAnsi="Arial" w:cs="Arial"/>
                <w:color w:val="000000"/>
              </w:rPr>
              <w:t xml:space="preserve"> </w:t>
            </w:r>
            <w:r w:rsidRPr="009247DB">
              <w:rPr>
                <w:rFonts w:ascii="Arial" w:hAnsi="Arial" w:cs="Arial"/>
                <w:color w:val="000000"/>
              </w:rPr>
              <w:t>the listing of sofosbuvir with velpatasvir with voxilaprevir (SOF/VEL/VOX) for the treatment patients with chronic hepatitis C virus (HCV) infection, regardless of genotype, who have failed treatment with an NS5A-based treatment regimen on a cost minimisation basis with glecaprevir with pibrentasvir (GLE/PIB), under the same listing conditions as GLE/PIB</w:t>
            </w:r>
            <w:r w:rsidR="00646858">
              <w:rPr>
                <w:rFonts w:ascii="Arial" w:hAnsi="Arial" w:cs="Arial"/>
                <w:color w:val="000000"/>
              </w:rPr>
              <w:t>.</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SOMATROPIN</w:t>
            </w:r>
            <w:r>
              <w:rPr>
                <w:rFonts w:ascii="Arial" w:hAnsi="Arial" w:cs="Arial"/>
                <w:color w:val="000000"/>
              </w:rPr>
              <w:br/>
            </w:r>
            <w:r>
              <w:rPr>
                <w:rFonts w:ascii="Arial" w:hAnsi="Arial" w:cs="Arial"/>
                <w:color w:val="000000"/>
              </w:rPr>
              <w:br/>
              <w:t>Solution for injection 5 mg (15 i.u.) in 1.5 mL cartridge (with preservative)</w:t>
            </w:r>
            <w:r>
              <w:rPr>
                <w:rFonts w:ascii="Arial" w:hAnsi="Arial" w:cs="Arial"/>
                <w:color w:val="000000"/>
              </w:rPr>
              <w:br/>
            </w:r>
            <w:r>
              <w:rPr>
                <w:rFonts w:ascii="Arial" w:hAnsi="Arial" w:cs="Arial"/>
                <w:color w:val="000000"/>
              </w:rPr>
              <w:br/>
              <w:t>SciTropin A™</w:t>
            </w:r>
            <w:r>
              <w:rPr>
                <w:rFonts w:ascii="Arial" w:hAnsi="Arial" w:cs="Arial"/>
                <w:color w:val="000000"/>
              </w:rPr>
              <w:br/>
            </w:r>
            <w:r>
              <w:rPr>
                <w:rFonts w:ascii="Arial" w:hAnsi="Arial" w:cs="Arial"/>
                <w:color w:val="000000"/>
              </w:rPr>
              <w:br/>
              <w:t>SciGen (Australia) Pty Ltd</w:t>
            </w:r>
          </w:p>
          <w:p w:rsidR="00F95241" w:rsidRDefault="00F95241" w:rsidP="00216452">
            <w:pPr>
              <w:rPr>
                <w:rFonts w:ascii="Arial" w:hAnsi="Arial" w:cs="Arial"/>
                <w:color w:val="000000"/>
              </w:rPr>
            </w:pPr>
          </w:p>
          <w:p w:rsidR="00F95241" w:rsidRDefault="00F95241" w:rsidP="003642C8">
            <w:pPr>
              <w:rPr>
                <w:rFonts w:ascii="Arial" w:hAnsi="Arial" w:cs="Arial"/>
              </w:rPr>
            </w:pPr>
            <w:r>
              <w:rPr>
                <w:rFonts w:ascii="Arial" w:hAnsi="Arial" w:cs="Arial"/>
              </w:rPr>
              <w:t>New listing</w:t>
            </w:r>
          </w:p>
          <w:p w:rsidR="00F95241" w:rsidRDefault="00F95241" w:rsidP="003642C8">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Growth disturbance due to insufficient secretion of pituitary growth hormone, or growth disturbance associated with gonadal dysgenesis (Turner syndrome) or chronic renal insufficiency</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0E0270">
            <w:pPr>
              <w:rPr>
                <w:rFonts w:ascii="Arial" w:hAnsi="Arial" w:cs="Arial"/>
                <w:color w:val="000000"/>
              </w:rPr>
            </w:pPr>
            <w:r>
              <w:rPr>
                <w:rFonts w:ascii="Arial" w:hAnsi="Arial" w:cs="Arial"/>
                <w:color w:val="000000"/>
              </w:rPr>
              <w:t xml:space="preserve">To request a </w:t>
            </w:r>
            <w:r w:rsidRPr="000E0270">
              <w:rPr>
                <w:rFonts w:ascii="Arial" w:hAnsi="Arial" w:cs="Arial"/>
                <w:color w:val="000000"/>
              </w:rPr>
              <w:t xml:space="preserve">Section 100 </w:t>
            </w:r>
            <w:r>
              <w:rPr>
                <w:rFonts w:ascii="Arial" w:hAnsi="Arial" w:cs="Arial"/>
                <w:color w:val="000000"/>
              </w:rPr>
              <w:t>(</w:t>
            </w:r>
            <w:r w:rsidRPr="000E0270">
              <w:rPr>
                <w:rFonts w:ascii="Arial" w:hAnsi="Arial" w:cs="Arial"/>
                <w:color w:val="000000"/>
              </w:rPr>
              <w:t>Growth Hormone Programme</w:t>
            </w:r>
            <w:r>
              <w:rPr>
                <w:rFonts w:ascii="Arial" w:hAnsi="Arial" w:cs="Arial"/>
                <w:color w:val="000000"/>
              </w:rPr>
              <w:t>)</w:t>
            </w:r>
            <w:r w:rsidRPr="000E0270">
              <w:rPr>
                <w:rFonts w:ascii="Arial" w:hAnsi="Arial" w:cs="Arial"/>
                <w:color w:val="000000"/>
              </w:rPr>
              <w:t xml:space="preserve"> </w:t>
            </w:r>
            <w:r>
              <w:rPr>
                <w:rFonts w:ascii="Arial" w:hAnsi="Arial" w:cs="Arial"/>
                <w:color w:val="000000"/>
              </w:rPr>
              <w:t>Authority Required listing of an additional strength of somatropin injection.</w:t>
            </w:r>
          </w:p>
          <w:p w:rsidR="00F95241" w:rsidRDefault="00F95241" w:rsidP="00216452">
            <w:pPr>
              <w:rPr>
                <w:rFonts w:ascii="Arial" w:hAnsi="Arial" w:cs="Arial"/>
                <w:color w:val="000000"/>
              </w:rPr>
            </w:pPr>
          </w:p>
        </w:tc>
        <w:tc>
          <w:tcPr>
            <w:tcW w:w="7104" w:type="dxa"/>
            <w:tcBorders>
              <w:top w:val="single" w:sz="4" w:space="0" w:color="auto"/>
              <w:left w:val="single" w:sz="4" w:space="0" w:color="auto"/>
              <w:bottom w:val="single" w:sz="4" w:space="0" w:color="auto"/>
              <w:right w:val="single" w:sz="4" w:space="0" w:color="auto"/>
            </w:tcBorders>
          </w:tcPr>
          <w:p w:rsidR="009028D4" w:rsidRPr="000E0270" w:rsidRDefault="00F95241" w:rsidP="009028D4">
            <w:pPr>
              <w:rPr>
                <w:rFonts w:ascii="Arial" w:hAnsi="Arial" w:cs="Arial"/>
                <w:color w:val="000000"/>
                <w:sz w:val="24"/>
                <w:szCs w:val="24"/>
              </w:rPr>
            </w:pPr>
            <w:r w:rsidRPr="000E0270">
              <w:rPr>
                <w:rFonts w:ascii="Arial" w:hAnsi="Arial" w:cs="Arial"/>
                <w:color w:val="000000"/>
              </w:rPr>
              <w:t xml:space="preserve">The PBAC recommended the re-listing of 5 mg (15 i.u.) in 1.5 mL form of somatropin under the SciTropin A brand in the Section 100 Growth Hormone Programme under the same conditions for which the Omnitrope® brand was listed. The PBAC noted that this brand of somatropin sought the same listing as the previously listed product, Omnitrope®, </w:t>
            </w:r>
            <w:r w:rsidR="009028D4">
              <w:rPr>
                <w:rFonts w:ascii="Arial" w:hAnsi="Arial" w:cs="Arial"/>
                <w:color w:val="000000"/>
              </w:rPr>
              <w:t>which</w:t>
            </w:r>
            <w:r w:rsidR="009028D4" w:rsidRPr="000E0270">
              <w:rPr>
                <w:rFonts w:ascii="Arial" w:hAnsi="Arial" w:cs="Arial"/>
                <w:color w:val="000000"/>
              </w:rPr>
              <w:t xml:space="preserve"> </w:t>
            </w:r>
            <w:r w:rsidRPr="000E0270">
              <w:rPr>
                <w:rFonts w:ascii="Arial" w:hAnsi="Arial" w:cs="Arial"/>
                <w:color w:val="000000"/>
              </w:rPr>
              <w:t>is now re-marketed by a new sponsor under a new brand name, SciTropin A.</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Default="00F95241" w:rsidP="00F216D9">
            <w:pPr>
              <w:pStyle w:val="Default"/>
              <w:rPr>
                <w:rFonts w:eastAsia="Times New Roman"/>
                <w:sz w:val="20"/>
                <w:szCs w:val="20"/>
                <w:lang w:eastAsia="en-AU"/>
              </w:rPr>
            </w:pPr>
            <w:r w:rsidRPr="00F216D9">
              <w:rPr>
                <w:rFonts w:eastAsia="Times New Roman"/>
                <w:sz w:val="20"/>
                <w:szCs w:val="20"/>
                <w:lang w:eastAsia="en-AU"/>
              </w:rPr>
              <w:lastRenderedPageBreak/>
              <w:t xml:space="preserve">TENOFOVIR ALAFENAMIDE WITH EMTRICITABINE AND BICTEGRAVIR </w:t>
            </w:r>
          </w:p>
          <w:p w:rsidR="00F95241" w:rsidRDefault="00F95241" w:rsidP="00F216D9">
            <w:pPr>
              <w:pStyle w:val="Default"/>
              <w:rPr>
                <w:rFonts w:eastAsia="Times New Roman"/>
                <w:sz w:val="20"/>
                <w:szCs w:val="20"/>
                <w:lang w:eastAsia="en-AU"/>
              </w:rPr>
            </w:pPr>
            <w:r w:rsidRPr="00F216D9">
              <w:rPr>
                <w:rFonts w:eastAsia="Times New Roman"/>
                <w:sz w:val="20"/>
                <w:szCs w:val="20"/>
                <w:lang w:eastAsia="en-AU"/>
              </w:rPr>
              <w:t xml:space="preserve">Tablet containing tenofovir alafenamide 25 mg with emtricitabine 200 mg and bictegravir 50 mg </w:t>
            </w:r>
          </w:p>
          <w:p w:rsidR="00F95241" w:rsidRDefault="00F95241" w:rsidP="00F216D9">
            <w:pPr>
              <w:pStyle w:val="Default"/>
              <w:rPr>
                <w:rFonts w:eastAsia="Times New Roman"/>
                <w:sz w:val="20"/>
                <w:szCs w:val="20"/>
                <w:lang w:eastAsia="en-AU"/>
              </w:rPr>
            </w:pPr>
          </w:p>
          <w:p w:rsidR="00F95241" w:rsidRDefault="00F95241" w:rsidP="00F216D9">
            <w:pPr>
              <w:pStyle w:val="Default"/>
              <w:rPr>
                <w:rFonts w:eastAsia="Times New Roman"/>
                <w:sz w:val="20"/>
                <w:szCs w:val="20"/>
                <w:lang w:eastAsia="en-AU"/>
              </w:rPr>
            </w:pPr>
            <w:r w:rsidRPr="00F216D9">
              <w:rPr>
                <w:rFonts w:eastAsia="Times New Roman"/>
                <w:sz w:val="20"/>
                <w:szCs w:val="20"/>
                <w:lang w:eastAsia="en-AU"/>
              </w:rPr>
              <w:t xml:space="preserve">Biktarvy® </w:t>
            </w:r>
          </w:p>
          <w:p w:rsidR="00F95241" w:rsidRDefault="00F95241" w:rsidP="00F216D9">
            <w:pPr>
              <w:pStyle w:val="Default"/>
              <w:rPr>
                <w:rFonts w:eastAsia="Times New Roman"/>
                <w:sz w:val="20"/>
                <w:szCs w:val="20"/>
                <w:lang w:eastAsia="en-AU"/>
              </w:rPr>
            </w:pPr>
          </w:p>
          <w:p w:rsidR="00F95241" w:rsidRPr="00F216D9" w:rsidRDefault="00F95241" w:rsidP="00F216D9">
            <w:pPr>
              <w:pStyle w:val="Default"/>
              <w:rPr>
                <w:rFonts w:eastAsia="Times New Roman"/>
                <w:sz w:val="20"/>
                <w:szCs w:val="20"/>
                <w:lang w:eastAsia="en-AU"/>
              </w:rPr>
            </w:pPr>
            <w:r w:rsidRPr="00F216D9">
              <w:rPr>
                <w:rFonts w:eastAsia="Times New Roman"/>
                <w:sz w:val="20"/>
                <w:szCs w:val="20"/>
                <w:lang w:eastAsia="en-AU"/>
              </w:rPr>
              <w:t>Gilead Sciences Pty Ltd</w:t>
            </w:r>
          </w:p>
          <w:p w:rsidR="00F95241" w:rsidRDefault="00F95241" w:rsidP="00F216D9">
            <w:pPr>
              <w:rPr>
                <w:rFonts w:ascii="Arial" w:hAnsi="Arial" w:cs="Arial"/>
                <w:color w:val="000000"/>
              </w:rPr>
            </w:pPr>
          </w:p>
          <w:p w:rsidR="00F95241" w:rsidRPr="00F216D9" w:rsidRDefault="00F95241" w:rsidP="007E6788">
            <w:pPr>
              <w:rPr>
                <w:rFonts w:ascii="Arial" w:hAnsi="Arial" w:cs="Arial"/>
                <w:color w:val="000000"/>
              </w:rPr>
            </w:pPr>
            <w:r w:rsidRPr="00F216D9">
              <w:rPr>
                <w:rFonts w:ascii="Arial" w:hAnsi="Arial" w:cs="Arial"/>
                <w:color w:val="000000"/>
              </w:rPr>
              <w:t xml:space="preserve">New listing (Major Submission) </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1105A4" w:rsidRDefault="00F95241" w:rsidP="001105A4">
            <w:pPr>
              <w:pStyle w:val="Default"/>
              <w:rPr>
                <w:rFonts w:eastAsia="Times New Roman"/>
                <w:sz w:val="20"/>
                <w:szCs w:val="20"/>
                <w:lang w:eastAsia="en-AU"/>
              </w:rPr>
            </w:pPr>
            <w:r w:rsidRPr="00F216D9">
              <w:rPr>
                <w:rFonts w:eastAsia="Times New Roman"/>
                <w:sz w:val="20"/>
                <w:szCs w:val="20"/>
                <w:lang w:eastAsia="en-AU"/>
              </w:rPr>
              <w:t xml:space="preserve">Human immunodeficiency virus (HIV) infection </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95241" w:rsidRPr="003D7E12" w:rsidRDefault="00F95241" w:rsidP="001105A4">
            <w:pPr>
              <w:pStyle w:val="Default"/>
            </w:pPr>
            <w:r w:rsidRPr="00F216D9">
              <w:rPr>
                <w:rFonts w:eastAsia="Times New Roman"/>
                <w:sz w:val="20"/>
                <w:szCs w:val="20"/>
                <w:lang w:eastAsia="en-AU"/>
              </w:rPr>
              <w:t xml:space="preserve">To request a Section 100 (Highly Specialised Drugs Program - Community Access) Authority Required (STREAMLINED) listing for the treatment of patients with HIV infection. </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F95241" w:rsidRPr="003D7E12" w:rsidRDefault="00F95241" w:rsidP="001105A4">
            <w:pPr>
              <w:rPr>
                <w:rFonts w:ascii="Arial" w:hAnsi="Arial" w:cs="Arial"/>
                <w:color w:val="000000"/>
              </w:rPr>
            </w:pPr>
            <w:r w:rsidRPr="00610DD6">
              <w:rPr>
                <w:rFonts w:ascii="Arial" w:hAnsi="Arial" w:cs="Arial"/>
                <w:color w:val="000000"/>
              </w:rPr>
              <w:t>The PBAC recommended the Authority Required (STREAMLINED) Section 100 (Community Access) listing of tenofovir alafenamide with emtricitabine and bictegravir (BFTAF) in a fixed dose combination tablet for the treatment of patients with human immunodeficiency virus (HIV) on a weighted price cost-minimisation basis with alternative treatments.</w:t>
            </w:r>
            <w:r w:rsidRPr="00610DD6">
              <w:rPr>
                <w:rFonts w:ascii="Arial" w:hAnsi="Arial" w:cs="Arial"/>
                <w:color w:val="000000"/>
              </w:rPr>
              <w:br/>
            </w:r>
            <w:r w:rsidRPr="00610DD6">
              <w:rPr>
                <w:rFonts w:ascii="Arial" w:hAnsi="Arial" w:cs="Arial"/>
                <w:color w:val="000000"/>
              </w:rPr>
              <w:br/>
              <w:t>The PBAC considered the alternative treatments for the cost minimisation to be Stribild® or Eviplera® for most patients and Genvoya® or Odefsey® for patients with renal impairment who cannot use Stribild or Eviplera. The PBAC considered BFTAF to be of similar effectiveness and safety to these alternative treatments.</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TILDRAKIZUMAB</w:t>
            </w:r>
            <w:r>
              <w:rPr>
                <w:rFonts w:ascii="Arial" w:hAnsi="Arial" w:cs="Arial"/>
                <w:color w:val="000000"/>
              </w:rPr>
              <w:br/>
            </w:r>
            <w:r>
              <w:rPr>
                <w:rFonts w:ascii="Arial" w:hAnsi="Arial" w:cs="Arial"/>
                <w:color w:val="000000"/>
              </w:rPr>
              <w:br/>
              <w:t>Injection 100 mg in 1 mL single use pre-filled syringes</w:t>
            </w:r>
            <w:r>
              <w:rPr>
                <w:rFonts w:ascii="Arial" w:hAnsi="Arial" w:cs="Arial"/>
                <w:color w:val="000000"/>
              </w:rPr>
              <w:br/>
            </w:r>
            <w:r>
              <w:rPr>
                <w:rFonts w:ascii="Arial" w:hAnsi="Arial" w:cs="Arial"/>
                <w:color w:val="000000"/>
              </w:rPr>
              <w:br/>
              <w:t>Ilumya®</w:t>
            </w:r>
            <w:r>
              <w:rPr>
                <w:rFonts w:ascii="Arial" w:hAnsi="Arial" w:cs="Arial"/>
                <w:color w:val="000000"/>
              </w:rPr>
              <w:br/>
            </w:r>
            <w:r>
              <w:rPr>
                <w:rFonts w:ascii="Arial" w:hAnsi="Arial" w:cs="Arial"/>
                <w:color w:val="000000"/>
              </w:rPr>
              <w:br/>
              <w:t>Sun Pharma ANZ Pty Ltd</w:t>
            </w:r>
          </w:p>
          <w:p w:rsidR="00F95241" w:rsidRDefault="00F95241" w:rsidP="00216452">
            <w:pPr>
              <w:rPr>
                <w:rFonts w:ascii="Arial" w:hAnsi="Arial" w:cs="Arial"/>
                <w:color w:val="000000"/>
              </w:rPr>
            </w:pPr>
          </w:p>
          <w:p w:rsidR="00F95241" w:rsidRDefault="00F95241" w:rsidP="003642C8">
            <w:pPr>
              <w:rPr>
                <w:rFonts w:ascii="Arial" w:hAnsi="Arial" w:cs="Arial"/>
              </w:rPr>
            </w:pPr>
            <w:r>
              <w:rPr>
                <w:rFonts w:ascii="Arial" w:hAnsi="Arial" w:cs="Arial"/>
              </w:rPr>
              <w:t>New listing</w:t>
            </w:r>
          </w:p>
          <w:p w:rsidR="00F95241" w:rsidRPr="00CF206A" w:rsidRDefault="00F95241" w:rsidP="003642C8">
            <w:pPr>
              <w:rPr>
                <w:rFonts w:ascii="Arial" w:hAnsi="Arial" w:cs="Arial"/>
                <w:color w:val="000000"/>
              </w:rPr>
            </w:pPr>
            <w:r>
              <w:rPr>
                <w:rFonts w:ascii="Arial" w:hAnsi="Arial" w:cs="Arial"/>
              </w:rPr>
              <w:t>(Major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3D7E12" w:rsidRDefault="00F95241" w:rsidP="00216452">
            <w:pPr>
              <w:rPr>
                <w:rFonts w:ascii="Arial" w:hAnsi="Arial" w:cs="Arial"/>
              </w:rPr>
            </w:pPr>
            <w:r>
              <w:rPr>
                <w:rFonts w:ascii="Arial" w:hAnsi="Arial" w:cs="Arial"/>
              </w:rPr>
              <w:t>Severe chronic plaque psoriasis</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CF206A" w:rsidRDefault="00F95241" w:rsidP="00216452">
            <w:pPr>
              <w:rPr>
                <w:rFonts w:ascii="Arial" w:hAnsi="Arial" w:cs="Arial"/>
                <w:color w:val="000000"/>
              </w:rPr>
            </w:pPr>
            <w:r>
              <w:rPr>
                <w:rFonts w:ascii="Arial" w:hAnsi="Arial" w:cs="Arial"/>
                <w:color w:val="000000"/>
              </w:rPr>
              <w:t>To request an Authority Required listing for the treatment of patients with s</w:t>
            </w:r>
            <w:r w:rsidR="001105A4">
              <w:rPr>
                <w:rFonts w:ascii="Arial" w:hAnsi="Arial" w:cs="Arial"/>
                <w:color w:val="000000"/>
              </w:rPr>
              <w:t>evere chronic plaque psoriasis.</w:t>
            </w:r>
          </w:p>
        </w:tc>
        <w:tc>
          <w:tcPr>
            <w:tcW w:w="7104" w:type="dxa"/>
            <w:tcBorders>
              <w:top w:val="single" w:sz="4" w:space="0" w:color="auto"/>
              <w:left w:val="single" w:sz="4" w:space="0" w:color="auto"/>
              <w:bottom w:val="single" w:sz="4" w:space="0" w:color="auto"/>
              <w:right w:val="single" w:sz="4" w:space="0" w:color="auto"/>
            </w:tcBorders>
          </w:tcPr>
          <w:p w:rsidR="009028D4" w:rsidRPr="00CF206A" w:rsidRDefault="00F95241" w:rsidP="009028D4">
            <w:pPr>
              <w:rPr>
                <w:rFonts w:ascii="Arial" w:hAnsi="Arial" w:cs="Arial"/>
                <w:color w:val="000000"/>
                <w:sz w:val="24"/>
                <w:szCs w:val="24"/>
              </w:rPr>
            </w:pPr>
            <w:r w:rsidRPr="00CF206A">
              <w:rPr>
                <w:rFonts w:ascii="Arial" w:hAnsi="Arial" w:cs="Arial"/>
                <w:color w:val="000000"/>
              </w:rPr>
              <w:t xml:space="preserve">The PBAC recommended the listing of tildrakizumab for the treatment of adult patients with severe chronic plaque psoriasis </w:t>
            </w:r>
            <w:r w:rsidR="009028D4">
              <w:rPr>
                <w:rFonts w:ascii="Arial" w:hAnsi="Arial" w:cs="Arial"/>
                <w:color w:val="000000"/>
              </w:rPr>
              <w:t>on</w:t>
            </w:r>
            <w:r w:rsidR="009028D4" w:rsidRPr="00CF206A">
              <w:rPr>
                <w:rFonts w:ascii="Arial" w:hAnsi="Arial" w:cs="Arial"/>
                <w:color w:val="000000"/>
              </w:rPr>
              <w:t xml:space="preserve"> </w:t>
            </w:r>
            <w:r w:rsidRPr="00CF206A">
              <w:rPr>
                <w:rFonts w:ascii="Arial" w:hAnsi="Arial" w:cs="Arial"/>
                <w:color w:val="000000"/>
              </w:rPr>
              <w:t>the basis that the cost-effectiveness of tildrakizumab would be accepted if it were cost-minimised against the lowest c</w:t>
            </w:r>
            <w:r w:rsidR="001105A4">
              <w:rPr>
                <w:rFonts w:ascii="Arial" w:hAnsi="Arial" w:cs="Arial"/>
                <w:color w:val="000000"/>
              </w:rPr>
              <w:t>ost bDMARD for this indication.</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TOCILIZUMAB</w:t>
            </w:r>
            <w:r>
              <w:rPr>
                <w:rFonts w:ascii="Arial" w:hAnsi="Arial" w:cs="Arial"/>
                <w:color w:val="000000"/>
              </w:rPr>
              <w:br/>
            </w:r>
            <w:r>
              <w:rPr>
                <w:rFonts w:ascii="Arial" w:hAnsi="Arial" w:cs="Arial"/>
                <w:color w:val="000000"/>
              </w:rPr>
              <w:br/>
              <w:t>Injection 162 mg in 0.9 mL pre-filled pen</w:t>
            </w:r>
            <w:r>
              <w:rPr>
                <w:rFonts w:ascii="Arial" w:hAnsi="Arial" w:cs="Arial"/>
                <w:color w:val="000000"/>
              </w:rPr>
              <w:br/>
            </w:r>
            <w:r>
              <w:rPr>
                <w:rFonts w:ascii="Arial" w:hAnsi="Arial" w:cs="Arial"/>
                <w:color w:val="000000"/>
              </w:rPr>
              <w:br/>
              <w:t>Actemra® Subcutaneous Injection</w:t>
            </w:r>
            <w:r>
              <w:rPr>
                <w:rFonts w:ascii="Arial" w:hAnsi="Arial" w:cs="Arial"/>
                <w:color w:val="000000"/>
              </w:rPr>
              <w:br/>
            </w:r>
            <w:r>
              <w:rPr>
                <w:rFonts w:ascii="Arial" w:hAnsi="Arial" w:cs="Arial"/>
                <w:color w:val="000000"/>
              </w:rPr>
              <w:br/>
              <w:t>Roche Products Pty Ltd</w:t>
            </w:r>
          </w:p>
          <w:p w:rsidR="00F95241" w:rsidRDefault="00F95241" w:rsidP="00216452">
            <w:pPr>
              <w:rPr>
                <w:rFonts w:ascii="Arial" w:hAnsi="Arial" w:cs="Arial"/>
                <w:color w:val="000000"/>
              </w:rPr>
            </w:pPr>
          </w:p>
          <w:p w:rsidR="00F95241" w:rsidRDefault="00F95241" w:rsidP="003642C8">
            <w:pPr>
              <w:rPr>
                <w:rFonts w:ascii="Arial" w:hAnsi="Arial" w:cs="Arial"/>
              </w:rPr>
            </w:pPr>
            <w:r>
              <w:rPr>
                <w:rFonts w:ascii="Arial" w:hAnsi="Arial" w:cs="Arial"/>
              </w:rPr>
              <w:t>New listing</w:t>
            </w:r>
          </w:p>
          <w:p w:rsidR="00F95241" w:rsidRPr="007F7D95" w:rsidRDefault="00F95241" w:rsidP="003642C8">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216452">
            <w:pPr>
              <w:rPr>
                <w:rFonts w:ascii="Arial" w:hAnsi="Arial" w:cs="Arial"/>
                <w:color w:val="000000"/>
              </w:rPr>
            </w:pPr>
            <w:r>
              <w:rPr>
                <w:rFonts w:ascii="Arial" w:hAnsi="Arial" w:cs="Arial"/>
                <w:color w:val="000000"/>
              </w:rPr>
              <w:t>Severe active rheumatoid arthritis</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1105A4">
            <w:pPr>
              <w:rPr>
                <w:rFonts w:ascii="Arial" w:hAnsi="Arial" w:cs="Arial"/>
                <w:color w:val="000000"/>
              </w:rPr>
            </w:pPr>
            <w:r>
              <w:rPr>
                <w:rFonts w:ascii="Arial" w:hAnsi="Arial" w:cs="Arial"/>
                <w:color w:val="000000"/>
              </w:rPr>
              <w:t>To request an Authority Required listing of a new form of subcutaneous tocilizumab.</w:t>
            </w:r>
          </w:p>
        </w:tc>
        <w:tc>
          <w:tcPr>
            <w:tcW w:w="7104" w:type="dxa"/>
            <w:tcBorders>
              <w:top w:val="single" w:sz="4" w:space="0" w:color="auto"/>
              <w:left w:val="single" w:sz="4" w:space="0" w:color="auto"/>
              <w:bottom w:val="single" w:sz="4" w:space="0" w:color="auto"/>
              <w:right w:val="single" w:sz="4" w:space="0" w:color="auto"/>
            </w:tcBorders>
          </w:tcPr>
          <w:p w:rsidR="009028D4" w:rsidRPr="009C152B" w:rsidRDefault="00F95241" w:rsidP="00216452">
            <w:pPr>
              <w:rPr>
                <w:rFonts w:ascii="Arial" w:hAnsi="Arial" w:cs="Arial"/>
                <w:color w:val="000000"/>
                <w:sz w:val="24"/>
                <w:szCs w:val="24"/>
              </w:rPr>
            </w:pPr>
            <w:r w:rsidRPr="009C152B">
              <w:rPr>
                <w:rFonts w:ascii="Arial" w:hAnsi="Arial" w:cs="Arial"/>
                <w:color w:val="000000"/>
              </w:rPr>
              <w:t>The PBAC recommended the Authority Required listing of a new form of subcutaneous tocilizumab (162 mg in 0.9 mL) delivered in an auto-injector for the treatment of severe active rheumatoid arthritis (RA) in adult patients. The PBAC advised that the new form of tocilizumab should not be considered equivalent for the purposes of substitution (‘a’ flagged in the Schedule) to the existing pre-filled syringe due to</w:t>
            </w:r>
            <w:r w:rsidR="00DD21EF" w:rsidRPr="00DD21EF">
              <w:rPr>
                <w:rFonts w:ascii="Arial" w:hAnsi="Arial" w:cs="Arial"/>
                <w:color w:val="000000"/>
              </w:rPr>
              <w:t xml:space="preserve"> the differences in the administration techniques between the devices</w:t>
            </w:r>
            <w:r w:rsidRPr="009C152B">
              <w:rPr>
                <w:rFonts w:ascii="Arial" w:hAnsi="Arial" w:cs="Arial"/>
                <w:color w:val="000000"/>
              </w:rPr>
              <w:t>.</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lastRenderedPageBreak/>
              <w:t>TOLVAPTAN</w:t>
            </w:r>
            <w:r>
              <w:rPr>
                <w:rFonts w:ascii="Arial" w:hAnsi="Arial" w:cs="Arial"/>
                <w:color w:val="000000"/>
              </w:rPr>
              <w:br/>
            </w:r>
            <w:r>
              <w:rPr>
                <w:rFonts w:ascii="Arial" w:hAnsi="Arial" w:cs="Arial"/>
                <w:color w:val="000000"/>
              </w:rPr>
              <w:br/>
              <w:t>Pack containing 28 tablets 15 mg and 28 tablets 45 mg</w:t>
            </w:r>
            <w:r>
              <w:rPr>
                <w:rFonts w:ascii="Arial" w:hAnsi="Arial" w:cs="Arial"/>
                <w:color w:val="000000"/>
              </w:rPr>
              <w:br/>
              <w:t>Pack containing 28 tablets 30 mg and 28 tablets 60 mg</w:t>
            </w:r>
            <w:r>
              <w:rPr>
                <w:rFonts w:ascii="Arial" w:hAnsi="Arial" w:cs="Arial"/>
                <w:color w:val="000000"/>
              </w:rPr>
              <w:br/>
              <w:t>Pack containing 28 tablets 30 mg and 28 tablets 90 mg</w:t>
            </w:r>
            <w:r>
              <w:rPr>
                <w:rFonts w:ascii="Arial" w:hAnsi="Arial" w:cs="Arial"/>
                <w:color w:val="000000"/>
              </w:rPr>
              <w:br/>
            </w:r>
            <w:r>
              <w:rPr>
                <w:rFonts w:ascii="Arial" w:hAnsi="Arial" w:cs="Arial"/>
                <w:color w:val="000000"/>
              </w:rPr>
              <w:br/>
              <w:t>Jinarc®</w:t>
            </w:r>
            <w:r>
              <w:rPr>
                <w:rFonts w:ascii="Arial" w:hAnsi="Arial" w:cs="Arial"/>
                <w:color w:val="000000"/>
              </w:rPr>
              <w:br/>
            </w:r>
            <w:r>
              <w:rPr>
                <w:rFonts w:ascii="Arial" w:hAnsi="Arial" w:cs="Arial"/>
                <w:color w:val="000000"/>
              </w:rPr>
              <w:br/>
              <w:t>Otsuka Australia Pharmaceutical Pty Ltd</w:t>
            </w:r>
          </w:p>
          <w:p w:rsidR="00F95241" w:rsidRDefault="00F95241" w:rsidP="00216452">
            <w:pPr>
              <w:rPr>
                <w:rFonts w:ascii="Arial" w:hAnsi="Arial" w:cs="Arial"/>
                <w:color w:val="000000"/>
              </w:rPr>
            </w:pPr>
          </w:p>
          <w:p w:rsidR="00F95241" w:rsidRDefault="00F95241" w:rsidP="00216452">
            <w:pPr>
              <w:rPr>
                <w:rFonts w:ascii="Arial" w:hAnsi="Arial" w:cs="Arial"/>
                <w:color w:val="000000"/>
              </w:rPr>
            </w:pPr>
            <w:r>
              <w:rPr>
                <w:rFonts w:ascii="Arial" w:hAnsi="Arial" w:cs="Arial"/>
                <w:color w:val="000000"/>
              </w:rPr>
              <w:t>New listing</w:t>
            </w:r>
          </w:p>
          <w:p w:rsidR="00F95241" w:rsidRPr="007F7D95" w:rsidRDefault="00F95241" w:rsidP="00216452">
            <w:pPr>
              <w:rPr>
                <w:rFonts w:ascii="Arial" w:hAnsi="Arial" w:cs="Arial"/>
                <w:color w:val="000000"/>
              </w:rPr>
            </w:pPr>
            <w:r>
              <w:rPr>
                <w:rFonts w:ascii="Arial" w:hAnsi="Arial" w:cs="Arial"/>
                <w:color w:val="000000"/>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1105A4">
            <w:pPr>
              <w:rPr>
                <w:rFonts w:ascii="Arial" w:hAnsi="Arial" w:cs="Arial"/>
                <w:color w:val="000000"/>
              </w:rPr>
            </w:pPr>
            <w:r>
              <w:rPr>
                <w:rFonts w:ascii="Arial" w:hAnsi="Arial" w:cs="Arial"/>
                <w:color w:val="000000"/>
              </w:rPr>
              <w:t>Autosomal dominant polycystic kidney disease (ADPKD)</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1105A4">
            <w:pPr>
              <w:rPr>
                <w:rFonts w:ascii="Arial" w:hAnsi="Arial" w:cs="Arial"/>
                <w:color w:val="000000"/>
              </w:rPr>
            </w:pPr>
            <w:r>
              <w:rPr>
                <w:rFonts w:ascii="Arial" w:hAnsi="Arial" w:cs="Arial"/>
                <w:color w:val="000000"/>
              </w:rPr>
              <w:t>Resubmission to request an Authority Required listing for the treatment of autosomal dominant polycystic kidney disease (ADPKD).</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F95241" w:rsidRDefault="00F95241" w:rsidP="00D41A86">
            <w:pPr>
              <w:jc w:val="both"/>
              <w:rPr>
                <w:rFonts w:ascii="Arial" w:hAnsi="Arial" w:cs="Arial"/>
                <w:color w:val="000000"/>
                <w:szCs w:val="22"/>
              </w:rPr>
            </w:pPr>
            <w:r>
              <w:rPr>
                <w:rFonts w:ascii="Arial" w:hAnsi="Arial" w:cs="Arial"/>
                <w:color w:val="000000"/>
                <w:szCs w:val="22"/>
              </w:rPr>
              <w:t xml:space="preserve">The PBAC recommended the </w:t>
            </w:r>
            <w:r>
              <w:rPr>
                <w:rFonts w:ascii="Arial" w:hAnsi="Arial" w:cs="Arial"/>
                <w:color w:val="000000"/>
              </w:rPr>
              <w:t xml:space="preserve">Authority Required </w:t>
            </w:r>
            <w:r w:rsidRPr="00D41A86">
              <w:rPr>
                <w:rFonts w:ascii="Arial" w:hAnsi="Arial" w:cs="Arial"/>
                <w:color w:val="000000"/>
                <w:szCs w:val="22"/>
              </w:rPr>
              <w:t>listing of tolvaptan in patients with autosomal dominant poly</w:t>
            </w:r>
            <w:r>
              <w:rPr>
                <w:rFonts w:ascii="Arial" w:hAnsi="Arial" w:cs="Arial"/>
                <w:color w:val="000000"/>
                <w:szCs w:val="22"/>
              </w:rPr>
              <w:t xml:space="preserve">cystic kidney disease (ADPKD). </w:t>
            </w:r>
            <w:r w:rsidRPr="00D41A86">
              <w:rPr>
                <w:rFonts w:ascii="Arial" w:hAnsi="Arial" w:cs="Arial"/>
                <w:color w:val="000000"/>
                <w:szCs w:val="22"/>
              </w:rPr>
              <w:t xml:space="preserve">The PBAC was satisfied that for some patients, tolvaptan provides a small benefit although its effect on the prevention of end stage kidney disease (ESKD) is uncertain. The PBAC considered that whilst the modelled cost-effectiveness remained highly variable, the cost effectiveness of tolvaptan at the reduced price offered, in conjunction with proposed </w:t>
            </w:r>
            <w:r>
              <w:rPr>
                <w:rFonts w:ascii="Arial" w:hAnsi="Arial" w:cs="Arial"/>
                <w:color w:val="000000"/>
                <w:szCs w:val="22"/>
              </w:rPr>
              <w:t>Risk Share Agreement</w:t>
            </w:r>
            <w:r w:rsidRPr="00D41A86">
              <w:rPr>
                <w:rFonts w:ascii="Arial" w:hAnsi="Arial" w:cs="Arial"/>
                <w:color w:val="000000"/>
                <w:szCs w:val="22"/>
              </w:rPr>
              <w:t>, would be acceptable for patients with stage 2–3 chronic kidney disease (CKD) and rapid disease progression.</w:t>
            </w:r>
          </w:p>
          <w:p w:rsidR="001105A4" w:rsidRDefault="001105A4" w:rsidP="00D41A86">
            <w:pPr>
              <w:jc w:val="both"/>
              <w:rPr>
                <w:rFonts w:ascii="Arial" w:hAnsi="Arial" w:cs="Arial"/>
                <w:color w:val="000000"/>
                <w:szCs w:val="22"/>
              </w:rPr>
            </w:pPr>
          </w:p>
          <w:p w:rsidR="00E0442E" w:rsidRPr="00D41A86" w:rsidRDefault="00F95241" w:rsidP="00D41A86">
            <w:pPr>
              <w:jc w:val="both"/>
              <w:rPr>
                <w:rFonts w:ascii="Calibri" w:hAnsi="Calibri" w:cs="Calibri"/>
                <w:color w:val="000000"/>
                <w:sz w:val="22"/>
                <w:szCs w:val="22"/>
              </w:rPr>
            </w:pPr>
            <w:r w:rsidRPr="00D41A86">
              <w:rPr>
                <w:rFonts w:ascii="Arial" w:hAnsi="Arial" w:cs="Arial"/>
                <w:color w:val="000000"/>
                <w:szCs w:val="22"/>
              </w:rPr>
              <w:t>The PBAC acknowledged the current and previously expressed significant public interest in the listing of tolvaptan in the AKPD population.</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t>TRIFLURIDINE + TIPIRACIL</w:t>
            </w:r>
            <w:r>
              <w:rPr>
                <w:rFonts w:ascii="Arial" w:hAnsi="Arial" w:cs="Arial"/>
                <w:color w:val="000000"/>
              </w:rPr>
              <w:br/>
            </w:r>
            <w:r>
              <w:rPr>
                <w:rFonts w:ascii="Arial" w:hAnsi="Arial" w:cs="Arial"/>
                <w:color w:val="000000"/>
              </w:rPr>
              <w:br/>
              <w:t>Tablet containing 15 mg trifluridine with 6.14 mg tipiracil (as hydrochloride)</w:t>
            </w:r>
            <w:r>
              <w:rPr>
                <w:rFonts w:ascii="Arial" w:hAnsi="Arial" w:cs="Arial"/>
                <w:color w:val="000000"/>
              </w:rPr>
              <w:br/>
              <w:t>Tablet containing 20 mg trifluridine with 8.19 mg tipiracil (as hydrochloride)</w:t>
            </w:r>
            <w:r>
              <w:rPr>
                <w:rFonts w:ascii="Arial" w:hAnsi="Arial" w:cs="Arial"/>
                <w:color w:val="000000"/>
              </w:rPr>
              <w:br/>
            </w:r>
            <w:r>
              <w:rPr>
                <w:rFonts w:ascii="Arial" w:hAnsi="Arial" w:cs="Arial"/>
                <w:color w:val="000000"/>
              </w:rPr>
              <w:br/>
              <w:t>LONSURF®</w:t>
            </w:r>
            <w:r>
              <w:rPr>
                <w:rFonts w:ascii="Arial" w:hAnsi="Arial" w:cs="Arial"/>
                <w:color w:val="000000"/>
              </w:rPr>
              <w:br/>
            </w:r>
            <w:r>
              <w:rPr>
                <w:rFonts w:ascii="Arial" w:hAnsi="Arial" w:cs="Arial"/>
                <w:color w:val="000000"/>
              </w:rPr>
              <w:br/>
              <w:t>Servier Laboratories (Australia) Pty Ltd</w:t>
            </w:r>
          </w:p>
          <w:p w:rsidR="00F95241" w:rsidRDefault="00F95241" w:rsidP="00216452">
            <w:pPr>
              <w:rPr>
                <w:rFonts w:ascii="Arial" w:hAnsi="Arial" w:cs="Arial"/>
                <w:color w:val="000000"/>
              </w:rPr>
            </w:pPr>
          </w:p>
          <w:p w:rsidR="00F95241" w:rsidRDefault="00F95241" w:rsidP="00216452">
            <w:pPr>
              <w:rPr>
                <w:rFonts w:ascii="Arial" w:hAnsi="Arial" w:cs="Arial"/>
                <w:color w:val="000000"/>
              </w:rPr>
            </w:pPr>
            <w:r>
              <w:rPr>
                <w:rFonts w:ascii="Arial" w:hAnsi="Arial" w:cs="Arial"/>
                <w:color w:val="000000"/>
              </w:rPr>
              <w:t>New listing</w:t>
            </w:r>
          </w:p>
          <w:p w:rsidR="00F95241" w:rsidRPr="007F7D95" w:rsidRDefault="00F95241" w:rsidP="00216452">
            <w:pPr>
              <w:rPr>
                <w:rFonts w:ascii="Arial" w:hAnsi="Arial" w:cs="Arial"/>
                <w:color w:val="000000"/>
              </w:rPr>
            </w:pPr>
            <w:r>
              <w:rPr>
                <w:rFonts w:ascii="Arial" w:hAnsi="Arial" w:cs="Arial"/>
                <w:color w:val="000000"/>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1105A4">
            <w:pPr>
              <w:rPr>
                <w:rFonts w:ascii="Arial" w:hAnsi="Arial" w:cs="Arial"/>
                <w:color w:val="000000"/>
              </w:rPr>
            </w:pPr>
            <w:r>
              <w:rPr>
                <w:rFonts w:ascii="Arial" w:hAnsi="Arial" w:cs="Arial"/>
                <w:color w:val="000000"/>
              </w:rPr>
              <w:t>Metastatic colorectal cancer</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1105A4">
            <w:pPr>
              <w:rPr>
                <w:rFonts w:ascii="Arial" w:hAnsi="Arial" w:cs="Arial"/>
                <w:color w:val="000000"/>
              </w:rPr>
            </w:pPr>
            <w:r>
              <w:rPr>
                <w:rFonts w:ascii="Arial" w:hAnsi="Arial" w:cs="Arial"/>
                <w:color w:val="000000"/>
              </w:rPr>
              <w:t>Resubmission to request an Authority Required (STREAMLINED) listing for adult patients with metastatic colorectal cancer.</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E0442E" w:rsidRPr="00914BFF" w:rsidRDefault="00F95241" w:rsidP="00E0442E">
            <w:pPr>
              <w:rPr>
                <w:rFonts w:ascii="Calibri" w:hAnsi="Calibri" w:cs="Calibri"/>
                <w:color w:val="000000"/>
                <w:sz w:val="22"/>
                <w:szCs w:val="22"/>
              </w:rPr>
            </w:pPr>
            <w:r w:rsidRPr="00914BFF">
              <w:rPr>
                <w:rFonts w:ascii="Arial" w:hAnsi="Arial" w:cs="Arial"/>
                <w:color w:val="000000"/>
                <w:szCs w:val="22"/>
              </w:rPr>
              <w:t>The PBAC recommended the</w:t>
            </w:r>
            <w:r>
              <w:rPr>
                <w:rFonts w:ascii="Arial" w:hAnsi="Arial" w:cs="Arial"/>
                <w:color w:val="000000"/>
                <w:szCs w:val="22"/>
              </w:rPr>
              <w:t xml:space="preserve"> </w:t>
            </w:r>
            <w:r>
              <w:rPr>
                <w:rFonts w:ascii="Arial" w:hAnsi="Arial" w:cs="Arial"/>
                <w:color w:val="000000"/>
              </w:rPr>
              <w:t>Authority Required (STREAMLINED)</w:t>
            </w:r>
            <w:r w:rsidRPr="00914BFF">
              <w:rPr>
                <w:rFonts w:ascii="Arial" w:hAnsi="Arial" w:cs="Arial"/>
                <w:color w:val="000000"/>
                <w:szCs w:val="22"/>
              </w:rPr>
              <w:t xml:space="preserve"> listing of trifluridine with tipiracil for the treatment of patients with metastatic colorectal cancer who have been treated previously or are not considered suitable for current available therapies. The PBAC considered that in the context of limited treatment options in this disease setting, the small treatment benefit of trifluridine with tipiracil may be meaningful for some patients. The PBAC considered that the reduced price proposed in conjunction with the proposed </w:t>
            </w:r>
            <w:r>
              <w:rPr>
                <w:rFonts w:ascii="Arial" w:hAnsi="Arial" w:cs="Arial"/>
                <w:color w:val="000000"/>
                <w:szCs w:val="22"/>
              </w:rPr>
              <w:t>Risk Share Agreement</w:t>
            </w:r>
            <w:r w:rsidRPr="00914BFF">
              <w:rPr>
                <w:rFonts w:ascii="Arial" w:hAnsi="Arial" w:cs="Arial"/>
                <w:color w:val="000000"/>
                <w:szCs w:val="22"/>
              </w:rPr>
              <w:t xml:space="preserve">, were adequate to address the </w:t>
            </w:r>
            <w:r w:rsidR="00E0442E">
              <w:rPr>
                <w:rFonts w:ascii="Arial" w:hAnsi="Arial" w:cs="Arial"/>
                <w:color w:val="000000"/>
                <w:szCs w:val="22"/>
              </w:rPr>
              <w:t>residual</w:t>
            </w:r>
            <w:r w:rsidR="00E0442E" w:rsidRPr="00914BFF">
              <w:rPr>
                <w:rFonts w:ascii="Arial" w:hAnsi="Arial" w:cs="Arial"/>
                <w:color w:val="000000"/>
                <w:szCs w:val="22"/>
              </w:rPr>
              <w:t xml:space="preserve"> </w:t>
            </w:r>
            <w:r w:rsidRPr="00914BFF">
              <w:rPr>
                <w:rFonts w:ascii="Arial" w:hAnsi="Arial" w:cs="Arial"/>
                <w:color w:val="000000"/>
                <w:szCs w:val="22"/>
              </w:rPr>
              <w:t>uncertainty around cost-effectiveness and budget impact.</w:t>
            </w:r>
            <w:r w:rsidRPr="00914BFF">
              <w:rPr>
                <w:rFonts w:ascii="Calibri" w:hAnsi="Calibri" w:cs="Calibri"/>
                <w:color w:val="000000"/>
                <w:sz w:val="22"/>
                <w:szCs w:val="22"/>
              </w:rPr>
              <w:t xml:space="preserve"> </w:t>
            </w:r>
          </w:p>
        </w:tc>
      </w:tr>
      <w:tr w:rsidR="00F95241"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Default="00F95241" w:rsidP="00216452">
            <w:pPr>
              <w:rPr>
                <w:rFonts w:ascii="Arial" w:hAnsi="Arial" w:cs="Arial"/>
                <w:color w:val="000000"/>
              </w:rPr>
            </w:pPr>
            <w:r>
              <w:rPr>
                <w:rFonts w:ascii="Arial" w:hAnsi="Arial" w:cs="Arial"/>
                <w:color w:val="000000"/>
              </w:rPr>
              <w:lastRenderedPageBreak/>
              <w:t>TRIGLYCERIDES MEDIUM CHAIN FORMULA</w:t>
            </w:r>
            <w:r>
              <w:rPr>
                <w:rFonts w:ascii="Arial" w:hAnsi="Arial" w:cs="Arial"/>
                <w:color w:val="000000"/>
              </w:rPr>
              <w:br/>
            </w:r>
            <w:r>
              <w:rPr>
                <w:rFonts w:ascii="Arial" w:hAnsi="Arial" w:cs="Arial"/>
                <w:color w:val="000000"/>
              </w:rPr>
              <w:br/>
              <w:t>Sachets containing oral powder 16 g, 30 (MCT Pro</w:t>
            </w:r>
            <w:r>
              <w:rPr>
                <w:rFonts w:ascii="Arial" w:hAnsi="Arial" w:cs="Arial"/>
                <w:color w:val="000000"/>
              </w:rPr>
              <w:noBreakHyphen/>
              <w:t>Cal)</w:t>
            </w:r>
            <w:r>
              <w:rPr>
                <w:rFonts w:ascii="Arial" w:hAnsi="Arial" w:cs="Arial"/>
                <w:color w:val="000000"/>
              </w:rPr>
              <w:br/>
            </w:r>
            <w:r>
              <w:rPr>
                <w:rFonts w:ascii="Arial" w:hAnsi="Arial" w:cs="Arial"/>
                <w:color w:val="000000"/>
              </w:rPr>
              <w:br/>
              <w:t>MCT Pro-Cal</w:t>
            </w:r>
            <w:r>
              <w:rPr>
                <w:rFonts w:ascii="Arial" w:hAnsi="Arial" w:cs="Arial"/>
                <w:color w:val="000000"/>
              </w:rPr>
              <w:br/>
            </w:r>
            <w:r>
              <w:rPr>
                <w:rFonts w:ascii="Arial" w:hAnsi="Arial" w:cs="Arial"/>
                <w:color w:val="000000"/>
              </w:rPr>
              <w:br/>
              <w:t>Vitaflo Australia Pty Limited</w:t>
            </w:r>
          </w:p>
          <w:p w:rsidR="00F95241" w:rsidRDefault="00F95241" w:rsidP="00216452">
            <w:pPr>
              <w:rPr>
                <w:rFonts w:ascii="Arial" w:hAnsi="Arial" w:cs="Arial"/>
                <w:color w:val="000000"/>
              </w:rPr>
            </w:pPr>
          </w:p>
          <w:p w:rsidR="00F95241" w:rsidRDefault="00F95241" w:rsidP="001F60A0">
            <w:pPr>
              <w:rPr>
                <w:rFonts w:ascii="Arial" w:hAnsi="Arial" w:cs="Arial"/>
              </w:rPr>
            </w:pPr>
            <w:r>
              <w:rPr>
                <w:rFonts w:ascii="Arial" w:hAnsi="Arial" w:cs="Arial"/>
              </w:rPr>
              <w:t>Change to listing</w:t>
            </w:r>
          </w:p>
          <w:p w:rsidR="00F95241" w:rsidRPr="007F7D95" w:rsidRDefault="00F95241" w:rsidP="001F60A0">
            <w:pPr>
              <w:rPr>
                <w:rFonts w:ascii="Arial" w:hAnsi="Arial" w:cs="Arial"/>
                <w:color w:val="000000"/>
              </w:rPr>
            </w:pPr>
            <w:r>
              <w:rPr>
                <w:rFonts w:ascii="Arial" w:hAnsi="Arial" w:cs="Arial"/>
              </w:rPr>
              <w:t>(Minor Submission)</w:t>
            </w:r>
          </w:p>
        </w:tc>
        <w:tc>
          <w:tcPr>
            <w:tcW w:w="2440"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1105A4">
            <w:pPr>
              <w:rPr>
                <w:rFonts w:ascii="Arial" w:hAnsi="Arial" w:cs="Arial"/>
                <w:color w:val="000000"/>
              </w:rPr>
            </w:pPr>
            <w:r>
              <w:rPr>
                <w:rFonts w:ascii="Arial" w:hAnsi="Arial" w:cs="Arial"/>
                <w:color w:val="000000"/>
              </w:rPr>
              <w:t>Chylous ascites;</w:t>
            </w:r>
            <w:r>
              <w:rPr>
                <w:rFonts w:ascii="Arial" w:hAnsi="Arial" w:cs="Arial"/>
                <w:color w:val="000000"/>
              </w:rPr>
              <w:br/>
              <w:t>Chylothorax;</w:t>
            </w:r>
            <w:r>
              <w:rPr>
                <w:rFonts w:ascii="Arial" w:hAnsi="Arial" w:cs="Arial"/>
                <w:color w:val="000000"/>
              </w:rPr>
              <w:br/>
              <w:t>Fat malabsorption;</w:t>
            </w:r>
            <w:r>
              <w:rPr>
                <w:rFonts w:ascii="Arial" w:hAnsi="Arial" w:cs="Arial"/>
                <w:color w:val="000000"/>
              </w:rPr>
              <w:br/>
              <w:t>Hyperlipoproteinanaemia type 1;</w:t>
            </w:r>
            <w:r>
              <w:rPr>
                <w:rFonts w:ascii="Arial" w:hAnsi="Arial" w:cs="Arial"/>
                <w:color w:val="000000"/>
              </w:rPr>
              <w:br/>
              <w:t>Long chain fatty acid oxidation disorders</w:t>
            </w:r>
          </w:p>
        </w:tc>
        <w:tc>
          <w:tcPr>
            <w:tcW w:w="2967" w:type="dxa"/>
            <w:tcBorders>
              <w:top w:val="single" w:sz="4" w:space="0" w:color="auto"/>
              <w:left w:val="single" w:sz="4" w:space="0" w:color="auto"/>
              <w:bottom w:val="single" w:sz="4" w:space="0" w:color="auto"/>
              <w:right w:val="single" w:sz="4" w:space="0" w:color="auto"/>
            </w:tcBorders>
            <w:tcMar>
              <w:top w:w="28" w:type="dxa"/>
              <w:bottom w:w="28" w:type="dxa"/>
            </w:tcMar>
          </w:tcPr>
          <w:p w:rsidR="00F95241" w:rsidRPr="007F7D95" w:rsidRDefault="00F95241" w:rsidP="001105A4">
            <w:pPr>
              <w:rPr>
                <w:rFonts w:ascii="Arial" w:hAnsi="Arial" w:cs="Arial"/>
                <w:color w:val="000000"/>
              </w:rPr>
            </w:pPr>
            <w:r>
              <w:rPr>
                <w:rFonts w:ascii="Arial" w:hAnsi="Arial" w:cs="Arial"/>
                <w:color w:val="000000"/>
              </w:rPr>
              <w:t>To request a minor formulation change and new age restriction for the existing Authority Required (STREAMLINED) listing of MCT Pro-Cal.</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F95241" w:rsidRPr="00614179" w:rsidRDefault="00F95241" w:rsidP="001105A4">
            <w:pPr>
              <w:rPr>
                <w:rFonts w:ascii="Arial" w:hAnsi="Arial" w:cs="Arial"/>
                <w:color w:val="000000"/>
              </w:rPr>
            </w:pPr>
            <w:r w:rsidRPr="005B2E08">
              <w:rPr>
                <w:rFonts w:ascii="Arial" w:hAnsi="Arial" w:cs="Arial"/>
                <w:color w:val="000000"/>
              </w:rPr>
              <w:t>The PBAC recommended the continued listing of triglycerides medium chain formula (MCT Pro-Cal®) with the minor change in nutritional profile and changes in the label description.</w:t>
            </w:r>
          </w:p>
        </w:tc>
      </w:tr>
      <w:tr w:rsidR="00C618E5" w:rsidRPr="003D7E12" w:rsidTr="005478AD">
        <w:trPr>
          <w:cantSplit/>
          <w:trHeight w:val="430"/>
        </w:trPr>
        <w:tc>
          <w:tcPr>
            <w:tcW w:w="310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18E5" w:rsidRDefault="00C618E5" w:rsidP="00216452">
            <w:pPr>
              <w:rPr>
                <w:rFonts w:ascii="Arial" w:hAnsi="Arial" w:cs="Arial"/>
                <w:color w:val="000000"/>
              </w:rPr>
            </w:pPr>
            <w:r>
              <w:rPr>
                <w:rFonts w:ascii="Arial" w:hAnsi="Arial" w:cs="Arial"/>
                <w:color w:val="000000"/>
              </w:rPr>
              <w:t xml:space="preserve">ZOLEDRONIC ACID </w:t>
            </w:r>
          </w:p>
          <w:p w:rsidR="00C618E5" w:rsidRDefault="00C618E5" w:rsidP="00216452">
            <w:pPr>
              <w:rPr>
                <w:rFonts w:ascii="Arial" w:hAnsi="Arial" w:cs="Arial"/>
                <w:color w:val="000000"/>
              </w:rPr>
            </w:pPr>
          </w:p>
          <w:p w:rsidR="00C618E5" w:rsidRDefault="00C618E5" w:rsidP="00216452">
            <w:pPr>
              <w:rPr>
                <w:rFonts w:ascii="Arial" w:hAnsi="Arial" w:cs="Arial"/>
                <w:color w:val="000000"/>
              </w:rPr>
            </w:pPr>
            <w:r>
              <w:rPr>
                <w:rFonts w:ascii="Arial" w:hAnsi="Arial" w:cs="Arial"/>
                <w:color w:val="000000"/>
              </w:rPr>
              <w:t>Injection concentrate for I.V. infusion 4 mg (as monohydrate) in 5 mL, 5 vials</w:t>
            </w:r>
          </w:p>
          <w:p w:rsidR="00C618E5" w:rsidRDefault="00C618E5" w:rsidP="00216452">
            <w:pPr>
              <w:rPr>
                <w:rFonts w:ascii="Arial" w:hAnsi="Arial" w:cs="Arial"/>
                <w:color w:val="000000"/>
              </w:rPr>
            </w:pPr>
          </w:p>
          <w:p w:rsidR="00C618E5" w:rsidRDefault="00C618E5" w:rsidP="00216452">
            <w:pPr>
              <w:rPr>
                <w:rFonts w:ascii="Arial" w:hAnsi="Arial" w:cs="Arial"/>
                <w:color w:val="000000"/>
              </w:rPr>
            </w:pPr>
            <w:r>
              <w:rPr>
                <w:rFonts w:ascii="Arial" w:hAnsi="Arial" w:cs="Arial"/>
                <w:color w:val="000000"/>
              </w:rPr>
              <w:t>Claris Lifesciences Zoledronic Acid®</w:t>
            </w:r>
          </w:p>
          <w:p w:rsidR="00C618E5" w:rsidRDefault="00C618E5" w:rsidP="00216452">
            <w:pPr>
              <w:rPr>
                <w:rFonts w:ascii="Arial" w:hAnsi="Arial" w:cs="Arial"/>
                <w:color w:val="000000"/>
              </w:rPr>
            </w:pPr>
          </w:p>
          <w:p w:rsidR="00C618E5" w:rsidRDefault="00C618E5" w:rsidP="00216452">
            <w:pPr>
              <w:rPr>
                <w:rFonts w:ascii="Arial" w:hAnsi="Arial" w:cs="Arial"/>
                <w:color w:val="000000"/>
              </w:rPr>
            </w:pPr>
            <w:r>
              <w:rPr>
                <w:rFonts w:ascii="Arial" w:hAnsi="Arial" w:cs="Arial"/>
                <w:color w:val="000000"/>
              </w:rPr>
              <w:t>Medsurge Healthcare Pty Ltd</w:t>
            </w:r>
          </w:p>
          <w:p w:rsidR="00C618E5" w:rsidRDefault="00C618E5" w:rsidP="00216452">
            <w:pPr>
              <w:rPr>
                <w:rFonts w:ascii="Arial" w:hAnsi="Arial" w:cs="Arial"/>
                <w:color w:val="000000"/>
              </w:rPr>
            </w:pPr>
          </w:p>
          <w:p w:rsidR="00C618E5" w:rsidRDefault="001366E9" w:rsidP="00216452">
            <w:pPr>
              <w:rPr>
                <w:rFonts w:ascii="Arial" w:hAnsi="Arial" w:cs="Arial"/>
                <w:color w:val="000000"/>
              </w:rPr>
            </w:pPr>
            <w:r>
              <w:rPr>
                <w:rFonts w:ascii="Arial" w:hAnsi="Arial" w:cs="Arial"/>
                <w:color w:val="000000"/>
              </w:rPr>
              <w:t>New Listings</w:t>
            </w:r>
          </w:p>
          <w:p w:rsidR="008D12A8" w:rsidRDefault="008D12A8" w:rsidP="00216452">
            <w:pPr>
              <w:rPr>
                <w:rFonts w:ascii="Arial" w:hAnsi="Arial" w:cs="Arial"/>
                <w:color w:val="000000"/>
              </w:rPr>
            </w:pPr>
            <w:r>
              <w:rPr>
                <w:rFonts w:ascii="Arial" w:hAnsi="Arial" w:cs="Arial"/>
                <w:color w:val="000000"/>
              </w:rPr>
              <w:t>(Minor Submission)</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18E5" w:rsidRDefault="00C618E5" w:rsidP="00355E1B">
            <w:pPr>
              <w:rPr>
                <w:rFonts w:ascii="Arial" w:hAnsi="Arial" w:cs="Arial"/>
                <w:color w:val="000000"/>
              </w:rPr>
            </w:pPr>
            <w:r>
              <w:rPr>
                <w:rFonts w:ascii="Arial" w:hAnsi="Arial" w:cs="Arial"/>
                <w:color w:val="000000"/>
              </w:rPr>
              <w:t>Multiple myeloma</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18E5" w:rsidRDefault="00C618E5" w:rsidP="00C618E5">
            <w:pPr>
              <w:rPr>
                <w:rFonts w:ascii="Arial" w:hAnsi="Arial" w:cs="Arial"/>
                <w:color w:val="000000"/>
              </w:rPr>
            </w:pPr>
            <w:r w:rsidRPr="00C618E5">
              <w:rPr>
                <w:rFonts w:ascii="Arial" w:hAnsi="Arial" w:cs="Arial"/>
                <w:color w:val="000000"/>
              </w:rPr>
              <w:t>To request a temporary Section 100 Highly Specialised Drug Authority Required listing of zoledronic acid (Claris Lifesciences Zoledronic Acid®) on the Pharmaceutical Benefits Schedule (PBS) as an alternative to the currently listed zoledronic acid 4 mg/5 mL form (PBS items 6371H and 9653C), to address the current supply shortage issue.</w:t>
            </w:r>
          </w:p>
        </w:tc>
        <w:tc>
          <w:tcPr>
            <w:tcW w:w="7104" w:type="dxa"/>
            <w:tcBorders>
              <w:top w:val="single" w:sz="4" w:space="0" w:color="auto"/>
              <w:left w:val="single" w:sz="4" w:space="0" w:color="auto"/>
              <w:bottom w:val="single" w:sz="4" w:space="0" w:color="auto"/>
              <w:right w:val="single" w:sz="4" w:space="0" w:color="auto"/>
            </w:tcBorders>
            <w:shd w:val="clear" w:color="auto" w:fill="auto"/>
          </w:tcPr>
          <w:p w:rsidR="00E0442E" w:rsidRPr="005B2E08" w:rsidRDefault="00944C32" w:rsidP="009E596A">
            <w:pPr>
              <w:rPr>
                <w:rFonts w:ascii="Arial" w:hAnsi="Arial" w:cs="Arial"/>
                <w:color w:val="000000"/>
              </w:rPr>
            </w:pPr>
            <w:r w:rsidRPr="00944C32">
              <w:rPr>
                <w:rFonts w:ascii="Arial" w:hAnsi="Arial" w:cs="Arial"/>
                <w:color w:val="000000"/>
              </w:rPr>
              <w:t>The PBAC recommended the temporary listing of the Claris Lifesciences Zoledronic Acid® brand (4 mg/</w:t>
            </w:r>
            <w:r w:rsidR="009E596A">
              <w:rPr>
                <w:rFonts w:ascii="Arial" w:hAnsi="Arial" w:cs="Arial"/>
                <w:color w:val="000000"/>
              </w:rPr>
              <w:t>5</w:t>
            </w:r>
            <w:bookmarkStart w:id="0" w:name="_GoBack"/>
            <w:bookmarkEnd w:id="0"/>
            <w:r w:rsidRPr="00944C32">
              <w:rPr>
                <w:rFonts w:ascii="Arial" w:hAnsi="Arial" w:cs="Arial"/>
                <w:color w:val="000000"/>
              </w:rPr>
              <w:t xml:space="preserve"> mL injection) to address the shortage of currently PBS-listed zoledronic acid brands.</w:t>
            </w:r>
          </w:p>
        </w:tc>
      </w:tr>
    </w:tbl>
    <w:p w:rsidR="00E421D6" w:rsidRDefault="00E421D6"/>
    <w:sectPr w:rsidR="00E421D6" w:rsidSect="0021645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77E" w:rsidRDefault="0081277E" w:rsidP="00CA2CEB">
      <w:r>
        <w:separator/>
      </w:r>
    </w:p>
  </w:endnote>
  <w:endnote w:type="continuationSeparator" w:id="0">
    <w:p w:rsidR="0081277E" w:rsidRDefault="0081277E" w:rsidP="00CA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7E" w:rsidRDefault="0081277E" w:rsidP="002164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81277E" w:rsidRDefault="0081277E" w:rsidP="002164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7E" w:rsidRPr="00CE0CBC" w:rsidRDefault="0081277E" w:rsidP="00216452">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9E596A">
      <w:rPr>
        <w:rStyle w:val="PageNumber"/>
        <w:rFonts w:ascii="Arial" w:hAnsi="Arial" w:cs="Arial"/>
        <w:noProof/>
      </w:rPr>
      <w:t>24</w:t>
    </w:r>
    <w:r w:rsidRPr="00CE0CBC">
      <w:rPr>
        <w:rStyle w:val="PageNumber"/>
        <w:rFonts w:ascii="Arial" w:hAnsi="Arial" w:cs="Arial"/>
      </w:rPr>
      <w:fldChar w:fldCharType="end"/>
    </w:r>
  </w:p>
  <w:p w:rsidR="0081277E" w:rsidRDefault="0081277E" w:rsidP="0021645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9F" w:rsidRDefault="00991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77E" w:rsidRDefault="0081277E" w:rsidP="00CA2CEB">
      <w:r>
        <w:separator/>
      </w:r>
    </w:p>
  </w:footnote>
  <w:footnote w:type="continuationSeparator" w:id="0">
    <w:p w:rsidR="0081277E" w:rsidRDefault="0081277E" w:rsidP="00CA2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9F" w:rsidRDefault="00991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7E" w:rsidRDefault="0081277E" w:rsidP="00216452">
    <w:pPr>
      <w:pStyle w:val="Header"/>
      <w:jc w:val="center"/>
      <w:rPr>
        <w:rFonts w:ascii="Arial" w:hAnsi="Arial" w:cs="Arial"/>
        <w:b/>
        <w:snapToGrid w:val="0"/>
        <w:lang w:eastAsia="en-US"/>
      </w:rPr>
    </w:pPr>
    <w:r>
      <w:rPr>
        <w:rFonts w:ascii="Arial" w:hAnsi="Arial" w:cs="Arial"/>
        <w:b/>
        <w:snapToGrid w:val="0"/>
        <w:lang w:eastAsia="en-US"/>
      </w:rPr>
      <w:t>JULY 2018 PBAC MEETING – POSITIVE RECOMMENDATIONS</w:t>
    </w:r>
  </w:p>
  <w:p w:rsidR="0081277E" w:rsidRDefault="0081277E" w:rsidP="00216452">
    <w:pPr>
      <w:pStyle w:val="Header"/>
      <w:jc w:val="center"/>
      <w:rPr>
        <w:rFonts w:ascii="Arial" w:hAnsi="Arial" w:cs="Arial"/>
        <w:b/>
        <w:snapToGrid w:val="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9F" w:rsidRDefault="00991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5BEE"/>
    <w:multiLevelType w:val="hybridMultilevel"/>
    <w:tmpl w:val="4EE89D54"/>
    <w:lvl w:ilvl="0" w:tplc="20EEADE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F47561"/>
    <w:multiLevelType w:val="hybridMultilevel"/>
    <w:tmpl w:val="9BAA591A"/>
    <w:lvl w:ilvl="0" w:tplc="39803DE4">
      <w:start w:val="9"/>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360D53"/>
    <w:multiLevelType w:val="hybridMultilevel"/>
    <w:tmpl w:val="9DDE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514AEB"/>
    <w:multiLevelType w:val="hybridMultilevel"/>
    <w:tmpl w:val="AC44355E"/>
    <w:lvl w:ilvl="0" w:tplc="39803DE4">
      <w:start w:val="9"/>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B9764B"/>
    <w:multiLevelType w:val="hybridMultilevel"/>
    <w:tmpl w:val="C32E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616EAC"/>
    <w:multiLevelType w:val="hybridMultilevel"/>
    <w:tmpl w:val="C82E0012"/>
    <w:lvl w:ilvl="0" w:tplc="27F8D9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236DB8"/>
    <w:multiLevelType w:val="hybridMultilevel"/>
    <w:tmpl w:val="D4BC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95A5EC1"/>
    <w:multiLevelType w:val="hybridMultilevel"/>
    <w:tmpl w:val="A6628150"/>
    <w:lvl w:ilvl="0" w:tplc="57061A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4D033C"/>
    <w:multiLevelType w:val="multilevel"/>
    <w:tmpl w:val="1B469C12"/>
    <w:lvl w:ilvl="0">
      <w:start w:val="1"/>
      <w:numFmt w:val="decimal"/>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EB"/>
    <w:rsid w:val="00016C5B"/>
    <w:rsid w:val="000217E2"/>
    <w:rsid w:val="00053FEB"/>
    <w:rsid w:val="000623C3"/>
    <w:rsid w:val="000717F4"/>
    <w:rsid w:val="00084C6C"/>
    <w:rsid w:val="000A1D18"/>
    <w:rsid w:val="000A73B1"/>
    <w:rsid w:val="000B655F"/>
    <w:rsid w:val="000C7C2D"/>
    <w:rsid w:val="000E0270"/>
    <w:rsid w:val="000E26D0"/>
    <w:rsid w:val="00105706"/>
    <w:rsid w:val="001105A4"/>
    <w:rsid w:val="0011329C"/>
    <w:rsid w:val="00124CE1"/>
    <w:rsid w:val="00125873"/>
    <w:rsid w:val="001366E9"/>
    <w:rsid w:val="00140BDF"/>
    <w:rsid w:val="00142008"/>
    <w:rsid w:val="00194CCD"/>
    <w:rsid w:val="001C4592"/>
    <w:rsid w:val="001E080C"/>
    <w:rsid w:val="001F293F"/>
    <w:rsid w:val="001F5F77"/>
    <w:rsid w:val="001F60A0"/>
    <w:rsid w:val="00216452"/>
    <w:rsid w:val="00232ECA"/>
    <w:rsid w:val="00261E00"/>
    <w:rsid w:val="002625E3"/>
    <w:rsid w:val="00277529"/>
    <w:rsid w:val="00287C8C"/>
    <w:rsid w:val="002B1DD9"/>
    <w:rsid w:val="00303701"/>
    <w:rsid w:val="00310202"/>
    <w:rsid w:val="00327552"/>
    <w:rsid w:val="00355E1B"/>
    <w:rsid w:val="003642C8"/>
    <w:rsid w:val="003673C5"/>
    <w:rsid w:val="003749DA"/>
    <w:rsid w:val="00381011"/>
    <w:rsid w:val="00381C34"/>
    <w:rsid w:val="0038479F"/>
    <w:rsid w:val="00390063"/>
    <w:rsid w:val="00393B01"/>
    <w:rsid w:val="003A05E5"/>
    <w:rsid w:val="003B7283"/>
    <w:rsid w:val="003C1791"/>
    <w:rsid w:val="0040678F"/>
    <w:rsid w:val="00420FFF"/>
    <w:rsid w:val="004353FF"/>
    <w:rsid w:val="00436AE5"/>
    <w:rsid w:val="004762E6"/>
    <w:rsid w:val="00477289"/>
    <w:rsid w:val="004865D7"/>
    <w:rsid w:val="004A1A07"/>
    <w:rsid w:val="005441A9"/>
    <w:rsid w:val="00545757"/>
    <w:rsid w:val="00546C6A"/>
    <w:rsid w:val="005478AD"/>
    <w:rsid w:val="0056205B"/>
    <w:rsid w:val="0056575D"/>
    <w:rsid w:val="005822D5"/>
    <w:rsid w:val="00582C60"/>
    <w:rsid w:val="0059083E"/>
    <w:rsid w:val="005B2E08"/>
    <w:rsid w:val="005B4EDB"/>
    <w:rsid w:val="005C136D"/>
    <w:rsid w:val="005C32BC"/>
    <w:rsid w:val="005F34FB"/>
    <w:rsid w:val="005F3FFE"/>
    <w:rsid w:val="005F5ABE"/>
    <w:rsid w:val="00606242"/>
    <w:rsid w:val="00610DD6"/>
    <w:rsid w:val="00624A24"/>
    <w:rsid w:val="00632A7B"/>
    <w:rsid w:val="00646858"/>
    <w:rsid w:val="00655BDE"/>
    <w:rsid w:val="0066611B"/>
    <w:rsid w:val="00675F60"/>
    <w:rsid w:val="006905FD"/>
    <w:rsid w:val="006A02A1"/>
    <w:rsid w:val="006B54B6"/>
    <w:rsid w:val="006D0D20"/>
    <w:rsid w:val="006D307D"/>
    <w:rsid w:val="006D57A0"/>
    <w:rsid w:val="006F79FB"/>
    <w:rsid w:val="007215E1"/>
    <w:rsid w:val="00727E15"/>
    <w:rsid w:val="00734F90"/>
    <w:rsid w:val="00740CB5"/>
    <w:rsid w:val="00791BE4"/>
    <w:rsid w:val="007E5C19"/>
    <w:rsid w:val="007E6788"/>
    <w:rsid w:val="0081277E"/>
    <w:rsid w:val="00813EF9"/>
    <w:rsid w:val="00845092"/>
    <w:rsid w:val="00857575"/>
    <w:rsid w:val="00860A5B"/>
    <w:rsid w:val="0086322D"/>
    <w:rsid w:val="00872924"/>
    <w:rsid w:val="008822D9"/>
    <w:rsid w:val="00886BD3"/>
    <w:rsid w:val="008A54D0"/>
    <w:rsid w:val="008A5807"/>
    <w:rsid w:val="008A5C32"/>
    <w:rsid w:val="008B1FCB"/>
    <w:rsid w:val="008B4B58"/>
    <w:rsid w:val="008D0109"/>
    <w:rsid w:val="008D12A8"/>
    <w:rsid w:val="00901EB3"/>
    <w:rsid w:val="009028D4"/>
    <w:rsid w:val="0090663E"/>
    <w:rsid w:val="00914BFF"/>
    <w:rsid w:val="009247DB"/>
    <w:rsid w:val="0094290F"/>
    <w:rsid w:val="00944C32"/>
    <w:rsid w:val="0097171A"/>
    <w:rsid w:val="00971D62"/>
    <w:rsid w:val="0099109F"/>
    <w:rsid w:val="009C152B"/>
    <w:rsid w:val="009C2036"/>
    <w:rsid w:val="009C4BD9"/>
    <w:rsid w:val="009D5572"/>
    <w:rsid w:val="009E596A"/>
    <w:rsid w:val="009E6070"/>
    <w:rsid w:val="00A0700F"/>
    <w:rsid w:val="00A20A92"/>
    <w:rsid w:val="00A31F32"/>
    <w:rsid w:val="00A63803"/>
    <w:rsid w:val="00A834C4"/>
    <w:rsid w:val="00A91A92"/>
    <w:rsid w:val="00AA1CFF"/>
    <w:rsid w:val="00AA7E6C"/>
    <w:rsid w:val="00AB0AD7"/>
    <w:rsid w:val="00AB6AD3"/>
    <w:rsid w:val="00AC3305"/>
    <w:rsid w:val="00AC47F0"/>
    <w:rsid w:val="00AE09AA"/>
    <w:rsid w:val="00B00506"/>
    <w:rsid w:val="00B059E7"/>
    <w:rsid w:val="00B15E8C"/>
    <w:rsid w:val="00B220D9"/>
    <w:rsid w:val="00B35329"/>
    <w:rsid w:val="00B3647A"/>
    <w:rsid w:val="00B40103"/>
    <w:rsid w:val="00B53051"/>
    <w:rsid w:val="00C205CB"/>
    <w:rsid w:val="00C22173"/>
    <w:rsid w:val="00C4230E"/>
    <w:rsid w:val="00C618E5"/>
    <w:rsid w:val="00C82AE0"/>
    <w:rsid w:val="00C87868"/>
    <w:rsid w:val="00CA2CEB"/>
    <w:rsid w:val="00CC65A5"/>
    <w:rsid w:val="00CD5AFA"/>
    <w:rsid w:val="00CF206A"/>
    <w:rsid w:val="00D13FF7"/>
    <w:rsid w:val="00D30064"/>
    <w:rsid w:val="00D4199C"/>
    <w:rsid w:val="00D41A86"/>
    <w:rsid w:val="00D45BC5"/>
    <w:rsid w:val="00D64E87"/>
    <w:rsid w:val="00D83156"/>
    <w:rsid w:val="00D85A91"/>
    <w:rsid w:val="00D93EA1"/>
    <w:rsid w:val="00D9476F"/>
    <w:rsid w:val="00DA2064"/>
    <w:rsid w:val="00DA4845"/>
    <w:rsid w:val="00DD21EF"/>
    <w:rsid w:val="00E0442E"/>
    <w:rsid w:val="00E103AD"/>
    <w:rsid w:val="00E108A9"/>
    <w:rsid w:val="00E22C0A"/>
    <w:rsid w:val="00E25313"/>
    <w:rsid w:val="00E421D6"/>
    <w:rsid w:val="00E906C8"/>
    <w:rsid w:val="00E917A2"/>
    <w:rsid w:val="00EB5C05"/>
    <w:rsid w:val="00EC0001"/>
    <w:rsid w:val="00EC2D14"/>
    <w:rsid w:val="00EC349C"/>
    <w:rsid w:val="00ED49A7"/>
    <w:rsid w:val="00F16766"/>
    <w:rsid w:val="00F216D9"/>
    <w:rsid w:val="00F3479E"/>
    <w:rsid w:val="00F45C50"/>
    <w:rsid w:val="00F73264"/>
    <w:rsid w:val="00F851A7"/>
    <w:rsid w:val="00F95241"/>
    <w:rsid w:val="00FA6817"/>
    <w:rsid w:val="00FB1356"/>
    <w:rsid w:val="00FB64B4"/>
    <w:rsid w:val="00FC320F"/>
    <w:rsid w:val="00FE6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EB"/>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2CEB"/>
    <w:pPr>
      <w:tabs>
        <w:tab w:val="center" w:pos="4153"/>
        <w:tab w:val="right" w:pos="8306"/>
      </w:tabs>
    </w:pPr>
  </w:style>
  <w:style w:type="character" w:customStyle="1" w:styleId="HeaderChar">
    <w:name w:val="Header Char"/>
    <w:basedOn w:val="DefaultParagraphFont"/>
    <w:link w:val="Header"/>
    <w:rsid w:val="00CA2CEB"/>
    <w:rPr>
      <w:rFonts w:ascii="Times New Roman" w:eastAsia="Times New Roman" w:hAnsi="Times New Roman" w:cs="Times New Roman"/>
      <w:sz w:val="20"/>
      <w:szCs w:val="20"/>
      <w:lang w:eastAsia="en-AU"/>
    </w:rPr>
  </w:style>
  <w:style w:type="paragraph" w:styleId="Footer">
    <w:name w:val="footer"/>
    <w:basedOn w:val="Normal"/>
    <w:link w:val="FooterChar"/>
    <w:rsid w:val="00CA2CEB"/>
    <w:pPr>
      <w:tabs>
        <w:tab w:val="center" w:pos="4153"/>
        <w:tab w:val="right" w:pos="8306"/>
      </w:tabs>
    </w:pPr>
  </w:style>
  <w:style w:type="character" w:customStyle="1" w:styleId="FooterChar">
    <w:name w:val="Footer Char"/>
    <w:basedOn w:val="DefaultParagraphFont"/>
    <w:link w:val="Footer"/>
    <w:rsid w:val="00CA2CEB"/>
    <w:rPr>
      <w:rFonts w:ascii="Times New Roman" w:eastAsia="Times New Roman" w:hAnsi="Times New Roman" w:cs="Times New Roman"/>
      <w:sz w:val="20"/>
      <w:szCs w:val="20"/>
      <w:lang w:eastAsia="en-AU"/>
    </w:rPr>
  </w:style>
  <w:style w:type="character" w:styleId="PageNumber">
    <w:name w:val="page number"/>
    <w:basedOn w:val="DefaultParagraphFont"/>
    <w:rsid w:val="00CA2CEB"/>
  </w:style>
  <w:style w:type="paragraph" w:styleId="ListParagraph">
    <w:name w:val="List Paragraph"/>
    <w:aliases w:val="BulletPoints,Bullet point,List Paragraph1,List Paragraph11,Recommendation,Footnote"/>
    <w:basedOn w:val="Normal"/>
    <w:link w:val="ListParagraphChar"/>
    <w:uiPriority w:val="72"/>
    <w:qFormat/>
    <w:rsid w:val="00CA2CEB"/>
    <w:pPr>
      <w:ind w:left="720"/>
      <w:contextualSpacing/>
    </w:pPr>
    <w:rPr>
      <w:rFonts w:eastAsia="SimSun"/>
      <w:sz w:val="24"/>
      <w:szCs w:val="24"/>
    </w:rPr>
  </w:style>
  <w:style w:type="character" w:customStyle="1" w:styleId="ListParagraphChar">
    <w:name w:val="List Paragraph Char"/>
    <w:aliases w:val="BulletPoints Char,Bullet point Char,List Paragraph1 Char,List Paragraph11 Char,Recommendation Char,Footnote Char"/>
    <w:link w:val="ListParagraph"/>
    <w:uiPriority w:val="72"/>
    <w:qFormat/>
    <w:rsid w:val="00CA2CEB"/>
    <w:rPr>
      <w:rFonts w:ascii="Times New Roman" w:eastAsia="SimSun" w:hAnsi="Times New Roman" w:cs="Times New Roman"/>
      <w:sz w:val="24"/>
      <w:szCs w:val="24"/>
      <w:lang w:eastAsia="en-AU"/>
    </w:rPr>
  </w:style>
  <w:style w:type="paragraph" w:styleId="BalloonText">
    <w:name w:val="Balloon Text"/>
    <w:basedOn w:val="Normal"/>
    <w:link w:val="BalloonTextChar"/>
    <w:uiPriority w:val="99"/>
    <w:semiHidden/>
    <w:unhideWhenUsed/>
    <w:rsid w:val="007E6788"/>
    <w:rPr>
      <w:rFonts w:ascii="Tahoma" w:hAnsi="Tahoma" w:cs="Tahoma"/>
      <w:sz w:val="16"/>
      <w:szCs w:val="16"/>
    </w:rPr>
  </w:style>
  <w:style w:type="character" w:customStyle="1" w:styleId="BalloonTextChar">
    <w:name w:val="Balloon Text Char"/>
    <w:basedOn w:val="DefaultParagraphFont"/>
    <w:link w:val="BalloonText"/>
    <w:uiPriority w:val="99"/>
    <w:semiHidden/>
    <w:rsid w:val="007E6788"/>
    <w:rPr>
      <w:rFonts w:ascii="Tahoma" w:eastAsia="Times New Roman" w:hAnsi="Tahoma" w:cs="Tahoma"/>
      <w:sz w:val="16"/>
      <w:szCs w:val="16"/>
      <w:lang w:eastAsia="en-AU"/>
    </w:rPr>
  </w:style>
  <w:style w:type="paragraph" w:customStyle="1" w:styleId="Default">
    <w:name w:val="Default"/>
    <w:rsid w:val="00F216D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35329"/>
    <w:rPr>
      <w:sz w:val="16"/>
      <w:szCs w:val="16"/>
    </w:rPr>
  </w:style>
  <w:style w:type="paragraph" w:styleId="CommentText">
    <w:name w:val="annotation text"/>
    <w:basedOn w:val="Normal"/>
    <w:link w:val="CommentTextChar"/>
    <w:uiPriority w:val="99"/>
    <w:semiHidden/>
    <w:unhideWhenUsed/>
    <w:rsid w:val="00B35329"/>
  </w:style>
  <w:style w:type="character" w:customStyle="1" w:styleId="CommentTextChar">
    <w:name w:val="Comment Text Char"/>
    <w:basedOn w:val="DefaultParagraphFont"/>
    <w:link w:val="CommentText"/>
    <w:uiPriority w:val="99"/>
    <w:semiHidden/>
    <w:rsid w:val="00B3532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35329"/>
    <w:rPr>
      <w:b/>
      <w:bCs/>
    </w:rPr>
  </w:style>
  <w:style w:type="character" w:customStyle="1" w:styleId="CommentSubjectChar">
    <w:name w:val="Comment Subject Char"/>
    <w:basedOn w:val="CommentTextChar"/>
    <w:link w:val="CommentSubject"/>
    <w:uiPriority w:val="99"/>
    <w:semiHidden/>
    <w:rsid w:val="00B35329"/>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8575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EB"/>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2CEB"/>
    <w:pPr>
      <w:tabs>
        <w:tab w:val="center" w:pos="4153"/>
        <w:tab w:val="right" w:pos="8306"/>
      </w:tabs>
    </w:pPr>
  </w:style>
  <w:style w:type="character" w:customStyle="1" w:styleId="HeaderChar">
    <w:name w:val="Header Char"/>
    <w:basedOn w:val="DefaultParagraphFont"/>
    <w:link w:val="Header"/>
    <w:rsid w:val="00CA2CEB"/>
    <w:rPr>
      <w:rFonts w:ascii="Times New Roman" w:eastAsia="Times New Roman" w:hAnsi="Times New Roman" w:cs="Times New Roman"/>
      <w:sz w:val="20"/>
      <w:szCs w:val="20"/>
      <w:lang w:eastAsia="en-AU"/>
    </w:rPr>
  </w:style>
  <w:style w:type="paragraph" w:styleId="Footer">
    <w:name w:val="footer"/>
    <w:basedOn w:val="Normal"/>
    <w:link w:val="FooterChar"/>
    <w:rsid w:val="00CA2CEB"/>
    <w:pPr>
      <w:tabs>
        <w:tab w:val="center" w:pos="4153"/>
        <w:tab w:val="right" w:pos="8306"/>
      </w:tabs>
    </w:pPr>
  </w:style>
  <w:style w:type="character" w:customStyle="1" w:styleId="FooterChar">
    <w:name w:val="Footer Char"/>
    <w:basedOn w:val="DefaultParagraphFont"/>
    <w:link w:val="Footer"/>
    <w:rsid w:val="00CA2CEB"/>
    <w:rPr>
      <w:rFonts w:ascii="Times New Roman" w:eastAsia="Times New Roman" w:hAnsi="Times New Roman" w:cs="Times New Roman"/>
      <w:sz w:val="20"/>
      <w:szCs w:val="20"/>
      <w:lang w:eastAsia="en-AU"/>
    </w:rPr>
  </w:style>
  <w:style w:type="character" w:styleId="PageNumber">
    <w:name w:val="page number"/>
    <w:basedOn w:val="DefaultParagraphFont"/>
    <w:rsid w:val="00CA2CEB"/>
  </w:style>
  <w:style w:type="paragraph" w:styleId="ListParagraph">
    <w:name w:val="List Paragraph"/>
    <w:aliases w:val="BulletPoints,Bullet point,List Paragraph1,List Paragraph11,Recommendation,Footnote"/>
    <w:basedOn w:val="Normal"/>
    <w:link w:val="ListParagraphChar"/>
    <w:uiPriority w:val="72"/>
    <w:qFormat/>
    <w:rsid w:val="00CA2CEB"/>
    <w:pPr>
      <w:ind w:left="720"/>
      <w:contextualSpacing/>
    </w:pPr>
    <w:rPr>
      <w:rFonts w:eastAsia="SimSun"/>
      <w:sz w:val="24"/>
      <w:szCs w:val="24"/>
    </w:rPr>
  </w:style>
  <w:style w:type="character" w:customStyle="1" w:styleId="ListParagraphChar">
    <w:name w:val="List Paragraph Char"/>
    <w:aliases w:val="BulletPoints Char,Bullet point Char,List Paragraph1 Char,List Paragraph11 Char,Recommendation Char,Footnote Char"/>
    <w:link w:val="ListParagraph"/>
    <w:uiPriority w:val="72"/>
    <w:qFormat/>
    <w:rsid w:val="00CA2CEB"/>
    <w:rPr>
      <w:rFonts w:ascii="Times New Roman" w:eastAsia="SimSun" w:hAnsi="Times New Roman" w:cs="Times New Roman"/>
      <w:sz w:val="24"/>
      <w:szCs w:val="24"/>
      <w:lang w:eastAsia="en-AU"/>
    </w:rPr>
  </w:style>
  <w:style w:type="paragraph" w:styleId="BalloonText">
    <w:name w:val="Balloon Text"/>
    <w:basedOn w:val="Normal"/>
    <w:link w:val="BalloonTextChar"/>
    <w:uiPriority w:val="99"/>
    <w:semiHidden/>
    <w:unhideWhenUsed/>
    <w:rsid w:val="007E6788"/>
    <w:rPr>
      <w:rFonts w:ascii="Tahoma" w:hAnsi="Tahoma" w:cs="Tahoma"/>
      <w:sz w:val="16"/>
      <w:szCs w:val="16"/>
    </w:rPr>
  </w:style>
  <w:style w:type="character" w:customStyle="1" w:styleId="BalloonTextChar">
    <w:name w:val="Balloon Text Char"/>
    <w:basedOn w:val="DefaultParagraphFont"/>
    <w:link w:val="BalloonText"/>
    <w:uiPriority w:val="99"/>
    <w:semiHidden/>
    <w:rsid w:val="007E6788"/>
    <w:rPr>
      <w:rFonts w:ascii="Tahoma" w:eastAsia="Times New Roman" w:hAnsi="Tahoma" w:cs="Tahoma"/>
      <w:sz w:val="16"/>
      <w:szCs w:val="16"/>
      <w:lang w:eastAsia="en-AU"/>
    </w:rPr>
  </w:style>
  <w:style w:type="paragraph" w:customStyle="1" w:styleId="Default">
    <w:name w:val="Default"/>
    <w:rsid w:val="00F216D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35329"/>
    <w:rPr>
      <w:sz w:val="16"/>
      <w:szCs w:val="16"/>
    </w:rPr>
  </w:style>
  <w:style w:type="paragraph" w:styleId="CommentText">
    <w:name w:val="annotation text"/>
    <w:basedOn w:val="Normal"/>
    <w:link w:val="CommentTextChar"/>
    <w:uiPriority w:val="99"/>
    <w:semiHidden/>
    <w:unhideWhenUsed/>
    <w:rsid w:val="00B35329"/>
  </w:style>
  <w:style w:type="character" w:customStyle="1" w:styleId="CommentTextChar">
    <w:name w:val="Comment Text Char"/>
    <w:basedOn w:val="DefaultParagraphFont"/>
    <w:link w:val="CommentText"/>
    <w:uiPriority w:val="99"/>
    <w:semiHidden/>
    <w:rsid w:val="00B3532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35329"/>
    <w:rPr>
      <w:b/>
      <w:bCs/>
    </w:rPr>
  </w:style>
  <w:style w:type="character" w:customStyle="1" w:styleId="CommentSubjectChar">
    <w:name w:val="Comment Subject Char"/>
    <w:basedOn w:val="CommentTextChar"/>
    <w:link w:val="CommentSubject"/>
    <w:uiPriority w:val="99"/>
    <w:semiHidden/>
    <w:rsid w:val="00B35329"/>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8575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5516">
      <w:bodyDiv w:val="1"/>
      <w:marLeft w:val="0"/>
      <w:marRight w:val="0"/>
      <w:marTop w:val="0"/>
      <w:marBottom w:val="0"/>
      <w:divBdr>
        <w:top w:val="none" w:sz="0" w:space="0" w:color="auto"/>
        <w:left w:val="none" w:sz="0" w:space="0" w:color="auto"/>
        <w:bottom w:val="none" w:sz="0" w:space="0" w:color="auto"/>
        <w:right w:val="none" w:sz="0" w:space="0" w:color="auto"/>
      </w:divBdr>
    </w:div>
    <w:div w:id="55007519">
      <w:bodyDiv w:val="1"/>
      <w:marLeft w:val="0"/>
      <w:marRight w:val="0"/>
      <w:marTop w:val="0"/>
      <w:marBottom w:val="0"/>
      <w:divBdr>
        <w:top w:val="none" w:sz="0" w:space="0" w:color="auto"/>
        <w:left w:val="none" w:sz="0" w:space="0" w:color="auto"/>
        <w:bottom w:val="none" w:sz="0" w:space="0" w:color="auto"/>
        <w:right w:val="none" w:sz="0" w:space="0" w:color="auto"/>
      </w:divBdr>
    </w:div>
    <w:div w:id="59905426">
      <w:bodyDiv w:val="1"/>
      <w:marLeft w:val="0"/>
      <w:marRight w:val="0"/>
      <w:marTop w:val="0"/>
      <w:marBottom w:val="0"/>
      <w:divBdr>
        <w:top w:val="none" w:sz="0" w:space="0" w:color="auto"/>
        <w:left w:val="none" w:sz="0" w:space="0" w:color="auto"/>
        <w:bottom w:val="none" w:sz="0" w:space="0" w:color="auto"/>
        <w:right w:val="none" w:sz="0" w:space="0" w:color="auto"/>
      </w:divBdr>
    </w:div>
    <w:div w:id="75053721">
      <w:bodyDiv w:val="1"/>
      <w:marLeft w:val="0"/>
      <w:marRight w:val="0"/>
      <w:marTop w:val="0"/>
      <w:marBottom w:val="0"/>
      <w:divBdr>
        <w:top w:val="none" w:sz="0" w:space="0" w:color="auto"/>
        <w:left w:val="none" w:sz="0" w:space="0" w:color="auto"/>
        <w:bottom w:val="none" w:sz="0" w:space="0" w:color="auto"/>
        <w:right w:val="none" w:sz="0" w:space="0" w:color="auto"/>
      </w:divBdr>
    </w:div>
    <w:div w:id="88620969">
      <w:bodyDiv w:val="1"/>
      <w:marLeft w:val="0"/>
      <w:marRight w:val="0"/>
      <w:marTop w:val="0"/>
      <w:marBottom w:val="0"/>
      <w:divBdr>
        <w:top w:val="none" w:sz="0" w:space="0" w:color="auto"/>
        <w:left w:val="none" w:sz="0" w:space="0" w:color="auto"/>
        <w:bottom w:val="none" w:sz="0" w:space="0" w:color="auto"/>
        <w:right w:val="none" w:sz="0" w:space="0" w:color="auto"/>
      </w:divBdr>
    </w:div>
    <w:div w:id="110977051">
      <w:bodyDiv w:val="1"/>
      <w:marLeft w:val="0"/>
      <w:marRight w:val="0"/>
      <w:marTop w:val="0"/>
      <w:marBottom w:val="0"/>
      <w:divBdr>
        <w:top w:val="none" w:sz="0" w:space="0" w:color="auto"/>
        <w:left w:val="none" w:sz="0" w:space="0" w:color="auto"/>
        <w:bottom w:val="none" w:sz="0" w:space="0" w:color="auto"/>
        <w:right w:val="none" w:sz="0" w:space="0" w:color="auto"/>
      </w:divBdr>
    </w:div>
    <w:div w:id="184909553">
      <w:bodyDiv w:val="1"/>
      <w:marLeft w:val="0"/>
      <w:marRight w:val="0"/>
      <w:marTop w:val="0"/>
      <w:marBottom w:val="0"/>
      <w:divBdr>
        <w:top w:val="none" w:sz="0" w:space="0" w:color="auto"/>
        <w:left w:val="none" w:sz="0" w:space="0" w:color="auto"/>
        <w:bottom w:val="none" w:sz="0" w:space="0" w:color="auto"/>
        <w:right w:val="none" w:sz="0" w:space="0" w:color="auto"/>
      </w:divBdr>
    </w:div>
    <w:div w:id="206259908">
      <w:bodyDiv w:val="1"/>
      <w:marLeft w:val="0"/>
      <w:marRight w:val="0"/>
      <w:marTop w:val="0"/>
      <w:marBottom w:val="0"/>
      <w:divBdr>
        <w:top w:val="none" w:sz="0" w:space="0" w:color="auto"/>
        <w:left w:val="none" w:sz="0" w:space="0" w:color="auto"/>
        <w:bottom w:val="none" w:sz="0" w:space="0" w:color="auto"/>
        <w:right w:val="none" w:sz="0" w:space="0" w:color="auto"/>
      </w:divBdr>
    </w:div>
    <w:div w:id="252470202">
      <w:bodyDiv w:val="1"/>
      <w:marLeft w:val="0"/>
      <w:marRight w:val="0"/>
      <w:marTop w:val="0"/>
      <w:marBottom w:val="0"/>
      <w:divBdr>
        <w:top w:val="none" w:sz="0" w:space="0" w:color="auto"/>
        <w:left w:val="none" w:sz="0" w:space="0" w:color="auto"/>
        <w:bottom w:val="none" w:sz="0" w:space="0" w:color="auto"/>
        <w:right w:val="none" w:sz="0" w:space="0" w:color="auto"/>
      </w:divBdr>
    </w:div>
    <w:div w:id="293218570">
      <w:bodyDiv w:val="1"/>
      <w:marLeft w:val="0"/>
      <w:marRight w:val="0"/>
      <w:marTop w:val="0"/>
      <w:marBottom w:val="0"/>
      <w:divBdr>
        <w:top w:val="none" w:sz="0" w:space="0" w:color="auto"/>
        <w:left w:val="none" w:sz="0" w:space="0" w:color="auto"/>
        <w:bottom w:val="none" w:sz="0" w:space="0" w:color="auto"/>
        <w:right w:val="none" w:sz="0" w:space="0" w:color="auto"/>
      </w:divBdr>
    </w:div>
    <w:div w:id="313025832">
      <w:bodyDiv w:val="1"/>
      <w:marLeft w:val="0"/>
      <w:marRight w:val="0"/>
      <w:marTop w:val="0"/>
      <w:marBottom w:val="0"/>
      <w:divBdr>
        <w:top w:val="none" w:sz="0" w:space="0" w:color="auto"/>
        <w:left w:val="none" w:sz="0" w:space="0" w:color="auto"/>
        <w:bottom w:val="none" w:sz="0" w:space="0" w:color="auto"/>
        <w:right w:val="none" w:sz="0" w:space="0" w:color="auto"/>
      </w:divBdr>
    </w:div>
    <w:div w:id="324288971">
      <w:bodyDiv w:val="1"/>
      <w:marLeft w:val="0"/>
      <w:marRight w:val="0"/>
      <w:marTop w:val="0"/>
      <w:marBottom w:val="0"/>
      <w:divBdr>
        <w:top w:val="none" w:sz="0" w:space="0" w:color="auto"/>
        <w:left w:val="none" w:sz="0" w:space="0" w:color="auto"/>
        <w:bottom w:val="none" w:sz="0" w:space="0" w:color="auto"/>
        <w:right w:val="none" w:sz="0" w:space="0" w:color="auto"/>
      </w:divBdr>
    </w:div>
    <w:div w:id="325061368">
      <w:bodyDiv w:val="1"/>
      <w:marLeft w:val="0"/>
      <w:marRight w:val="0"/>
      <w:marTop w:val="0"/>
      <w:marBottom w:val="0"/>
      <w:divBdr>
        <w:top w:val="none" w:sz="0" w:space="0" w:color="auto"/>
        <w:left w:val="none" w:sz="0" w:space="0" w:color="auto"/>
        <w:bottom w:val="none" w:sz="0" w:space="0" w:color="auto"/>
        <w:right w:val="none" w:sz="0" w:space="0" w:color="auto"/>
      </w:divBdr>
    </w:div>
    <w:div w:id="329910609">
      <w:bodyDiv w:val="1"/>
      <w:marLeft w:val="0"/>
      <w:marRight w:val="0"/>
      <w:marTop w:val="0"/>
      <w:marBottom w:val="0"/>
      <w:divBdr>
        <w:top w:val="none" w:sz="0" w:space="0" w:color="auto"/>
        <w:left w:val="none" w:sz="0" w:space="0" w:color="auto"/>
        <w:bottom w:val="none" w:sz="0" w:space="0" w:color="auto"/>
        <w:right w:val="none" w:sz="0" w:space="0" w:color="auto"/>
      </w:divBdr>
    </w:div>
    <w:div w:id="329992738">
      <w:bodyDiv w:val="1"/>
      <w:marLeft w:val="0"/>
      <w:marRight w:val="0"/>
      <w:marTop w:val="0"/>
      <w:marBottom w:val="0"/>
      <w:divBdr>
        <w:top w:val="none" w:sz="0" w:space="0" w:color="auto"/>
        <w:left w:val="none" w:sz="0" w:space="0" w:color="auto"/>
        <w:bottom w:val="none" w:sz="0" w:space="0" w:color="auto"/>
        <w:right w:val="none" w:sz="0" w:space="0" w:color="auto"/>
      </w:divBdr>
    </w:div>
    <w:div w:id="359547505">
      <w:bodyDiv w:val="1"/>
      <w:marLeft w:val="0"/>
      <w:marRight w:val="0"/>
      <w:marTop w:val="0"/>
      <w:marBottom w:val="0"/>
      <w:divBdr>
        <w:top w:val="none" w:sz="0" w:space="0" w:color="auto"/>
        <w:left w:val="none" w:sz="0" w:space="0" w:color="auto"/>
        <w:bottom w:val="none" w:sz="0" w:space="0" w:color="auto"/>
        <w:right w:val="none" w:sz="0" w:space="0" w:color="auto"/>
      </w:divBdr>
    </w:div>
    <w:div w:id="360788414">
      <w:bodyDiv w:val="1"/>
      <w:marLeft w:val="0"/>
      <w:marRight w:val="0"/>
      <w:marTop w:val="0"/>
      <w:marBottom w:val="0"/>
      <w:divBdr>
        <w:top w:val="none" w:sz="0" w:space="0" w:color="auto"/>
        <w:left w:val="none" w:sz="0" w:space="0" w:color="auto"/>
        <w:bottom w:val="none" w:sz="0" w:space="0" w:color="auto"/>
        <w:right w:val="none" w:sz="0" w:space="0" w:color="auto"/>
      </w:divBdr>
    </w:div>
    <w:div w:id="374087327">
      <w:bodyDiv w:val="1"/>
      <w:marLeft w:val="0"/>
      <w:marRight w:val="0"/>
      <w:marTop w:val="0"/>
      <w:marBottom w:val="0"/>
      <w:divBdr>
        <w:top w:val="none" w:sz="0" w:space="0" w:color="auto"/>
        <w:left w:val="none" w:sz="0" w:space="0" w:color="auto"/>
        <w:bottom w:val="none" w:sz="0" w:space="0" w:color="auto"/>
        <w:right w:val="none" w:sz="0" w:space="0" w:color="auto"/>
      </w:divBdr>
    </w:div>
    <w:div w:id="377901279">
      <w:bodyDiv w:val="1"/>
      <w:marLeft w:val="0"/>
      <w:marRight w:val="0"/>
      <w:marTop w:val="0"/>
      <w:marBottom w:val="0"/>
      <w:divBdr>
        <w:top w:val="none" w:sz="0" w:space="0" w:color="auto"/>
        <w:left w:val="none" w:sz="0" w:space="0" w:color="auto"/>
        <w:bottom w:val="none" w:sz="0" w:space="0" w:color="auto"/>
        <w:right w:val="none" w:sz="0" w:space="0" w:color="auto"/>
      </w:divBdr>
    </w:div>
    <w:div w:id="401368970">
      <w:bodyDiv w:val="1"/>
      <w:marLeft w:val="0"/>
      <w:marRight w:val="0"/>
      <w:marTop w:val="0"/>
      <w:marBottom w:val="0"/>
      <w:divBdr>
        <w:top w:val="none" w:sz="0" w:space="0" w:color="auto"/>
        <w:left w:val="none" w:sz="0" w:space="0" w:color="auto"/>
        <w:bottom w:val="none" w:sz="0" w:space="0" w:color="auto"/>
        <w:right w:val="none" w:sz="0" w:space="0" w:color="auto"/>
      </w:divBdr>
    </w:div>
    <w:div w:id="406348904">
      <w:bodyDiv w:val="1"/>
      <w:marLeft w:val="0"/>
      <w:marRight w:val="0"/>
      <w:marTop w:val="0"/>
      <w:marBottom w:val="0"/>
      <w:divBdr>
        <w:top w:val="none" w:sz="0" w:space="0" w:color="auto"/>
        <w:left w:val="none" w:sz="0" w:space="0" w:color="auto"/>
        <w:bottom w:val="none" w:sz="0" w:space="0" w:color="auto"/>
        <w:right w:val="none" w:sz="0" w:space="0" w:color="auto"/>
      </w:divBdr>
    </w:div>
    <w:div w:id="433482093">
      <w:bodyDiv w:val="1"/>
      <w:marLeft w:val="0"/>
      <w:marRight w:val="0"/>
      <w:marTop w:val="0"/>
      <w:marBottom w:val="0"/>
      <w:divBdr>
        <w:top w:val="none" w:sz="0" w:space="0" w:color="auto"/>
        <w:left w:val="none" w:sz="0" w:space="0" w:color="auto"/>
        <w:bottom w:val="none" w:sz="0" w:space="0" w:color="auto"/>
        <w:right w:val="none" w:sz="0" w:space="0" w:color="auto"/>
      </w:divBdr>
    </w:div>
    <w:div w:id="435096685">
      <w:bodyDiv w:val="1"/>
      <w:marLeft w:val="0"/>
      <w:marRight w:val="0"/>
      <w:marTop w:val="0"/>
      <w:marBottom w:val="0"/>
      <w:divBdr>
        <w:top w:val="none" w:sz="0" w:space="0" w:color="auto"/>
        <w:left w:val="none" w:sz="0" w:space="0" w:color="auto"/>
        <w:bottom w:val="none" w:sz="0" w:space="0" w:color="auto"/>
        <w:right w:val="none" w:sz="0" w:space="0" w:color="auto"/>
      </w:divBdr>
    </w:div>
    <w:div w:id="445003836">
      <w:bodyDiv w:val="1"/>
      <w:marLeft w:val="0"/>
      <w:marRight w:val="0"/>
      <w:marTop w:val="0"/>
      <w:marBottom w:val="0"/>
      <w:divBdr>
        <w:top w:val="none" w:sz="0" w:space="0" w:color="auto"/>
        <w:left w:val="none" w:sz="0" w:space="0" w:color="auto"/>
        <w:bottom w:val="none" w:sz="0" w:space="0" w:color="auto"/>
        <w:right w:val="none" w:sz="0" w:space="0" w:color="auto"/>
      </w:divBdr>
    </w:div>
    <w:div w:id="447049985">
      <w:bodyDiv w:val="1"/>
      <w:marLeft w:val="0"/>
      <w:marRight w:val="0"/>
      <w:marTop w:val="0"/>
      <w:marBottom w:val="0"/>
      <w:divBdr>
        <w:top w:val="none" w:sz="0" w:space="0" w:color="auto"/>
        <w:left w:val="none" w:sz="0" w:space="0" w:color="auto"/>
        <w:bottom w:val="none" w:sz="0" w:space="0" w:color="auto"/>
        <w:right w:val="none" w:sz="0" w:space="0" w:color="auto"/>
      </w:divBdr>
    </w:div>
    <w:div w:id="454718664">
      <w:bodyDiv w:val="1"/>
      <w:marLeft w:val="0"/>
      <w:marRight w:val="0"/>
      <w:marTop w:val="0"/>
      <w:marBottom w:val="0"/>
      <w:divBdr>
        <w:top w:val="none" w:sz="0" w:space="0" w:color="auto"/>
        <w:left w:val="none" w:sz="0" w:space="0" w:color="auto"/>
        <w:bottom w:val="none" w:sz="0" w:space="0" w:color="auto"/>
        <w:right w:val="none" w:sz="0" w:space="0" w:color="auto"/>
      </w:divBdr>
    </w:div>
    <w:div w:id="473379417">
      <w:bodyDiv w:val="1"/>
      <w:marLeft w:val="0"/>
      <w:marRight w:val="0"/>
      <w:marTop w:val="0"/>
      <w:marBottom w:val="0"/>
      <w:divBdr>
        <w:top w:val="none" w:sz="0" w:space="0" w:color="auto"/>
        <w:left w:val="none" w:sz="0" w:space="0" w:color="auto"/>
        <w:bottom w:val="none" w:sz="0" w:space="0" w:color="auto"/>
        <w:right w:val="none" w:sz="0" w:space="0" w:color="auto"/>
      </w:divBdr>
    </w:div>
    <w:div w:id="487286146">
      <w:bodyDiv w:val="1"/>
      <w:marLeft w:val="0"/>
      <w:marRight w:val="0"/>
      <w:marTop w:val="0"/>
      <w:marBottom w:val="0"/>
      <w:divBdr>
        <w:top w:val="none" w:sz="0" w:space="0" w:color="auto"/>
        <w:left w:val="none" w:sz="0" w:space="0" w:color="auto"/>
        <w:bottom w:val="none" w:sz="0" w:space="0" w:color="auto"/>
        <w:right w:val="none" w:sz="0" w:space="0" w:color="auto"/>
      </w:divBdr>
    </w:div>
    <w:div w:id="520319913">
      <w:bodyDiv w:val="1"/>
      <w:marLeft w:val="0"/>
      <w:marRight w:val="0"/>
      <w:marTop w:val="0"/>
      <w:marBottom w:val="0"/>
      <w:divBdr>
        <w:top w:val="none" w:sz="0" w:space="0" w:color="auto"/>
        <w:left w:val="none" w:sz="0" w:space="0" w:color="auto"/>
        <w:bottom w:val="none" w:sz="0" w:space="0" w:color="auto"/>
        <w:right w:val="none" w:sz="0" w:space="0" w:color="auto"/>
      </w:divBdr>
    </w:div>
    <w:div w:id="525796471">
      <w:bodyDiv w:val="1"/>
      <w:marLeft w:val="0"/>
      <w:marRight w:val="0"/>
      <w:marTop w:val="0"/>
      <w:marBottom w:val="0"/>
      <w:divBdr>
        <w:top w:val="none" w:sz="0" w:space="0" w:color="auto"/>
        <w:left w:val="none" w:sz="0" w:space="0" w:color="auto"/>
        <w:bottom w:val="none" w:sz="0" w:space="0" w:color="auto"/>
        <w:right w:val="none" w:sz="0" w:space="0" w:color="auto"/>
      </w:divBdr>
    </w:div>
    <w:div w:id="529144911">
      <w:bodyDiv w:val="1"/>
      <w:marLeft w:val="0"/>
      <w:marRight w:val="0"/>
      <w:marTop w:val="0"/>
      <w:marBottom w:val="0"/>
      <w:divBdr>
        <w:top w:val="none" w:sz="0" w:space="0" w:color="auto"/>
        <w:left w:val="none" w:sz="0" w:space="0" w:color="auto"/>
        <w:bottom w:val="none" w:sz="0" w:space="0" w:color="auto"/>
        <w:right w:val="none" w:sz="0" w:space="0" w:color="auto"/>
      </w:divBdr>
    </w:div>
    <w:div w:id="534007184">
      <w:bodyDiv w:val="1"/>
      <w:marLeft w:val="0"/>
      <w:marRight w:val="0"/>
      <w:marTop w:val="0"/>
      <w:marBottom w:val="0"/>
      <w:divBdr>
        <w:top w:val="none" w:sz="0" w:space="0" w:color="auto"/>
        <w:left w:val="none" w:sz="0" w:space="0" w:color="auto"/>
        <w:bottom w:val="none" w:sz="0" w:space="0" w:color="auto"/>
        <w:right w:val="none" w:sz="0" w:space="0" w:color="auto"/>
      </w:divBdr>
    </w:div>
    <w:div w:id="550121600">
      <w:bodyDiv w:val="1"/>
      <w:marLeft w:val="0"/>
      <w:marRight w:val="0"/>
      <w:marTop w:val="0"/>
      <w:marBottom w:val="0"/>
      <w:divBdr>
        <w:top w:val="none" w:sz="0" w:space="0" w:color="auto"/>
        <w:left w:val="none" w:sz="0" w:space="0" w:color="auto"/>
        <w:bottom w:val="none" w:sz="0" w:space="0" w:color="auto"/>
        <w:right w:val="none" w:sz="0" w:space="0" w:color="auto"/>
      </w:divBdr>
    </w:div>
    <w:div w:id="550846893">
      <w:bodyDiv w:val="1"/>
      <w:marLeft w:val="0"/>
      <w:marRight w:val="0"/>
      <w:marTop w:val="0"/>
      <w:marBottom w:val="0"/>
      <w:divBdr>
        <w:top w:val="none" w:sz="0" w:space="0" w:color="auto"/>
        <w:left w:val="none" w:sz="0" w:space="0" w:color="auto"/>
        <w:bottom w:val="none" w:sz="0" w:space="0" w:color="auto"/>
        <w:right w:val="none" w:sz="0" w:space="0" w:color="auto"/>
      </w:divBdr>
    </w:div>
    <w:div w:id="551236458">
      <w:bodyDiv w:val="1"/>
      <w:marLeft w:val="0"/>
      <w:marRight w:val="0"/>
      <w:marTop w:val="0"/>
      <w:marBottom w:val="0"/>
      <w:divBdr>
        <w:top w:val="none" w:sz="0" w:space="0" w:color="auto"/>
        <w:left w:val="none" w:sz="0" w:space="0" w:color="auto"/>
        <w:bottom w:val="none" w:sz="0" w:space="0" w:color="auto"/>
        <w:right w:val="none" w:sz="0" w:space="0" w:color="auto"/>
      </w:divBdr>
    </w:div>
    <w:div w:id="570232696">
      <w:bodyDiv w:val="1"/>
      <w:marLeft w:val="0"/>
      <w:marRight w:val="0"/>
      <w:marTop w:val="0"/>
      <w:marBottom w:val="0"/>
      <w:divBdr>
        <w:top w:val="none" w:sz="0" w:space="0" w:color="auto"/>
        <w:left w:val="none" w:sz="0" w:space="0" w:color="auto"/>
        <w:bottom w:val="none" w:sz="0" w:space="0" w:color="auto"/>
        <w:right w:val="none" w:sz="0" w:space="0" w:color="auto"/>
      </w:divBdr>
    </w:div>
    <w:div w:id="598951579">
      <w:bodyDiv w:val="1"/>
      <w:marLeft w:val="0"/>
      <w:marRight w:val="0"/>
      <w:marTop w:val="0"/>
      <w:marBottom w:val="0"/>
      <w:divBdr>
        <w:top w:val="none" w:sz="0" w:space="0" w:color="auto"/>
        <w:left w:val="none" w:sz="0" w:space="0" w:color="auto"/>
        <w:bottom w:val="none" w:sz="0" w:space="0" w:color="auto"/>
        <w:right w:val="none" w:sz="0" w:space="0" w:color="auto"/>
      </w:divBdr>
    </w:div>
    <w:div w:id="630986239">
      <w:bodyDiv w:val="1"/>
      <w:marLeft w:val="0"/>
      <w:marRight w:val="0"/>
      <w:marTop w:val="0"/>
      <w:marBottom w:val="0"/>
      <w:divBdr>
        <w:top w:val="none" w:sz="0" w:space="0" w:color="auto"/>
        <w:left w:val="none" w:sz="0" w:space="0" w:color="auto"/>
        <w:bottom w:val="none" w:sz="0" w:space="0" w:color="auto"/>
        <w:right w:val="none" w:sz="0" w:space="0" w:color="auto"/>
      </w:divBdr>
    </w:div>
    <w:div w:id="631055152">
      <w:bodyDiv w:val="1"/>
      <w:marLeft w:val="0"/>
      <w:marRight w:val="0"/>
      <w:marTop w:val="0"/>
      <w:marBottom w:val="0"/>
      <w:divBdr>
        <w:top w:val="none" w:sz="0" w:space="0" w:color="auto"/>
        <w:left w:val="none" w:sz="0" w:space="0" w:color="auto"/>
        <w:bottom w:val="none" w:sz="0" w:space="0" w:color="auto"/>
        <w:right w:val="none" w:sz="0" w:space="0" w:color="auto"/>
      </w:divBdr>
    </w:div>
    <w:div w:id="648636411">
      <w:bodyDiv w:val="1"/>
      <w:marLeft w:val="0"/>
      <w:marRight w:val="0"/>
      <w:marTop w:val="0"/>
      <w:marBottom w:val="0"/>
      <w:divBdr>
        <w:top w:val="none" w:sz="0" w:space="0" w:color="auto"/>
        <w:left w:val="none" w:sz="0" w:space="0" w:color="auto"/>
        <w:bottom w:val="none" w:sz="0" w:space="0" w:color="auto"/>
        <w:right w:val="none" w:sz="0" w:space="0" w:color="auto"/>
      </w:divBdr>
    </w:div>
    <w:div w:id="665547659">
      <w:bodyDiv w:val="1"/>
      <w:marLeft w:val="0"/>
      <w:marRight w:val="0"/>
      <w:marTop w:val="0"/>
      <w:marBottom w:val="0"/>
      <w:divBdr>
        <w:top w:val="none" w:sz="0" w:space="0" w:color="auto"/>
        <w:left w:val="none" w:sz="0" w:space="0" w:color="auto"/>
        <w:bottom w:val="none" w:sz="0" w:space="0" w:color="auto"/>
        <w:right w:val="none" w:sz="0" w:space="0" w:color="auto"/>
      </w:divBdr>
    </w:div>
    <w:div w:id="666129779">
      <w:bodyDiv w:val="1"/>
      <w:marLeft w:val="0"/>
      <w:marRight w:val="0"/>
      <w:marTop w:val="0"/>
      <w:marBottom w:val="0"/>
      <w:divBdr>
        <w:top w:val="none" w:sz="0" w:space="0" w:color="auto"/>
        <w:left w:val="none" w:sz="0" w:space="0" w:color="auto"/>
        <w:bottom w:val="none" w:sz="0" w:space="0" w:color="auto"/>
        <w:right w:val="none" w:sz="0" w:space="0" w:color="auto"/>
      </w:divBdr>
    </w:div>
    <w:div w:id="689918414">
      <w:bodyDiv w:val="1"/>
      <w:marLeft w:val="0"/>
      <w:marRight w:val="0"/>
      <w:marTop w:val="0"/>
      <w:marBottom w:val="0"/>
      <w:divBdr>
        <w:top w:val="none" w:sz="0" w:space="0" w:color="auto"/>
        <w:left w:val="none" w:sz="0" w:space="0" w:color="auto"/>
        <w:bottom w:val="none" w:sz="0" w:space="0" w:color="auto"/>
        <w:right w:val="none" w:sz="0" w:space="0" w:color="auto"/>
      </w:divBdr>
    </w:div>
    <w:div w:id="691420669">
      <w:bodyDiv w:val="1"/>
      <w:marLeft w:val="0"/>
      <w:marRight w:val="0"/>
      <w:marTop w:val="0"/>
      <w:marBottom w:val="0"/>
      <w:divBdr>
        <w:top w:val="none" w:sz="0" w:space="0" w:color="auto"/>
        <w:left w:val="none" w:sz="0" w:space="0" w:color="auto"/>
        <w:bottom w:val="none" w:sz="0" w:space="0" w:color="auto"/>
        <w:right w:val="none" w:sz="0" w:space="0" w:color="auto"/>
      </w:divBdr>
    </w:div>
    <w:div w:id="699478487">
      <w:bodyDiv w:val="1"/>
      <w:marLeft w:val="0"/>
      <w:marRight w:val="0"/>
      <w:marTop w:val="0"/>
      <w:marBottom w:val="0"/>
      <w:divBdr>
        <w:top w:val="none" w:sz="0" w:space="0" w:color="auto"/>
        <w:left w:val="none" w:sz="0" w:space="0" w:color="auto"/>
        <w:bottom w:val="none" w:sz="0" w:space="0" w:color="auto"/>
        <w:right w:val="none" w:sz="0" w:space="0" w:color="auto"/>
      </w:divBdr>
    </w:div>
    <w:div w:id="701712671">
      <w:bodyDiv w:val="1"/>
      <w:marLeft w:val="0"/>
      <w:marRight w:val="0"/>
      <w:marTop w:val="0"/>
      <w:marBottom w:val="0"/>
      <w:divBdr>
        <w:top w:val="none" w:sz="0" w:space="0" w:color="auto"/>
        <w:left w:val="none" w:sz="0" w:space="0" w:color="auto"/>
        <w:bottom w:val="none" w:sz="0" w:space="0" w:color="auto"/>
        <w:right w:val="none" w:sz="0" w:space="0" w:color="auto"/>
      </w:divBdr>
    </w:div>
    <w:div w:id="706419556">
      <w:bodyDiv w:val="1"/>
      <w:marLeft w:val="0"/>
      <w:marRight w:val="0"/>
      <w:marTop w:val="0"/>
      <w:marBottom w:val="0"/>
      <w:divBdr>
        <w:top w:val="none" w:sz="0" w:space="0" w:color="auto"/>
        <w:left w:val="none" w:sz="0" w:space="0" w:color="auto"/>
        <w:bottom w:val="none" w:sz="0" w:space="0" w:color="auto"/>
        <w:right w:val="none" w:sz="0" w:space="0" w:color="auto"/>
      </w:divBdr>
    </w:div>
    <w:div w:id="713575844">
      <w:bodyDiv w:val="1"/>
      <w:marLeft w:val="0"/>
      <w:marRight w:val="0"/>
      <w:marTop w:val="0"/>
      <w:marBottom w:val="0"/>
      <w:divBdr>
        <w:top w:val="none" w:sz="0" w:space="0" w:color="auto"/>
        <w:left w:val="none" w:sz="0" w:space="0" w:color="auto"/>
        <w:bottom w:val="none" w:sz="0" w:space="0" w:color="auto"/>
        <w:right w:val="none" w:sz="0" w:space="0" w:color="auto"/>
      </w:divBdr>
    </w:div>
    <w:div w:id="716665794">
      <w:bodyDiv w:val="1"/>
      <w:marLeft w:val="0"/>
      <w:marRight w:val="0"/>
      <w:marTop w:val="0"/>
      <w:marBottom w:val="0"/>
      <w:divBdr>
        <w:top w:val="none" w:sz="0" w:space="0" w:color="auto"/>
        <w:left w:val="none" w:sz="0" w:space="0" w:color="auto"/>
        <w:bottom w:val="none" w:sz="0" w:space="0" w:color="auto"/>
        <w:right w:val="none" w:sz="0" w:space="0" w:color="auto"/>
      </w:divBdr>
    </w:div>
    <w:div w:id="727650537">
      <w:bodyDiv w:val="1"/>
      <w:marLeft w:val="0"/>
      <w:marRight w:val="0"/>
      <w:marTop w:val="0"/>
      <w:marBottom w:val="0"/>
      <w:divBdr>
        <w:top w:val="none" w:sz="0" w:space="0" w:color="auto"/>
        <w:left w:val="none" w:sz="0" w:space="0" w:color="auto"/>
        <w:bottom w:val="none" w:sz="0" w:space="0" w:color="auto"/>
        <w:right w:val="none" w:sz="0" w:space="0" w:color="auto"/>
      </w:divBdr>
    </w:div>
    <w:div w:id="787048534">
      <w:bodyDiv w:val="1"/>
      <w:marLeft w:val="0"/>
      <w:marRight w:val="0"/>
      <w:marTop w:val="0"/>
      <w:marBottom w:val="0"/>
      <w:divBdr>
        <w:top w:val="none" w:sz="0" w:space="0" w:color="auto"/>
        <w:left w:val="none" w:sz="0" w:space="0" w:color="auto"/>
        <w:bottom w:val="none" w:sz="0" w:space="0" w:color="auto"/>
        <w:right w:val="none" w:sz="0" w:space="0" w:color="auto"/>
      </w:divBdr>
    </w:div>
    <w:div w:id="815224187">
      <w:bodyDiv w:val="1"/>
      <w:marLeft w:val="0"/>
      <w:marRight w:val="0"/>
      <w:marTop w:val="0"/>
      <w:marBottom w:val="0"/>
      <w:divBdr>
        <w:top w:val="none" w:sz="0" w:space="0" w:color="auto"/>
        <w:left w:val="none" w:sz="0" w:space="0" w:color="auto"/>
        <w:bottom w:val="none" w:sz="0" w:space="0" w:color="auto"/>
        <w:right w:val="none" w:sz="0" w:space="0" w:color="auto"/>
      </w:divBdr>
    </w:div>
    <w:div w:id="818032800">
      <w:bodyDiv w:val="1"/>
      <w:marLeft w:val="0"/>
      <w:marRight w:val="0"/>
      <w:marTop w:val="0"/>
      <w:marBottom w:val="0"/>
      <w:divBdr>
        <w:top w:val="none" w:sz="0" w:space="0" w:color="auto"/>
        <w:left w:val="none" w:sz="0" w:space="0" w:color="auto"/>
        <w:bottom w:val="none" w:sz="0" w:space="0" w:color="auto"/>
        <w:right w:val="none" w:sz="0" w:space="0" w:color="auto"/>
      </w:divBdr>
    </w:div>
    <w:div w:id="842890812">
      <w:bodyDiv w:val="1"/>
      <w:marLeft w:val="0"/>
      <w:marRight w:val="0"/>
      <w:marTop w:val="0"/>
      <w:marBottom w:val="0"/>
      <w:divBdr>
        <w:top w:val="none" w:sz="0" w:space="0" w:color="auto"/>
        <w:left w:val="none" w:sz="0" w:space="0" w:color="auto"/>
        <w:bottom w:val="none" w:sz="0" w:space="0" w:color="auto"/>
        <w:right w:val="none" w:sz="0" w:space="0" w:color="auto"/>
      </w:divBdr>
    </w:div>
    <w:div w:id="855728877">
      <w:bodyDiv w:val="1"/>
      <w:marLeft w:val="0"/>
      <w:marRight w:val="0"/>
      <w:marTop w:val="0"/>
      <w:marBottom w:val="0"/>
      <w:divBdr>
        <w:top w:val="none" w:sz="0" w:space="0" w:color="auto"/>
        <w:left w:val="none" w:sz="0" w:space="0" w:color="auto"/>
        <w:bottom w:val="none" w:sz="0" w:space="0" w:color="auto"/>
        <w:right w:val="none" w:sz="0" w:space="0" w:color="auto"/>
      </w:divBdr>
    </w:div>
    <w:div w:id="861433916">
      <w:bodyDiv w:val="1"/>
      <w:marLeft w:val="0"/>
      <w:marRight w:val="0"/>
      <w:marTop w:val="0"/>
      <w:marBottom w:val="0"/>
      <w:divBdr>
        <w:top w:val="none" w:sz="0" w:space="0" w:color="auto"/>
        <w:left w:val="none" w:sz="0" w:space="0" w:color="auto"/>
        <w:bottom w:val="none" w:sz="0" w:space="0" w:color="auto"/>
        <w:right w:val="none" w:sz="0" w:space="0" w:color="auto"/>
      </w:divBdr>
    </w:div>
    <w:div w:id="868487833">
      <w:bodyDiv w:val="1"/>
      <w:marLeft w:val="0"/>
      <w:marRight w:val="0"/>
      <w:marTop w:val="0"/>
      <w:marBottom w:val="0"/>
      <w:divBdr>
        <w:top w:val="none" w:sz="0" w:space="0" w:color="auto"/>
        <w:left w:val="none" w:sz="0" w:space="0" w:color="auto"/>
        <w:bottom w:val="none" w:sz="0" w:space="0" w:color="auto"/>
        <w:right w:val="none" w:sz="0" w:space="0" w:color="auto"/>
      </w:divBdr>
    </w:div>
    <w:div w:id="893661139">
      <w:bodyDiv w:val="1"/>
      <w:marLeft w:val="0"/>
      <w:marRight w:val="0"/>
      <w:marTop w:val="0"/>
      <w:marBottom w:val="0"/>
      <w:divBdr>
        <w:top w:val="none" w:sz="0" w:space="0" w:color="auto"/>
        <w:left w:val="none" w:sz="0" w:space="0" w:color="auto"/>
        <w:bottom w:val="none" w:sz="0" w:space="0" w:color="auto"/>
        <w:right w:val="none" w:sz="0" w:space="0" w:color="auto"/>
      </w:divBdr>
    </w:div>
    <w:div w:id="908921150">
      <w:bodyDiv w:val="1"/>
      <w:marLeft w:val="0"/>
      <w:marRight w:val="0"/>
      <w:marTop w:val="0"/>
      <w:marBottom w:val="0"/>
      <w:divBdr>
        <w:top w:val="none" w:sz="0" w:space="0" w:color="auto"/>
        <w:left w:val="none" w:sz="0" w:space="0" w:color="auto"/>
        <w:bottom w:val="none" w:sz="0" w:space="0" w:color="auto"/>
        <w:right w:val="none" w:sz="0" w:space="0" w:color="auto"/>
      </w:divBdr>
    </w:div>
    <w:div w:id="954411852">
      <w:bodyDiv w:val="1"/>
      <w:marLeft w:val="0"/>
      <w:marRight w:val="0"/>
      <w:marTop w:val="0"/>
      <w:marBottom w:val="0"/>
      <w:divBdr>
        <w:top w:val="none" w:sz="0" w:space="0" w:color="auto"/>
        <w:left w:val="none" w:sz="0" w:space="0" w:color="auto"/>
        <w:bottom w:val="none" w:sz="0" w:space="0" w:color="auto"/>
        <w:right w:val="none" w:sz="0" w:space="0" w:color="auto"/>
      </w:divBdr>
    </w:div>
    <w:div w:id="995457793">
      <w:bodyDiv w:val="1"/>
      <w:marLeft w:val="0"/>
      <w:marRight w:val="0"/>
      <w:marTop w:val="0"/>
      <w:marBottom w:val="0"/>
      <w:divBdr>
        <w:top w:val="none" w:sz="0" w:space="0" w:color="auto"/>
        <w:left w:val="none" w:sz="0" w:space="0" w:color="auto"/>
        <w:bottom w:val="none" w:sz="0" w:space="0" w:color="auto"/>
        <w:right w:val="none" w:sz="0" w:space="0" w:color="auto"/>
      </w:divBdr>
    </w:div>
    <w:div w:id="1001006194">
      <w:bodyDiv w:val="1"/>
      <w:marLeft w:val="0"/>
      <w:marRight w:val="0"/>
      <w:marTop w:val="0"/>
      <w:marBottom w:val="0"/>
      <w:divBdr>
        <w:top w:val="none" w:sz="0" w:space="0" w:color="auto"/>
        <w:left w:val="none" w:sz="0" w:space="0" w:color="auto"/>
        <w:bottom w:val="none" w:sz="0" w:space="0" w:color="auto"/>
        <w:right w:val="none" w:sz="0" w:space="0" w:color="auto"/>
      </w:divBdr>
    </w:div>
    <w:div w:id="1013074546">
      <w:bodyDiv w:val="1"/>
      <w:marLeft w:val="0"/>
      <w:marRight w:val="0"/>
      <w:marTop w:val="0"/>
      <w:marBottom w:val="0"/>
      <w:divBdr>
        <w:top w:val="none" w:sz="0" w:space="0" w:color="auto"/>
        <w:left w:val="none" w:sz="0" w:space="0" w:color="auto"/>
        <w:bottom w:val="none" w:sz="0" w:space="0" w:color="auto"/>
        <w:right w:val="none" w:sz="0" w:space="0" w:color="auto"/>
      </w:divBdr>
    </w:div>
    <w:div w:id="1016927196">
      <w:bodyDiv w:val="1"/>
      <w:marLeft w:val="0"/>
      <w:marRight w:val="0"/>
      <w:marTop w:val="0"/>
      <w:marBottom w:val="0"/>
      <w:divBdr>
        <w:top w:val="none" w:sz="0" w:space="0" w:color="auto"/>
        <w:left w:val="none" w:sz="0" w:space="0" w:color="auto"/>
        <w:bottom w:val="none" w:sz="0" w:space="0" w:color="auto"/>
        <w:right w:val="none" w:sz="0" w:space="0" w:color="auto"/>
      </w:divBdr>
    </w:div>
    <w:div w:id="1024860813">
      <w:bodyDiv w:val="1"/>
      <w:marLeft w:val="0"/>
      <w:marRight w:val="0"/>
      <w:marTop w:val="0"/>
      <w:marBottom w:val="0"/>
      <w:divBdr>
        <w:top w:val="none" w:sz="0" w:space="0" w:color="auto"/>
        <w:left w:val="none" w:sz="0" w:space="0" w:color="auto"/>
        <w:bottom w:val="none" w:sz="0" w:space="0" w:color="auto"/>
        <w:right w:val="none" w:sz="0" w:space="0" w:color="auto"/>
      </w:divBdr>
    </w:div>
    <w:div w:id="1025982615">
      <w:bodyDiv w:val="1"/>
      <w:marLeft w:val="0"/>
      <w:marRight w:val="0"/>
      <w:marTop w:val="0"/>
      <w:marBottom w:val="0"/>
      <w:divBdr>
        <w:top w:val="none" w:sz="0" w:space="0" w:color="auto"/>
        <w:left w:val="none" w:sz="0" w:space="0" w:color="auto"/>
        <w:bottom w:val="none" w:sz="0" w:space="0" w:color="auto"/>
        <w:right w:val="none" w:sz="0" w:space="0" w:color="auto"/>
      </w:divBdr>
    </w:div>
    <w:div w:id="1036658002">
      <w:bodyDiv w:val="1"/>
      <w:marLeft w:val="0"/>
      <w:marRight w:val="0"/>
      <w:marTop w:val="0"/>
      <w:marBottom w:val="0"/>
      <w:divBdr>
        <w:top w:val="none" w:sz="0" w:space="0" w:color="auto"/>
        <w:left w:val="none" w:sz="0" w:space="0" w:color="auto"/>
        <w:bottom w:val="none" w:sz="0" w:space="0" w:color="auto"/>
        <w:right w:val="none" w:sz="0" w:space="0" w:color="auto"/>
      </w:divBdr>
    </w:div>
    <w:div w:id="1039815370">
      <w:bodyDiv w:val="1"/>
      <w:marLeft w:val="0"/>
      <w:marRight w:val="0"/>
      <w:marTop w:val="0"/>
      <w:marBottom w:val="0"/>
      <w:divBdr>
        <w:top w:val="none" w:sz="0" w:space="0" w:color="auto"/>
        <w:left w:val="none" w:sz="0" w:space="0" w:color="auto"/>
        <w:bottom w:val="none" w:sz="0" w:space="0" w:color="auto"/>
        <w:right w:val="none" w:sz="0" w:space="0" w:color="auto"/>
      </w:divBdr>
    </w:div>
    <w:div w:id="1066030079">
      <w:bodyDiv w:val="1"/>
      <w:marLeft w:val="0"/>
      <w:marRight w:val="0"/>
      <w:marTop w:val="0"/>
      <w:marBottom w:val="0"/>
      <w:divBdr>
        <w:top w:val="none" w:sz="0" w:space="0" w:color="auto"/>
        <w:left w:val="none" w:sz="0" w:space="0" w:color="auto"/>
        <w:bottom w:val="none" w:sz="0" w:space="0" w:color="auto"/>
        <w:right w:val="none" w:sz="0" w:space="0" w:color="auto"/>
      </w:divBdr>
    </w:div>
    <w:div w:id="1075316535">
      <w:bodyDiv w:val="1"/>
      <w:marLeft w:val="0"/>
      <w:marRight w:val="0"/>
      <w:marTop w:val="0"/>
      <w:marBottom w:val="0"/>
      <w:divBdr>
        <w:top w:val="none" w:sz="0" w:space="0" w:color="auto"/>
        <w:left w:val="none" w:sz="0" w:space="0" w:color="auto"/>
        <w:bottom w:val="none" w:sz="0" w:space="0" w:color="auto"/>
        <w:right w:val="none" w:sz="0" w:space="0" w:color="auto"/>
      </w:divBdr>
    </w:div>
    <w:div w:id="1077215887">
      <w:bodyDiv w:val="1"/>
      <w:marLeft w:val="0"/>
      <w:marRight w:val="0"/>
      <w:marTop w:val="0"/>
      <w:marBottom w:val="0"/>
      <w:divBdr>
        <w:top w:val="none" w:sz="0" w:space="0" w:color="auto"/>
        <w:left w:val="none" w:sz="0" w:space="0" w:color="auto"/>
        <w:bottom w:val="none" w:sz="0" w:space="0" w:color="auto"/>
        <w:right w:val="none" w:sz="0" w:space="0" w:color="auto"/>
      </w:divBdr>
    </w:div>
    <w:div w:id="1135101342">
      <w:bodyDiv w:val="1"/>
      <w:marLeft w:val="0"/>
      <w:marRight w:val="0"/>
      <w:marTop w:val="0"/>
      <w:marBottom w:val="0"/>
      <w:divBdr>
        <w:top w:val="none" w:sz="0" w:space="0" w:color="auto"/>
        <w:left w:val="none" w:sz="0" w:space="0" w:color="auto"/>
        <w:bottom w:val="none" w:sz="0" w:space="0" w:color="auto"/>
        <w:right w:val="none" w:sz="0" w:space="0" w:color="auto"/>
      </w:divBdr>
    </w:div>
    <w:div w:id="1139344266">
      <w:bodyDiv w:val="1"/>
      <w:marLeft w:val="0"/>
      <w:marRight w:val="0"/>
      <w:marTop w:val="0"/>
      <w:marBottom w:val="0"/>
      <w:divBdr>
        <w:top w:val="none" w:sz="0" w:space="0" w:color="auto"/>
        <w:left w:val="none" w:sz="0" w:space="0" w:color="auto"/>
        <w:bottom w:val="none" w:sz="0" w:space="0" w:color="auto"/>
        <w:right w:val="none" w:sz="0" w:space="0" w:color="auto"/>
      </w:divBdr>
    </w:div>
    <w:div w:id="1162158559">
      <w:bodyDiv w:val="1"/>
      <w:marLeft w:val="0"/>
      <w:marRight w:val="0"/>
      <w:marTop w:val="0"/>
      <w:marBottom w:val="0"/>
      <w:divBdr>
        <w:top w:val="none" w:sz="0" w:space="0" w:color="auto"/>
        <w:left w:val="none" w:sz="0" w:space="0" w:color="auto"/>
        <w:bottom w:val="none" w:sz="0" w:space="0" w:color="auto"/>
        <w:right w:val="none" w:sz="0" w:space="0" w:color="auto"/>
      </w:divBdr>
    </w:div>
    <w:div w:id="1175223194">
      <w:bodyDiv w:val="1"/>
      <w:marLeft w:val="0"/>
      <w:marRight w:val="0"/>
      <w:marTop w:val="0"/>
      <w:marBottom w:val="0"/>
      <w:divBdr>
        <w:top w:val="none" w:sz="0" w:space="0" w:color="auto"/>
        <w:left w:val="none" w:sz="0" w:space="0" w:color="auto"/>
        <w:bottom w:val="none" w:sz="0" w:space="0" w:color="auto"/>
        <w:right w:val="none" w:sz="0" w:space="0" w:color="auto"/>
      </w:divBdr>
    </w:div>
    <w:div w:id="1191606710">
      <w:bodyDiv w:val="1"/>
      <w:marLeft w:val="0"/>
      <w:marRight w:val="0"/>
      <w:marTop w:val="0"/>
      <w:marBottom w:val="0"/>
      <w:divBdr>
        <w:top w:val="none" w:sz="0" w:space="0" w:color="auto"/>
        <w:left w:val="none" w:sz="0" w:space="0" w:color="auto"/>
        <w:bottom w:val="none" w:sz="0" w:space="0" w:color="auto"/>
        <w:right w:val="none" w:sz="0" w:space="0" w:color="auto"/>
      </w:divBdr>
    </w:div>
    <w:div w:id="1193954362">
      <w:bodyDiv w:val="1"/>
      <w:marLeft w:val="0"/>
      <w:marRight w:val="0"/>
      <w:marTop w:val="0"/>
      <w:marBottom w:val="0"/>
      <w:divBdr>
        <w:top w:val="none" w:sz="0" w:space="0" w:color="auto"/>
        <w:left w:val="none" w:sz="0" w:space="0" w:color="auto"/>
        <w:bottom w:val="none" w:sz="0" w:space="0" w:color="auto"/>
        <w:right w:val="none" w:sz="0" w:space="0" w:color="auto"/>
      </w:divBdr>
    </w:div>
    <w:div w:id="1200704331">
      <w:bodyDiv w:val="1"/>
      <w:marLeft w:val="0"/>
      <w:marRight w:val="0"/>
      <w:marTop w:val="0"/>
      <w:marBottom w:val="0"/>
      <w:divBdr>
        <w:top w:val="none" w:sz="0" w:space="0" w:color="auto"/>
        <w:left w:val="none" w:sz="0" w:space="0" w:color="auto"/>
        <w:bottom w:val="none" w:sz="0" w:space="0" w:color="auto"/>
        <w:right w:val="none" w:sz="0" w:space="0" w:color="auto"/>
      </w:divBdr>
    </w:div>
    <w:div w:id="1205630722">
      <w:bodyDiv w:val="1"/>
      <w:marLeft w:val="0"/>
      <w:marRight w:val="0"/>
      <w:marTop w:val="0"/>
      <w:marBottom w:val="0"/>
      <w:divBdr>
        <w:top w:val="none" w:sz="0" w:space="0" w:color="auto"/>
        <w:left w:val="none" w:sz="0" w:space="0" w:color="auto"/>
        <w:bottom w:val="none" w:sz="0" w:space="0" w:color="auto"/>
        <w:right w:val="none" w:sz="0" w:space="0" w:color="auto"/>
      </w:divBdr>
    </w:div>
    <w:div w:id="1216164672">
      <w:bodyDiv w:val="1"/>
      <w:marLeft w:val="0"/>
      <w:marRight w:val="0"/>
      <w:marTop w:val="0"/>
      <w:marBottom w:val="0"/>
      <w:divBdr>
        <w:top w:val="none" w:sz="0" w:space="0" w:color="auto"/>
        <w:left w:val="none" w:sz="0" w:space="0" w:color="auto"/>
        <w:bottom w:val="none" w:sz="0" w:space="0" w:color="auto"/>
        <w:right w:val="none" w:sz="0" w:space="0" w:color="auto"/>
      </w:divBdr>
    </w:div>
    <w:div w:id="1240486805">
      <w:bodyDiv w:val="1"/>
      <w:marLeft w:val="0"/>
      <w:marRight w:val="0"/>
      <w:marTop w:val="0"/>
      <w:marBottom w:val="0"/>
      <w:divBdr>
        <w:top w:val="none" w:sz="0" w:space="0" w:color="auto"/>
        <w:left w:val="none" w:sz="0" w:space="0" w:color="auto"/>
        <w:bottom w:val="none" w:sz="0" w:space="0" w:color="auto"/>
        <w:right w:val="none" w:sz="0" w:space="0" w:color="auto"/>
      </w:divBdr>
    </w:div>
    <w:div w:id="1256206564">
      <w:bodyDiv w:val="1"/>
      <w:marLeft w:val="0"/>
      <w:marRight w:val="0"/>
      <w:marTop w:val="0"/>
      <w:marBottom w:val="0"/>
      <w:divBdr>
        <w:top w:val="none" w:sz="0" w:space="0" w:color="auto"/>
        <w:left w:val="none" w:sz="0" w:space="0" w:color="auto"/>
        <w:bottom w:val="none" w:sz="0" w:space="0" w:color="auto"/>
        <w:right w:val="none" w:sz="0" w:space="0" w:color="auto"/>
      </w:divBdr>
    </w:div>
    <w:div w:id="1262253228">
      <w:bodyDiv w:val="1"/>
      <w:marLeft w:val="0"/>
      <w:marRight w:val="0"/>
      <w:marTop w:val="0"/>
      <w:marBottom w:val="0"/>
      <w:divBdr>
        <w:top w:val="none" w:sz="0" w:space="0" w:color="auto"/>
        <w:left w:val="none" w:sz="0" w:space="0" w:color="auto"/>
        <w:bottom w:val="none" w:sz="0" w:space="0" w:color="auto"/>
        <w:right w:val="none" w:sz="0" w:space="0" w:color="auto"/>
      </w:divBdr>
    </w:div>
    <w:div w:id="1266812092">
      <w:bodyDiv w:val="1"/>
      <w:marLeft w:val="0"/>
      <w:marRight w:val="0"/>
      <w:marTop w:val="0"/>
      <w:marBottom w:val="0"/>
      <w:divBdr>
        <w:top w:val="none" w:sz="0" w:space="0" w:color="auto"/>
        <w:left w:val="none" w:sz="0" w:space="0" w:color="auto"/>
        <w:bottom w:val="none" w:sz="0" w:space="0" w:color="auto"/>
        <w:right w:val="none" w:sz="0" w:space="0" w:color="auto"/>
      </w:divBdr>
    </w:div>
    <w:div w:id="1274441126">
      <w:bodyDiv w:val="1"/>
      <w:marLeft w:val="0"/>
      <w:marRight w:val="0"/>
      <w:marTop w:val="0"/>
      <w:marBottom w:val="0"/>
      <w:divBdr>
        <w:top w:val="none" w:sz="0" w:space="0" w:color="auto"/>
        <w:left w:val="none" w:sz="0" w:space="0" w:color="auto"/>
        <w:bottom w:val="none" w:sz="0" w:space="0" w:color="auto"/>
        <w:right w:val="none" w:sz="0" w:space="0" w:color="auto"/>
      </w:divBdr>
    </w:div>
    <w:div w:id="1275014704">
      <w:bodyDiv w:val="1"/>
      <w:marLeft w:val="0"/>
      <w:marRight w:val="0"/>
      <w:marTop w:val="0"/>
      <w:marBottom w:val="0"/>
      <w:divBdr>
        <w:top w:val="none" w:sz="0" w:space="0" w:color="auto"/>
        <w:left w:val="none" w:sz="0" w:space="0" w:color="auto"/>
        <w:bottom w:val="none" w:sz="0" w:space="0" w:color="auto"/>
        <w:right w:val="none" w:sz="0" w:space="0" w:color="auto"/>
      </w:divBdr>
    </w:div>
    <w:div w:id="1276207191">
      <w:bodyDiv w:val="1"/>
      <w:marLeft w:val="0"/>
      <w:marRight w:val="0"/>
      <w:marTop w:val="0"/>
      <w:marBottom w:val="0"/>
      <w:divBdr>
        <w:top w:val="none" w:sz="0" w:space="0" w:color="auto"/>
        <w:left w:val="none" w:sz="0" w:space="0" w:color="auto"/>
        <w:bottom w:val="none" w:sz="0" w:space="0" w:color="auto"/>
        <w:right w:val="none" w:sz="0" w:space="0" w:color="auto"/>
      </w:divBdr>
    </w:div>
    <w:div w:id="1291328952">
      <w:bodyDiv w:val="1"/>
      <w:marLeft w:val="0"/>
      <w:marRight w:val="0"/>
      <w:marTop w:val="0"/>
      <w:marBottom w:val="0"/>
      <w:divBdr>
        <w:top w:val="none" w:sz="0" w:space="0" w:color="auto"/>
        <w:left w:val="none" w:sz="0" w:space="0" w:color="auto"/>
        <w:bottom w:val="none" w:sz="0" w:space="0" w:color="auto"/>
        <w:right w:val="none" w:sz="0" w:space="0" w:color="auto"/>
      </w:divBdr>
    </w:div>
    <w:div w:id="1300576178">
      <w:bodyDiv w:val="1"/>
      <w:marLeft w:val="0"/>
      <w:marRight w:val="0"/>
      <w:marTop w:val="0"/>
      <w:marBottom w:val="0"/>
      <w:divBdr>
        <w:top w:val="none" w:sz="0" w:space="0" w:color="auto"/>
        <w:left w:val="none" w:sz="0" w:space="0" w:color="auto"/>
        <w:bottom w:val="none" w:sz="0" w:space="0" w:color="auto"/>
        <w:right w:val="none" w:sz="0" w:space="0" w:color="auto"/>
      </w:divBdr>
    </w:div>
    <w:div w:id="1328166561">
      <w:bodyDiv w:val="1"/>
      <w:marLeft w:val="0"/>
      <w:marRight w:val="0"/>
      <w:marTop w:val="0"/>
      <w:marBottom w:val="0"/>
      <w:divBdr>
        <w:top w:val="none" w:sz="0" w:space="0" w:color="auto"/>
        <w:left w:val="none" w:sz="0" w:space="0" w:color="auto"/>
        <w:bottom w:val="none" w:sz="0" w:space="0" w:color="auto"/>
        <w:right w:val="none" w:sz="0" w:space="0" w:color="auto"/>
      </w:divBdr>
    </w:div>
    <w:div w:id="1329793621">
      <w:bodyDiv w:val="1"/>
      <w:marLeft w:val="0"/>
      <w:marRight w:val="0"/>
      <w:marTop w:val="0"/>
      <w:marBottom w:val="0"/>
      <w:divBdr>
        <w:top w:val="none" w:sz="0" w:space="0" w:color="auto"/>
        <w:left w:val="none" w:sz="0" w:space="0" w:color="auto"/>
        <w:bottom w:val="none" w:sz="0" w:space="0" w:color="auto"/>
        <w:right w:val="none" w:sz="0" w:space="0" w:color="auto"/>
      </w:divBdr>
    </w:div>
    <w:div w:id="1345400494">
      <w:bodyDiv w:val="1"/>
      <w:marLeft w:val="0"/>
      <w:marRight w:val="0"/>
      <w:marTop w:val="0"/>
      <w:marBottom w:val="0"/>
      <w:divBdr>
        <w:top w:val="none" w:sz="0" w:space="0" w:color="auto"/>
        <w:left w:val="none" w:sz="0" w:space="0" w:color="auto"/>
        <w:bottom w:val="none" w:sz="0" w:space="0" w:color="auto"/>
        <w:right w:val="none" w:sz="0" w:space="0" w:color="auto"/>
      </w:divBdr>
    </w:div>
    <w:div w:id="1351637549">
      <w:bodyDiv w:val="1"/>
      <w:marLeft w:val="0"/>
      <w:marRight w:val="0"/>
      <w:marTop w:val="0"/>
      <w:marBottom w:val="0"/>
      <w:divBdr>
        <w:top w:val="none" w:sz="0" w:space="0" w:color="auto"/>
        <w:left w:val="none" w:sz="0" w:space="0" w:color="auto"/>
        <w:bottom w:val="none" w:sz="0" w:space="0" w:color="auto"/>
        <w:right w:val="none" w:sz="0" w:space="0" w:color="auto"/>
      </w:divBdr>
    </w:div>
    <w:div w:id="1393624419">
      <w:bodyDiv w:val="1"/>
      <w:marLeft w:val="0"/>
      <w:marRight w:val="0"/>
      <w:marTop w:val="0"/>
      <w:marBottom w:val="0"/>
      <w:divBdr>
        <w:top w:val="none" w:sz="0" w:space="0" w:color="auto"/>
        <w:left w:val="none" w:sz="0" w:space="0" w:color="auto"/>
        <w:bottom w:val="none" w:sz="0" w:space="0" w:color="auto"/>
        <w:right w:val="none" w:sz="0" w:space="0" w:color="auto"/>
      </w:divBdr>
    </w:div>
    <w:div w:id="1397701856">
      <w:bodyDiv w:val="1"/>
      <w:marLeft w:val="0"/>
      <w:marRight w:val="0"/>
      <w:marTop w:val="0"/>
      <w:marBottom w:val="0"/>
      <w:divBdr>
        <w:top w:val="none" w:sz="0" w:space="0" w:color="auto"/>
        <w:left w:val="none" w:sz="0" w:space="0" w:color="auto"/>
        <w:bottom w:val="none" w:sz="0" w:space="0" w:color="auto"/>
        <w:right w:val="none" w:sz="0" w:space="0" w:color="auto"/>
      </w:divBdr>
    </w:div>
    <w:div w:id="1405571967">
      <w:bodyDiv w:val="1"/>
      <w:marLeft w:val="0"/>
      <w:marRight w:val="0"/>
      <w:marTop w:val="0"/>
      <w:marBottom w:val="0"/>
      <w:divBdr>
        <w:top w:val="none" w:sz="0" w:space="0" w:color="auto"/>
        <w:left w:val="none" w:sz="0" w:space="0" w:color="auto"/>
        <w:bottom w:val="none" w:sz="0" w:space="0" w:color="auto"/>
        <w:right w:val="none" w:sz="0" w:space="0" w:color="auto"/>
      </w:divBdr>
    </w:div>
    <w:div w:id="1410734838">
      <w:bodyDiv w:val="1"/>
      <w:marLeft w:val="0"/>
      <w:marRight w:val="0"/>
      <w:marTop w:val="0"/>
      <w:marBottom w:val="0"/>
      <w:divBdr>
        <w:top w:val="none" w:sz="0" w:space="0" w:color="auto"/>
        <w:left w:val="none" w:sz="0" w:space="0" w:color="auto"/>
        <w:bottom w:val="none" w:sz="0" w:space="0" w:color="auto"/>
        <w:right w:val="none" w:sz="0" w:space="0" w:color="auto"/>
      </w:divBdr>
    </w:div>
    <w:div w:id="1413351925">
      <w:bodyDiv w:val="1"/>
      <w:marLeft w:val="0"/>
      <w:marRight w:val="0"/>
      <w:marTop w:val="0"/>
      <w:marBottom w:val="0"/>
      <w:divBdr>
        <w:top w:val="none" w:sz="0" w:space="0" w:color="auto"/>
        <w:left w:val="none" w:sz="0" w:space="0" w:color="auto"/>
        <w:bottom w:val="none" w:sz="0" w:space="0" w:color="auto"/>
        <w:right w:val="none" w:sz="0" w:space="0" w:color="auto"/>
      </w:divBdr>
    </w:div>
    <w:div w:id="1431898763">
      <w:bodyDiv w:val="1"/>
      <w:marLeft w:val="0"/>
      <w:marRight w:val="0"/>
      <w:marTop w:val="0"/>
      <w:marBottom w:val="0"/>
      <w:divBdr>
        <w:top w:val="none" w:sz="0" w:space="0" w:color="auto"/>
        <w:left w:val="none" w:sz="0" w:space="0" w:color="auto"/>
        <w:bottom w:val="none" w:sz="0" w:space="0" w:color="auto"/>
        <w:right w:val="none" w:sz="0" w:space="0" w:color="auto"/>
      </w:divBdr>
    </w:div>
    <w:div w:id="1438865963">
      <w:bodyDiv w:val="1"/>
      <w:marLeft w:val="0"/>
      <w:marRight w:val="0"/>
      <w:marTop w:val="0"/>
      <w:marBottom w:val="0"/>
      <w:divBdr>
        <w:top w:val="none" w:sz="0" w:space="0" w:color="auto"/>
        <w:left w:val="none" w:sz="0" w:space="0" w:color="auto"/>
        <w:bottom w:val="none" w:sz="0" w:space="0" w:color="auto"/>
        <w:right w:val="none" w:sz="0" w:space="0" w:color="auto"/>
      </w:divBdr>
    </w:div>
    <w:div w:id="1461723419">
      <w:bodyDiv w:val="1"/>
      <w:marLeft w:val="0"/>
      <w:marRight w:val="0"/>
      <w:marTop w:val="0"/>
      <w:marBottom w:val="0"/>
      <w:divBdr>
        <w:top w:val="none" w:sz="0" w:space="0" w:color="auto"/>
        <w:left w:val="none" w:sz="0" w:space="0" w:color="auto"/>
        <w:bottom w:val="none" w:sz="0" w:space="0" w:color="auto"/>
        <w:right w:val="none" w:sz="0" w:space="0" w:color="auto"/>
      </w:divBdr>
    </w:div>
    <w:div w:id="1483232404">
      <w:bodyDiv w:val="1"/>
      <w:marLeft w:val="0"/>
      <w:marRight w:val="0"/>
      <w:marTop w:val="0"/>
      <w:marBottom w:val="0"/>
      <w:divBdr>
        <w:top w:val="none" w:sz="0" w:space="0" w:color="auto"/>
        <w:left w:val="none" w:sz="0" w:space="0" w:color="auto"/>
        <w:bottom w:val="none" w:sz="0" w:space="0" w:color="auto"/>
        <w:right w:val="none" w:sz="0" w:space="0" w:color="auto"/>
      </w:divBdr>
    </w:div>
    <w:div w:id="1505393949">
      <w:bodyDiv w:val="1"/>
      <w:marLeft w:val="0"/>
      <w:marRight w:val="0"/>
      <w:marTop w:val="0"/>
      <w:marBottom w:val="0"/>
      <w:divBdr>
        <w:top w:val="none" w:sz="0" w:space="0" w:color="auto"/>
        <w:left w:val="none" w:sz="0" w:space="0" w:color="auto"/>
        <w:bottom w:val="none" w:sz="0" w:space="0" w:color="auto"/>
        <w:right w:val="none" w:sz="0" w:space="0" w:color="auto"/>
      </w:divBdr>
    </w:div>
    <w:div w:id="1507749437">
      <w:bodyDiv w:val="1"/>
      <w:marLeft w:val="0"/>
      <w:marRight w:val="0"/>
      <w:marTop w:val="0"/>
      <w:marBottom w:val="0"/>
      <w:divBdr>
        <w:top w:val="none" w:sz="0" w:space="0" w:color="auto"/>
        <w:left w:val="none" w:sz="0" w:space="0" w:color="auto"/>
        <w:bottom w:val="none" w:sz="0" w:space="0" w:color="auto"/>
        <w:right w:val="none" w:sz="0" w:space="0" w:color="auto"/>
      </w:divBdr>
    </w:div>
    <w:div w:id="1508910890">
      <w:bodyDiv w:val="1"/>
      <w:marLeft w:val="0"/>
      <w:marRight w:val="0"/>
      <w:marTop w:val="0"/>
      <w:marBottom w:val="0"/>
      <w:divBdr>
        <w:top w:val="none" w:sz="0" w:space="0" w:color="auto"/>
        <w:left w:val="none" w:sz="0" w:space="0" w:color="auto"/>
        <w:bottom w:val="none" w:sz="0" w:space="0" w:color="auto"/>
        <w:right w:val="none" w:sz="0" w:space="0" w:color="auto"/>
      </w:divBdr>
    </w:div>
    <w:div w:id="1532572928">
      <w:bodyDiv w:val="1"/>
      <w:marLeft w:val="0"/>
      <w:marRight w:val="0"/>
      <w:marTop w:val="0"/>
      <w:marBottom w:val="0"/>
      <w:divBdr>
        <w:top w:val="none" w:sz="0" w:space="0" w:color="auto"/>
        <w:left w:val="none" w:sz="0" w:space="0" w:color="auto"/>
        <w:bottom w:val="none" w:sz="0" w:space="0" w:color="auto"/>
        <w:right w:val="none" w:sz="0" w:space="0" w:color="auto"/>
      </w:divBdr>
    </w:div>
    <w:div w:id="1535120178">
      <w:bodyDiv w:val="1"/>
      <w:marLeft w:val="0"/>
      <w:marRight w:val="0"/>
      <w:marTop w:val="0"/>
      <w:marBottom w:val="0"/>
      <w:divBdr>
        <w:top w:val="none" w:sz="0" w:space="0" w:color="auto"/>
        <w:left w:val="none" w:sz="0" w:space="0" w:color="auto"/>
        <w:bottom w:val="none" w:sz="0" w:space="0" w:color="auto"/>
        <w:right w:val="none" w:sz="0" w:space="0" w:color="auto"/>
      </w:divBdr>
    </w:div>
    <w:div w:id="1538161905">
      <w:bodyDiv w:val="1"/>
      <w:marLeft w:val="0"/>
      <w:marRight w:val="0"/>
      <w:marTop w:val="0"/>
      <w:marBottom w:val="0"/>
      <w:divBdr>
        <w:top w:val="none" w:sz="0" w:space="0" w:color="auto"/>
        <w:left w:val="none" w:sz="0" w:space="0" w:color="auto"/>
        <w:bottom w:val="none" w:sz="0" w:space="0" w:color="auto"/>
        <w:right w:val="none" w:sz="0" w:space="0" w:color="auto"/>
      </w:divBdr>
    </w:div>
    <w:div w:id="1538589943">
      <w:bodyDiv w:val="1"/>
      <w:marLeft w:val="0"/>
      <w:marRight w:val="0"/>
      <w:marTop w:val="0"/>
      <w:marBottom w:val="0"/>
      <w:divBdr>
        <w:top w:val="none" w:sz="0" w:space="0" w:color="auto"/>
        <w:left w:val="none" w:sz="0" w:space="0" w:color="auto"/>
        <w:bottom w:val="none" w:sz="0" w:space="0" w:color="auto"/>
        <w:right w:val="none" w:sz="0" w:space="0" w:color="auto"/>
      </w:divBdr>
    </w:div>
    <w:div w:id="1556040997">
      <w:bodyDiv w:val="1"/>
      <w:marLeft w:val="0"/>
      <w:marRight w:val="0"/>
      <w:marTop w:val="0"/>
      <w:marBottom w:val="0"/>
      <w:divBdr>
        <w:top w:val="none" w:sz="0" w:space="0" w:color="auto"/>
        <w:left w:val="none" w:sz="0" w:space="0" w:color="auto"/>
        <w:bottom w:val="none" w:sz="0" w:space="0" w:color="auto"/>
        <w:right w:val="none" w:sz="0" w:space="0" w:color="auto"/>
      </w:divBdr>
    </w:div>
    <w:div w:id="1558782466">
      <w:bodyDiv w:val="1"/>
      <w:marLeft w:val="0"/>
      <w:marRight w:val="0"/>
      <w:marTop w:val="0"/>
      <w:marBottom w:val="0"/>
      <w:divBdr>
        <w:top w:val="none" w:sz="0" w:space="0" w:color="auto"/>
        <w:left w:val="none" w:sz="0" w:space="0" w:color="auto"/>
        <w:bottom w:val="none" w:sz="0" w:space="0" w:color="auto"/>
        <w:right w:val="none" w:sz="0" w:space="0" w:color="auto"/>
      </w:divBdr>
    </w:div>
    <w:div w:id="1570000458">
      <w:bodyDiv w:val="1"/>
      <w:marLeft w:val="0"/>
      <w:marRight w:val="0"/>
      <w:marTop w:val="0"/>
      <w:marBottom w:val="0"/>
      <w:divBdr>
        <w:top w:val="none" w:sz="0" w:space="0" w:color="auto"/>
        <w:left w:val="none" w:sz="0" w:space="0" w:color="auto"/>
        <w:bottom w:val="none" w:sz="0" w:space="0" w:color="auto"/>
        <w:right w:val="none" w:sz="0" w:space="0" w:color="auto"/>
      </w:divBdr>
    </w:div>
    <w:div w:id="1603217914">
      <w:bodyDiv w:val="1"/>
      <w:marLeft w:val="0"/>
      <w:marRight w:val="0"/>
      <w:marTop w:val="0"/>
      <w:marBottom w:val="0"/>
      <w:divBdr>
        <w:top w:val="none" w:sz="0" w:space="0" w:color="auto"/>
        <w:left w:val="none" w:sz="0" w:space="0" w:color="auto"/>
        <w:bottom w:val="none" w:sz="0" w:space="0" w:color="auto"/>
        <w:right w:val="none" w:sz="0" w:space="0" w:color="auto"/>
      </w:divBdr>
    </w:div>
    <w:div w:id="1607810112">
      <w:bodyDiv w:val="1"/>
      <w:marLeft w:val="0"/>
      <w:marRight w:val="0"/>
      <w:marTop w:val="0"/>
      <w:marBottom w:val="0"/>
      <w:divBdr>
        <w:top w:val="none" w:sz="0" w:space="0" w:color="auto"/>
        <w:left w:val="none" w:sz="0" w:space="0" w:color="auto"/>
        <w:bottom w:val="none" w:sz="0" w:space="0" w:color="auto"/>
        <w:right w:val="none" w:sz="0" w:space="0" w:color="auto"/>
      </w:divBdr>
    </w:div>
    <w:div w:id="1616445612">
      <w:bodyDiv w:val="1"/>
      <w:marLeft w:val="0"/>
      <w:marRight w:val="0"/>
      <w:marTop w:val="0"/>
      <w:marBottom w:val="0"/>
      <w:divBdr>
        <w:top w:val="none" w:sz="0" w:space="0" w:color="auto"/>
        <w:left w:val="none" w:sz="0" w:space="0" w:color="auto"/>
        <w:bottom w:val="none" w:sz="0" w:space="0" w:color="auto"/>
        <w:right w:val="none" w:sz="0" w:space="0" w:color="auto"/>
      </w:divBdr>
    </w:div>
    <w:div w:id="1619484610">
      <w:bodyDiv w:val="1"/>
      <w:marLeft w:val="0"/>
      <w:marRight w:val="0"/>
      <w:marTop w:val="0"/>
      <w:marBottom w:val="0"/>
      <w:divBdr>
        <w:top w:val="none" w:sz="0" w:space="0" w:color="auto"/>
        <w:left w:val="none" w:sz="0" w:space="0" w:color="auto"/>
        <w:bottom w:val="none" w:sz="0" w:space="0" w:color="auto"/>
        <w:right w:val="none" w:sz="0" w:space="0" w:color="auto"/>
      </w:divBdr>
    </w:div>
    <w:div w:id="1621498423">
      <w:bodyDiv w:val="1"/>
      <w:marLeft w:val="0"/>
      <w:marRight w:val="0"/>
      <w:marTop w:val="0"/>
      <w:marBottom w:val="0"/>
      <w:divBdr>
        <w:top w:val="none" w:sz="0" w:space="0" w:color="auto"/>
        <w:left w:val="none" w:sz="0" w:space="0" w:color="auto"/>
        <w:bottom w:val="none" w:sz="0" w:space="0" w:color="auto"/>
        <w:right w:val="none" w:sz="0" w:space="0" w:color="auto"/>
      </w:divBdr>
    </w:div>
    <w:div w:id="1629042984">
      <w:bodyDiv w:val="1"/>
      <w:marLeft w:val="0"/>
      <w:marRight w:val="0"/>
      <w:marTop w:val="0"/>
      <w:marBottom w:val="0"/>
      <w:divBdr>
        <w:top w:val="none" w:sz="0" w:space="0" w:color="auto"/>
        <w:left w:val="none" w:sz="0" w:space="0" w:color="auto"/>
        <w:bottom w:val="none" w:sz="0" w:space="0" w:color="auto"/>
        <w:right w:val="none" w:sz="0" w:space="0" w:color="auto"/>
      </w:divBdr>
    </w:div>
    <w:div w:id="1634405557">
      <w:bodyDiv w:val="1"/>
      <w:marLeft w:val="0"/>
      <w:marRight w:val="0"/>
      <w:marTop w:val="0"/>
      <w:marBottom w:val="0"/>
      <w:divBdr>
        <w:top w:val="none" w:sz="0" w:space="0" w:color="auto"/>
        <w:left w:val="none" w:sz="0" w:space="0" w:color="auto"/>
        <w:bottom w:val="none" w:sz="0" w:space="0" w:color="auto"/>
        <w:right w:val="none" w:sz="0" w:space="0" w:color="auto"/>
      </w:divBdr>
    </w:div>
    <w:div w:id="1637486836">
      <w:bodyDiv w:val="1"/>
      <w:marLeft w:val="0"/>
      <w:marRight w:val="0"/>
      <w:marTop w:val="0"/>
      <w:marBottom w:val="0"/>
      <w:divBdr>
        <w:top w:val="none" w:sz="0" w:space="0" w:color="auto"/>
        <w:left w:val="none" w:sz="0" w:space="0" w:color="auto"/>
        <w:bottom w:val="none" w:sz="0" w:space="0" w:color="auto"/>
        <w:right w:val="none" w:sz="0" w:space="0" w:color="auto"/>
      </w:divBdr>
    </w:div>
    <w:div w:id="1647584632">
      <w:bodyDiv w:val="1"/>
      <w:marLeft w:val="0"/>
      <w:marRight w:val="0"/>
      <w:marTop w:val="0"/>
      <w:marBottom w:val="0"/>
      <w:divBdr>
        <w:top w:val="none" w:sz="0" w:space="0" w:color="auto"/>
        <w:left w:val="none" w:sz="0" w:space="0" w:color="auto"/>
        <w:bottom w:val="none" w:sz="0" w:space="0" w:color="auto"/>
        <w:right w:val="none" w:sz="0" w:space="0" w:color="auto"/>
      </w:divBdr>
    </w:div>
    <w:div w:id="1662855620">
      <w:bodyDiv w:val="1"/>
      <w:marLeft w:val="0"/>
      <w:marRight w:val="0"/>
      <w:marTop w:val="0"/>
      <w:marBottom w:val="0"/>
      <w:divBdr>
        <w:top w:val="none" w:sz="0" w:space="0" w:color="auto"/>
        <w:left w:val="none" w:sz="0" w:space="0" w:color="auto"/>
        <w:bottom w:val="none" w:sz="0" w:space="0" w:color="auto"/>
        <w:right w:val="none" w:sz="0" w:space="0" w:color="auto"/>
      </w:divBdr>
    </w:div>
    <w:div w:id="1676377010">
      <w:bodyDiv w:val="1"/>
      <w:marLeft w:val="0"/>
      <w:marRight w:val="0"/>
      <w:marTop w:val="0"/>
      <w:marBottom w:val="0"/>
      <w:divBdr>
        <w:top w:val="none" w:sz="0" w:space="0" w:color="auto"/>
        <w:left w:val="none" w:sz="0" w:space="0" w:color="auto"/>
        <w:bottom w:val="none" w:sz="0" w:space="0" w:color="auto"/>
        <w:right w:val="none" w:sz="0" w:space="0" w:color="auto"/>
      </w:divBdr>
    </w:div>
    <w:div w:id="1707872269">
      <w:bodyDiv w:val="1"/>
      <w:marLeft w:val="0"/>
      <w:marRight w:val="0"/>
      <w:marTop w:val="0"/>
      <w:marBottom w:val="0"/>
      <w:divBdr>
        <w:top w:val="none" w:sz="0" w:space="0" w:color="auto"/>
        <w:left w:val="none" w:sz="0" w:space="0" w:color="auto"/>
        <w:bottom w:val="none" w:sz="0" w:space="0" w:color="auto"/>
        <w:right w:val="none" w:sz="0" w:space="0" w:color="auto"/>
      </w:divBdr>
    </w:div>
    <w:div w:id="1731152732">
      <w:bodyDiv w:val="1"/>
      <w:marLeft w:val="0"/>
      <w:marRight w:val="0"/>
      <w:marTop w:val="0"/>
      <w:marBottom w:val="0"/>
      <w:divBdr>
        <w:top w:val="none" w:sz="0" w:space="0" w:color="auto"/>
        <w:left w:val="none" w:sz="0" w:space="0" w:color="auto"/>
        <w:bottom w:val="none" w:sz="0" w:space="0" w:color="auto"/>
        <w:right w:val="none" w:sz="0" w:space="0" w:color="auto"/>
      </w:divBdr>
    </w:div>
    <w:div w:id="1752970538">
      <w:bodyDiv w:val="1"/>
      <w:marLeft w:val="0"/>
      <w:marRight w:val="0"/>
      <w:marTop w:val="0"/>
      <w:marBottom w:val="0"/>
      <w:divBdr>
        <w:top w:val="none" w:sz="0" w:space="0" w:color="auto"/>
        <w:left w:val="none" w:sz="0" w:space="0" w:color="auto"/>
        <w:bottom w:val="none" w:sz="0" w:space="0" w:color="auto"/>
        <w:right w:val="none" w:sz="0" w:space="0" w:color="auto"/>
      </w:divBdr>
    </w:div>
    <w:div w:id="1752971638">
      <w:bodyDiv w:val="1"/>
      <w:marLeft w:val="0"/>
      <w:marRight w:val="0"/>
      <w:marTop w:val="0"/>
      <w:marBottom w:val="0"/>
      <w:divBdr>
        <w:top w:val="none" w:sz="0" w:space="0" w:color="auto"/>
        <w:left w:val="none" w:sz="0" w:space="0" w:color="auto"/>
        <w:bottom w:val="none" w:sz="0" w:space="0" w:color="auto"/>
        <w:right w:val="none" w:sz="0" w:space="0" w:color="auto"/>
      </w:divBdr>
    </w:div>
    <w:div w:id="1771775986">
      <w:bodyDiv w:val="1"/>
      <w:marLeft w:val="0"/>
      <w:marRight w:val="0"/>
      <w:marTop w:val="0"/>
      <w:marBottom w:val="0"/>
      <w:divBdr>
        <w:top w:val="none" w:sz="0" w:space="0" w:color="auto"/>
        <w:left w:val="none" w:sz="0" w:space="0" w:color="auto"/>
        <w:bottom w:val="none" w:sz="0" w:space="0" w:color="auto"/>
        <w:right w:val="none" w:sz="0" w:space="0" w:color="auto"/>
      </w:divBdr>
    </w:div>
    <w:div w:id="1781990267">
      <w:bodyDiv w:val="1"/>
      <w:marLeft w:val="0"/>
      <w:marRight w:val="0"/>
      <w:marTop w:val="0"/>
      <w:marBottom w:val="0"/>
      <w:divBdr>
        <w:top w:val="none" w:sz="0" w:space="0" w:color="auto"/>
        <w:left w:val="none" w:sz="0" w:space="0" w:color="auto"/>
        <w:bottom w:val="none" w:sz="0" w:space="0" w:color="auto"/>
        <w:right w:val="none" w:sz="0" w:space="0" w:color="auto"/>
      </w:divBdr>
    </w:div>
    <w:div w:id="1784960698">
      <w:bodyDiv w:val="1"/>
      <w:marLeft w:val="0"/>
      <w:marRight w:val="0"/>
      <w:marTop w:val="0"/>
      <w:marBottom w:val="0"/>
      <w:divBdr>
        <w:top w:val="none" w:sz="0" w:space="0" w:color="auto"/>
        <w:left w:val="none" w:sz="0" w:space="0" w:color="auto"/>
        <w:bottom w:val="none" w:sz="0" w:space="0" w:color="auto"/>
        <w:right w:val="none" w:sz="0" w:space="0" w:color="auto"/>
      </w:divBdr>
    </w:div>
    <w:div w:id="1796869416">
      <w:bodyDiv w:val="1"/>
      <w:marLeft w:val="0"/>
      <w:marRight w:val="0"/>
      <w:marTop w:val="0"/>
      <w:marBottom w:val="0"/>
      <w:divBdr>
        <w:top w:val="none" w:sz="0" w:space="0" w:color="auto"/>
        <w:left w:val="none" w:sz="0" w:space="0" w:color="auto"/>
        <w:bottom w:val="none" w:sz="0" w:space="0" w:color="auto"/>
        <w:right w:val="none" w:sz="0" w:space="0" w:color="auto"/>
      </w:divBdr>
    </w:div>
    <w:div w:id="1811433145">
      <w:bodyDiv w:val="1"/>
      <w:marLeft w:val="0"/>
      <w:marRight w:val="0"/>
      <w:marTop w:val="0"/>
      <w:marBottom w:val="0"/>
      <w:divBdr>
        <w:top w:val="none" w:sz="0" w:space="0" w:color="auto"/>
        <w:left w:val="none" w:sz="0" w:space="0" w:color="auto"/>
        <w:bottom w:val="none" w:sz="0" w:space="0" w:color="auto"/>
        <w:right w:val="none" w:sz="0" w:space="0" w:color="auto"/>
      </w:divBdr>
    </w:div>
    <w:div w:id="1835147752">
      <w:bodyDiv w:val="1"/>
      <w:marLeft w:val="0"/>
      <w:marRight w:val="0"/>
      <w:marTop w:val="0"/>
      <w:marBottom w:val="0"/>
      <w:divBdr>
        <w:top w:val="none" w:sz="0" w:space="0" w:color="auto"/>
        <w:left w:val="none" w:sz="0" w:space="0" w:color="auto"/>
        <w:bottom w:val="none" w:sz="0" w:space="0" w:color="auto"/>
        <w:right w:val="none" w:sz="0" w:space="0" w:color="auto"/>
      </w:divBdr>
    </w:div>
    <w:div w:id="1851751239">
      <w:bodyDiv w:val="1"/>
      <w:marLeft w:val="0"/>
      <w:marRight w:val="0"/>
      <w:marTop w:val="0"/>
      <w:marBottom w:val="0"/>
      <w:divBdr>
        <w:top w:val="none" w:sz="0" w:space="0" w:color="auto"/>
        <w:left w:val="none" w:sz="0" w:space="0" w:color="auto"/>
        <w:bottom w:val="none" w:sz="0" w:space="0" w:color="auto"/>
        <w:right w:val="none" w:sz="0" w:space="0" w:color="auto"/>
      </w:divBdr>
    </w:div>
    <w:div w:id="1858158535">
      <w:bodyDiv w:val="1"/>
      <w:marLeft w:val="0"/>
      <w:marRight w:val="0"/>
      <w:marTop w:val="0"/>
      <w:marBottom w:val="0"/>
      <w:divBdr>
        <w:top w:val="none" w:sz="0" w:space="0" w:color="auto"/>
        <w:left w:val="none" w:sz="0" w:space="0" w:color="auto"/>
        <w:bottom w:val="none" w:sz="0" w:space="0" w:color="auto"/>
        <w:right w:val="none" w:sz="0" w:space="0" w:color="auto"/>
      </w:divBdr>
    </w:div>
    <w:div w:id="1858688519">
      <w:bodyDiv w:val="1"/>
      <w:marLeft w:val="0"/>
      <w:marRight w:val="0"/>
      <w:marTop w:val="0"/>
      <w:marBottom w:val="0"/>
      <w:divBdr>
        <w:top w:val="none" w:sz="0" w:space="0" w:color="auto"/>
        <w:left w:val="none" w:sz="0" w:space="0" w:color="auto"/>
        <w:bottom w:val="none" w:sz="0" w:space="0" w:color="auto"/>
        <w:right w:val="none" w:sz="0" w:space="0" w:color="auto"/>
      </w:divBdr>
    </w:div>
    <w:div w:id="1912961704">
      <w:bodyDiv w:val="1"/>
      <w:marLeft w:val="0"/>
      <w:marRight w:val="0"/>
      <w:marTop w:val="0"/>
      <w:marBottom w:val="0"/>
      <w:divBdr>
        <w:top w:val="none" w:sz="0" w:space="0" w:color="auto"/>
        <w:left w:val="none" w:sz="0" w:space="0" w:color="auto"/>
        <w:bottom w:val="none" w:sz="0" w:space="0" w:color="auto"/>
        <w:right w:val="none" w:sz="0" w:space="0" w:color="auto"/>
      </w:divBdr>
    </w:div>
    <w:div w:id="1917397042">
      <w:bodyDiv w:val="1"/>
      <w:marLeft w:val="0"/>
      <w:marRight w:val="0"/>
      <w:marTop w:val="0"/>
      <w:marBottom w:val="0"/>
      <w:divBdr>
        <w:top w:val="none" w:sz="0" w:space="0" w:color="auto"/>
        <w:left w:val="none" w:sz="0" w:space="0" w:color="auto"/>
        <w:bottom w:val="none" w:sz="0" w:space="0" w:color="auto"/>
        <w:right w:val="none" w:sz="0" w:space="0" w:color="auto"/>
      </w:divBdr>
    </w:div>
    <w:div w:id="1933658726">
      <w:bodyDiv w:val="1"/>
      <w:marLeft w:val="0"/>
      <w:marRight w:val="0"/>
      <w:marTop w:val="0"/>
      <w:marBottom w:val="0"/>
      <w:divBdr>
        <w:top w:val="none" w:sz="0" w:space="0" w:color="auto"/>
        <w:left w:val="none" w:sz="0" w:space="0" w:color="auto"/>
        <w:bottom w:val="none" w:sz="0" w:space="0" w:color="auto"/>
        <w:right w:val="none" w:sz="0" w:space="0" w:color="auto"/>
      </w:divBdr>
    </w:div>
    <w:div w:id="1945725072">
      <w:bodyDiv w:val="1"/>
      <w:marLeft w:val="0"/>
      <w:marRight w:val="0"/>
      <w:marTop w:val="0"/>
      <w:marBottom w:val="0"/>
      <w:divBdr>
        <w:top w:val="none" w:sz="0" w:space="0" w:color="auto"/>
        <w:left w:val="none" w:sz="0" w:space="0" w:color="auto"/>
        <w:bottom w:val="none" w:sz="0" w:space="0" w:color="auto"/>
        <w:right w:val="none" w:sz="0" w:space="0" w:color="auto"/>
      </w:divBdr>
    </w:div>
    <w:div w:id="1948732688">
      <w:bodyDiv w:val="1"/>
      <w:marLeft w:val="0"/>
      <w:marRight w:val="0"/>
      <w:marTop w:val="0"/>
      <w:marBottom w:val="0"/>
      <w:divBdr>
        <w:top w:val="none" w:sz="0" w:space="0" w:color="auto"/>
        <w:left w:val="none" w:sz="0" w:space="0" w:color="auto"/>
        <w:bottom w:val="none" w:sz="0" w:space="0" w:color="auto"/>
        <w:right w:val="none" w:sz="0" w:space="0" w:color="auto"/>
      </w:divBdr>
    </w:div>
    <w:div w:id="1955863308">
      <w:bodyDiv w:val="1"/>
      <w:marLeft w:val="0"/>
      <w:marRight w:val="0"/>
      <w:marTop w:val="0"/>
      <w:marBottom w:val="0"/>
      <w:divBdr>
        <w:top w:val="none" w:sz="0" w:space="0" w:color="auto"/>
        <w:left w:val="none" w:sz="0" w:space="0" w:color="auto"/>
        <w:bottom w:val="none" w:sz="0" w:space="0" w:color="auto"/>
        <w:right w:val="none" w:sz="0" w:space="0" w:color="auto"/>
      </w:divBdr>
    </w:div>
    <w:div w:id="1959526815">
      <w:bodyDiv w:val="1"/>
      <w:marLeft w:val="0"/>
      <w:marRight w:val="0"/>
      <w:marTop w:val="0"/>
      <w:marBottom w:val="0"/>
      <w:divBdr>
        <w:top w:val="none" w:sz="0" w:space="0" w:color="auto"/>
        <w:left w:val="none" w:sz="0" w:space="0" w:color="auto"/>
        <w:bottom w:val="none" w:sz="0" w:space="0" w:color="auto"/>
        <w:right w:val="none" w:sz="0" w:space="0" w:color="auto"/>
      </w:divBdr>
    </w:div>
    <w:div w:id="1960988228">
      <w:bodyDiv w:val="1"/>
      <w:marLeft w:val="0"/>
      <w:marRight w:val="0"/>
      <w:marTop w:val="0"/>
      <w:marBottom w:val="0"/>
      <w:divBdr>
        <w:top w:val="none" w:sz="0" w:space="0" w:color="auto"/>
        <w:left w:val="none" w:sz="0" w:space="0" w:color="auto"/>
        <w:bottom w:val="none" w:sz="0" w:space="0" w:color="auto"/>
        <w:right w:val="none" w:sz="0" w:space="0" w:color="auto"/>
      </w:divBdr>
    </w:div>
    <w:div w:id="1971740201">
      <w:bodyDiv w:val="1"/>
      <w:marLeft w:val="0"/>
      <w:marRight w:val="0"/>
      <w:marTop w:val="0"/>
      <w:marBottom w:val="0"/>
      <w:divBdr>
        <w:top w:val="none" w:sz="0" w:space="0" w:color="auto"/>
        <w:left w:val="none" w:sz="0" w:space="0" w:color="auto"/>
        <w:bottom w:val="none" w:sz="0" w:space="0" w:color="auto"/>
        <w:right w:val="none" w:sz="0" w:space="0" w:color="auto"/>
      </w:divBdr>
    </w:div>
    <w:div w:id="1983002093">
      <w:bodyDiv w:val="1"/>
      <w:marLeft w:val="0"/>
      <w:marRight w:val="0"/>
      <w:marTop w:val="0"/>
      <w:marBottom w:val="0"/>
      <w:divBdr>
        <w:top w:val="none" w:sz="0" w:space="0" w:color="auto"/>
        <w:left w:val="none" w:sz="0" w:space="0" w:color="auto"/>
        <w:bottom w:val="none" w:sz="0" w:space="0" w:color="auto"/>
        <w:right w:val="none" w:sz="0" w:space="0" w:color="auto"/>
      </w:divBdr>
    </w:div>
    <w:div w:id="2000184244">
      <w:bodyDiv w:val="1"/>
      <w:marLeft w:val="0"/>
      <w:marRight w:val="0"/>
      <w:marTop w:val="0"/>
      <w:marBottom w:val="0"/>
      <w:divBdr>
        <w:top w:val="none" w:sz="0" w:space="0" w:color="auto"/>
        <w:left w:val="none" w:sz="0" w:space="0" w:color="auto"/>
        <w:bottom w:val="none" w:sz="0" w:space="0" w:color="auto"/>
        <w:right w:val="none" w:sz="0" w:space="0" w:color="auto"/>
      </w:divBdr>
    </w:div>
    <w:div w:id="2005933378">
      <w:bodyDiv w:val="1"/>
      <w:marLeft w:val="0"/>
      <w:marRight w:val="0"/>
      <w:marTop w:val="0"/>
      <w:marBottom w:val="0"/>
      <w:divBdr>
        <w:top w:val="none" w:sz="0" w:space="0" w:color="auto"/>
        <w:left w:val="none" w:sz="0" w:space="0" w:color="auto"/>
        <w:bottom w:val="none" w:sz="0" w:space="0" w:color="auto"/>
        <w:right w:val="none" w:sz="0" w:space="0" w:color="auto"/>
      </w:divBdr>
    </w:div>
    <w:div w:id="2014720290">
      <w:bodyDiv w:val="1"/>
      <w:marLeft w:val="0"/>
      <w:marRight w:val="0"/>
      <w:marTop w:val="0"/>
      <w:marBottom w:val="0"/>
      <w:divBdr>
        <w:top w:val="none" w:sz="0" w:space="0" w:color="auto"/>
        <w:left w:val="none" w:sz="0" w:space="0" w:color="auto"/>
        <w:bottom w:val="none" w:sz="0" w:space="0" w:color="auto"/>
        <w:right w:val="none" w:sz="0" w:space="0" w:color="auto"/>
      </w:divBdr>
    </w:div>
    <w:div w:id="2019841235">
      <w:bodyDiv w:val="1"/>
      <w:marLeft w:val="0"/>
      <w:marRight w:val="0"/>
      <w:marTop w:val="0"/>
      <w:marBottom w:val="0"/>
      <w:divBdr>
        <w:top w:val="none" w:sz="0" w:space="0" w:color="auto"/>
        <w:left w:val="none" w:sz="0" w:space="0" w:color="auto"/>
        <w:bottom w:val="none" w:sz="0" w:space="0" w:color="auto"/>
        <w:right w:val="none" w:sz="0" w:space="0" w:color="auto"/>
      </w:divBdr>
    </w:div>
    <w:div w:id="2044819544">
      <w:bodyDiv w:val="1"/>
      <w:marLeft w:val="0"/>
      <w:marRight w:val="0"/>
      <w:marTop w:val="0"/>
      <w:marBottom w:val="0"/>
      <w:divBdr>
        <w:top w:val="none" w:sz="0" w:space="0" w:color="auto"/>
        <w:left w:val="none" w:sz="0" w:space="0" w:color="auto"/>
        <w:bottom w:val="none" w:sz="0" w:space="0" w:color="auto"/>
        <w:right w:val="none" w:sz="0" w:space="0" w:color="auto"/>
      </w:divBdr>
    </w:div>
    <w:div w:id="2044863698">
      <w:bodyDiv w:val="1"/>
      <w:marLeft w:val="0"/>
      <w:marRight w:val="0"/>
      <w:marTop w:val="0"/>
      <w:marBottom w:val="0"/>
      <w:divBdr>
        <w:top w:val="none" w:sz="0" w:space="0" w:color="auto"/>
        <w:left w:val="none" w:sz="0" w:space="0" w:color="auto"/>
        <w:bottom w:val="none" w:sz="0" w:space="0" w:color="auto"/>
        <w:right w:val="none" w:sz="0" w:space="0" w:color="auto"/>
      </w:divBdr>
    </w:div>
    <w:div w:id="2087802638">
      <w:bodyDiv w:val="1"/>
      <w:marLeft w:val="0"/>
      <w:marRight w:val="0"/>
      <w:marTop w:val="0"/>
      <w:marBottom w:val="0"/>
      <w:divBdr>
        <w:top w:val="none" w:sz="0" w:space="0" w:color="auto"/>
        <w:left w:val="none" w:sz="0" w:space="0" w:color="auto"/>
        <w:bottom w:val="none" w:sz="0" w:space="0" w:color="auto"/>
        <w:right w:val="none" w:sz="0" w:space="0" w:color="auto"/>
      </w:divBdr>
    </w:div>
    <w:div w:id="2089618175">
      <w:bodyDiv w:val="1"/>
      <w:marLeft w:val="0"/>
      <w:marRight w:val="0"/>
      <w:marTop w:val="0"/>
      <w:marBottom w:val="0"/>
      <w:divBdr>
        <w:top w:val="none" w:sz="0" w:space="0" w:color="auto"/>
        <w:left w:val="none" w:sz="0" w:space="0" w:color="auto"/>
        <w:bottom w:val="none" w:sz="0" w:space="0" w:color="auto"/>
        <w:right w:val="none" w:sz="0" w:space="0" w:color="auto"/>
      </w:divBdr>
    </w:div>
    <w:div w:id="2101562007">
      <w:bodyDiv w:val="1"/>
      <w:marLeft w:val="0"/>
      <w:marRight w:val="0"/>
      <w:marTop w:val="0"/>
      <w:marBottom w:val="0"/>
      <w:divBdr>
        <w:top w:val="none" w:sz="0" w:space="0" w:color="auto"/>
        <w:left w:val="none" w:sz="0" w:space="0" w:color="auto"/>
        <w:bottom w:val="none" w:sz="0" w:space="0" w:color="auto"/>
        <w:right w:val="none" w:sz="0" w:space="0" w:color="auto"/>
      </w:divBdr>
    </w:div>
    <w:div w:id="2109736819">
      <w:bodyDiv w:val="1"/>
      <w:marLeft w:val="0"/>
      <w:marRight w:val="0"/>
      <w:marTop w:val="0"/>
      <w:marBottom w:val="0"/>
      <w:divBdr>
        <w:top w:val="none" w:sz="0" w:space="0" w:color="auto"/>
        <w:left w:val="none" w:sz="0" w:space="0" w:color="auto"/>
        <w:bottom w:val="none" w:sz="0" w:space="0" w:color="auto"/>
        <w:right w:val="none" w:sz="0" w:space="0" w:color="auto"/>
      </w:divBdr>
    </w:div>
    <w:div w:id="2115589083">
      <w:bodyDiv w:val="1"/>
      <w:marLeft w:val="0"/>
      <w:marRight w:val="0"/>
      <w:marTop w:val="0"/>
      <w:marBottom w:val="0"/>
      <w:divBdr>
        <w:top w:val="none" w:sz="0" w:space="0" w:color="auto"/>
        <w:left w:val="none" w:sz="0" w:space="0" w:color="auto"/>
        <w:bottom w:val="none" w:sz="0" w:space="0" w:color="auto"/>
        <w:right w:val="none" w:sz="0" w:space="0" w:color="auto"/>
      </w:divBdr>
    </w:div>
    <w:div w:id="2117871745">
      <w:bodyDiv w:val="1"/>
      <w:marLeft w:val="0"/>
      <w:marRight w:val="0"/>
      <w:marTop w:val="0"/>
      <w:marBottom w:val="0"/>
      <w:divBdr>
        <w:top w:val="none" w:sz="0" w:space="0" w:color="auto"/>
        <w:left w:val="none" w:sz="0" w:space="0" w:color="auto"/>
        <w:bottom w:val="none" w:sz="0" w:space="0" w:color="auto"/>
        <w:right w:val="none" w:sz="0" w:space="0" w:color="auto"/>
      </w:divBdr>
    </w:div>
    <w:div w:id="2122069888">
      <w:bodyDiv w:val="1"/>
      <w:marLeft w:val="0"/>
      <w:marRight w:val="0"/>
      <w:marTop w:val="0"/>
      <w:marBottom w:val="0"/>
      <w:divBdr>
        <w:top w:val="none" w:sz="0" w:space="0" w:color="auto"/>
        <w:left w:val="none" w:sz="0" w:space="0" w:color="auto"/>
        <w:bottom w:val="none" w:sz="0" w:space="0" w:color="auto"/>
        <w:right w:val="none" w:sz="0" w:space="0" w:color="auto"/>
      </w:divBdr>
    </w:div>
    <w:div w:id="213775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sac.gov.au/internet/msac/publishing.nsf/Content/1440.1-public" TargetMode="External"/><Relationship Id="rId4" Type="http://schemas.microsoft.com/office/2007/relationships/stylesWithEffects" Target="stylesWithEffects.xml"/><Relationship Id="rId9" Type="http://schemas.openxmlformats.org/officeDocument/2006/relationships/hyperlink" Target="http://www.msac.gov.au/internet/msac/publishing.nsf/Content/1454-Publi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A6F5-C3D2-474C-9509-E38B5522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7619</Words>
  <Characters>43431</Characters>
  <Application>Microsoft Office Word</Application>
  <DocSecurity>0</DocSecurity>
  <Lines>361</Lines>
  <Paragraphs>101</Paragraphs>
  <ScaleCrop>false</ScaleCrop>
  <Company/>
  <LinksUpToDate>false</LinksUpToDate>
  <CharactersWithSpaces>50949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2018-08-15T04:39:00Z</dcterms:created>
  <dcterms:modified xsi:type="dcterms:W3CDTF">2018-09-14T04:11:00Z</dcterms:modified>
</cp:coreProperties>
</file>