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B0EE" w14:textId="77777777" w:rsidR="00D7136A" w:rsidRDefault="00464DA0" w:rsidP="00267A9D">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EB6E0E" w:rsidRDefault="00D7136A" w:rsidP="00D7136A">
      <w:pPr>
        <w:jc w:val="both"/>
        <w:rPr>
          <w:rFonts w:ascii="Arial" w:hAnsi="Arial"/>
          <w:b/>
          <w:sz w:val="28"/>
          <w:szCs w:val="20"/>
          <w:lang w:val="en-AU" w:eastAsia="en-AU"/>
        </w:rPr>
      </w:pPr>
    </w:p>
    <w:p w14:paraId="7C5EA0B1" w14:textId="10FEE021" w:rsidR="00D7136A" w:rsidRPr="00397836" w:rsidRDefault="00D7136A" w:rsidP="00D7136A">
      <w:pPr>
        <w:contextualSpacing/>
        <w:jc w:val="both"/>
        <w:rPr>
          <w:rFonts w:ascii="Arial" w:hAnsi="Arial" w:cs="Arial"/>
          <w:color w:val="A6A6A6"/>
          <w:sz w:val="22"/>
          <w:lang w:val="en-AU" w:eastAsia="en-AU"/>
        </w:rPr>
      </w:pPr>
      <w:r w:rsidRPr="00A31269">
        <w:rPr>
          <w:rFonts w:ascii="Arial" w:hAnsi="Arial" w:cs="Arial"/>
          <w:sz w:val="22"/>
          <w:lang w:val="en-AU" w:eastAsia="en-AU"/>
        </w:rPr>
        <w:t xml:space="preserve">The PBAC noted utilisation reports with associated stakeholder responses from the </w:t>
      </w:r>
      <w:r w:rsidR="00D72D36">
        <w:rPr>
          <w:rFonts w:ascii="Arial" w:hAnsi="Arial" w:cs="Arial"/>
          <w:sz w:val="22"/>
          <w:lang w:val="en-AU" w:eastAsia="en-AU"/>
        </w:rPr>
        <w:t>February 2019</w:t>
      </w:r>
      <w:r w:rsidR="00A31269" w:rsidRPr="00A31269">
        <w:rPr>
          <w:rFonts w:ascii="Arial" w:hAnsi="Arial" w:cs="Arial"/>
          <w:sz w:val="22"/>
          <w:lang w:val="en-AU" w:eastAsia="en-AU"/>
        </w:rPr>
        <w:t xml:space="preserve"> Drug Utilisation Sub-Committee (DUSC) </w:t>
      </w:r>
      <w:r w:rsidRPr="00A31269">
        <w:rPr>
          <w:rFonts w:ascii="Arial" w:hAnsi="Arial" w:cs="Arial"/>
          <w:sz w:val="22"/>
          <w:lang w:val="en-AU" w:eastAsia="en-AU"/>
        </w:rPr>
        <w:t>meeting, which were provided in Item</w:t>
      </w:r>
      <w:r w:rsidR="00A31269" w:rsidRPr="00A31269">
        <w:rPr>
          <w:rFonts w:ascii="Arial" w:hAnsi="Arial" w:cs="Arial"/>
          <w:sz w:val="22"/>
          <w:lang w:val="en-AU" w:eastAsia="en-AU"/>
        </w:rPr>
        <w:t>s 10.0</w:t>
      </w:r>
      <w:r w:rsidR="002F7591">
        <w:rPr>
          <w:rFonts w:ascii="Arial" w:hAnsi="Arial" w:cs="Arial"/>
          <w:sz w:val="22"/>
          <w:lang w:val="en-AU" w:eastAsia="en-AU"/>
        </w:rPr>
        <w:t>3</w:t>
      </w:r>
      <w:r w:rsidR="00A31269" w:rsidRPr="00A31269">
        <w:rPr>
          <w:rFonts w:ascii="Arial" w:hAnsi="Arial" w:cs="Arial"/>
          <w:sz w:val="22"/>
          <w:lang w:val="en-AU" w:eastAsia="en-AU"/>
        </w:rPr>
        <w:t xml:space="preserve"> to 10.0</w:t>
      </w:r>
      <w:r w:rsidR="00D72D36">
        <w:rPr>
          <w:rFonts w:ascii="Arial" w:hAnsi="Arial" w:cs="Arial"/>
          <w:sz w:val="22"/>
          <w:lang w:val="en-AU" w:eastAsia="en-AU"/>
        </w:rPr>
        <w:t>4</w:t>
      </w:r>
      <w:r w:rsidRPr="00A31269">
        <w:rPr>
          <w:rFonts w:ascii="Arial" w:hAnsi="Arial" w:cs="Arial"/>
          <w:sz w:val="22"/>
          <w:lang w:val="en-AU" w:eastAsia="en-AU"/>
        </w:rPr>
        <w:t xml:space="preserve"> of the PBAC Agenda. </w:t>
      </w:r>
      <w:r w:rsidR="00A31269" w:rsidRPr="00A31269">
        <w:rPr>
          <w:rFonts w:ascii="Arial" w:hAnsi="Arial" w:cs="Arial"/>
          <w:sz w:val="22"/>
          <w:lang w:val="en-AU" w:eastAsia="en-AU"/>
        </w:rPr>
        <w:t xml:space="preserve">DUSC minutes relating to these items were provided to the PBAC. The </w:t>
      </w:r>
      <w:r w:rsidR="00D72D36">
        <w:rPr>
          <w:rFonts w:ascii="Arial" w:hAnsi="Arial" w:cs="Arial"/>
          <w:sz w:val="22"/>
          <w:lang w:val="en-AU" w:eastAsia="en-AU"/>
        </w:rPr>
        <w:t>February 2019</w:t>
      </w:r>
      <w:r w:rsidR="00A31269" w:rsidRPr="00A31269">
        <w:rPr>
          <w:rFonts w:ascii="Arial" w:hAnsi="Arial" w:cs="Arial"/>
          <w:sz w:val="22"/>
          <w:lang w:val="en-AU" w:eastAsia="en-AU"/>
        </w:rPr>
        <w:t xml:space="preserve"> DUSC outcome statement </w:t>
      </w:r>
      <w:r w:rsidR="00A31269" w:rsidRPr="00A31269">
        <w:rPr>
          <w:rFonts w:ascii="Arial" w:hAnsi="Arial" w:cs="Arial"/>
          <w:snapToGrid w:val="0"/>
          <w:sz w:val="22"/>
          <w:szCs w:val="22"/>
          <w:lang w:val="en-AU"/>
        </w:rPr>
        <w:t xml:space="preserve">is </w:t>
      </w:r>
      <w:hyperlink r:id="rId8" w:history="1">
        <w:r w:rsidR="00A31269" w:rsidRPr="00A31269">
          <w:rPr>
            <w:rFonts w:ascii="Arial" w:hAnsi="Arial" w:cs="Arial"/>
            <w:snapToGrid w:val="0"/>
            <w:color w:val="0000FF" w:themeColor="hyperlink"/>
            <w:sz w:val="22"/>
            <w:szCs w:val="22"/>
            <w:u w:val="single"/>
            <w:lang w:val="en-AU"/>
          </w:rPr>
          <w:t xml:space="preserve">available </w:t>
        </w:r>
        <w:r w:rsidR="00A31269" w:rsidRPr="00A31269">
          <w:rPr>
            <w:rFonts w:ascii="Arial" w:hAnsi="Arial" w:cs="Arial"/>
            <w:snapToGrid w:val="0"/>
            <w:color w:val="0000FF" w:themeColor="hyperlink"/>
            <w:sz w:val="22"/>
            <w:u w:val="single"/>
            <w:lang w:val="en-AU"/>
          </w:rPr>
          <w:t>here</w:t>
        </w:r>
      </w:hyperlink>
      <w:r w:rsidR="00A31269" w:rsidRPr="00EB38E2">
        <w:rPr>
          <w:rFonts w:ascii="Arial" w:hAnsi="Arial" w:cs="Arial"/>
          <w:sz w:val="22"/>
          <w:lang w:val="en-AU" w:eastAsia="en-AU"/>
        </w:rPr>
        <w:t>.</w:t>
      </w:r>
    </w:p>
    <w:p w14:paraId="2BEF9007" w14:textId="25603A75" w:rsidR="005616CC" w:rsidRDefault="005616CC" w:rsidP="00A31269">
      <w:pPr>
        <w:contextualSpacing/>
        <w:jc w:val="both"/>
        <w:rPr>
          <w:rFonts w:ascii="Arial" w:hAnsi="Arial" w:cs="Arial"/>
          <w:b/>
          <w:sz w:val="22"/>
          <w:lang w:val="en-AU" w:eastAsia="en-AU"/>
        </w:rPr>
      </w:pPr>
    </w:p>
    <w:p w14:paraId="38EDF30F" w14:textId="375BFEA7" w:rsidR="007C758A" w:rsidRDefault="00D72D36" w:rsidP="00A31269">
      <w:pPr>
        <w:contextualSpacing/>
        <w:jc w:val="both"/>
        <w:rPr>
          <w:rFonts w:ascii="Arial" w:hAnsi="Arial" w:cs="Arial"/>
          <w:b/>
          <w:sz w:val="22"/>
          <w:lang w:val="en-AU" w:eastAsia="en-AU"/>
        </w:rPr>
      </w:pPr>
      <w:r>
        <w:rPr>
          <w:rFonts w:ascii="Arial" w:hAnsi="Arial" w:cs="Arial"/>
          <w:b/>
          <w:sz w:val="22"/>
          <w:lang w:val="en-AU" w:eastAsia="en-AU"/>
        </w:rPr>
        <w:t>Bendamustine for the treatment of lymphoma</w:t>
      </w:r>
    </w:p>
    <w:p w14:paraId="1B925BB8" w14:textId="77777777" w:rsidR="00B13AD3" w:rsidRDefault="00B13AD3" w:rsidP="00A31269">
      <w:pPr>
        <w:contextualSpacing/>
        <w:jc w:val="both"/>
        <w:rPr>
          <w:rFonts w:ascii="Arial" w:hAnsi="Arial" w:cs="Arial"/>
          <w:sz w:val="22"/>
          <w:lang w:val="en-AU" w:eastAsia="en-AU"/>
        </w:rPr>
      </w:pPr>
    </w:p>
    <w:p w14:paraId="58D57071" w14:textId="61381CEA" w:rsidR="00B1693A" w:rsidRPr="00B1693A" w:rsidRDefault="00B13AD3" w:rsidP="00B1693A">
      <w:pPr>
        <w:contextualSpacing/>
        <w:jc w:val="both"/>
        <w:rPr>
          <w:rFonts w:ascii="Arial" w:hAnsi="Arial" w:cs="Arial"/>
          <w:bCs/>
          <w:sz w:val="22"/>
          <w:lang w:val="en-AU" w:eastAsia="en-AU"/>
        </w:rPr>
      </w:pPr>
      <w:r>
        <w:rPr>
          <w:rFonts w:ascii="Arial" w:hAnsi="Arial" w:cs="Arial"/>
          <w:sz w:val="22"/>
          <w:lang w:val="en-AU" w:eastAsia="en-AU"/>
        </w:rPr>
        <w:t xml:space="preserve">This report </w:t>
      </w:r>
      <w:r w:rsidRPr="00B13AD3">
        <w:rPr>
          <w:rFonts w:ascii="Arial" w:hAnsi="Arial" w:cs="Arial"/>
          <w:sz w:val="22"/>
          <w:lang w:val="en-AU" w:eastAsia="en-AU"/>
        </w:rPr>
        <w:t>consider</w:t>
      </w:r>
      <w:r>
        <w:rPr>
          <w:rFonts w:ascii="Arial" w:hAnsi="Arial" w:cs="Arial"/>
          <w:sz w:val="22"/>
          <w:lang w:val="en-AU" w:eastAsia="en-AU"/>
        </w:rPr>
        <w:t xml:space="preserve">ed the </w:t>
      </w:r>
      <w:r w:rsidR="005616CC">
        <w:rPr>
          <w:rFonts w:ascii="Arial" w:hAnsi="Arial" w:cs="Arial"/>
          <w:sz w:val="22"/>
          <w:lang w:val="en-AU" w:eastAsia="en-AU"/>
        </w:rPr>
        <w:t xml:space="preserve">predicted versus actual </w:t>
      </w:r>
      <w:r>
        <w:rPr>
          <w:rFonts w:ascii="Arial" w:hAnsi="Arial" w:cs="Arial"/>
          <w:sz w:val="22"/>
          <w:lang w:val="en-AU" w:eastAsia="en-AU"/>
        </w:rPr>
        <w:t xml:space="preserve">use of </w:t>
      </w:r>
      <w:r w:rsidR="00D72D36">
        <w:rPr>
          <w:rFonts w:ascii="Arial" w:hAnsi="Arial" w:cs="Arial"/>
          <w:sz w:val="22"/>
          <w:lang w:val="en-AU" w:eastAsia="en-AU"/>
        </w:rPr>
        <w:t>bendamustine</w:t>
      </w:r>
      <w:r w:rsidRPr="00B13AD3">
        <w:rPr>
          <w:rFonts w:ascii="Arial" w:hAnsi="Arial" w:cs="Arial"/>
          <w:sz w:val="22"/>
          <w:lang w:val="en-AU" w:eastAsia="en-AU"/>
        </w:rPr>
        <w:t xml:space="preserve"> </w:t>
      </w:r>
      <w:r w:rsidR="005616CC">
        <w:rPr>
          <w:rFonts w:ascii="Arial" w:hAnsi="Arial" w:cs="Arial"/>
          <w:sz w:val="22"/>
          <w:lang w:val="en-AU" w:eastAsia="en-AU"/>
        </w:rPr>
        <w:t>during the</w:t>
      </w:r>
      <w:r w:rsidR="00F66E50">
        <w:rPr>
          <w:rFonts w:ascii="Arial" w:hAnsi="Arial" w:cs="Arial"/>
          <w:sz w:val="22"/>
          <w:lang w:val="en-AU" w:eastAsia="en-AU"/>
        </w:rPr>
        <w:t xml:space="preserve"> first 24 months of listing</w:t>
      </w:r>
      <w:r w:rsidRPr="00B13AD3">
        <w:rPr>
          <w:rFonts w:ascii="Arial" w:hAnsi="Arial" w:cs="Arial"/>
          <w:sz w:val="22"/>
          <w:lang w:val="en-AU" w:eastAsia="en-AU"/>
        </w:rPr>
        <w:t xml:space="preserve"> </w:t>
      </w:r>
      <w:r w:rsidR="00F66E50">
        <w:rPr>
          <w:rFonts w:ascii="Arial" w:hAnsi="Arial" w:cs="Arial"/>
          <w:sz w:val="22"/>
          <w:lang w:val="en-AU" w:eastAsia="en-AU"/>
        </w:rPr>
        <w:t xml:space="preserve">on the Pharmaceutical Benefits Scheme (PBS) </w:t>
      </w:r>
      <w:r w:rsidRPr="00B13AD3">
        <w:rPr>
          <w:rFonts w:ascii="Arial" w:hAnsi="Arial" w:cs="Arial"/>
          <w:sz w:val="22"/>
          <w:lang w:val="en-AU" w:eastAsia="en-AU"/>
        </w:rPr>
        <w:t xml:space="preserve">for the treatment of </w:t>
      </w:r>
      <w:r w:rsidR="00D72D36">
        <w:rPr>
          <w:rFonts w:ascii="Arial" w:hAnsi="Arial" w:cs="Arial"/>
          <w:sz w:val="22"/>
          <w:lang w:val="en-AU" w:eastAsia="en-AU"/>
        </w:rPr>
        <w:t>lymphoma</w:t>
      </w:r>
      <w:r w:rsidRPr="00B13AD3">
        <w:rPr>
          <w:rFonts w:ascii="Arial" w:hAnsi="Arial" w:cs="Arial"/>
          <w:sz w:val="22"/>
          <w:lang w:val="en-AU" w:eastAsia="en-AU"/>
        </w:rPr>
        <w:t xml:space="preserve">.  </w:t>
      </w:r>
    </w:p>
    <w:p w14:paraId="0F478DA6" w14:textId="77777777" w:rsidR="00A31269" w:rsidRPr="00A31269" w:rsidRDefault="00A31269" w:rsidP="00A31269">
      <w:pPr>
        <w:contextualSpacing/>
        <w:jc w:val="both"/>
        <w:rPr>
          <w:rFonts w:ascii="Arial" w:hAnsi="Arial" w:cs="Arial"/>
          <w:color w:val="A6A6A6"/>
          <w:sz w:val="22"/>
          <w:lang w:val="en-AU" w:eastAsia="en-AU"/>
        </w:rPr>
      </w:pPr>
    </w:p>
    <w:p w14:paraId="4711D0AD" w14:textId="77777777" w:rsidR="00A31269" w:rsidRPr="003172AB" w:rsidRDefault="00A31269" w:rsidP="00A31269">
      <w:pPr>
        <w:contextualSpacing/>
        <w:rPr>
          <w:rFonts w:ascii="Arial" w:hAnsi="Arial" w:cs="Arial"/>
          <w:i/>
          <w:sz w:val="22"/>
          <w:lang w:val="en-AU" w:eastAsia="en-AU"/>
        </w:rPr>
      </w:pPr>
      <w:r w:rsidRPr="003172AB">
        <w:rPr>
          <w:rFonts w:ascii="Arial" w:hAnsi="Arial" w:cs="Arial"/>
          <w:i/>
          <w:sz w:val="22"/>
          <w:lang w:val="en-AU" w:eastAsia="en-AU"/>
        </w:rPr>
        <w:t>Outcome</w:t>
      </w:r>
    </w:p>
    <w:p w14:paraId="3E64F3C6" w14:textId="64D08793" w:rsidR="005616CC" w:rsidRDefault="005616CC" w:rsidP="00B95F3B">
      <w:pPr>
        <w:contextualSpacing/>
        <w:jc w:val="both"/>
        <w:rPr>
          <w:rFonts w:ascii="Arial" w:hAnsi="Arial" w:cs="Arial"/>
          <w:sz w:val="22"/>
          <w:lang w:val="en-AU" w:eastAsia="en-AU"/>
        </w:rPr>
      </w:pPr>
    </w:p>
    <w:p w14:paraId="4547408B" w14:textId="4D41F56A" w:rsidR="00D72D36" w:rsidRDefault="00D72D36" w:rsidP="00D72D36">
      <w:pPr>
        <w:contextualSpacing/>
        <w:jc w:val="both"/>
        <w:rPr>
          <w:rFonts w:ascii="Arial" w:hAnsi="Arial" w:cs="Arial"/>
          <w:sz w:val="22"/>
          <w:lang w:val="en-AU" w:eastAsia="en-AU"/>
        </w:rPr>
      </w:pPr>
      <w:r w:rsidRPr="00D72D36">
        <w:rPr>
          <w:rFonts w:ascii="Arial" w:hAnsi="Arial" w:cs="Arial"/>
          <w:sz w:val="22"/>
          <w:lang w:val="en-AU" w:eastAsia="en-AU"/>
        </w:rPr>
        <w:t>The PBAC considered overall, the use of bendamustine in the treatment of lymphoma to be largely appropriate.</w:t>
      </w:r>
    </w:p>
    <w:p w14:paraId="7670B088" w14:textId="77777777" w:rsidR="00D72D36" w:rsidRPr="00D72D36" w:rsidRDefault="00D72D36" w:rsidP="00D72D36">
      <w:pPr>
        <w:contextualSpacing/>
        <w:jc w:val="both"/>
        <w:rPr>
          <w:rFonts w:ascii="Arial" w:hAnsi="Arial" w:cs="Arial"/>
          <w:sz w:val="22"/>
          <w:lang w:val="en-AU" w:eastAsia="en-AU"/>
        </w:rPr>
      </w:pPr>
    </w:p>
    <w:p w14:paraId="5983F766" w14:textId="1A3653BB" w:rsidR="00D72D36" w:rsidRDefault="00D72D36" w:rsidP="00D72D36">
      <w:pPr>
        <w:contextualSpacing/>
        <w:jc w:val="both"/>
        <w:rPr>
          <w:rFonts w:ascii="Arial" w:hAnsi="Arial" w:cs="Arial"/>
          <w:sz w:val="22"/>
          <w:lang w:val="en-AU" w:eastAsia="en-AU"/>
        </w:rPr>
      </w:pPr>
      <w:r w:rsidRPr="00D72D36">
        <w:rPr>
          <w:rFonts w:ascii="Arial" w:hAnsi="Arial" w:cs="Arial"/>
          <w:sz w:val="22"/>
          <w:lang w:val="en-AU" w:eastAsia="en-AU"/>
        </w:rPr>
        <w:t xml:space="preserve">The PBAC noted that the majority of bendamustine use was to treat non-Hodgkin lymphoma compared to mantle cell lymphoma. </w:t>
      </w:r>
    </w:p>
    <w:p w14:paraId="3136FC22" w14:textId="77777777" w:rsidR="00D72D36" w:rsidRPr="00D72D36" w:rsidRDefault="00D72D36" w:rsidP="00D72D36">
      <w:pPr>
        <w:contextualSpacing/>
        <w:jc w:val="both"/>
        <w:rPr>
          <w:rFonts w:ascii="Arial" w:hAnsi="Arial" w:cs="Arial"/>
          <w:sz w:val="22"/>
          <w:lang w:val="en-AU" w:eastAsia="en-AU"/>
        </w:rPr>
      </w:pPr>
    </w:p>
    <w:p w14:paraId="36B6FB44" w14:textId="4C54808F" w:rsidR="00D72D36" w:rsidRDefault="00D72D36" w:rsidP="00D72D36">
      <w:pPr>
        <w:contextualSpacing/>
        <w:jc w:val="both"/>
        <w:rPr>
          <w:rFonts w:ascii="Arial" w:hAnsi="Arial" w:cs="Arial"/>
          <w:sz w:val="22"/>
          <w:lang w:val="en-AU" w:eastAsia="en-AU"/>
        </w:rPr>
      </w:pPr>
      <w:r w:rsidRPr="00D72D36">
        <w:rPr>
          <w:rFonts w:ascii="Arial" w:hAnsi="Arial" w:cs="Arial"/>
          <w:sz w:val="22"/>
          <w:lang w:val="en-AU" w:eastAsia="en-AU"/>
        </w:rPr>
        <w:t>The PBAC commented that overall, the actual number of patients was similar to the predicted number of patients but the number of prescriptions supplied for mantle cell lymphoma was more than anticipated.</w:t>
      </w:r>
    </w:p>
    <w:p w14:paraId="60D4C7DD" w14:textId="77777777" w:rsidR="00D72D36" w:rsidRPr="00D72D36" w:rsidRDefault="00D72D36" w:rsidP="00D72D36">
      <w:pPr>
        <w:contextualSpacing/>
        <w:jc w:val="both"/>
        <w:rPr>
          <w:rFonts w:ascii="Arial" w:hAnsi="Arial" w:cs="Arial"/>
          <w:sz w:val="22"/>
          <w:lang w:val="en-AU" w:eastAsia="en-AU"/>
        </w:rPr>
      </w:pPr>
    </w:p>
    <w:p w14:paraId="24D2392B" w14:textId="14569EEF" w:rsidR="00D72D36" w:rsidRDefault="00D72D36" w:rsidP="00D72D36">
      <w:pPr>
        <w:contextualSpacing/>
        <w:jc w:val="both"/>
        <w:rPr>
          <w:rFonts w:ascii="Arial" w:hAnsi="Arial" w:cs="Arial"/>
          <w:sz w:val="22"/>
          <w:lang w:val="en-AU" w:eastAsia="en-AU"/>
        </w:rPr>
      </w:pPr>
      <w:r w:rsidRPr="00D72D36">
        <w:rPr>
          <w:rFonts w:ascii="Arial" w:hAnsi="Arial" w:cs="Arial"/>
          <w:sz w:val="22"/>
          <w:lang w:val="en-AU" w:eastAsia="en-AU"/>
        </w:rPr>
        <w:t>The PBAC noted there was some use of bendamustine outside the restriction including patients having more than 6 cycles of bendamustine.</w:t>
      </w:r>
    </w:p>
    <w:p w14:paraId="5A1BECFF" w14:textId="77777777" w:rsidR="00D72D36" w:rsidRPr="00D72D36" w:rsidRDefault="00D72D36" w:rsidP="00D72D36">
      <w:pPr>
        <w:contextualSpacing/>
        <w:jc w:val="both"/>
        <w:rPr>
          <w:rFonts w:ascii="Arial" w:hAnsi="Arial" w:cs="Arial"/>
          <w:sz w:val="22"/>
          <w:lang w:val="en-AU" w:eastAsia="en-AU"/>
        </w:rPr>
      </w:pPr>
    </w:p>
    <w:p w14:paraId="2FE7FBD1" w14:textId="0420020F" w:rsidR="00D72D36" w:rsidRDefault="00D72D36" w:rsidP="00D72D36">
      <w:pPr>
        <w:contextualSpacing/>
        <w:jc w:val="both"/>
        <w:rPr>
          <w:rFonts w:ascii="Arial" w:hAnsi="Arial" w:cs="Arial"/>
          <w:sz w:val="22"/>
          <w:lang w:val="en-AU" w:eastAsia="en-AU"/>
        </w:rPr>
      </w:pPr>
      <w:r w:rsidRPr="00D72D36">
        <w:rPr>
          <w:rFonts w:ascii="Arial" w:hAnsi="Arial" w:cs="Arial"/>
          <w:sz w:val="22"/>
          <w:lang w:val="en-AU" w:eastAsia="en-AU"/>
        </w:rPr>
        <w:t>The PBAC noted that bendamustine is registered for first line treatment of chronic lymphocytic leukaemia (Binet stage B or C) and there were concerns about the potential for the listing to be used to treat this condition. The PBAC noted that the sponsor had not sought a PBS listing for chronic lymphocytic leukaemia as the sponsor considered there were more clinically effective drugs currently listed on the PBS or proposed for PBS listing.</w:t>
      </w:r>
    </w:p>
    <w:p w14:paraId="5AFBA55B" w14:textId="77777777" w:rsidR="00D72D36" w:rsidRPr="00D72D36" w:rsidRDefault="00D72D36" w:rsidP="00D72D36">
      <w:pPr>
        <w:contextualSpacing/>
        <w:jc w:val="both"/>
        <w:rPr>
          <w:rFonts w:ascii="Arial" w:hAnsi="Arial" w:cs="Arial"/>
          <w:sz w:val="22"/>
          <w:lang w:val="en-AU" w:eastAsia="en-AU"/>
        </w:rPr>
      </w:pPr>
    </w:p>
    <w:p w14:paraId="2EEDEFD7" w14:textId="6114B083" w:rsidR="00D72D36" w:rsidRPr="00D72D36" w:rsidRDefault="00D72D36" w:rsidP="00D72D36">
      <w:pPr>
        <w:contextualSpacing/>
        <w:jc w:val="both"/>
        <w:rPr>
          <w:rFonts w:ascii="Arial" w:hAnsi="Arial" w:cs="Arial"/>
          <w:sz w:val="22"/>
          <w:lang w:val="en-AU" w:eastAsia="en-AU"/>
        </w:rPr>
      </w:pPr>
      <w:r w:rsidRPr="00D72D36">
        <w:rPr>
          <w:rFonts w:ascii="Arial" w:hAnsi="Arial" w:cs="Arial"/>
          <w:sz w:val="22"/>
          <w:lang w:val="en-AU" w:eastAsia="en-AU"/>
        </w:rPr>
        <w:t>The PBAC noted the sponsor’s suggestion to address the potential risk of use in chronic lymphocytic leukaemia by having an Authority Required (telephone) restriction level and a note in the restriction to alert prescribers that bendamustine is not PBS subsidised for the treatment of chronic lymphocytic leukaemia (CLL). The PBAC considered that a change to the restriction level was not required at this time. The inclusion of a note in the restriction to remind prescribers that bendamustine is not subsidised for use in CLL was considered to be beneficial.</w:t>
      </w:r>
    </w:p>
    <w:p w14:paraId="047C33C9" w14:textId="77777777" w:rsidR="00F66E50" w:rsidRDefault="00F66E50" w:rsidP="00F66E50">
      <w:pPr>
        <w:pStyle w:val="ListParagraph"/>
        <w:spacing w:before="120"/>
        <w:ind w:left="0" w:firstLine="0"/>
        <w:contextualSpacing w:val="0"/>
        <w:rPr>
          <w:rFonts w:cs="Arial"/>
          <w:szCs w:val="22"/>
        </w:rPr>
      </w:pPr>
    </w:p>
    <w:p w14:paraId="4801479E" w14:textId="152B343F" w:rsidR="00E24412" w:rsidRDefault="00464B70" w:rsidP="00AD2551">
      <w:pPr>
        <w:pStyle w:val="ListParagraph"/>
        <w:keepNext/>
        <w:ind w:left="0" w:firstLine="0"/>
        <w:contextualSpacing w:val="0"/>
        <w:rPr>
          <w:rFonts w:cs="Arial"/>
          <w:b/>
          <w:szCs w:val="22"/>
        </w:rPr>
      </w:pPr>
      <w:r>
        <w:rPr>
          <w:rFonts w:cs="Arial"/>
          <w:b/>
          <w:szCs w:val="22"/>
        </w:rPr>
        <w:lastRenderedPageBreak/>
        <w:t>Eculizumab for the treatment of atypical haemolytic uraemic syndrome (aHUS)</w:t>
      </w:r>
    </w:p>
    <w:p w14:paraId="35801BFF" w14:textId="77777777" w:rsidR="00AD2551" w:rsidRPr="00E24412" w:rsidRDefault="00AD2551" w:rsidP="00AD2551">
      <w:pPr>
        <w:pStyle w:val="ListParagraph"/>
        <w:keepNext/>
        <w:ind w:left="0" w:firstLine="0"/>
        <w:contextualSpacing w:val="0"/>
        <w:rPr>
          <w:rFonts w:cs="Arial"/>
          <w:b/>
          <w:szCs w:val="22"/>
        </w:rPr>
      </w:pPr>
    </w:p>
    <w:p w14:paraId="519300D9" w14:textId="1449CAC2" w:rsidR="006D36DC" w:rsidRDefault="008B4388" w:rsidP="00AD2551">
      <w:pPr>
        <w:pStyle w:val="ListParagraph"/>
        <w:keepNext/>
        <w:ind w:left="0" w:firstLine="0"/>
        <w:contextualSpacing w:val="0"/>
        <w:rPr>
          <w:rFonts w:cs="Arial"/>
          <w:szCs w:val="22"/>
        </w:rPr>
      </w:pPr>
      <w:r>
        <w:rPr>
          <w:rFonts w:cs="Arial"/>
          <w:szCs w:val="22"/>
        </w:rPr>
        <w:t xml:space="preserve">This report considered a brief review on the number of initiating and prevalent patients, and the extent of continuation, stopping and restarting therapy. </w:t>
      </w:r>
      <w:bookmarkStart w:id="0" w:name="_GoBack"/>
      <w:bookmarkEnd w:id="0"/>
    </w:p>
    <w:p w14:paraId="12C2CFDB" w14:textId="77777777" w:rsidR="00AD2551" w:rsidRDefault="00AD2551" w:rsidP="00AD2551">
      <w:pPr>
        <w:pStyle w:val="ListParagraph"/>
        <w:keepNext/>
        <w:ind w:left="0" w:firstLine="0"/>
        <w:contextualSpacing w:val="0"/>
        <w:rPr>
          <w:rFonts w:cs="Arial"/>
          <w:szCs w:val="22"/>
        </w:rPr>
      </w:pPr>
    </w:p>
    <w:p w14:paraId="4242FFA3" w14:textId="4850BCE1" w:rsidR="00E24412" w:rsidRDefault="00E24412" w:rsidP="00AD2551">
      <w:pPr>
        <w:keepNext/>
        <w:rPr>
          <w:rFonts w:ascii="Arial" w:hAnsi="Arial" w:cs="Arial"/>
          <w:i/>
          <w:sz w:val="22"/>
          <w:lang w:val="en-AU" w:eastAsia="en-AU"/>
        </w:rPr>
      </w:pPr>
      <w:r w:rsidRPr="003172AB">
        <w:rPr>
          <w:rFonts w:ascii="Arial" w:hAnsi="Arial" w:cs="Arial"/>
          <w:i/>
          <w:sz w:val="22"/>
          <w:lang w:val="en-AU" w:eastAsia="en-AU"/>
        </w:rPr>
        <w:t>Outcome</w:t>
      </w:r>
    </w:p>
    <w:p w14:paraId="5C6ADEED" w14:textId="77777777" w:rsidR="00E24412" w:rsidRPr="003172AB" w:rsidRDefault="00E24412" w:rsidP="00AD2551">
      <w:pPr>
        <w:keepNext/>
        <w:rPr>
          <w:rFonts w:ascii="Arial" w:hAnsi="Arial" w:cs="Arial"/>
          <w:i/>
          <w:sz w:val="22"/>
          <w:lang w:val="en-AU" w:eastAsia="en-AU"/>
        </w:rPr>
      </w:pPr>
    </w:p>
    <w:p w14:paraId="2A51580A" w14:textId="44471271" w:rsidR="00AD2551" w:rsidRDefault="00AD2551" w:rsidP="00AD2551">
      <w:pPr>
        <w:keepNext/>
        <w:contextualSpacing/>
        <w:rPr>
          <w:rFonts w:ascii="Arial" w:hAnsi="Arial" w:cs="Arial"/>
          <w:sz w:val="22"/>
          <w:szCs w:val="22"/>
          <w:lang w:val="en-AU" w:eastAsia="en-AU"/>
        </w:rPr>
      </w:pPr>
      <w:r w:rsidRPr="00AD2551">
        <w:rPr>
          <w:rFonts w:ascii="Arial" w:hAnsi="Arial" w:cs="Arial"/>
          <w:sz w:val="22"/>
          <w:szCs w:val="22"/>
          <w:lang w:val="en-AU" w:eastAsia="en-AU"/>
        </w:rPr>
        <w:t>The PBAC noted that the time on treatment was longer than predicted.</w:t>
      </w:r>
    </w:p>
    <w:p w14:paraId="759B4C71" w14:textId="77777777" w:rsidR="00AD2551" w:rsidRPr="00AD2551" w:rsidRDefault="00AD2551" w:rsidP="00AD2551">
      <w:pPr>
        <w:keepNext/>
        <w:contextualSpacing/>
        <w:rPr>
          <w:rFonts w:ascii="Arial" w:hAnsi="Arial" w:cs="Arial"/>
          <w:sz w:val="22"/>
          <w:szCs w:val="22"/>
          <w:lang w:val="en-AU" w:eastAsia="en-AU"/>
        </w:rPr>
      </w:pPr>
    </w:p>
    <w:p w14:paraId="0DAB5020" w14:textId="2BA96E6F" w:rsidR="00AD2551" w:rsidRDefault="00AD2551" w:rsidP="00AD2551">
      <w:pPr>
        <w:keepNext/>
        <w:contextualSpacing/>
        <w:rPr>
          <w:rFonts w:ascii="Arial" w:hAnsi="Arial" w:cs="Arial"/>
          <w:sz w:val="22"/>
          <w:szCs w:val="22"/>
          <w:lang w:val="en-AU" w:eastAsia="en-AU"/>
        </w:rPr>
      </w:pPr>
      <w:r w:rsidRPr="00AD2551">
        <w:rPr>
          <w:rFonts w:ascii="Arial" w:hAnsi="Arial" w:cs="Arial"/>
          <w:sz w:val="22"/>
          <w:szCs w:val="22"/>
          <w:lang w:val="en-AU" w:eastAsia="en-AU"/>
        </w:rPr>
        <w:t>The PBAC commented that the magnitude of the difference in actual versus predicted use of eculizumab was diminishing each year.</w:t>
      </w:r>
    </w:p>
    <w:p w14:paraId="1DFE5D09" w14:textId="77777777" w:rsidR="00AD2551" w:rsidRPr="00AD2551" w:rsidRDefault="00AD2551" w:rsidP="00AD2551">
      <w:pPr>
        <w:keepNext/>
        <w:contextualSpacing/>
        <w:rPr>
          <w:rFonts w:ascii="Arial" w:hAnsi="Arial" w:cs="Arial"/>
          <w:sz w:val="22"/>
          <w:szCs w:val="22"/>
          <w:lang w:val="en-AU" w:eastAsia="en-AU"/>
        </w:rPr>
      </w:pPr>
    </w:p>
    <w:p w14:paraId="002DA2F6" w14:textId="11B6C196" w:rsidR="00AD2551" w:rsidRDefault="00AD2551" w:rsidP="00AD2551">
      <w:pPr>
        <w:keepNext/>
        <w:contextualSpacing/>
        <w:rPr>
          <w:rFonts w:ascii="Arial" w:hAnsi="Arial" w:cs="Arial"/>
          <w:sz w:val="22"/>
          <w:szCs w:val="22"/>
          <w:lang w:val="en-AU" w:eastAsia="en-AU"/>
        </w:rPr>
      </w:pPr>
      <w:r w:rsidRPr="00AD2551">
        <w:rPr>
          <w:rFonts w:ascii="Arial" w:hAnsi="Arial" w:cs="Arial"/>
          <w:sz w:val="22"/>
          <w:szCs w:val="22"/>
          <w:lang w:val="en-AU" w:eastAsia="en-AU"/>
        </w:rPr>
        <w:t>The PBAC noted the sponsor’s suggestion that the PBS Authority Required application and reporting of a recommencement script could be separated from the continuing PBS item code to more readily identify patients who cease and recommence therapy. The PBAC did not recommend this proposed change to the restrictions at this time.</w:t>
      </w:r>
    </w:p>
    <w:p w14:paraId="2B2D420E" w14:textId="77777777" w:rsidR="00AD2551" w:rsidRPr="00AD2551" w:rsidRDefault="00AD2551" w:rsidP="00AD2551">
      <w:pPr>
        <w:keepNext/>
        <w:contextualSpacing/>
        <w:rPr>
          <w:rFonts w:ascii="Arial" w:hAnsi="Arial" w:cs="Arial"/>
          <w:sz w:val="22"/>
          <w:szCs w:val="22"/>
          <w:lang w:val="en-AU" w:eastAsia="en-AU"/>
        </w:rPr>
      </w:pPr>
    </w:p>
    <w:p w14:paraId="031FE68F" w14:textId="4BE3DBBD" w:rsidR="00F66E50" w:rsidRPr="00F66E50" w:rsidRDefault="00AD2551" w:rsidP="00AD2551">
      <w:pPr>
        <w:keepNext/>
        <w:contextualSpacing/>
        <w:rPr>
          <w:rFonts w:ascii="Arial" w:hAnsi="Arial" w:cs="Arial"/>
          <w:sz w:val="22"/>
          <w:szCs w:val="22"/>
          <w:lang w:val="en-AU" w:eastAsia="en-AU"/>
        </w:rPr>
      </w:pPr>
      <w:r w:rsidRPr="00AD2551">
        <w:rPr>
          <w:rFonts w:ascii="Arial" w:hAnsi="Arial" w:cs="Arial"/>
          <w:sz w:val="22"/>
          <w:szCs w:val="22"/>
          <w:lang w:val="en-AU" w:eastAsia="en-AU"/>
        </w:rPr>
        <w:t>The PBAC requested that DUSC examine if differences in the time on therapy between patients was due to the prescribing patterns of individual clinicians.</w:t>
      </w:r>
    </w:p>
    <w:sectPr w:rsidR="00F66E50" w:rsidRPr="00F66E50"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FFAC" w14:textId="77777777" w:rsidR="00397836" w:rsidRDefault="00397836">
      <w:r>
        <w:separator/>
      </w:r>
    </w:p>
  </w:endnote>
  <w:endnote w:type="continuationSeparator" w:id="0">
    <w:p w14:paraId="1EBA2AEF" w14:textId="77777777"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5BA" w14:textId="77777777" w:rsidR="004630FE" w:rsidRPr="004630FE" w:rsidRDefault="004630FE">
    <w:pPr>
      <w:pStyle w:val="Footer"/>
      <w:jc w:val="center"/>
      <w:rPr>
        <w:rFonts w:ascii="Arial" w:hAnsi="Arial" w:cs="Arial"/>
        <w:sz w:val="22"/>
      </w:rPr>
    </w:pPr>
  </w:p>
  <w:p w14:paraId="2DAABEFB" w14:textId="4A1E85FA"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8B4388">
      <w:rPr>
        <w:rFonts w:ascii="Arial" w:hAnsi="Arial" w:cs="Arial"/>
        <w:noProof/>
        <w:sz w:val="22"/>
      </w:rPr>
      <w:t>1</w:t>
    </w:r>
    <w:r w:rsidRPr="004630FE">
      <w:rPr>
        <w:rFonts w:ascii="Arial" w:hAnsi="Arial" w:cs="Arial"/>
        <w:noProof/>
        <w:sz w:val="22"/>
      </w:rPr>
      <w:fldChar w:fldCharType="end"/>
    </w:r>
  </w:p>
  <w:p w14:paraId="0A6D77EE" w14:textId="77777777" w:rsidR="004630FE" w:rsidRDefault="0046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734C" w14:textId="77777777" w:rsidR="00397836" w:rsidRDefault="00397836">
      <w:r>
        <w:separator/>
      </w:r>
    </w:p>
  </w:footnote>
  <w:footnote w:type="continuationSeparator" w:id="0">
    <w:p w14:paraId="13C39C5A" w14:textId="77777777" w:rsidR="00397836" w:rsidRDefault="0039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87D6" w14:textId="0DAC1137" w:rsidR="004630FE" w:rsidRPr="00520B6E" w:rsidRDefault="00D72D36" w:rsidP="004630FE">
    <w:pPr>
      <w:tabs>
        <w:tab w:val="center" w:pos="4153"/>
        <w:tab w:val="right" w:pos="8306"/>
      </w:tabs>
      <w:jc w:val="center"/>
      <w:rPr>
        <w:rFonts w:ascii="Arial" w:hAnsi="Arial" w:cs="Arial"/>
        <w:b/>
        <w:sz w:val="20"/>
      </w:rPr>
    </w:pPr>
    <w:r>
      <w:rPr>
        <w:rFonts w:ascii="Arial" w:hAnsi="Arial" w:cs="Arial"/>
        <w:b/>
        <w:sz w:val="20"/>
      </w:rPr>
      <w:t>MARCH 2019</w:t>
    </w:r>
    <w:r w:rsidR="00341E66" w:rsidRPr="00341E66">
      <w:rPr>
        <w:rFonts w:ascii="Arial" w:hAnsi="Arial" w:cs="Arial"/>
        <w:b/>
        <w:sz w:val="20"/>
      </w:rPr>
      <w:t xml:space="preserve">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14:paraId="6758E2CC" w14:textId="77777777" w:rsidR="004630FE" w:rsidRDefault="0046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34F16"/>
    <w:rsid w:val="0006056A"/>
    <w:rsid w:val="00060A45"/>
    <w:rsid w:val="00095F78"/>
    <w:rsid w:val="000A2CDC"/>
    <w:rsid w:val="000B2DD0"/>
    <w:rsid w:val="001416A4"/>
    <w:rsid w:val="00156D69"/>
    <w:rsid w:val="00176F11"/>
    <w:rsid w:val="001D0B69"/>
    <w:rsid w:val="001D45AF"/>
    <w:rsid w:val="001F0355"/>
    <w:rsid w:val="00251848"/>
    <w:rsid w:val="00265781"/>
    <w:rsid w:val="00267A9D"/>
    <w:rsid w:val="0028590B"/>
    <w:rsid w:val="002D4006"/>
    <w:rsid w:val="002F7591"/>
    <w:rsid w:val="002F775E"/>
    <w:rsid w:val="003172AB"/>
    <w:rsid w:val="00326328"/>
    <w:rsid w:val="00341E66"/>
    <w:rsid w:val="00385940"/>
    <w:rsid w:val="00397836"/>
    <w:rsid w:val="003B79EE"/>
    <w:rsid w:val="003C2B83"/>
    <w:rsid w:val="0040140B"/>
    <w:rsid w:val="004630FE"/>
    <w:rsid w:val="00464B70"/>
    <w:rsid w:val="00464DA0"/>
    <w:rsid w:val="004A1627"/>
    <w:rsid w:val="004D4DEE"/>
    <w:rsid w:val="004E76AE"/>
    <w:rsid w:val="005166A6"/>
    <w:rsid w:val="00553E58"/>
    <w:rsid w:val="005616CC"/>
    <w:rsid w:val="005642B3"/>
    <w:rsid w:val="00565336"/>
    <w:rsid w:val="00575B2C"/>
    <w:rsid w:val="005C202C"/>
    <w:rsid w:val="005F2273"/>
    <w:rsid w:val="006102C6"/>
    <w:rsid w:val="00641F0C"/>
    <w:rsid w:val="00652D57"/>
    <w:rsid w:val="00666863"/>
    <w:rsid w:val="00677683"/>
    <w:rsid w:val="006847AC"/>
    <w:rsid w:val="006A2EB2"/>
    <w:rsid w:val="006D36DC"/>
    <w:rsid w:val="006D593A"/>
    <w:rsid w:val="006E57A3"/>
    <w:rsid w:val="0070348A"/>
    <w:rsid w:val="007178BA"/>
    <w:rsid w:val="00793AF0"/>
    <w:rsid w:val="007A2421"/>
    <w:rsid w:val="007C758A"/>
    <w:rsid w:val="007F4E20"/>
    <w:rsid w:val="00801B19"/>
    <w:rsid w:val="00816A6C"/>
    <w:rsid w:val="008545D1"/>
    <w:rsid w:val="008842CE"/>
    <w:rsid w:val="00890D53"/>
    <w:rsid w:val="008A4311"/>
    <w:rsid w:val="008A4B6F"/>
    <w:rsid w:val="008B4388"/>
    <w:rsid w:val="008D020C"/>
    <w:rsid w:val="00922E47"/>
    <w:rsid w:val="00925E21"/>
    <w:rsid w:val="00933952"/>
    <w:rsid w:val="009E7E00"/>
    <w:rsid w:val="00A0539F"/>
    <w:rsid w:val="00A31269"/>
    <w:rsid w:val="00A32269"/>
    <w:rsid w:val="00A47E2F"/>
    <w:rsid w:val="00A70179"/>
    <w:rsid w:val="00A74CCD"/>
    <w:rsid w:val="00A9331B"/>
    <w:rsid w:val="00AC0FFB"/>
    <w:rsid w:val="00AD2551"/>
    <w:rsid w:val="00AD37E5"/>
    <w:rsid w:val="00AF2F79"/>
    <w:rsid w:val="00AF3B3E"/>
    <w:rsid w:val="00B13AD3"/>
    <w:rsid w:val="00B1693A"/>
    <w:rsid w:val="00B445D9"/>
    <w:rsid w:val="00B532C3"/>
    <w:rsid w:val="00B94AFC"/>
    <w:rsid w:val="00B95F3B"/>
    <w:rsid w:val="00BA0860"/>
    <w:rsid w:val="00BC3BE5"/>
    <w:rsid w:val="00BD4745"/>
    <w:rsid w:val="00BE4405"/>
    <w:rsid w:val="00C22340"/>
    <w:rsid w:val="00C22AB9"/>
    <w:rsid w:val="00C636C2"/>
    <w:rsid w:val="00CB56CD"/>
    <w:rsid w:val="00CD04DF"/>
    <w:rsid w:val="00CD2ADF"/>
    <w:rsid w:val="00D47451"/>
    <w:rsid w:val="00D7136A"/>
    <w:rsid w:val="00D72D36"/>
    <w:rsid w:val="00DA2A81"/>
    <w:rsid w:val="00DC7A41"/>
    <w:rsid w:val="00E11B1E"/>
    <w:rsid w:val="00E16015"/>
    <w:rsid w:val="00E24412"/>
    <w:rsid w:val="00E25A33"/>
    <w:rsid w:val="00E37984"/>
    <w:rsid w:val="00E65BFD"/>
    <w:rsid w:val="00EA43F8"/>
    <w:rsid w:val="00EB38E2"/>
    <w:rsid w:val="00ED0E5B"/>
    <w:rsid w:val="00EE68E4"/>
    <w:rsid w:val="00F514E4"/>
    <w:rsid w:val="00F628C7"/>
    <w:rsid w:val="00F66E50"/>
    <w:rsid w:val="00F87883"/>
    <w:rsid w:val="00FA4D8A"/>
    <w:rsid w:val="00FB5E27"/>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dusc-meetings/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A8F5-3763-4214-960C-4134F726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2018-12-10T22:52:00Z</dcterms:created>
  <dcterms:modified xsi:type="dcterms:W3CDTF">2019-04-09T07:44:00Z</dcterms:modified>
</cp:coreProperties>
</file>