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418"/>
        <w:gridCol w:w="3168"/>
        <w:gridCol w:w="6670"/>
      </w:tblGrid>
      <w:tr w:rsidR="00852F53" w:rsidRPr="00971118" w14:paraId="79441CCE" w14:textId="77777777" w:rsidTr="00A964C7">
        <w:trPr>
          <w:cantSplit/>
          <w:tblHeader/>
        </w:trPr>
        <w:tc>
          <w:tcPr>
            <w:tcW w:w="3055" w:type="dxa"/>
            <w:tcBorders>
              <w:bottom w:val="single" w:sz="4" w:space="0" w:color="auto"/>
            </w:tcBorders>
            <w:tcMar>
              <w:top w:w="28" w:type="dxa"/>
              <w:bottom w:w="28" w:type="dxa"/>
            </w:tcMar>
          </w:tcPr>
          <w:p w14:paraId="53B8E2AC" w14:textId="77777777" w:rsidR="00852F53" w:rsidRPr="003D7E12" w:rsidRDefault="00852F53" w:rsidP="00852F53">
            <w:pPr>
              <w:widowControl w:val="0"/>
              <w:jc w:val="center"/>
              <w:rPr>
                <w:rFonts w:ascii="Arial" w:hAnsi="Arial" w:cs="Arial"/>
                <w:b/>
              </w:rPr>
            </w:pPr>
            <w:r w:rsidRPr="003D7E12">
              <w:rPr>
                <w:rFonts w:ascii="Arial" w:hAnsi="Arial" w:cs="Arial"/>
                <w:b/>
              </w:rPr>
              <w:t>SPONSOR, TYPE OF SUBMISSION</w:t>
            </w:r>
          </w:p>
          <w:p w14:paraId="76DCB287" w14:textId="77777777" w:rsidR="00852F53" w:rsidRPr="00225D57" w:rsidRDefault="00852F53" w:rsidP="00852F53">
            <w:pPr>
              <w:rPr>
                <w:rFonts w:ascii="Arial" w:hAnsi="Arial" w:cs="Arial"/>
                <w:color w:val="000000"/>
              </w:rPr>
            </w:pPr>
          </w:p>
        </w:tc>
        <w:tc>
          <w:tcPr>
            <w:tcW w:w="2418" w:type="dxa"/>
            <w:tcBorders>
              <w:bottom w:val="single" w:sz="4" w:space="0" w:color="auto"/>
            </w:tcBorders>
            <w:tcMar>
              <w:top w:w="28" w:type="dxa"/>
              <w:bottom w:w="28" w:type="dxa"/>
            </w:tcMar>
          </w:tcPr>
          <w:p w14:paraId="0BB9E147" w14:textId="77777777" w:rsidR="00852F53" w:rsidRPr="00971118" w:rsidRDefault="00852F53" w:rsidP="00852F53">
            <w:pPr>
              <w:widowControl w:val="0"/>
              <w:jc w:val="center"/>
              <w:rPr>
                <w:rFonts w:ascii="Arial" w:hAnsi="Arial" w:cs="Arial"/>
                <w:b/>
                <w:snapToGrid w:val="0"/>
                <w:lang w:eastAsia="en-US"/>
              </w:rPr>
            </w:pPr>
            <w:r w:rsidRPr="00971118">
              <w:rPr>
                <w:rFonts w:ascii="Arial" w:hAnsi="Arial" w:cs="Arial"/>
                <w:b/>
                <w:snapToGrid w:val="0"/>
                <w:lang w:eastAsia="en-US"/>
              </w:rPr>
              <w:t>DRUG TYPE AND USE</w:t>
            </w:r>
          </w:p>
          <w:p w14:paraId="75041A8F" w14:textId="77777777" w:rsidR="00852F53" w:rsidRPr="00971118" w:rsidRDefault="00852F53" w:rsidP="00852F53">
            <w:pPr>
              <w:widowControl w:val="0"/>
              <w:jc w:val="center"/>
              <w:rPr>
                <w:rFonts w:ascii="Arial" w:hAnsi="Arial" w:cs="Arial"/>
                <w:b/>
                <w:snapToGrid w:val="0"/>
                <w:lang w:eastAsia="en-US"/>
              </w:rPr>
            </w:pPr>
          </w:p>
        </w:tc>
        <w:tc>
          <w:tcPr>
            <w:tcW w:w="3168" w:type="dxa"/>
            <w:tcBorders>
              <w:bottom w:val="single" w:sz="4" w:space="0" w:color="auto"/>
            </w:tcBorders>
            <w:tcMar>
              <w:top w:w="28" w:type="dxa"/>
              <w:bottom w:w="28" w:type="dxa"/>
            </w:tcMar>
          </w:tcPr>
          <w:p w14:paraId="397BE1E0" w14:textId="77777777" w:rsidR="00852F53" w:rsidRPr="00971118" w:rsidRDefault="00852F53" w:rsidP="00852F53">
            <w:pPr>
              <w:widowControl w:val="0"/>
              <w:jc w:val="center"/>
              <w:rPr>
                <w:rFonts w:ascii="Arial" w:hAnsi="Arial" w:cs="Arial"/>
                <w:b/>
                <w:snapToGrid w:val="0"/>
                <w:lang w:eastAsia="en-US"/>
              </w:rPr>
            </w:pPr>
            <w:r w:rsidRPr="00971118">
              <w:rPr>
                <w:rFonts w:ascii="Arial" w:hAnsi="Arial" w:cs="Arial"/>
                <w:b/>
                <w:snapToGrid w:val="0"/>
                <w:lang w:eastAsia="en-US"/>
              </w:rPr>
              <w:t>LISTING REQUESTED BY SPONSOR / PURPOSE OF SUBMISSION</w:t>
            </w:r>
          </w:p>
          <w:p w14:paraId="60952703" w14:textId="77777777" w:rsidR="00852F53" w:rsidRPr="00971118" w:rsidRDefault="00852F53" w:rsidP="00852F53">
            <w:pPr>
              <w:widowControl w:val="0"/>
              <w:jc w:val="center"/>
              <w:rPr>
                <w:rFonts w:ascii="Arial" w:hAnsi="Arial" w:cs="Arial"/>
                <w:b/>
                <w:snapToGrid w:val="0"/>
                <w:lang w:eastAsia="en-US"/>
              </w:rPr>
            </w:pPr>
          </w:p>
        </w:tc>
        <w:tc>
          <w:tcPr>
            <w:tcW w:w="6670" w:type="dxa"/>
            <w:tcBorders>
              <w:bottom w:val="single" w:sz="4" w:space="0" w:color="auto"/>
            </w:tcBorders>
          </w:tcPr>
          <w:p w14:paraId="550699B8" w14:textId="77777777" w:rsidR="00852F53" w:rsidRPr="00971118" w:rsidRDefault="00852F53" w:rsidP="00852F53">
            <w:pPr>
              <w:pStyle w:val="Header"/>
              <w:jc w:val="center"/>
              <w:rPr>
                <w:rFonts w:ascii="Arial" w:hAnsi="Arial" w:cs="Arial"/>
                <w:b/>
                <w:snapToGrid w:val="0"/>
                <w:lang w:eastAsia="en-US"/>
              </w:rPr>
            </w:pPr>
            <w:r w:rsidRPr="00971118">
              <w:rPr>
                <w:rFonts w:ascii="Arial" w:hAnsi="Arial" w:cs="Arial"/>
                <w:b/>
                <w:snapToGrid w:val="0"/>
                <w:lang w:eastAsia="en-US"/>
              </w:rPr>
              <w:t>PBAC OUTCOME</w:t>
            </w:r>
          </w:p>
        </w:tc>
      </w:tr>
      <w:tr w:rsidR="00C82013" w:rsidRPr="00971118" w14:paraId="4718DC12" w14:textId="77777777" w:rsidTr="00A964C7">
        <w:trPr>
          <w:cantSplit/>
          <w:trHeight w:val="1880"/>
        </w:trPr>
        <w:tc>
          <w:tcPr>
            <w:tcW w:w="3055" w:type="dxa"/>
            <w:vMerge w:val="restart"/>
            <w:tcMar>
              <w:top w:w="28" w:type="dxa"/>
              <w:bottom w:w="28" w:type="dxa"/>
            </w:tcMar>
          </w:tcPr>
          <w:p w14:paraId="3128D35D" w14:textId="77777777" w:rsidR="00ED3795" w:rsidRPr="00ED3795" w:rsidRDefault="00ED3795" w:rsidP="00ED3795">
            <w:pPr>
              <w:rPr>
                <w:rFonts w:ascii="Arial" w:hAnsi="Arial" w:cs="Arial"/>
                <w:color w:val="000000"/>
              </w:rPr>
            </w:pPr>
            <w:r w:rsidRPr="00ED3795">
              <w:rPr>
                <w:rFonts w:ascii="Arial" w:hAnsi="Arial" w:cs="Arial"/>
                <w:color w:val="000000"/>
              </w:rPr>
              <w:t>ABEMACICLIB</w:t>
            </w:r>
          </w:p>
          <w:p w14:paraId="0641634A" w14:textId="77777777" w:rsidR="00ED3795" w:rsidRPr="00ED3795" w:rsidRDefault="00ED3795" w:rsidP="00ED3795">
            <w:pPr>
              <w:rPr>
                <w:rFonts w:ascii="Arial" w:hAnsi="Arial" w:cs="Arial"/>
                <w:color w:val="000000"/>
              </w:rPr>
            </w:pPr>
          </w:p>
          <w:p w14:paraId="158AD2D2" w14:textId="77777777" w:rsidR="00ED3795" w:rsidRPr="00ED3795" w:rsidRDefault="00ED3795" w:rsidP="00ED3795">
            <w:pPr>
              <w:rPr>
                <w:rFonts w:ascii="Arial" w:hAnsi="Arial" w:cs="Arial"/>
                <w:color w:val="000000"/>
              </w:rPr>
            </w:pPr>
            <w:r w:rsidRPr="00ED3795">
              <w:rPr>
                <w:rFonts w:ascii="Arial" w:hAnsi="Arial" w:cs="Arial"/>
                <w:color w:val="000000"/>
              </w:rPr>
              <w:t>Tablet 50mg</w:t>
            </w:r>
          </w:p>
          <w:p w14:paraId="09C679F7" w14:textId="77777777" w:rsidR="00ED3795" w:rsidRPr="00ED3795" w:rsidRDefault="00ED3795" w:rsidP="00ED3795">
            <w:pPr>
              <w:rPr>
                <w:rFonts w:ascii="Arial" w:hAnsi="Arial" w:cs="Arial"/>
                <w:color w:val="000000"/>
              </w:rPr>
            </w:pPr>
            <w:r w:rsidRPr="00ED3795">
              <w:rPr>
                <w:rFonts w:ascii="Arial" w:hAnsi="Arial" w:cs="Arial"/>
                <w:color w:val="000000"/>
              </w:rPr>
              <w:t>Tablet 100mg</w:t>
            </w:r>
          </w:p>
          <w:p w14:paraId="1E41AAA3" w14:textId="77777777" w:rsidR="00ED3795" w:rsidRPr="00ED3795" w:rsidRDefault="00ED3795" w:rsidP="00ED3795">
            <w:pPr>
              <w:rPr>
                <w:rFonts w:ascii="Arial" w:hAnsi="Arial" w:cs="Arial"/>
                <w:color w:val="000000"/>
              </w:rPr>
            </w:pPr>
            <w:r w:rsidRPr="00ED3795">
              <w:rPr>
                <w:rFonts w:ascii="Arial" w:hAnsi="Arial" w:cs="Arial"/>
                <w:color w:val="000000"/>
              </w:rPr>
              <w:t>Tablet 150mg</w:t>
            </w:r>
          </w:p>
          <w:p w14:paraId="583BE1A4" w14:textId="77777777" w:rsidR="00ED3795" w:rsidRPr="00ED3795" w:rsidRDefault="00ED3795" w:rsidP="00ED3795">
            <w:pPr>
              <w:rPr>
                <w:rFonts w:ascii="Arial" w:hAnsi="Arial" w:cs="Arial"/>
                <w:color w:val="000000"/>
              </w:rPr>
            </w:pPr>
          </w:p>
          <w:p w14:paraId="0C4C33C9" w14:textId="77777777" w:rsidR="00ED3795" w:rsidRPr="00ED3795" w:rsidRDefault="00ED3795" w:rsidP="00ED3795">
            <w:pPr>
              <w:rPr>
                <w:rFonts w:ascii="Arial" w:hAnsi="Arial" w:cs="Arial"/>
                <w:color w:val="000000"/>
              </w:rPr>
            </w:pPr>
            <w:proofErr w:type="spellStart"/>
            <w:r w:rsidRPr="00ED3795">
              <w:rPr>
                <w:rFonts w:ascii="Arial" w:hAnsi="Arial" w:cs="Arial"/>
                <w:color w:val="000000"/>
              </w:rPr>
              <w:t>Verzenio</w:t>
            </w:r>
            <w:proofErr w:type="spellEnd"/>
            <w:r w:rsidRPr="00ED3795">
              <w:rPr>
                <w:rFonts w:ascii="Arial" w:hAnsi="Arial" w:cs="Arial"/>
                <w:color w:val="000000"/>
              </w:rPr>
              <w:t>®</w:t>
            </w:r>
          </w:p>
          <w:p w14:paraId="626B6C60" w14:textId="77777777" w:rsidR="00ED3795" w:rsidRPr="00ED3795" w:rsidRDefault="00ED3795" w:rsidP="00ED3795">
            <w:pPr>
              <w:rPr>
                <w:rFonts w:ascii="Arial" w:hAnsi="Arial" w:cs="Arial"/>
                <w:color w:val="000000"/>
              </w:rPr>
            </w:pPr>
          </w:p>
          <w:p w14:paraId="4696CEDF" w14:textId="77777777" w:rsidR="00C82013" w:rsidRDefault="00ED3795" w:rsidP="00ED3795">
            <w:pPr>
              <w:rPr>
                <w:rFonts w:ascii="Arial" w:hAnsi="Arial" w:cs="Arial"/>
                <w:color w:val="000000"/>
              </w:rPr>
            </w:pPr>
            <w:r w:rsidRPr="00ED3795">
              <w:rPr>
                <w:rFonts w:ascii="Arial" w:hAnsi="Arial" w:cs="Arial"/>
                <w:color w:val="000000"/>
              </w:rPr>
              <w:t>Eli Lilly Australia Pty Ltd</w:t>
            </w:r>
          </w:p>
          <w:p w14:paraId="771A4BAD" w14:textId="77777777" w:rsidR="00A65D70" w:rsidRDefault="00A65D70" w:rsidP="00ED3795">
            <w:pPr>
              <w:rPr>
                <w:rFonts w:ascii="Arial" w:hAnsi="Arial" w:cs="Arial"/>
                <w:color w:val="000000"/>
              </w:rPr>
            </w:pPr>
          </w:p>
          <w:p w14:paraId="4E293B1A" w14:textId="77777777" w:rsidR="00A65D70" w:rsidRDefault="00A65D70" w:rsidP="00ED3795">
            <w:pPr>
              <w:rPr>
                <w:rFonts w:ascii="Arial" w:hAnsi="Arial" w:cs="Arial"/>
                <w:color w:val="000000"/>
              </w:rPr>
            </w:pPr>
            <w:r>
              <w:rPr>
                <w:rFonts w:ascii="Arial" w:hAnsi="Arial" w:cs="Arial"/>
                <w:color w:val="000000"/>
              </w:rPr>
              <w:t xml:space="preserve">New listing </w:t>
            </w:r>
          </w:p>
          <w:p w14:paraId="5257A325" w14:textId="7327DD61" w:rsidR="00A65D70" w:rsidRPr="00225D57" w:rsidRDefault="00A65D70" w:rsidP="00ED3795">
            <w:pPr>
              <w:rPr>
                <w:rFonts w:ascii="Arial" w:hAnsi="Arial" w:cs="Arial"/>
                <w:color w:val="000000"/>
              </w:rPr>
            </w:pPr>
            <w:r>
              <w:rPr>
                <w:rFonts w:ascii="Arial" w:hAnsi="Arial" w:cs="Arial"/>
                <w:color w:val="000000"/>
              </w:rPr>
              <w:t>(Major Submission)</w:t>
            </w:r>
          </w:p>
        </w:tc>
        <w:tc>
          <w:tcPr>
            <w:tcW w:w="2418" w:type="dxa"/>
            <w:vMerge w:val="restart"/>
          </w:tcPr>
          <w:p w14:paraId="071AA427" w14:textId="0D759653" w:rsidR="00C82013" w:rsidRPr="00971118" w:rsidRDefault="00ED3795" w:rsidP="00C82013">
            <w:pPr>
              <w:rPr>
                <w:rFonts w:ascii="Arial" w:hAnsi="Arial" w:cs="Arial"/>
                <w:color w:val="000000"/>
              </w:rPr>
            </w:pPr>
            <w:r w:rsidRPr="00ED3795">
              <w:rPr>
                <w:rFonts w:ascii="Arial" w:hAnsi="Arial" w:cs="Arial"/>
                <w:color w:val="000000"/>
              </w:rPr>
              <w:t>Advanced breast cancer</w:t>
            </w:r>
          </w:p>
        </w:tc>
        <w:tc>
          <w:tcPr>
            <w:tcW w:w="3168" w:type="dxa"/>
            <w:tcMar>
              <w:top w:w="28" w:type="dxa"/>
              <w:bottom w:w="28" w:type="dxa"/>
            </w:tcMar>
          </w:tcPr>
          <w:p w14:paraId="24181A40" w14:textId="268DB605" w:rsidR="00C82013" w:rsidRPr="00225D57" w:rsidRDefault="00ED3795" w:rsidP="00C82013">
            <w:pPr>
              <w:rPr>
                <w:rFonts w:ascii="Arial" w:hAnsi="Arial" w:cs="Arial"/>
                <w:color w:val="000000"/>
              </w:rPr>
            </w:pPr>
            <w:r w:rsidRPr="00ED3795">
              <w:rPr>
                <w:rFonts w:ascii="Arial" w:hAnsi="Arial" w:cs="Arial"/>
                <w:color w:val="000000"/>
              </w:rPr>
              <w:t>To request an Authority Required listing for the treatment of non-premenopausal patients with hormone receptor positive (HR+), human epidermal growth factor receptor-2 negative (HER2-) locally advanced or metastatic breast cancer.</w:t>
            </w:r>
          </w:p>
        </w:tc>
        <w:tc>
          <w:tcPr>
            <w:tcW w:w="6670" w:type="dxa"/>
          </w:tcPr>
          <w:p w14:paraId="2D3C2213" w14:textId="654FE97A" w:rsidR="005B41C8" w:rsidRDefault="005B41C8" w:rsidP="00DF7637">
            <w:pPr>
              <w:pStyle w:val="ListParagraph"/>
              <w:ind w:left="0"/>
              <w:jc w:val="both"/>
              <w:rPr>
                <w:rFonts w:ascii="Arial" w:hAnsi="Arial" w:cs="Arial"/>
                <w:sz w:val="20"/>
                <w:szCs w:val="20"/>
              </w:rPr>
            </w:pPr>
            <w:r w:rsidRPr="005B41C8">
              <w:rPr>
                <w:rFonts w:ascii="Arial" w:hAnsi="Arial" w:cs="Arial"/>
                <w:sz w:val="20"/>
                <w:szCs w:val="20"/>
              </w:rPr>
              <w:t>The PBAC deferred making a recommendation to list abemaciclib for the treatment of non-premenopausal patients with HR+, HER2- advanced breast cancer. However, the PBAC was of a mind to recommend abemaciclib on a cost</w:t>
            </w:r>
            <w:r w:rsidR="00D028BD">
              <w:rPr>
                <w:rFonts w:ascii="Arial" w:hAnsi="Arial" w:cs="Arial"/>
                <w:sz w:val="20"/>
                <w:szCs w:val="20"/>
              </w:rPr>
              <w:t>-</w:t>
            </w:r>
            <w:r w:rsidRPr="005B41C8">
              <w:rPr>
                <w:rFonts w:ascii="Arial" w:hAnsi="Arial" w:cs="Arial"/>
                <w:sz w:val="20"/>
                <w:szCs w:val="20"/>
              </w:rPr>
              <w:t xml:space="preserve">minimisation basis to ribociclib, pending provision of a positive TGA Delegate’s overview. </w:t>
            </w:r>
          </w:p>
          <w:p w14:paraId="2D64A843" w14:textId="77777777" w:rsidR="005B41C8" w:rsidRDefault="005B41C8" w:rsidP="00DF7637">
            <w:pPr>
              <w:pStyle w:val="ListParagraph"/>
              <w:ind w:left="0"/>
              <w:jc w:val="both"/>
              <w:rPr>
                <w:rFonts w:ascii="Arial" w:hAnsi="Arial" w:cs="Arial"/>
                <w:sz w:val="20"/>
                <w:szCs w:val="20"/>
              </w:rPr>
            </w:pPr>
          </w:p>
          <w:p w14:paraId="5FB53E03" w14:textId="71EFC501" w:rsidR="00D028BD" w:rsidRPr="004F0173" w:rsidRDefault="005B41C8" w:rsidP="006806F4">
            <w:pPr>
              <w:pStyle w:val="ListParagraph"/>
              <w:ind w:left="0"/>
              <w:jc w:val="both"/>
              <w:rPr>
                <w:rFonts w:ascii="Arial" w:hAnsi="Arial" w:cs="Arial"/>
                <w:sz w:val="20"/>
                <w:szCs w:val="20"/>
              </w:rPr>
            </w:pPr>
            <w:r w:rsidRPr="005B41C8">
              <w:rPr>
                <w:rFonts w:ascii="Arial" w:hAnsi="Arial" w:cs="Arial"/>
                <w:sz w:val="20"/>
                <w:szCs w:val="20"/>
              </w:rPr>
              <w:t xml:space="preserve">The PBAC considered that abemaciclib would provide patients with an alternative to ribociclib for HR+, HER2- advanced breast cancer. The PBAC considered that abemaciclib + </w:t>
            </w:r>
            <w:r w:rsidR="00D028BD" w:rsidRPr="00D028BD">
              <w:rPr>
                <w:rFonts w:ascii="Arial" w:hAnsi="Arial" w:cs="Arial"/>
                <w:sz w:val="20"/>
                <w:szCs w:val="20"/>
              </w:rPr>
              <w:t xml:space="preserve">non-steroidal aromatase inhibitor </w:t>
            </w:r>
            <w:r w:rsidR="00D028BD">
              <w:rPr>
                <w:rFonts w:ascii="Arial" w:hAnsi="Arial" w:cs="Arial"/>
                <w:sz w:val="20"/>
                <w:szCs w:val="20"/>
              </w:rPr>
              <w:t>(</w:t>
            </w:r>
            <w:r w:rsidRPr="005B41C8">
              <w:rPr>
                <w:rFonts w:ascii="Arial" w:hAnsi="Arial" w:cs="Arial"/>
                <w:sz w:val="20"/>
                <w:szCs w:val="20"/>
              </w:rPr>
              <w:t>NSAI</w:t>
            </w:r>
            <w:r w:rsidR="00D028BD">
              <w:rPr>
                <w:rFonts w:ascii="Arial" w:hAnsi="Arial" w:cs="Arial"/>
                <w:sz w:val="20"/>
                <w:szCs w:val="20"/>
              </w:rPr>
              <w:t>)</w:t>
            </w:r>
            <w:r w:rsidRPr="005B41C8">
              <w:rPr>
                <w:rFonts w:ascii="Arial" w:hAnsi="Arial" w:cs="Arial"/>
                <w:sz w:val="20"/>
                <w:szCs w:val="20"/>
              </w:rPr>
              <w:t xml:space="preserve"> was non-inferior in terms of comparative effectiveness and safety compared with ribociclib + NSAI while noting there were differences between the safety profiles of abemaciclib and ribociclib. The PBAC considered the cost-minimisation analysis was reasonable when the equi-effective doses are calculated without the duration of therapy being taken into account, in line with the claim of non-inferior comparative effectiveness in terms of </w:t>
            </w:r>
            <w:r w:rsidR="006806F4">
              <w:rPr>
                <w:rFonts w:ascii="Arial" w:hAnsi="Arial" w:cs="Arial"/>
                <w:sz w:val="20"/>
                <w:szCs w:val="20"/>
              </w:rPr>
              <w:t>progression-free survival</w:t>
            </w:r>
            <w:r w:rsidRPr="005B41C8">
              <w:rPr>
                <w:rFonts w:ascii="Arial" w:hAnsi="Arial" w:cs="Arial"/>
                <w:sz w:val="20"/>
                <w:szCs w:val="20"/>
              </w:rPr>
              <w:t>.</w:t>
            </w:r>
          </w:p>
        </w:tc>
      </w:tr>
      <w:tr w:rsidR="00C82013" w:rsidRPr="00971118" w14:paraId="79F414E2" w14:textId="77777777" w:rsidTr="007C01BE">
        <w:trPr>
          <w:cantSplit/>
          <w:trHeight w:val="440"/>
        </w:trPr>
        <w:tc>
          <w:tcPr>
            <w:tcW w:w="3055" w:type="dxa"/>
            <w:vMerge/>
            <w:tcBorders>
              <w:bottom w:val="single" w:sz="4" w:space="0" w:color="auto"/>
            </w:tcBorders>
            <w:tcMar>
              <w:top w:w="28" w:type="dxa"/>
              <w:bottom w:w="28" w:type="dxa"/>
            </w:tcMar>
          </w:tcPr>
          <w:p w14:paraId="1FBF765B" w14:textId="77777777" w:rsidR="00C82013" w:rsidRPr="00971118" w:rsidRDefault="00C82013" w:rsidP="00C82013">
            <w:pPr>
              <w:widowControl w:val="0"/>
              <w:rPr>
                <w:rFonts w:ascii="Arial" w:hAnsi="Arial" w:cs="Arial"/>
                <w:snapToGrid w:val="0"/>
                <w:lang w:eastAsia="en-US"/>
              </w:rPr>
            </w:pPr>
          </w:p>
        </w:tc>
        <w:tc>
          <w:tcPr>
            <w:tcW w:w="2418" w:type="dxa"/>
            <w:vMerge/>
            <w:tcBorders>
              <w:bottom w:val="single" w:sz="4" w:space="0" w:color="auto"/>
            </w:tcBorders>
          </w:tcPr>
          <w:p w14:paraId="0F2C5668" w14:textId="77777777" w:rsidR="00C82013" w:rsidRPr="00971118" w:rsidRDefault="00C82013" w:rsidP="00C82013">
            <w:pPr>
              <w:widowControl w:val="0"/>
              <w:rPr>
                <w:rFonts w:ascii="Arial" w:hAnsi="Arial" w:cs="Arial"/>
                <w:snapToGrid w:val="0"/>
                <w:lang w:eastAsia="en-US"/>
              </w:rPr>
            </w:pPr>
          </w:p>
        </w:tc>
        <w:tc>
          <w:tcPr>
            <w:tcW w:w="3168" w:type="dxa"/>
            <w:tcBorders>
              <w:bottom w:val="single" w:sz="4" w:space="0" w:color="auto"/>
            </w:tcBorders>
            <w:tcMar>
              <w:top w:w="28" w:type="dxa"/>
              <w:bottom w:w="28" w:type="dxa"/>
            </w:tcMar>
          </w:tcPr>
          <w:p w14:paraId="32FB82FD" w14:textId="77777777" w:rsidR="00C82013" w:rsidRPr="00971118" w:rsidRDefault="00C82013" w:rsidP="00C82013">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Borders>
              <w:bottom w:val="single" w:sz="4" w:space="0" w:color="auto"/>
            </w:tcBorders>
            <w:shd w:val="clear" w:color="auto" w:fill="auto"/>
          </w:tcPr>
          <w:p w14:paraId="31E6C97D" w14:textId="284E0531" w:rsidR="00A964C7" w:rsidRPr="00AB3C7E" w:rsidRDefault="004431A7" w:rsidP="00AB3C7E">
            <w:pPr>
              <w:pStyle w:val="ListParagraph"/>
              <w:ind w:left="0"/>
              <w:jc w:val="both"/>
              <w:rPr>
                <w:rFonts w:ascii="Arial" w:hAnsi="Arial" w:cs="Arial"/>
                <w:sz w:val="20"/>
                <w:szCs w:val="20"/>
                <w:highlight w:val="yellow"/>
              </w:rPr>
            </w:pPr>
            <w:r w:rsidRPr="004431A7">
              <w:rPr>
                <w:rFonts w:ascii="Arial" w:hAnsi="Arial" w:cs="Arial"/>
                <w:sz w:val="20"/>
                <w:szCs w:val="20"/>
              </w:rPr>
              <w:t>Eli Lilly looks forward to progressing the PBS listing of abemaciclib for advanced breast cancer, following TGA registration on 8th April 2019</w:t>
            </w:r>
            <w:r>
              <w:rPr>
                <w:rFonts w:ascii="Arial" w:hAnsi="Arial" w:cs="Arial"/>
                <w:sz w:val="20"/>
                <w:szCs w:val="20"/>
              </w:rPr>
              <w:t>.</w:t>
            </w:r>
          </w:p>
        </w:tc>
      </w:tr>
      <w:tr w:rsidR="00212D70" w:rsidRPr="00971118" w14:paraId="3778AE61" w14:textId="77777777" w:rsidTr="00FA051E">
        <w:trPr>
          <w:cantSplit/>
          <w:trHeight w:val="642"/>
        </w:trPr>
        <w:tc>
          <w:tcPr>
            <w:tcW w:w="3055" w:type="dxa"/>
            <w:vMerge w:val="restart"/>
            <w:tcMar>
              <w:top w:w="28" w:type="dxa"/>
              <w:bottom w:w="28" w:type="dxa"/>
            </w:tcMar>
          </w:tcPr>
          <w:p w14:paraId="5B9EE2A6" w14:textId="38632BB8" w:rsidR="00212D70" w:rsidRDefault="00212D70" w:rsidP="00212D70">
            <w:pPr>
              <w:widowControl w:val="0"/>
              <w:rPr>
                <w:rFonts w:ascii="Arial" w:hAnsi="Arial" w:cs="Arial"/>
                <w:snapToGrid w:val="0"/>
                <w:lang w:eastAsia="en-US"/>
              </w:rPr>
            </w:pPr>
            <w:r w:rsidRPr="00212D70">
              <w:rPr>
                <w:rFonts w:ascii="Arial" w:hAnsi="Arial" w:cs="Arial"/>
                <w:snapToGrid w:val="0"/>
                <w:lang w:eastAsia="en-US"/>
              </w:rPr>
              <w:t>BEVACIZUMAB</w:t>
            </w:r>
            <w:r w:rsidRPr="00212D70">
              <w:rPr>
                <w:rFonts w:ascii="Arial" w:hAnsi="Arial" w:cs="Arial"/>
                <w:snapToGrid w:val="0"/>
                <w:lang w:eastAsia="en-US"/>
              </w:rPr>
              <w:br/>
            </w:r>
            <w:r w:rsidRPr="00212D70">
              <w:rPr>
                <w:rFonts w:ascii="Arial" w:hAnsi="Arial" w:cs="Arial"/>
                <w:snapToGrid w:val="0"/>
                <w:lang w:eastAsia="en-US"/>
              </w:rPr>
              <w:br/>
              <w:t>Solution for I.V. infusion 100 mg in 4 mL</w:t>
            </w:r>
            <w:r w:rsidRPr="00212D70">
              <w:rPr>
                <w:rFonts w:ascii="Arial" w:hAnsi="Arial" w:cs="Arial"/>
                <w:snapToGrid w:val="0"/>
                <w:lang w:eastAsia="en-US"/>
              </w:rPr>
              <w:br/>
              <w:t>Solution for I.V. infusion 400 mg in 16 mL</w:t>
            </w:r>
            <w:r w:rsidRPr="00212D70">
              <w:rPr>
                <w:rFonts w:ascii="Arial" w:hAnsi="Arial" w:cs="Arial"/>
                <w:snapToGrid w:val="0"/>
                <w:lang w:eastAsia="en-US"/>
              </w:rPr>
              <w:br/>
            </w:r>
            <w:r w:rsidRPr="00212D70">
              <w:rPr>
                <w:rFonts w:ascii="Arial" w:hAnsi="Arial" w:cs="Arial"/>
                <w:snapToGrid w:val="0"/>
                <w:lang w:eastAsia="en-US"/>
              </w:rPr>
              <w:br/>
            </w:r>
            <w:proofErr w:type="spellStart"/>
            <w:r w:rsidRPr="00212D70">
              <w:rPr>
                <w:rFonts w:ascii="Arial" w:hAnsi="Arial" w:cs="Arial"/>
                <w:snapToGrid w:val="0"/>
                <w:lang w:eastAsia="en-US"/>
              </w:rPr>
              <w:t>Avastin</w:t>
            </w:r>
            <w:proofErr w:type="spellEnd"/>
            <w:r w:rsidRPr="00212D70">
              <w:rPr>
                <w:rFonts w:ascii="Arial" w:hAnsi="Arial" w:cs="Arial"/>
                <w:snapToGrid w:val="0"/>
                <w:lang w:eastAsia="en-US"/>
              </w:rPr>
              <w:t>®</w:t>
            </w:r>
            <w:r w:rsidRPr="00212D70">
              <w:rPr>
                <w:rFonts w:ascii="Arial" w:hAnsi="Arial" w:cs="Arial"/>
                <w:snapToGrid w:val="0"/>
                <w:lang w:eastAsia="en-US"/>
              </w:rPr>
              <w:br/>
            </w:r>
            <w:r w:rsidRPr="00212D70">
              <w:rPr>
                <w:rFonts w:ascii="Arial" w:hAnsi="Arial" w:cs="Arial"/>
                <w:snapToGrid w:val="0"/>
                <w:lang w:eastAsia="en-US"/>
              </w:rPr>
              <w:br/>
              <w:t>Roche Products Pty Ltd</w:t>
            </w:r>
          </w:p>
          <w:p w14:paraId="4F90FE45" w14:textId="3BF86CD8" w:rsidR="00A65D70" w:rsidRDefault="00A65D70" w:rsidP="00212D70">
            <w:pPr>
              <w:widowControl w:val="0"/>
              <w:rPr>
                <w:rFonts w:ascii="Arial" w:hAnsi="Arial" w:cs="Arial"/>
                <w:snapToGrid w:val="0"/>
                <w:lang w:eastAsia="en-US"/>
              </w:rPr>
            </w:pPr>
          </w:p>
          <w:p w14:paraId="44747522" w14:textId="7931F98C" w:rsidR="00A65D70" w:rsidRDefault="00A65D70" w:rsidP="00212D70">
            <w:pPr>
              <w:widowControl w:val="0"/>
              <w:rPr>
                <w:rFonts w:ascii="Arial" w:hAnsi="Arial" w:cs="Arial"/>
                <w:snapToGrid w:val="0"/>
                <w:lang w:eastAsia="en-US"/>
              </w:rPr>
            </w:pPr>
            <w:r>
              <w:rPr>
                <w:rFonts w:ascii="Arial" w:hAnsi="Arial" w:cs="Arial"/>
                <w:snapToGrid w:val="0"/>
                <w:lang w:eastAsia="en-US"/>
              </w:rPr>
              <w:t xml:space="preserve">Change to listing </w:t>
            </w:r>
          </w:p>
          <w:p w14:paraId="582617C6" w14:textId="1BA919B4" w:rsidR="00212D70" w:rsidRPr="00971118" w:rsidRDefault="00A65D70" w:rsidP="00C82013">
            <w:pPr>
              <w:widowControl w:val="0"/>
              <w:rPr>
                <w:rFonts w:ascii="Arial" w:hAnsi="Arial" w:cs="Arial"/>
                <w:snapToGrid w:val="0"/>
                <w:lang w:eastAsia="en-US"/>
              </w:rPr>
            </w:pPr>
            <w:r>
              <w:rPr>
                <w:rFonts w:ascii="Arial" w:hAnsi="Arial" w:cs="Arial"/>
                <w:snapToGrid w:val="0"/>
                <w:lang w:eastAsia="en-US"/>
              </w:rPr>
              <w:t>(Minor Submission)</w:t>
            </w:r>
          </w:p>
        </w:tc>
        <w:tc>
          <w:tcPr>
            <w:tcW w:w="2418" w:type="dxa"/>
            <w:vMerge w:val="restart"/>
          </w:tcPr>
          <w:p w14:paraId="276A7E1E" w14:textId="13360B8C" w:rsidR="00212D70" w:rsidRPr="00247B7A" w:rsidRDefault="00212D70" w:rsidP="00212D70">
            <w:pPr>
              <w:rPr>
                <w:rFonts w:ascii="Arial" w:hAnsi="Arial" w:cs="Arial"/>
              </w:rPr>
            </w:pPr>
            <w:r w:rsidRPr="00247B7A">
              <w:rPr>
                <w:rFonts w:ascii="Arial" w:hAnsi="Arial" w:cs="Arial"/>
              </w:rPr>
              <w:t>Glioblastoma</w:t>
            </w:r>
          </w:p>
          <w:p w14:paraId="486AEF28" w14:textId="77777777" w:rsidR="00212D70" w:rsidRPr="00971118" w:rsidRDefault="00212D70" w:rsidP="00C82013">
            <w:pPr>
              <w:widowControl w:val="0"/>
              <w:rPr>
                <w:rFonts w:ascii="Arial" w:hAnsi="Arial" w:cs="Arial"/>
                <w:snapToGrid w:val="0"/>
                <w:lang w:eastAsia="en-US"/>
              </w:rPr>
            </w:pPr>
          </w:p>
        </w:tc>
        <w:tc>
          <w:tcPr>
            <w:tcW w:w="3168" w:type="dxa"/>
            <w:tcBorders>
              <w:bottom w:val="single" w:sz="4" w:space="0" w:color="auto"/>
            </w:tcBorders>
            <w:tcMar>
              <w:top w:w="28" w:type="dxa"/>
              <w:bottom w:w="28" w:type="dxa"/>
            </w:tcMar>
          </w:tcPr>
          <w:p w14:paraId="5717C2A9" w14:textId="77777777" w:rsidR="007E2D75" w:rsidRPr="007E2D75" w:rsidRDefault="007E2D75" w:rsidP="007E2D75">
            <w:pPr>
              <w:widowControl w:val="0"/>
              <w:rPr>
                <w:rFonts w:ascii="Arial" w:hAnsi="Arial" w:cs="Arial"/>
                <w:snapToGrid w:val="0"/>
                <w:lang w:eastAsia="en-US"/>
              </w:rPr>
            </w:pPr>
            <w:r w:rsidRPr="007E2D75">
              <w:rPr>
                <w:rFonts w:ascii="Arial" w:hAnsi="Arial" w:cs="Arial"/>
                <w:snapToGrid w:val="0"/>
                <w:lang w:eastAsia="en-US"/>
              </w:rPr>
              <w:t>Resubmission to request a Section 100 (Efficient</w:t>
            </w:r>
          </w:p>
          <w:p w14:paraId="4593AA02" w14:textId="77777777" w:rsidR="007E2D75" w:rsidRPr="007E2D75" w:rsidRDefault="007E2D75" w:rsidP="007E2D75">
            <w:pPr>
              <w:widowControl w:val="0"/>
              <w:rPr>
                <w:rFonts w:ascii="Arial" w:hAnsi="Arial" w:cs="Arial"/>
                <w:snapToGrid w:val="0"/>
                <w:lang w:eastAsia="en-US"/>
              </w:rPr>
            </w:pPr>
            <w:r w:rsidRPr="007E2D75">
              <w:rPr>
                <w:rFonts w:ascii="Arial" w:hAnsi="Arial" w:cs="Arial"/>
                <w:snapToGrid w:val="0"/>
                <w:lang w:eastAsia="en-US"/>
              </w:rPr>
              <w:t>Funding of Chemotherapy), Authority Required</w:t>
            </w:r>
          </w:p>
          <w:p w14:paraId="4CEDD5AF" w14:textId="77777777" w:rsidR="007E2D75" w:rsidRPr="007E2D75" w:rsidRDefault="007E2D75" w:rsidP="007E2D75">
            <w:pPr>
              <w:widowControl w:val="0"/>
              <w:rPr>
                <w:rFonts w:ascii="Arial" w:hAnsi="Arial" w:cs="Arial"/>
                <w:snapToGrid w:val="0"/>
                <w:lang w:eastAsia="en-US"/>
              </w:rPr>
            </w:pPr>
            <w:r w:rsidRPr="007E2D75">
              <w:rPr>
                <w:rFonts w:ascii="Arial" w:hAnsi="Arial" w:cs="Arial"/>
                <w:snapToGrid w:val="0"/>
                <w:lang w:eastAsia="en-US"/>
              </w:rPr>
              <w:t>(STREAMLINED) listing for the treatment of relapsed</w:t>
            </w:r>
          </w:p>
          <w:p w14:paraId="49659E68" w14:textId="78D61684" w:rsidR="00212D70" w:rsidRPr="00971118" w:rsidRDefault="007E2D75" w:rsidP="004C1B65">
            <w:pPr>
              <w:widowControl w:val="0"/>
              <w:rPr>
                <w:rFonts w:ascii="Arial" w:hAnsi="Arial" w:cs="Arial"/>
                <w:snapToGrid w:val="0"/>
                <w:lang w:eastAsia="en-US"/>
              </w:rPr>
            </w:pPr>
            <w:proofErr w:type="gramStart"/>
            <w:r w:rsidRPr="007E2D75">
              <w:rPr>
                <w:rFonts w:ascii="Arial" w:hAnsi="Arial" w:cs="Arial"/>
                <w:snapToGrid w:val="0"/>
                <w:lang w:eastAsia="en-US"/>
              </w:rPr>
              <w:t>or</w:t>
            </w:r>
            <w:proofErr w:type="gramEnd"/>
            <w:r w:rsidRPr="007E2D75">
              <w:rPr>
                <w:rFonts w:ascii="Arial" w:hAnsi="Arial" w:cs="Arial"/>
                <w:snapToGrid w:val="0"/>
                <w:lang w:eastAsia="en-US"/>
              </w:rPr>
              <w:t xml:space="preserve"> refractory </w:t>
            </w:r>
            <w:r w:rsidR="004C1B65">
              <w:rPr>
                <w:rFonts w:ascii="Arial" w:hAnsi="Arial" w:cs="Arial"/>
                <w:snapToGrid w:val="0"/>
                <w:lang w:eastAsia="en-US"/>
              </w:rPr>
              <w:t>glioblastoma</w:t>
            </w:r>
            <w:r w:rsidRPr="007E2D75">
              <w:rPr>
                <w:rFonts w:ascii="Arial" w:hAnsi="Arial" w:cs="Arial"/>
                <w:snapToGrid w:val="0"/>
                <w:lang w:eastAsia="en-US"/>
              </w:rPr>
              <w:t>.</w:t>
            </w:r>
          </w:p>
        </w:tc>
        <w:tc>
          <w:tcPr>
            <w:tcW w:w="6670" w:type="dxa"/>
            <w:tcBorders>
              <w:bottom w:val="single" w:sz="4" w:space="0" w:color="auto"/>
            </w:tcBorders>
            <w:shd w:val="clear" w:color="auto" w:fill="auto"/>
          </w:tcPr>
          <w:p w14:paraId="5A7AE38E" w14:textId="64AB9521" w:rsidR="00D028BD" w:rsidRPr="006C15A2" w:rsidRDefault="005B41C8" w:rsidP="006C15A2">
            <w:pPr>
              <w:jc w:val="both"/>
              <w:rPr>
                <w:rFonts w:ascii="Arial" w:eastAsia="SimSun" w:hAnsi="Arial" w:cs="Arial"/>
              </w:rPr>
            </w:pPr>
            <w:r w:rsidRPr="005B41C8">
              <w:rPr>
                <w:rFonts w:ascii="Arial" w:eastAsia="SimSun" w:hAnsi="Arial" w:cs="Arial"/>
              </w:rPr>
              <w:t>The PBAC deferred making a recommendation on the Section 100 Authority Required listing of bevacizumab for the treatment of relapsed or refractory glioblastoma. The PBAC considered the efficacy of bevacizumab remains highly uncertain, however quality of life improvements are a plausible outcome, and requested further information to help determine the cost-effectiveness of this therapy.</w:t>
            </w:r>
            <w:r w:rsidRPr="005B41C8">
              <w:rPr>
                <w:rFonts w:ascii="Arial" w:eastAsia="SimSun" w:hAnsi="Arial" w:cs="Arial"/>
              </w:rPr>
              <w:br/>
            </w:r>
            <w:r w:rsidRPr="005B41C8">
              <w:rPr>
                <w:rFonts w:ascii="Arial" w:eastAsia="SimSun" w:hAnsi="Arial" w:cs="Arial"/>
              </w:rPr>
              <w:br/>
              <w:t>In deciding to defer, the PBAC acknowledged the high unmet clinical need in the proposed population. The PBAC acknowledged the comments from consumers, clinicians and organisations, which described a range of benefits of treatment with bevacizumab including improved quality of life, symptomatic improvement, and a reduction in steroid dose and steroid related side effects.</w:t>
            </w:r>
          </w:p>
        </w:tc>
      </w:tr>
      <w:tr w:rsidR="00212D70" w:rsidRPr="00971118" w14:paraId="6C14915F" w14:textId="77777777" w:rsidTr="00AE51CE">
        <w:trPr>
          <w:cantSplit/>
          <w:trHeight w:val="642"/>
        </w:trPr>
        <w:tc>
          <w:tcPr>
            <w:tcW w:w="3055" w:type="dxa"/>
            <w:vMerge/>
            <w:tcBorders>
              <w:bottom w:val="single" w:sz="4" w:space="0" w:color="auto"/>
            </w:tcBorders>
            <w:tcMar>
              <w:top w:w="28" w:type="dxa"/>
              <w:bottom w:w="28" w:type="dxa"/>
            </w:tcMar>
          </w:tcPr>
          <w:p w14:paraId="2BC69961" w14:textId="77777777" w:rsidR="00212D70" w:rsidRPr="00971118" w:rsidRDefault="00212D70" w:rsidP="00C82013">
            <w:pPr>
              <w:widowControl w:val="0"/>
              <w:rPr>
                <w:rFonts w:ascii="Arial" w:hAnsi="Arial" w:cs="Arial"/>
                <w:snapToGrid w:val="0"/>
                <w:lang w:eastAsia="en-US"/>
              </w:rPr>
            </w:pPr>
          </w:p>
        </w:tc>
        <w:tc>
          <w:tcPr>
            <w:tcW w:w="2418" w:type="dxa"/>
            <w:vMerge/>
            <w:tcBorders>
              <w:bottom w:val="single" w:sz="4" w:space="0" w:color="auto"/>
            </w:tcBorders>
          </w:tcPr>
          <w:p w14:paraId="7CF6E56B" w14:textId="77777777" w:rsidR="00212D70" w:rsidRPr="00971118" w:rsidRDefault="00212D70" w:rsidP="00C82013">
            <w:pPr>
              <w:widowControl w:val="0"/>
              <w:rPr>
                <w:rFonts w:ascii="Arial" w:hAnsi="Arial" w:cs="Arial"/>
                <w:snapToGrid w:val="0"/>
                <w:lang w:eastAsia="en-US"/>
              </w:rPr>
            </w:pPr>
          </w:p>
        </w:tc>
        <w:tc>
          <w:tcPr>
            <w:tcW w:w="3168" w:type="dxa"/>
            <w:tcBorders>
              <w:bottom w:val="single" w:sz="4" w:space="0" w:color="auto"/>
            </w:tcBorders>
            <w:tcMar>
              <w:top w:w="28" w:type="dxa"/>
              <w:bottom w:w="28" w:type="dxa"/>
            </w:tcMar>
          </w:tcPr>
          <w:p w14:paraId="26CC2924" w14:textId="196934C3" w:rsidR="00212D70" w:rsidRPr="00971118" w:rsidRDefault="00212D70" w:rsidP="00C82013">
            <w:pPr>
              <w:widowControl w:val="0"/>
              <w:rPr>
                <w:rFonts w:ascii="Arial" w:hAnsi="Arial" w:cs="Arial"/>
                <w:snapToGrid w:val="0"/>
                <w:lang w:eastAsia="en-US"/>
              </w:rPr>
            </w:pPr>
            <w:r>
              <w:rPr>
                <w:rFonts w:ascii="Arial" w:hAnsi="Arial" w:cs="Arial"/>
                <w:snapToGrid w:val="0"/>
                <w:lang w:eastAsia="en-US"/>
              </w:rPr>
              <w:t xml:space="preserve">Sponsor Comment </w:t>
            </w:r>
          </w:p>
        </w:tc>
        <w:tc>
          <w:tcPr>
            <w:tcW w:w="6670" w:type="dxa"/>
            <w:tcBorders>
              <w:bottom w:val="single" w:sz="4" w:space="0" w:color="auto"/>
            </w:tcBorders>
            <w:shd w:val="clear" w:color="auto" w:fill="auto"/>
          </w:tcPr>
          <w:p w14:paraId="6A7EBA19" w14:textId="75BD6881" w:rsidR="00212D70" w:rsidRPr="007C01BE" w:rsidRDefault="0064126C" w:rsidP="007C01BE">
            <w:pPr>
              <w:pStyle w:val="ListParagraph"/>
              <w:ind w:left="0"/>
              <w:jc w:val="both"/>
              <w:rPr>
                <w:rFonts w:ascii="Arial" w:hAnsi="Arial" w:cs="Arial"/>
                <w:sz w:val="20"/>
                <w:szCs w:val="20"/>
                <w:highlight w:val="yellow"/>
              </w:rPr>
            </w:pPr>
            <w:r w:rsidRPr="0064126C">
              <w:rPr>
                <w:rFonts w:ascii="Arial" w:hAnsi="Arial" w:cs="Arial"/>
                <w:sz w:val="20"/>
                <w:szCs w:val="20"/>
              </w:rPr>
              <w:t xml:space="preserve">Roche is committed to addressing the outstanding matters raised by PBAC to bring bevacizumab to patients with relapsed or refractory </w:t>
            </w:r>
            <w:proofErr w:type="spellStart"/>
            <w:r w:rsidRPr="0064126C">
              <w:rPr>
                <w:rFonts w:ascii="Arial" w:hAnsi="Arial" w:cs="Arial"/>
                <w:sz w:val="20"/>
                <w:szCs w:val="20"/>
              </w:rPr>
              <w:t>gliobastoma</w:t>
            </w:r>
            <w:proofErr w:type="spellEnd"/>
            <w:r w:rsidRPr="0064126C">
              <w:rPr>
                <w:rFonts w:ascii="Arial" w:hAnsi="Arial" w:cs="Arial"/>
                <w:sz w:val="20"/>
                <w:szCs w:val="20"/>
              </w:rPr>
              <w:t xml:space="preserve"> at the earliest opportunity.</w:t>
            </w:r>
            <w:bookmarkStart w:id="0" w:name="_GoBack"/>
            <w:bookmarkEnd w:id="0"/>
          </w:p>
        </w:tc>
      </w:tr>
      <w:tr w:rsidR="00212D70" w:rsidRPr="00971118" w14:paraId="604745C9" w14:textId="77777777" w:rsidTr="002E6CFF">
        <w:trPr>
          <w:cantSplit/>
          <w:trHeight w:val="642"/>
        </w:trPr>
        <w:tc>
          <w:tcPr>
            <w:tcW w:w="3055" w:type="dxa"/>
            <w:vMerge w:val="restart"/>
            <w:tcMar>
              <w:top w:w="28" w:type="dxa"/>
              <w:bottom w:w="28" w:type="dxa"/>
            </w:tcMar>
          </w:tcPr>
          <w:p w14:paraId="23F7A58E" w14:textId="77777777" w:rsidR="00212D70" w:rsidRDefault="00212D70" w:rsidP="00C82013">
            <w:pPr>
              <w:widowControl w:val="0"/>
              <w:rPr>
                <w:rFonts w:ascii="Arial" w:hAnsi="Arial" w:cs="Arial"/>
                <w:color w:val="000000"/>
              </w:rPr>
            </w:pPr>
            <w:r w:rsidRPr="00247B7A">
              <w:rPr>
                <w:rFonts w:ascii="Arial" w:hAnsi="Arial" w:cs="Arial"/>
                <w:color w:val="000000"/>
              </w:rPr>
              <w:lastRenderedPageBreak/>
              <w:t>BLINATUMOMAB</w:t>
            </w:r>
            <w:r w:rsidRPr="00247B7A">
              <w:rPr>
                <w:rFonts w:ascii="Arial" w:hAnsi="Arial" w:cs="Arial"/>
                <w:color w:val="000000"/>
              </w:rPr>
              <w:br/>
            </w:r>
            <w:r w:rsidRPr="00247B7A">
              <w:rPr>
                <w:rFonts w:ascii="Arial" w:hAnsi="Arial" w:cs="Arial"/>
                <w:color w:val="000000"/>
              </w:rPr>
              <w:br/>
              <w:t>Powder for I.V. infusion 38.5 micrograms</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Blincyto</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t>Amgen Australia Pty Ltd</w:t>
            </w:r>
          </w:p>
          <w:p w14:paraId="71FF2872" w14:textId="77777777" w:rsidR="00A65D70" w:rsidRDefault="00A65D70" w:rsidP="00C82013">
            <w:pPr>
              <w:widowControl w:val="0"/>
              <w:rPr>
                <w:rFonts w:ascii="Arial" w:hAnsi="Arial" w:cs="Arial"/>
                <w:color w:val="000000"/>
              </w:rPr>
            </w:pPr>
          </w:p>
          <w:p w14:paraId="7B9D639D" w14:textId="77777777" w:rsidR="00A65D70" w:rsidRDefault="00A65D70" w:rsidP="00C82013">
            <w:pPr>
              <w:widowControl w:val="0"/>
              <w:rPr>
                <w:rFonts w:ascii="Arial" w:hAnsi="Arial" w:cs="Arial"/>
                <w:color w:val="000000"/>
              </w:rPr>
            </w:pPr>
            <w:r>
              <w:rPr>
                <w:rFonts w:ascii="Arial" w:hAnsi="Arial" w:cs="Arial"/>
                <w:color w:val="000000"/>
              </w:rPr>
              <w:t>Change to listing</w:t>
            </w:r>
          </w:p>
          <w:p w14:paraId="42C4F67F" w14:textId="5FE8116E" w:rsidR="00A65D70" w:rsidRPr="00971118" w:rsidRDefault="00A65D70" w:rsidP="00C82013">
            <w:pPr>
              <w:widowControl w:val="0"/>
              <w:rPr>
                <w:rFonts w:ascii="Arial" w:hAnsi="Arial" w:cs="Arial"/>
                <w:snapToGrid w:val="0"/>
                <w:lang w:eastAsia="en-US"/>
              </w:rPr>
            </w:pPr>
            <w:r>
              <w:rPr>
                <w:rFonts w:ascii="Arial" w:hAnsi="Arial" w:cs="Arial"/>
                <w:color w:val="000000"/>
              </w:rPr>
              <w:t>(Major Submission)</w:t>
            </w:r>
          </w:p>
        </w:tc>
        <w:tc>
          <w:tcPr>
            <w:tcW w:w="2418" w:type="dxa"/>
            <w:vMerge w:val="restart"/>
          </w:tcPr>
          <w:p w14:paraId="193137F6" w14:textId="7C8CE5AC" w:rsidR="00212D70" w:rsidRPr="00971118" w:rsidRDefault="00212D70" w:rsidP="00C82013">
            <w:pPr>
              <w:widowControl w:val="0"/>
              <w:rPr>
                <w:rFonts w:ascii="Arial" w:hAnsi="Arial" w:cs="Arial"/>
                <w:snapToGrid w:val="0"/>
                <w:lang w:eastAsia="en-US"/>
              </w:rPr>
            </w:pPr>
            <w:r w:rsidRPr="00212D70">
              <w:rPr>
                <w:rFonts w:ascii="Arial" w:hAnsi="Arial" w:cs="Arial"/>
                <w:snapToGrid w:val="0"/>
                <w:lang w:eastAsia="en-US"/>
              </w:rPr>
              <w:t>Acute lymphoblastic leukaemia (ALL)</w:t>
            </w:r>
          </w:p>
        </w:tc>
        <w:tc>
          <w:tcPr>
            <w:tcW w:w="3168" w:type="dxa"/>
            <w:tcBorders>
              <w:bottom w:val="single" w:sz="4" w:space="0" w:color="auto"/>
            </w:tcBorders>
            <w:tcMar>
              <w:top w:w="28" w:type="dxa"/>
              <w:bottom w:w="28" w:type="dxa"/>
            </w:tcMar>
          </w:tcPr>
          <w:p w14:paraId="30E07C5B" w14:textId="77777777" w:rsidR="00212D70" w:rsidRDefault="00212D70" w:rsidP="00C82013">
            <w:pPr>
              <w:widowControl w:val="0"/>
              <w:rPr>
                <w:rFonts w:ascii="Arial" w:hAnsi="Arial" w:cs="Arial"/>
                <w:snapToGrid w:val="0"/>
                <w:lang w:eastAsia="en-US"/>
              </w:rPr>
            </w:pPr>
            <w:r w:rsidRPr="00212D70">
              <w:rPr>
                <w:rFonts w:ascii="Arial" w:hAnsi="Arial" w:cs="Arial"/>
                <w:snapToGrid w:val="0"/>
                <w:lang w:eastAsia="en-US"/>
              </w:rPr>
              <w:t>Resubmission to request a Section 100 (Efficient Funding of Chemotherapy) listing for the treatment of patients with B-cell precursor ALL in patients in haematological complete remission with minimal residual disease following chemotherapy.</w:t>
            </w:r>
          </w:p>
          <w:p w14:paraId="103C9955" w14:textId="455389F6" w:rsidR="00212D70" w:rsidRPr="00971118" w:rsidRDefault="00212D70" w:rsidP="00C82013">
            <w:pPr>
              <w:widowControl w:val="0"/>
              <w:rPr>
                <w:rFonts w:ascii="Arial" w:hAnsi="Arial" w:cs="Arial"/>
                <w:snapToGrid w:val="0"/>
                <w:lang w:eastAsia="en-US"/>
              </w:rPr>
            </w:pPr>
          </w:p>
        </w:tc>
        <w:tc>
          <w:tcPr>
            <w:tcW w:w="6670" w:type="dxa"/>
            <w:tcBorders>
              <w:bottom w:val="single" w:sz="4" w:space="0" w:color="auto"/>
            </w:tcBorders>
            <w:shd w:val="clear" w:color="auto" w:fill="auto"/>
          </w:tcPr>
          <w:p w14:paraId="4AAE702C" w14:textId="0E2B46AD" w:rsidR="005B41C8" w:rsidRDefault="005B41C8" w:rsidP="005B41C8">
            <w:pPr>
              <w:jc w:val="both"/>
              <w:rPr>
                <w:rFonts w:ascii="Arial" w:hAnsi="Arial" w:cs="Arial"/>
              </w:rPr>
            </w:pPr>
            <w:r w:rsidRPr="005B41C8">
              <w:rPr>
                <w:rFonts w:ascii="Arial" w:hAnsi="Arial" w:cs="Arial"/>
              </w:rPr>
              <w:t xml:space="preserve">The PBAC deferred making a recommendation on the Section 100 Authority Required (Efficient Funding of Chemotherapy) listing of blinatumomab for the treatment of patients with B-cell precursor </w:t>
            </w:r>
            <w:r w:rsidR="008B3ABF">
              <w:rPr>
                <w:rFonts w:ascii="Arial" w:hAnsi="Arial" w:cs="Arial"/>
              </w:rPr>
              <w:t>ALL</w:t>
            </w:r>
            <w:r w:rsidRPr="005B41C8">
              <w:rPr>
                <w:rFonts w:ascii="Arial" w:hAnsi="Arial" w:cs="Arial"/>
              </w:rPr>
              <w:t xml:space="preserve"> in haematological complete remission with minimal residual disease following induction chemotherapy. The purpose of the deferral was to request further information from the sponsor on issues around the estimated incremental cost-effectiveness ratio (ICER), overall net financial implications and the proposed Risk Share Arrangement. </w:t>
            </w:r>
          </w:p>
          <w:p w14:paraId="12DE316D" w14:textId="77777777" w:rsidR="005B41C8" w:rsidRPr="005B41C8" w:rsidRDefault="005B41C8" w:rsidP="005B41C8">
            <w:pPr>
              <w:jc w:val="both"/>
              <w:rPr>
                <w:rFonts w:ascii="Arial" w:hAnsi="Arial" w:cs="Arial"/>
              </w:rPr>
            </w:pPr>
          </w:p>
          <w:p w14:paraId="21121E74" w14:textId="48A8161E" w:rsidR="005B41C8" w:rsidRDefault="005B41C8" w:rsidP="005B41C8">
            <w:pPr>
              <w:jc w:val="both"/>
              <w:rPr>
                <w:rFonts w:ascii="Arial" w:hAnsi="Arial" w:cs="Arial"/>
              </w:rPr>
            </w:pPr>
            <w:r w:rsidRPr="005B41C8">
              <w:rPr>
                <w:rFonts w:ascii="Arial" w:hAnsi="Arial" w:cs="Arial"/>
              </w:rPr>
              <w:t xml:space="preserve">The PBAC reiterated that there is a high clinical need for more effective treatments for </w:t>
            </w:r>
            <w:r w:rsidR="008B3ABF" w:rsidRPr="00212D70">
              <w:rPr>
                <w:rFonts w:ascii="Arial" w:hAnsi="Arial" w:cs="Arial"/>
                <w:snapToGrid w:val="0"/>
                <w:lang w:eastAsia="en-US"/>
              </w:rPr>
              <w:t>B-cell precursor ALL</w:t>
            </w:r>
            <w:r w:rsidR="008B3ABF" w:rsidRPr="005B41C8" w:rsidDel="008B3ABF">
              <w:rPr>
                <w:rFonts w:ascii="Arial" w:hAnsi="Arial" w:cs="Arial"/>
              </w:rPr>
              <w:t xml:space="preserve"> </w:t>
            </w:r>
            <w:r w:rsidRPr="005B41C8">
              <w:rPr>
                <w:rFonts w:ascii="Arial" w:hAnsi="Arial" w:cs="Arial"/>
              </w:rPr>
              <w:t>in the first-line setting where there is the greatest potential for impact on cure rates.</w:t>
            </w:r>
          </w:p>
          <w:p w14:paraId="4543B1E4" w14:textId="77777777" w:rsidR="005B41C8" w:rsidRPr="005B41C8" w:rsidRDefault="005B41C8" w:rsidP="005B41C8">
            <w:pPr>
              <w:jc w:val="both"/>
              <w:rPr>
                <w:rFonts w:ascii="Arial" w:hAnsi="Arial" w:cs="Arial"/>
              </w:rPr>
            </w:pPr>
          </w:p>
          <w:p w14:paraId="4F271325" w14:textId="4B2689E5" w:rsidR="005B41C8" w:rsidRDefault="005B41C8" w:rsidP="005B41C8">
            <w:pPr>
              <w:jc w:val="both"/>
              <w:rPr>
                <w:rFonts w:ascii="Arial" w:hAnsi="Arial" w:cs="Arial"/>
              </w:rPr>
            </w:pPr>
            <w:r w:rsidRPr="005B41C8">
              <w:rPr>
                <w:rFonts w:ascii="Arial" w:hAnsi="Arial" w:cs="Arial"/>
              </w:rPr>
              <w:t xml:space="preserve">The PBAC considered that updated data from the single-arm BLAST study indicated that blinatumomab may be associated with an overall survival advantage. However, the PBAC considered that it remained unclear whether blinatumomab would lead to long-term gains in overall survival given the lack of reliable comparative data and the relative immaturity of data from the BLAST study. </w:t>
            </w:r>
          </w:p>
          <w:p w14:paraId="2084FC05" w14:textId="77777777" w:rsidR="005B41C8" w:rsidRPr="005B41C8" w:rsidRDefault="005B41C8" w:rsidP="005B41C8">
            <w:pPr>
              <w:jc w:val="both"/>
              <w:rPr>
                <w:rFonts w:ascii="Arial" w:hAnsi="Arial" w:cs="Arial"/>
              </w:rPr>
            </w:pPr>
          </w:p>
          <w:p w14:paraId="7FD317DC" w14:textId="27732643" w:rsidR="00D028BD" w:rsidRPr="005B41C8" w:rsidRDefault="005B41C8" w:rsidP="005B41C8">
            <w:pPr>
              <w:jc w:val="both"/>
              <w:rPr>
                <w:rFonts w:ascii="Arial" w:hAnsi="Arial" w:cs="Arial"/>
              </w:rPr>
            </w:pPr>
            <w:r w:rsidRPr="005B41C8">
              <w:rPr>
                <w:rFonts w:ascii="Arial" w:hAnsi="Arial" w:cs="Arial"/>
              </w:rPr>
              <w:t xml:space="preserve">The PBAC considered that the ICER was high, uncertain and likely underestimated. The PBAC considered that further work would be required to establish arrangements for listing blinatumomab in a cost-effective manner. </w:t>
            </w:r>
          </w:p>
        </w:tc>
      </w:tr>
      <w:tr w:rsidR="00212D70" w:rsidRPr="00971118" w14:paraId="2FB5BBA7" w14:textId="77777777" w:rsidTr="00AE51CE">
        <w:trPr>
          <w:cantSplit/>
          <w:trHeight w:val="642"/>
        </w:trPr>
        <w:tc>
          <w:tcPr>
            <w:tcW w:w="3055" w:type="dxa"/>
            <w:vMerge/>
            <w:tcBorders>
              <w:bottom w:val="single" w:sz="4" w:space="0" w:color="auto"/>
            </w:tcBorders>
            <w:tcMar>
              <w:top w:w="28" w:type="dxa"/>
              <w:bottom w:w="28" w:type="dxa"/>
            </w:tcMar>
          </w:tcPr>
          <w:p w14:paraId="294D1B65" w14:textId="77777777" w:rsidR="00212D70" w:rsidRPr="00971118" w:rsidRDefault="00212D70" w:rsidP="00C82013">
            <w:pPr>
              <w:widowControl w:val="0"/>
              <w:rPr>
                <w:rFonts w:ascii="Arial" w:hAnsi="Arial" w:cs="Arial"/>
                <w:snapToGrid w:val="0"/>
                <w:lang w:eastAsia="en-US"/>
              </w:rPr>
            </w:pPr>
          </w:p>
        </w:tc>
        <w:tc>
          <w:tcPr>
            <w:tcW w:w="2418" w:type="dxa"/>
            <w:vMerge/>
            <w:tcBorders>
              <w:bottom w:val="single" w:sz="4" w:space="0" w:color="auto"/>
            </w:tcBorders>
          </w:tcPr>
          <w:p w14:paraId="0E20B056" w14:textId="77777777" w:rsidR="00212D70" w:rsidRPr="00971118" w:rsidRDefault="00212D70" w:rsidP="00C82013">
            <w:pPr>
              <w:widowControl w:val="0"/>
              <w:rPr>
                <w:rFonts w:ascii="Arial" w:hAnsi="Arial" w:cs="Arial"/>
                <w:snapToGrid w:val="0"/>
                <w:lang w:eastAsia="en-US"/>
              </w:rPr>
            </w:pPr>
          </w:p>
        </w:tc>
        <w:tc>
          <w:tcPr>
            <w:tcW w:w="3168" w:type="dxa"/>
            <w:tcBorders>
              <w:bottom w:val="single" w:sz="4" w:space="0" w:color="auto"/>
            </w:tcBorders>
            <w:tcMar>
              <w:top w:w="28" w:type="dxa"/>
              <w:bottom w:w="28" w:type="dxa"/>
            </w:tcMar>
          </w:tcPr>
          <w:p w14:paraId="17198107" w14:textId="452414BC" w:rsidR="00212D70" w:rsidRPr="00971118" w:rsidRDefault="00212D70" w:rsidP="00C82013">
            <w:pPr>
              <w:widowControl w:val="0"/>
              <w:rPr>
                <w:rFonts w:ascii="Arial" w:hAnsi="Arial" w:cs="Arial"/>
                <w:snapToGrid w:val="0"/>
                <w:lang w:eastAsia="en-US"/>
              </w:rPr>
            </w:pPr>
            <w:r>
              <w:rPr>
                <w:rFonts w:ascii="Arial" w:hAnsi="Arial" w:cs="Arial"/>
                <w:snapToGrid w:val="0"/>
                <w:lang w:eastAsia="en-US"/>
              </w:rPr>
              <w:t xml:space="preserve">Sponsor Comment: </w:t>
            </w:r>
          </w:p>
        </w:tc>
        <w:tc>
          <w:tcPr>
            <w:tcW w:w="6670" w:type="dxa"/>
            <w:tcBorders>
              <w:bottom w:val="single" w:sz="4" w:space="0" w:color="auto"/>
            </w:tcBorders>
            <w:shd w:val="clear" w:color="auto" w:fill="auto"/>
          </w:tcPr>
          <w:p w14:paraId="48779C58" w14:textId="55DC5373" w:rsidR="00212D70" w:rsidRPr="00971118" w:rsidRDefault="00BC15F1" w:rsidP="00ED3795">
            <w:pPr>
              <w:pStyle w:val="ListParagraph"/>
              <w:ind w:left="0"/>
              <w:jc w:val="both"/>
              <w:rPr>
                <w:rFonts w:ascii="Arial" w:hAnsi="Arial" w:cs="Arial"/>
                <w:sz w:val="20"/>
                <w:szCs w:val="20"/>
                <w:highlight w:val="yellow"/>
              </w:rPr>
            </w:pPr>
            <w:r w:rsidRPr="00BC15F1">
              <w:rPr>
                <w:rFonts w:ascii="Arial" w:hAnsi="Arial" w:cs="Arial"/>
                <w:sz w:val="20"/>
                <w:szCs w:val="20"/>
              </w:rPr>
              <w:t>Amgen is pleased that the PBAC acknowledged the clinical need for effective treatments for B-ALL. The elimination of MRD with blinatumomab is an important and effective treatment option. Amgen will continue to work with the PBAC with the aim to make blinatumomab available on the PBS for these patients.</w:t>
            </w:r>
          </w:p>
        </w:tc>
      </w:tr>
      <w:tr w:rsidR="00C82013" w:rsidRPr="00971118" w14:paraId="4796CAE8" w14:textId="77777777" w:rsidTr="00A964C7">
        <w:trPr>
          <w:cantSplit/>
          <w:trHeight w:val="2379"/>
        </w:trPr>
        <w:tc>
          <w:tcPr>
            <w:tcW w:w="3055" w:type="dxa"/>
            <w:vMerge w:val="restart"/>
            <w:tcMar>
              <w:top w:w="28" w:type="dxa"/>
              <w:bottom w:w="28" w:type="dxa"/>
            </w:tcMar>
          </w:tcPr>
          <w:p w14:paraId="680463D4" w14:textId="77777777" w:rsidR="00C82013" w:rsidRDefault="00ED3795" w:rsidP="00ED3795">
            <w:pPr>
              <w:rPr>
                <w:rFonts w:ascii="Arial" w:hAnsi="Arial" w:cs="Arial"/>
                <w:color w:val="000000"/>
              </w:rPr>
            </w:pPr>
            <w:r w:rsidRPr="00247B7A">
              <w:rPr>
                <w:rFonts w:ascii="Arial" w:hAnsi="Arial" w:cs="Arial"/>
                <w:color w:val="000000"/>
              </w:rPr>
              <w:lastRenderedPageBreak/>
              <w:t>BUPRENORPHINE</w:t>
            </w:r>
            <w:r w:rsidRPr="00247B7A">
              <w:rPr>
                <w:rFonts w:ascii="Arial" w:hAnsi="Arial" w:cs="Arial"/>
                <w:color w:val="000000"/>
              </w:rPr>
              <w:br/>
            </w:r>
            <w:r w:rsidRPr="00247B7A">
              <w:rPr>
                <w:rFonts w:ascii="Arial" w:hAnsi="Arial" w:cs="Arial"/>
                <w:color w:val="000000"/>
              </w:rPr>
              <w:br/>
              <w:t>Injection (modified release) 100 mg in 0.5 mL pre-filled syringe</w:t>
            </w:r>
            <w:r w:rsidRPr="00247B7A">
              <w:rPr>
                <w:rFonts w:ascii="Arial" w:hAnsi="Arial" w:cs="Arial"/>
                <w:color w:val="000000"/>
              </w:rPr>
              <w:br/>
              <w:t>Injection (modified release) 300 mg in 1.5 mL pre-filled syringe</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Sublocade</w:t>
            </w:r>
            <w:proofErr w:type="spellEnd"/>
            <w:r w:rsidRPr="00247B7A">
              <w:rPr>
                <w:rFonts w:ascii="Arial" w:hAnsi="Arial" w:cs="Arial"/>
                <w:color w:val="000000"/>
              </w:rPr>
              <w:t>®</w:t>
            </w:r>
            <w:r w:rsidRPr="00247B7A">
              <w:rPr>
                <w:rFonts w:ascii="Arial" w:hAnsi="Arial" w:cs="Arial"/>
                <w:color w:val="000000"/>
              </w:rPr>
              <w:br/>
            </w:r>
            <w:r w:rsidRPr="00247B7A">
              <w:rPr>
                <w:rFonts w:ascii="Arial" w:hAnsi="Arial" w:cs="Arial"/>
                <w:color w:val="000000"/>
              </w:rPr>
              <w:br/>
            </w:r>
            <w:proofErr w:type="spellStart"/>
            <w:r w:rsidRPr="00247B7A">
              <w:rPr>
                <w:rFonts w:ascii="Arial" w:hAnsi="Arial" w:cs="Arial"/>
                <w:color w:val="000000"/>
              </w:rPr>
              <w:t>Indivior</w:t>
            </w:r>
            <w:proofErr w:type="spellEnd"/>
            <w:r w:rsidRPr="00247B7A">
              <w:rPr>
                <w:rFonts w:ascii="Arial" w:hAnsi="Arial" w:cs="Arial"/>
                <w:color w:val="000000"/>
              </w:rPr>
              <w:t xml:space="preserve"> Pty Ltd</w:t>
            </w:r>
          </w:p>
          <w:p w14:paraId="3F75A6B9" w14:textId="77777777" w:rsidR="00A65D70" w:rsidRDefault="00A65D70" w:rsidP="00ED3795">
            <w:pPr>
              <w:rPr>
                <w:rFonts w:ascii="Arial" w:hAnsi="Arial" w:cs="Arial"/>
                <w:color w:val="000000"/>
              </w:rPr>
            </w:pPr>
          </w:p>
          <w:p w14:paraId="4FA5B9AE" w14:textId="77777777" w:rsidR="00A65D70" w:rsidRDefault="00A65D70" w:rsidP="00ED3795">
            <w:pPr>
              <w:rPr>
                <w:rFonts w:ascii="Arial" w:hAnsi="Arial" w:cs="Arial"/>
                <w:color w:val="000000"/>
              </w:rPr>
            </w:pPr>
            <w:r>
              <w:rPr>
                <w:rFonts w:ascii="Arial" w:hAnsi="Arial" w:cs="Arial"/>
                <w:color w:val="000000"/>
              </w:rPr>
              <w:t>New listing</w:t>
            </w:r>
          </w:p>
          <w:p w14:paraId="38390373" w14:textId="10BA559B" w:rsidR="00A65D70" w:rsidRPr="00225D57" w:rsidRDefault="00A65D70" w:rsidP="00ED3795">
            <w:pPr>
              <w:rPr>
                <w:rFonts w:ascii="Arial" w:hAnsi="Arial" w:cs="Arial"/>
                <w:color w:val="000000"/>
              </w:rPr>
            </w:pPr>
            <w:r>
              <w:rPr>
                <w:rFonts w:ascii="Arial" w:hAnsi="Arial" w:cs="Arial"/>
                <w:color w:val="000000"/>
              </w:rPr>
              <w:t>(Major Submission)</w:t>
            </w:r>
          </w:p>
        </w:tc>
        <w:tc>
          <w:tcPr>
            <w:tcW w:w="2418" w:type="dxa"/>
            <w:vMerge w:val="restart"/>
          </w:tcPr>
          <w:p w14:paraId="7E461B01" w14:textId="7AFF0A72" w:rsidR="00C82013" w:rsidRPr="00971118" w:rsidRDefault="00ED3795" w:rsidP="00C82013">
            <w:pPr>
              <w:rPr>
                <w:rFonts w:ascii="Arial" w:hAnsi="Arial" w:cs="Arial"/>
                <w:color w:val="000000"/>
              </w:rPr>
            </w:pPr>
            <w:r w:rsidRPr="00247B7A">
              <w:rPr>
                <w:rFonts w:ascii="Arial" w:hAnsi="Arial" w:cs="Arial"/>
                <w:color w:val="000000"/>
              </w:rPr>
              <w:t>Opiate dependence</w:t>
            </w:r>
          </w:p>
        </w:tc>
        <w:tc>
          <w:tcPr>
            <w:tcW w:w="3168" w:type="dxa"/>
            <w:tcMar>
              <w:top w:w="28" w:type="dxa"/>
              <w:bottom w:w="28" w:type="dxa"/>
            </w:tcMar>
          </w:tcPr>
          <w:p w14:paraId="6286F976" w14:textId="27780622" w:rsidR="00C82013" w:rsidRPr="00971118" w:rsidRDefault="00ED3795" w:rsidP="00C82013">
            <w:pPr>
              <w:rPr>
                <w:rFonts w:ascii="Arial" w:hAnsi="Arial" w:cs="Arial"/>
                <w:highlight w:val="yellow"/>
              </w:rPr>
            </w:pPr>
            <w:r w:rsidRPr="00247B7A">
              <w:rPr>
                <w:rFonts w:ascii="Arial" w:hAnsi="Arial" w:cs="Arial"/>
                <w:color w:val="000000"/>
              </w:rPr>
              <w:t xml:space="preserve">To request a Section 100 (Opiate Dependence Treatment Program) listing for the treatment of patients with opioid use disorder.  </w:t>
            </w:r>
          </w:p>
        </w:tc>
        <w:tc>
          <w:tcPr>
            <w:tcW w:w="6670" w:type="dxa"/>
          </w:tcPr>
          <w:p w14:paraId="6F1D06B2" w14:textId="55A52730" w:rsidR="00D028BD" w:rsidRPr="004F0173" w:rsidRDefault="005B41C8" w:rsidP="005A3462">
            <w:pPr>
              <w:pStyle w:val="ListParagraph"/>
              <w:ind w:left="0"/>
              <w:jc w:val="both"/>
              <w:rPr>
                <w:rFonts w:ascii="Arial" w:hAnsi="Arial" w:cs="Arial"/>
                <w:sz w:val="20"/>
                <w:szCs w:val="20"/>
              </w:rPr>
            </w:pPr>
            <w:r w:rsidRPr="005B41C8">
              <w:rPr>
                <w:rFonts w:ascii="Arial" w:hAnsi="Arial" w:cs="Arial"/>
                <w:sz w:val="20"/>
                <w:szCs w:val="20"/>
              </w:rPr>
              <w:t xml:space="preserve">The PBAC deferred </w:t>
            </w:r>
            <w:r w:rsidR="00E73820">
              <w:rPr>
                <w:rFonts w:ascii="Arial" w:hAnsi="Arial" w:cs="Arial"/>
                <w:sz w:val="20"/>
                <w:szCs w:val="20"/>
              </w:rPr>
              <w:t>making a</w:t>
            </w:r>
            <w:r w:rsidRPr="005B41C8">
              <w:rPr>
                <w:rFonts w:ascii="Arial" w:hAnsi="Arial" w:cs="Arial"/>
                <w:sz w:val="20"/>
                <w:szCs w:val="20"/>
              </w:rPr>
              <w:t xml:space="preserve"> recommend</w:t>
            </w:r>
            <w:r w:rsidR="00E73820">
              <w:rPr>
                <w:rFonts w:ascii="Arial" w:hAnsi="Arial" w:cs="Arial"/>
                <w:sz w:val="20"/>
                <w:szCs w:val="20"/>
              </w:rPr>
              <w:t>ation on</w:t>
            </w:r>
            <w:r w:rsidRPr="005B41C8">
              <w:rPr>
                <w:rFonts w:ascii="Arial" w:hAnsi="Arial" w:cs="Arial"/>
                <w:sz w:val="20"/>
                <w:szCs w:val="20"/>
              </w:rPr>
              <w:t xml:space="preserve"> the Section 100 (Opiate Dependence Treatment Program) listing for buprenorphine long-acting subcutaneous injection (</w:t>
            </w:r>
            <w:proofErr w:type="spellStart"/>
            <w:r w:rsidRPr="005B41C8">
              <w:rPr>
                <w:rFonts w:ascii="Arial" w:hAnsi="Arial" w:cs="Arial"/>
                <w:sz w:val="20"/>
                <w:szCs w:val="20"/>
              </w:rPr>
              <w:t>Sublocade</w:t>
            </w:r>
            <w:proofErr w:type="spellEnd"/>
            <w:r w:rsidRPr="005B41C8">
              <w:rPr>
                <w:rFonts w:ascii="Arial" w:hAnsi="Arial" w:cs="Arial"/>
                <w:sz w:val="20"/>
                <w:szCs w:val="20"/>
              </w:rPr>
              <w:t xml:space="preserve">®) for the treatment of opioid use disorder. However, the PBAC was of a mind to recommend </w:t>
            </w:r>
            <w:proofErr w:type="spellStart"/>
            <w:r w:rsidRPr="005B41C8">
              <w:rPr>
                <w:rFonts w:ascii="Arial" w:hAnsi="Arial" w:cs="Arial"/>
                <w:sz w:val="20"/>
                <w:szCs w:val="20"/>
              </w:rPr>
              <w:t>Sublocade</w:t>
            </w:r>
            <w:proofErr w:type="spellEnd"/>
            <w:r w:rsidRPr="005B41C8">
              <w:rPr>
                <w:rFonts w:ascii="Arial" w:hAnsi="Arial" w:cs="Arial"/>
                <w:sz w:val="20"/>
                <w:szCs w:val="20"/>
              </w:rPr>
              <w:t xml:space="preserve"> on a cost</w:t>
            </w:r>
            <w:r w:rsidR="00D028BD">
              <w:rPr>
                <w:rFonts w:ascii="Arial" w:hAnsi="Arial" w:cs="Arial"/>
                <w:sz w:val="20"/>
                <w:szCs w:val="20"/>
              </w:rPr>
              <w:t>-</w:t>
            </w:r>
            <w:r w:rsidRPr="005B41C8">
              <w:rPr>
                <w:rFonts w:ascii="Arial" w:hAnsi="Arial" w:cs="Arial"/>
                <w:sz w:val="20"/>
                <w:szCs w:val="20"/>
              </w:rPr>
              <w:t>minimisation basis to sublingual buprenorphine/naloxone, pending provision of a positive TGA Delegate’s overview. The PBAC acknowledged there was a clinical need for an alternative form of medication assisted treatment for opioid dependence, and that a long-acting subcutaneous injection was likely to have both clinical and social advantages for some patients in this treatment setting.</w:t>
            </w:r>
          </w:p>
        </w:tc>
      </w:tr>
      <w:tr w:rsidR="00C82013" w:rsidRPr="00971118" w14:paraId="764B5BF6" w14:textId="77777777" w:rsidTr="007C01BE">
        <w:trPr>
          <w:cantSplit/>
          <w:trHeight w:val="336"/>
        </w:trPr>
        <w:tc>
          <w:tcPr>
            <w:tcW w:w="3055" w:type="dxa"/>
            <w:vMerge/>
            <w:tcBorders>
              <w:bottom w:val="single" w:sz="4" w:space="0" w:color="auto"/>
            </w:tcBorders>
            <w:tcMar>
              <w:top w:w="28" w:type="dxa"/>
              <w:bottom w:w="28" w:type="dxa"/>
            </w:tcMar>
          </w:tcPr>
          <w:p w14:paraId="7EF30403" w14:textId="77777777" w:rsidR="00C82013" w:rsidRPr="00971118" w:rsidRDefault="00C82013" w:rsidP="00C82013">
            <w:pPr>
              <w:widowControl w:val="0"/>
              <w:rPr>
                <w:rFonts w:ascii="Arial" w:hAnsi="Arial" w:cs="Arial"/>
                <w:snapToGrid w:val="0"/>
                <w:lang w:eastAsia="en-US"/>
              </w:rPr>
            </w:pPr>
          </w:p>
        </w:tc>
        <w:tc>
          <w:tcPr>
            <w:tcW w:w="2418" w:type="dxa"/>
            <w:vMerge/>
            <w:tcBorders>
              <w:bottom w:val="single" w:sz="4" w:space="0" w:color="auto"/>
            </w:tcBorders>
          </w:tcPr>
          <w:p w14:paraId="4BEDF035" w14:textId="77777777" w:rsidR="00C82013" w:rsidRPr="00971118" w:rsidRDefault="00C82013" w:rsidP="00C82013">
            <w:pPr>
              <w:widowControl w:val="0"/>
              <w:rPr>
                <w:rFonts w:ascii="Arial" w:hAnsi="Arial" w:cs="Arial"/>
                <w:snapToGrid w:val="0"/>
                <w:lang w:eastAsia="en-US"/>
              </w:rPr>
            </w:pPr>
          </w:p>
        </w:tc>
        <w:tc>
          <w:tcPr>
            <w:tcW w:w="3168" w:type="dxa"/>
            <w:tcBorders>
              <w:bottom w:val="single" w:sz="4" w:space="0" w:color="auto"/>
            </w:tcBorders>
            <w:tcMar>
              <w:top w:w="28" w:type="dxa"/>
              <w:bottom w:w="28" w:type="dxa"/>
            </w:tcMar>
          </w:tcPr>
          <w:p w14:paraId="02250AAF" w14:textId="77777777" w:rsidR="00C82013" w:rsidRPr="00971118" w:rsidRDefault="00C82013" w:rsidP="00C82013">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Borders>
              <w:bottom w:val="single" w:sz="4" w:space="0" w:color="auto"/>
            </w:tcBorders>
            <w:shd w:val="clear" w:color="auto" w:fill="auto"/>
          </w:tcPr>
          <w:p w14:paraId="55D56332" w14:textId="4BACF533" w:rsidR="00A964C7" w:rsidRPr="00C1236E" w:rsidRDefault="00B0657E" w:rsidP="00C82013">
            <w:pPr>
              <w:pStyle w:val="ListParagraph"/>
              <w:ind w:left="0"/>
              <w:jc w:val="both"/>
              <w:rPr>
                <w:rFonts w:ascii="Arial" w:hAnsi="Arial" w:cs="Arial"/>
                <w:sz w:val="20"/>
                <w:szCs w:val="20"/>
              </w:rPr>
            </w:pPr>
            <w:r w:rsidRPr="00B0657E">
              <w:rPr>
                <w:rFonts w:ascii="Arial" w:hAnsi="Arial" w:cs="Arial"/>
                <w:sz w:val="20"/>
                <w:szCs w:val="20"/>
              </w:rPr>
              <w:t>The sponsor had no comment.</w:t>
            </w:r>
          </w:p>
        </w:tc>
      </w:tr>
      <w:tr w:rsidR="00513C4D" w:rsidRPr="00971118" w14:paraId="20E060BE" w14:textId="77777777" w:rsidTr="00A964C7">
        <w:trPr>
          <w:cantSplit/>
          <w:trHeight w:val="2484"/>
        </w:trPr>
        <w:tc>
          <w:tcPr>
            <w:tcW w:w="3055" w:type="dxa"/>
            <w:vMerge w:val="restart"/>
            <w:tcBorders>
              <w:top w:val="single" w:sz="4" w:space="0" w:color="auto"/>
            </w:tcBorders>
            <w:tcMar>
              <w:top w:w="28" w:type="dxa"/>
              <w:bottom w:w="28" w:type="dxa"/>
            </w:tcMar>
          </w:tcPr>
          <w:p w14:paraId="18D349E9" w14:textId="77777777" w:rsidR="00ED3795" w:rsidRPr="00ED3795" w:rsidRDefault="00ED3795" w:rsidP="00ED3795">
            <w:pPr>
              <w:rPr>
                <w:rFonts w:ascii="Arial" w:hAnsi="Arial" w:cs="Arial"/>
                <w:color w:val="000000"/>
              </w:rPr>
            </w:pPr>
            <w:r w:rsidRPr="00ED3795">
              <w:rPr>
                <w:rFonts w:ascii="Arial" w:hAnsi="Arial" w:cs="Arial"/>
                <w:color w:val="000000"/>
              </w:rPr>
              <w:t>DABRAFENIB and TRAMETINIB</w:t>
            </w:r>
          </w:p>
          <w:p w14:paraId="7CC7401D" w14:textId="77777777" w:rsidR="00ED3795" w:rsidRPr="00ED3795" w:rsidRDefault="00ED3795" w:rsidP="00ED3795">
            <w:pPr>
              <w:rPr>
                <w:rFonts w:ascii="Arial" w:hAnsi="Arial" w:cs="Arial"/>
                <w:color w:val="000000"/>
              </w:rPr>
            </w:pPr>
          </w:p>
          <w:p w14:paraId="02F39BE3" w14:textId="77777777" w:rsidR="00ED3795" w:rsidRPr="00ED3795" w:rsidRDefault="00ED3795" w:rsidP="00ED3795">
            <w:pPr>
              <w:rPr>
                <w:rFonts w:ascii="Arial" w:hAnsi="Arial" w:cs="Arial"/>
                <w:color w:val="000000"/>
              </w:rPr>
            </w:pPr>
            <w:r w:rsidRPr="00ED3795">
              <w:rPr>
                <w:rFonts w:ascii="Arial" w:hAnsi="Arial" w:cs="Arial"/>
                <w:color w:val="000000"/>
              </w:rPr>
              <w:t>Dabrafenib:</w:t>
            </w:r>
          </w:p>
          <w:p w14:paraId="56B016F9" w14:textId="77777777" w:rsidR="00ED3795" w:rsidRPr="00ED3795" w:rsidRDefault="00ED3795" w:rsidP="00ED3795">
            <w:pPr>
              <w:rPr>
                <w:rFonts w:ascii="Arial" w:hAnsi="Arial" w:cs="Arial"/>
                <w:color w:val="000000"/>
              </w:rPr>
            </w:pPr>
            <w:r w:rsidRPr="00ED3795">
              <w:rPr>
                <w:rFonts w:ascii="Arial" w:hAnsi="Arial" w:cs="Arial"/>
                <w:color w:val="000000"/>
              </w:rPr>
              <w:t>Capsule 50 mg</w:t>
            </w:r>
          </w:p>
          <w:p w14:paraId="3C6E418D" w14:textId="77777777" w:rsidR="00ED3795" w:rsidRPr="00ED3795" w:rsidRDefault="00ED3795" w:rsidP="00ED3795">
            <w:pPr>
              <w:rPr>
                <w:rFonts w:ascii="Arial" w:hAnsi="Arial" w:cs="Arial"/>
                <w:color w:val="000000"/>
              </w:rPr>
            </w:pPr>
            <w:r w:rsidRPr="00ED3795">
              <w:rPr>
                <w:rFonts w:ascii="Arial" w:hAnsi="Arial" w:cs="Arial"/>
                <w:color w:val="000000"/>
              </w:rPr>
              <w:t>Capsule 75 mg</w:t>
            </w:r>
          </w:p>
          <w:p w14:paraId="6CD588B3" w14:textId="77777777" w:rsidR="00ED3795" w:rsidRPr="00ED3795" w:rsidRDefault="00ED3795" w:rsidP="00ED3795">
            <w:pPr>
              <w:rPr>
                <w:rFonts w:ascii="Arial" w:hAnsi="Arial" w:cs="Arial"/>
                <w:color w:val="000000"/>
              </w:rPr>
            </w:pPr>
          </w:p>
          <w:p w14:paraId="56EA29FF" w14:textId="77777777" w:rsidR="00ED3795" w:rsidRPr="00ED3795" w:rsidRDefault="00ED3795" w:rsidP="00ED3795">
            <w:pPr>
              <w:rPr>
                <w:rFonts w:ascii="Arial" w:hAnsi="Arial" w:cs="Arial"/>
                <w:color w:val="000000"/>
              </w:rPr>
            </w:pPr>
            <w:r w:rsidRPr="00ED3795">
              <w:rPr>
                <w:rFonts w:ascii="Arial" w:hAnsi="Arial" w:cs="Arial"/>
                <w:color w:val="000000"/>
              </w:rPr>
              <w:t>Trametinib:</w:t>
            </w:r>
          </w:p>
          <w:p w14:paraId="7059F5EC" w14:textId="77777777" w:rsidR="00ED3795" w:rsidRPr="00ED3795" w:rsidRDefault="00ED3795" w:rsidP="00ED3795">
            <w:pPr>
              <w:rPr>
                <w:rFonts w:ascii="Arial" w:hAnsi="Arial" w:cs="Arial"/>
                <w:color w:val="000000"/>
              </w:rPr>
            </w:pPr>
            <w:r w:rsidRPr="00ED3795">
              <w:rPr>
                <w:rFonts w:ascii="Arial" w:hAnsi="Arial" w:cs="Arial"/>
                <w:color w:val="000000"/>
              </w:rPr>
              <w:t>Tablet 500 microgram</w:t>
            </w:r>
          </w:p>
          <w:p w14:paraId="463C5A37" w14:textId="77777777" w:rsidR="00ED3795" w:rsidRPr="00ED3795" w:rsidRDefault="00ED3795" w:rsidP="00ED3795">
            <w:pPr>
              <w:rPr>
                <w:rFonts w:ascii="Arial" w:hAnsi="Arial" w:cs="Arial"/>
                <w:color w:val="000000"/>
              </w:rPr>
            </w:pPr>
            <w:r w:rsidRPr="00ED3795">
              <w:rPr>
                <w:rFonts w:ascii="Arial" w:hAnsi="Arial" w:cs="Arial"/>
                <w:color w:val="000000"/>
              </w:rPr>
              <w:t>Tablet 2 mg</w:t>
            </w:r>
          </w:p>
          <w:p w14:paraId="145DD703" w14:textId="77777777" w:rsidR="00ED3795" w:rsidRPr="00ED3795" w:rsidRDefault="00ED3795" w:rsidP="00ED3795">
            <w:pPr>
              <w:rPr>
                <w:rFonts w:ascii="Arial" w:hAnsi="Arial" w:cs="Arial"/>
                <w:color w:val="000000"/>
              </w:rPr>
            </w:pPr>
          </w:p>
          <w:p w14:paraId="72120362" w14:textId="77777777" w:rsidR="00212D70" w:rsidRPr="00212D70" w:rsidRDefault="00212D70" w:rsidP="00212D70">
            <w:pPr>
              <w:rPr>
                <w:rFonts w:ascii="Arial" w:hAnsi="Arial" w:cs="Arial"/>
                <w:color w:val="000000"/>
              </w:rPr>
            </w:pPr>
            <w:proofErr w:type="spellStart"/>
            <w:r w:rsidRPr="00212D70">
              <w:rPr>
                <w:rFonts w:ascii="Arial" w:hAnsi="Arial" w:cs="Arial"/>
                <w:color w:val="000000"/>
              </w:rPr>
              <w:t>Tafinlar</w:t>
            </w:r>
            <w:proofErr w:type="spellEnd"/>
            <w:r w:rsidRPr="00212D70">
              <w:rPr>
                <w:rFonts w:ascii="Arial" w:hAnsi="Arial" w:cs="Arial"/>
                <w:color w:val="000000"/>
              </w:rPr>
              <w:t>® and</w:t>
            </w:r>
          </w:p>
          <w:p w14:paraId="3818C71B" w14:textId="77777777" w:rsidR="00212D70" w:rsidRPr="00212D70" w:rsidRDefault="00212D70" w:rsidP="00212D70">
            <w:pPr>
              <w:rPr>
                <w:rFonts w:ascii="Arial" w:hAnsi="Arial" w:cs="Arial"/>
                <w:color w:val="000000"/>
              </w:rPr>
            </w:pPr>
            <w:proofErr w:type="spellStart"/>
            <w:r w:rsidRPr="00212D70">
              <w:rPr>
                <w:rFonts w:ascii="Arial" w:hAnsi="Arial" w:cs="Arial"/>
                <w:color w:val="000000"/>
              </w:rPr>
              <w:t>Mekinist</w:t>
            </w:r>
            <w:proofErr w:type="spellEnd"/>
            <w:r w:rsidRPr="00212D70">
              <w:rPr>
                <w:rFonts w:ascii="Arial" w:hAnsi="Arial" w:cs="Arial"/>
                <w:color w:val="000000"/>
              </w:rPr>
              <w:t>®</w:t>
            </w:r>
          </w:p>
          <w:p w14:paraId="299B1E11" w14:textId="77777777" w:rsidR="00212D70" w:rsidRPr="00212D70" w:rsidRDefault="00212D70" w:rsidP="00212D70">
            <w:pPr>
              <w:rPr>
                <w:rFonts w:ascii="Arial" w:hAnsi="Arial" w:cs="Arial"/>
                <w:color w:val="000000"/>
              </w:rPr>
            </w:pPr>
          </w:p>
          <w:p w14:paraId="1785F0AA" w14:textId="77777777" w:rsidR="00513C4D" w:rsidRDefault="00212D70" w:rsidP="00212D70">
            <w:pPr>
              <w:rPr>
                <w:rFonts w:ascii="Arial" w:hAnsi="Arial" w:cs="Arial"/>
                <w:color w:val="000000"/>
              </w:rPr>
            </w:pPr>
            <w:r w:rsidRPr="00212D70">
              <w:rPr>
                <w:rFonts w:ascii="Arial" w:hAnsi="Arial" w:cs="Arial"/>
                <w:color w:val="000000"/>
              </w:rPr>
              <w:t>Novartis Pharmaceuticals Australia Pty ltd</w:t>
            </w:r>
          </w:p>
          <w:p w14:paraId="0CC31728" w14:textId="77777777" w:rsidR="00A65D70" w:rsidRDefault="00A65D70" w:rsidP="00212D70">
            <w:pPr>
              <w:rPr>
                <w:rFonts w:ascii="Arial" w:hAnsi="Arial" w:cs="Arial"/>
                <w:color w:val="000000"/>
              </w:rPr>
            </w:pPr>
          </w:p>
          <w:p w14:paraId="2358B830" w14:textId="77777777" w:rsidR="00A65D70" w:rsidRDefault="00A65D70" w:rsidP="00212D70">
            <w:pPr>
              <w:rPr>
                <w:rFonts w:ascii="Arial" w:hAnsi="Arial" w:cs="Arial"/>
                <w:color w:val="000000"/>
              </w:rPr>
            </w:pPr>
            <w:r>
              <w:rPr>
                <w:rFonts w:ascii="Arial" w:hAnsi="Arial" w:cs="Arial"/>
                <w:color w:val="000000"/>
              </w:rPr>
              <w:t xml:space="preserve">Change to listing </w:t>
            </w:r>
          </w:p>
          <w:p w14:paraId="62312A3D" w14:textId="1EFD5214" w:rsidR="00A65D70" w:rsidRPr="00225D57" w:rsidRDefault="00A65D70" w:rsidP="00212D70">
            <w:pPr>
              <w:rPr>
                <w:rFonts w:ascii="Arial" w:hAnsi="Arial" w:cs="Arial"/>
                <w:color w:val="000000"/>
              </w:rPr>
            </w:pPr>
            <w:r>
              <w:rPr>
                <w:rFonts w:ascii="Arial" w:hAnsi="Arial" w:cs="Arial"/>
                <w:color w:val="000000"/>
              </w:rPr>
              <w:t>(Major Submission)</w:t>
            </w:r>
          </w:p>
        </w:tc>
        <w:tc>
          <w:tcPr>
            <w:tcW w:w="2418" w:type="dxa"/>
            <w:vMerge w:val="restart"/>
            <w:tcBorders>
              <w:top w:val="single" w:sz="4" w:space="0" w:color="auto"/>
            </w:tcBorders>
          </w:tcPr>
          <w:p w14:paraId="132E5BF3" w14:textId="4A46F934" w:rsidR="00513C4D" w:rsidRPr="00395B97" w:rsidRDefault="00ED3795" w:rsidP="00513C4D">
            <w:pPr>
              <w:keepNext/>
              <w:rPr>
                <w:rFonts w:ascii="Arial" w:hAnsi="Arial" w:cs="Arial"/>
              </w:rPr>
            </w:pPr>
            <w:r w:rsidRPr="00ED3795">
              <w:rPr>
                <w:rFonts w:ascii="Arial" w:hAnsi="Arial" w:cs="Arial"/>
              </w:rPr>
              <w:t>Melanoma</w:t>
            </w:r>
          </w:p>
        </w:tc>
        <w:tc>
          <w:tcPr>
            <w:tcW w:w="3168" w:type="dxa"/>
            <w:tcBorders>
              <w:top w:val="single" w:sz="4" w:space="0" w:color="auto"/>
            </w:tcBorders>
            <w:tcMar>
              <w:top w:w="28" w:type="dxa"/>
              <w:bottom w:w="28" w:type="dxa"/>
            </w:tcMar>
          </w:tcPr>
          <w:p w14:paraId="748A416E" w14:textId="01E2EA12" w:rsidR="00513C4D" w:rsidRPr="00971118" w:rsidRDefault="00ED3795" w:rsidP="00513C4D">
            <w:pPr>
              <w:keepNext/>
              <w:rPr>
                <w:rFonts w:ascii="Arial" w:hAnsi="Arial" w:cs="Arial"/>
                <w:highlight w:val="yellow"/>
              </w:rPr>
            </w:pPr>
            <w:r w:rsidRPr="00ED3795">
              <w:rPr>
                <w:rFonts w:ascii="Arial" w:hAnsi="Arial" w:cs="Arial"/>
              </w:rPr>
              <w:t>To request an Authority required (STREAMLINED) listing for the adjuvant treatment of patients who have had completely surgically resected BRAF V600 mutation positive Stage III malignant melanoma.</w:t>
            </w:r>
          </w:p>
        </w:tc>
        <w:tc>
          <w:tcPr>
            <w:tcW w:w="6670" w:type="dxa"/>
            <w:tcBorders>
              <w:top w:val="single" w:sz="4" w:space="0" w:color="auto"/>
            </w:tcBorders>
          </w:tcPr>
          <w:p w14:paraId="666B5F99" w14:textId="54A141BB" w:rsidR="005A3462" w:rsidRDefault="005B41C8" w:rsidP="00ED3795">
            <w:pPr>
              <w:jc w:val="both"/>
              <w:rPr>
                <w:rFonts w:ascii="Arial" w:eastAsia="SimSun" w:hAnsi="Arial" w:cs="Arial"/>
              </w:rPr>
            </w:pPr>
            <w:r w:rsidRPr="005B41C8">
              <w:rPr>
                <w:rFonts w:ascii="Arial" w:eastAsia="SimSun" w:hAnsi="Arial" w:cs="Arial"/>
              </w:rPr>
              <w:t xml:space="preserve">The PBAC deferred making a </w:t>
            </w:r>
            <w:r w:rsidR="00E73820">
              <w:rPr>
                <w:rFonts w:ascii="Arial" w:eastAsia="SimSun" w:hAnsi="Arial" w:cs="Arial"/>
              </w:rPr>
              <w:t xml:space="preserve">recommendation on </w:t>
            </w:r>
            <w:r w:rsidRPr="005B41C8">
              <w:rPr>
                <w:rFonts w:ascii="Arial" w:eastAsia="SimSun" w:hAnsi="Arial" w:cs="Arial"/>
              </w:rPr>
              <w:t xml:space="preserve">the listing of dabrafenib plus trametinib as adjuvant treatment for BRAF V600 mutation positive patients with completely resected Stage III melanoma. In deciding to defer, the PBAC acknowledged that there was a high unmet clinical need for effective therapies to reduce the risk of recurrence for patients with resected Stage III melanoma. The PBAC considered it likely that adjuvant </w:t>
            </w:r>
            <w:proofErr w:type="spellStart"/>
            <w:r w:rsidRPr="005B41C8">
              <w:rPr>
                <w:rFonts w:ascii="Arial" w:eastAsia="SimSun" w:hAnsi="Arial" w:cs="Arial"/>
              </w:rPr>
              <w:t>dabrafenib+trametinib</w:t>
            </w:r>
            <w:proofErr w:type="spellEnd"/>
            <w:r w:rsidRPr="005B41C8">
              <w:rPr>
                <w:rFonts w:ascii="Arial" w:eastAsia="SimSun" w:hAnsi="Arial" w:cs="Arial"/>
              </w:rPr>
              <w:t xml:space="preserve"> provides, for some patients with Stage IIIB, IIIC or IIID disease, a significant improvement in efficacy over routine follow-up, in terms of recurrence-free survival, and a likely benefit in terms of overall survival although there are currently limited data. However, the results of the modelled economic evaluation were unreliable and resulted in an uncertain </w:t>
            </w:r>
            <w:r w:rsidR="002F6C80">
              <w:rPr>
                <w:rFonts w:ascii="Arial" w:eastAsia="SimSun" w:hAnsi="Arial" w:cs="Arial"/>
              </w:rPr>
              <w:t xml:space="preserve">estimate of </w:t>
            </w:r>
            <w:r w:rsidRPr="005B41C8">
              <w:rPr>
                <w:rFonts w:ascii="Arial" w:eastAsia="SimSun" w:hAnsi="Arial" w:cs="Arial"/>
              </w:rPr>
              <w:t>cost-effectiveness.</w:t>
            </w:r>
          </w:p>
          <w:p w14:paraId="29724C28" w14:textId="4A6BFC1C" w:rsidR="00E73820" w:rsidRPr="006C15A2" w:rsidRDefault="005B41C8" w:rsidP="005A3462">
            <w:pPr>
              <w:jc w:val="both"/>
              <w:rPr>
                <w:rFonts w:ascii="Arial" w:eastAsia="SimSun" w:hAnsi="Arial" w:cs="Arial"/>
              </w:rPr>
            </w:pPr>
            <w:r w:rsidRPr="005B41C8">
              <w:rPr>
                <w:rFonts w:ascii="Arial" w:eastAsia="SimSun" w:hAnsi="Arial" w:cs="Arial"/>
              </w:rPr>
              <w:br/>
              <w:t xml:space="preserve">The PBAC considered that the sponsor should provide updated restrictions, address the uncertainties relating to the cost-effectiveness model and provide a Risk Sharing Arrangement proposal. </w:t>
            </w:r>
          </w:p>
        </w:tc>
      </w:tr>
      <w:tr w:rsidR="00513C4D" w:rsidRPr="00971118" w14:paraId="4186FB77" w14:textId="77777777" w:rsidTr="00212D70">
        <w:trPr>
          <w:cantSplit/>
          <w:trHeight w:val="851"/>
        </w:trPr>
        <w:tc>
          <w:tcPr>
            <w:tcW w:w="3055" w:type="dxa"/>
            <w:vMerge/>
            <w:tcMar>
              <w:top w:w="28" w:type="dxa"/>
              <w:bottom w:w="28" w:type="dxa"/>
            </w:tcMar>
          </w:tcPr>
          <w:p w14:paraId="5AEC1411" w14:textId="77777777" w:rsidR="00513C4D" w:rsidRDefault="00513C4D" w:rsidP="00513C4D">
            <w:pPr>
              <w:autoSpaceDE w:val="0"/>
              <w:autoSpaceDN w:val="0"/>
              <w:adjustRightInd w:val="0"/>
              <w:rPr>
                <w:rFonts w:ascii="Arial+FPEF" w:hAnsi="Arial+FPEF" w:cs="Arial+FPEF"/>
              </w:rPr>
            </w:pPr>
          </w:p>
        </w:tc>
        <w:tc>
          <w:tcPr>
            <w:tcW w:w="2418" w:type="dxa"/>
            <w:vMerge/>
          </w:tcPr>
          <w:p w14:paraId="2DCAAF1D" w14:textId="77777777" w:rsidR="00513C4D" w:rsidRDefault="00513C4D" w:rsidP="00513C4D">
            <w:pPr>
              <w:autoSpaceDE w:val="0"/>
              <w:autoSpaceDN w:val="0"/>
              <w:adjustRightInd w:val="0"/>
              <w:rPr>
                <w:rFonts w:ascii="Arial+FPEF" w:hAnsi="Arial+FPEF" w:cs="Arial+FPEF"/>
              </w:rPr>
            </w:pPr>
          </w:p>
        </w:tc>
        <w:tc>
          <w:tcPr>
            <w:tcW w:w="3168" w:type="dxa"/>
            <w:tcMar>
              <w:top w:w="28" w:type="dxa"/>
              <w:bottom w:w="28" w:type="dxa"/>
            </w:tcMar>
          </w:tcPr>
          <w:p w14:paraId="53ACA454" w14:textId="77777777" w:rsidR="00513C4D" w:rsidRPr="00971118" w:rsidRDefault="00513C4D" w:rsidP="00513C4D">
            <w:pPr>
              <w:pStyle w:val="ListParagraph"/>
              <w:ind w:left="0"/>
              <w:rPr>
                <w:rFonts w:ascii="Arial" w:hAnsi="Arial" w:cs="Arial"/>
              </w:rPr>
            </w:pPr>
            <w:r w:rsidRPr="00395B97">
              <w:rPr>
                <w:rFonts w:ascii="Arial" w:hAnsi="Arial" w:cs="Arial"/>
                <w:snapToGrid w:val="0"/>
                <w:sz w:val="20"/>
                <w:szCs w:val="20"/>
                <w:lang w:eastAsia="en-US"/>
              </w:rPr>
              <w:t>Sponsor Comment:</w:t>
            </w:r>
          </w:p>
        </w:tc>
        <w:tc>
          <w:tcPr>
            <w:tcW w:w="6670" w:type="dxa"/>
            <w:shd w:val="clear" w:color="auto" w:fill="auto"/>
          </w:tcPr>
          <w:p w14:paraId="21291E95" w14:textId="4331A208" w:rsidR="00513C4D" w:rsidRPr="00DC517F" w:rsidRDefault="00974398" w:rsidP="00DC517F">
            <w:pPr>
              <w:jc w:val="both"/>
              <w:rPr>
                <w:rFonts w:ascii="Arial" w:hAnsi="Arial" w:cs="Arial"/>
              </w:rPr>
            </w:pPr>
            <w:r w:rsidRPr="00974398">
              <w:rPr>
                <w:rFonts w:ascii="Arial" w:hAnsi="Arial" w:cs="Arial"/>
              </w:rPr>
              <w:t>Novartis are committed to working with the PBAC to achieve agreement on sustainable PBS listing conditions for dabrafenib and trametinib at the earliest opportunity</w:t>
            </w:r>
            <w:r>
              <w:rPr>
                <w:rFonts w:ascii="Arial" w:hAnsi="Arial" w:cs="Arial"/>
              </w:rPr>
              <w:t xml:space="preserve">. </w:t>
            </w:r>
          </w:p>
        </w:tc>
      </w:tr>
      <w:tr w:rsidR="00212D70" w:rsidRPr="00971118" w14:paraId="1719E24B" w14:textId="77777777" w:rsidTr="00A964C7">
        <w:trPr>
          <w:cantSplit/>
          <w:trHeight w:val="614"/>
        </w:trPr>
        <w:tc>
          <w:tcPr>
            <w:tcW w:w="3055" w:type="dxa"/>
            <w:vMerge w:val="restart"/>
            <w:tcMar>
              <w:top w:w="28" w:type="dxa"/>
              <w:bottom w:w="28" w:type="dxa"/>
            </w:tcMar>
          </w:tcPr>
          <w:p w14:paraId="29295FDA" w14:textId="77777777" w:rsidR="00212D70" w:rsidRPr="00212D70" w:rsidRDefault="00212D70" w:rsidP="00212D70">
            <w:pPr>
              <w:autoSpaceDE w:val="0"/>
              <w:autoSpaceDN w:val="0"/>
              <w:adjustRightInd w:val="0"/>
              <w:rPr>
                <w:rFonts w:ascii="Arial+FPEF" w:hAnsi="Arial+FPEF" w:cs="Arial+FPEF"/>
              </w:rPr>
            </w:pPr>
            <w:r w:rsidRPr="00212D70">
              <w:rPr>
                <w:rFonts w:ascii="Arial+FPEF" w:hAnsi="Arial+FPEF" w:cs="Arial+FPEF"/>
              </w:rPr>
              <w:lastRenderedPageBreak/>
              <w:t>LENALIDOMIDE</w:t>
            </w:r>
          </w:p>
          <w:p w14:paraId="334EEA4A" w14:textId="77777777" w:rsidR="00212D70" w:rsidRPr="00212D70" w:rsidRDefault="00212D70" w:rsidP="00212D70">
            <w:pPr>
              <w:autoSpaceDE w:val="0"/>
              <w:autoSpaceDN w:val="0"/>
              <w:adjustRightInd w:val="0"/>
              <w:rPr>
                <w:rFonts w:ascii="Arial+FPEF" w:hAnsi="Arial+FPEF" w:cs="Arial+FPEF"/>
              </w:rPr>
            </w:pPr>
          </w:p>
          <w:p w14:paraId="757EE648" w14:textId="77777777" w:rsidR="00212D70" w:rsidRPr="00212D70" w:rsidRDefault="00212D70" w:rsidP="00212D70">
            <w:pPr>
              <w:autoSpaceDE w:val="0"/>
              <w:autoSpaceDN w:val="0"/>
              <w:adjustRightInd w:val="0"/>
              <w:rPr>
                <w:rFonts w:ascii="Arial+FPEF" w:hAnsi="Arial+FPEF" w:cs="Arial+FPEF"/>
              </w:rPr>
            </w:pPr>
            <w:r w:rsidRPr="00212D70">
              <w:rPr>
                <w:rFonts w:ascii="Arial+FPEF" w:hAnsi="Arial+FPEF" w:cs="Arial+FPEF"/>
              </w:rPr>
              <w:t>Capsule 5 mg</w:t>
            </w:r>
          </w:p>
          <w:p w14:paraId="20554A59" w14:textId="77777777" w:rsidR="00212D70" w:rsidRPr="00212D70" w:rsidRDefault="00212D70" w:rsidP="00212D70">
            <w:pPr>
              <w:autoSpaceDE w:val="0"/>
              <w:autoSpaceDN w:val="0"/>
              <w:adjustRightInd w:val="0"/>
              <w:rPr>
                <w:rFonts w:ascii="Arial+FPEF" w:hAnsi="Arial+FPEF" w:cs="Arial+FPEF"/>
              </w:rPr>
            </w:pPr>
            <w:r w:rsidRPr="00212D70">
              <w:rPr>
                <w:rFonts w:ascii="Arial+FPEF" w:hAnsi="Arial+FPEF" w:cs="Arial+FPEF"/>
              </w:rPr>
              <w:t>Capsule 10 mg</w:t>
            </w:r>
          </w:p>
          <w:p w14:paraId="03120B48" w14:textId="77777777" w:rsidR="00212D70" w:rsidRPr="00212D70" w:rsidRDefault="00212D70" w:rsidP="00212D70">
            <w:pPr>
              <w:autoSpaceDE w:val="0"/>
              <w:autoSpaceDN w:val="0"/>
              <w:adjustRightInd w:val="0"/>
              <w:rPr>
                <w:rFonts w:ascii="Arial+FPEF" w:hAnsi="Arial+FPEF" w:cs="Arial+FPEF"/>
              </w:rPr>
            </w:pPr>
            <w:r w:rsidRPr="00212D70">
              <w:rPr>
                <w:rFonts w:ascii="Arial+FPEF" w:hAnsi="Arial+FPEF" w:cs="Arial+FPEF"/>
              </w:rPr>
              <w:t>Capsule 15 mg</w:t>
            </w:r>
          </w:p>
          <w:p w14:paraId="66477F8D" w14:textId="77777777" w:rsidR="00212D70" w:rsidRPr="00212D70" w:rsidRDefault="00212D70" w:rsidP="00212D70">
            <w:pPr>
              <w:autoSpaceDE w:val="0"/>
              <w:autoSpaceDN w:val="0"/>
              <w:adjustRightInd w:val="0"/>
              <w:rPr>
                <w:rFonts w:ascii="Arial+FPEF" w:hAnsi="Arial+FPEF" w:cs="Arial+FPEF"/>
              </w:rPr>
            </w:pPr>
          </w:p>
          <w:p w14:paraId="5FF53F7B" w14:textId="77777777" w:rsidR="00212D70" w:rsidRPr="00212D70" w:rsidRDefault="00212D70" w:rsidP="00212D70">
            <w:pPr>
              <w:autoSpaceDE w:val="0"/>
              <w:autoSpaceDN w:val="0"/>
              <w:adjustRightInd w:val="0"/>
              <w:rPr>
                <w:rFonts w:ascii="Arial+FPEF" w:hAnsi="Arial+FPEF" w:cs="Arial+FPEF"/>
              </w:rPr>
            </w:pPr>
            <w:proofErr w:type="spellStart"/>
            <w:r w:rsidRPr="00212D70">
              <w:rPr>
                <w:rFonts w:ascii="Arial+FPEF" w:hAnsi="Arial+FPEF" w:cs="Arial+FPEF"/>
              </w:rPr>
              <w:t>Revlimid</w:t>
            </w:r>
            <w:proofErr w:type="spellEnd"/>
            <w:r w:rsidRPr="00212D70">
              <w:rPr>
                <w:rFonts w:ascii="Arial+FPEF" w:hAnsi="Arial+FPEF" w:cs="Arial+FPEF"/>
              </w:rPr>
              <w:t>®</w:t>
            </w:r>
          </w:p>
          <w:p w14:paraId="5E913ACE" w14:textId="77777777" w:rsidR="00212D70" w:rsidRPr="00212D70" w:rsidRDefault="00212D70" w:rsidP="00212D70">
            <w:pPr>
              <w:autoSpaceDE w:val="0"/>
              <w:autoSpaceDN w:val="0"/>
              <w:adjustRightInd w:val="0"/>
              <w:rPr>
                <w:rFonts w:ascii="Arial+FPEF" w:hAnsi="Arial+FPEF" w:cs="Arial+FPEF"/>
              </w:rPr>
            </w:pPr>
          </w:p>
          <w:p w14:paraId="645ED5D1" w14:textId="77777777" w:rsidR="00212D70" w:rsidRDefault="00212D70" w:rsidP="00212D70">
            <w:pPr>
              <w:autoSpaceDE w:val="0"/>
              <w:autoSpaceDN w:val="0"/>
              <w:adjustRightInd w:val="0"/>
              <w:rPr>
                <w:rFonts w:ascii="Arial+FPEF" w:hAnsi="Arial+FPEF" w:cs="Arial+FPEF"/>
              </w:rPr>
            </w:pPr>
            <w:r w:rsidRPr="00212D70">
              <w:rPr>
                <w:rFonts w:ascii="Arial+FPEF" w:hAnsi="Arial+FPEF" w:cs="Arial+FPEF"/>
              </w:rPr>
              <w:t>Celgene Pty Ltd</w:t>
            </w:r>
          </w:p>
          <w:p w14:paraId="657002C6" w14:textId="77777777" w:rsidR="00A65D70" w:rsidRDefault="00A65D70" w:rsidP="00212D70">
            <w:pPr>
              <w:autoSpaceDE w:val="0"/>
              <w:autoSpaceDN w:val="0"/>
              <w:adjustRightInd w:val="0"/>
              <w:rPr>
                <w:rFonts w:ascii="Arial+FPEF" w:hAnsi="Arial+FPEF" w:cs="Arial+FPEF"/>
              </w:rPr>
            </w:pPr>
          </w:p>
          <w:p w14:paraId="66B36D96" w14:textId="77777777" w:rsidR="00A65D70" w:rsidRDefault="00A65D70" w:rsidP="00212D70">
            <w:pPr>
              <w:autoSpaceDE w:val="0"/>
              <w:autoSpaceDN w:val="0"/>
              <w:adjustRightInd w:val="0"/>
              <w:rPr>
                <w:rFonts w:ascii="Arial+FPEF" w:hAnsi="Arial+FPEF" w:cs="Arial+FPEF"/>
              </w:rPr>
            </w:pPr>
            <w:r>
              <w:rPr>
                <w:rFonts w:ascii="Arial+FPEF" w:hAnsi="Arial+FPEF" w:cs="Arial+FPEF"/>
              </w:rPr>
              <w:t>Change to listing</w:t>
            </w:r>
          </w:p>
          <w:p w14:paraId="72C535FA" w14:textId="7888EAF5" w:rsidR="00A65D70" w:rsidRDefault="00A65D70" w:rsidP="00212D70">
            <w:pPr>
              <w:autoSpaceDE w:val="0"/>
              <w:autoSpaceDN w:val="0"/>
              <w:adjustRightInd w:val="0"/>
              <w:rPr>
                <w:rFonts w:ascii="Arial+FPEF" w:hAnsi="Arial+FPEF" w:cs="Arial+FPEF"/>
              </w:rPr>
            </w:pPr>
            <w:r>
              <w:rPr>
                <w:rFonts w:ascii="Arial+FPEF" w:hAnsi="Arial+FPEF" w:cs="Arial+FPEF"/>
              </w:rPr>
              <w:t xml:space="preserve">(Major Submission) </w:t>
            </w:r>
          </w:p>
        </w:tc>
        <w:tc>
          <w:tcPr>
            <w:tcW w:w="2418" w:type="dxa"/>
            <w:vMerge w:val="restart"/>
          </w:tcPr>
          <w:p w14:paraId="12B4BFAB" w14:textId="089FDCED" w:rsidR="00212D70" w:rsidRDefault="00212D70" w:rsidP="00513C4D">
            <w:pPr>
              <w:autoSpaceDE w:val="0"/>
              <w:autoSpaceDN w:val="0"/>
              <w:adjustRightInd w:val="0"/>
              <w:rPr>
                <w:rFonts w:ascii="Arial+FPEF" w:hAnsi="Arial+FPEF" w:cs="Arial+FPEF"/>
              </w:rPr>
            </w:pPr>
            <w:r w:rsidRPr="00212D70">
              <w:rPr>
                <w:rFonts w:ascii="Arial+FPEF" w:hAnsi="Arial+FPEF" w:cs="Arial+FPEF"/>
              </w:rPr>
              <w:t>Multiple myeloma</w:t>
            </w:r>
          </w:p>
        </w:tc>
        <w:tc>
          <w:tcPr>
            <w:tcW w:w="3168" w:type="dxa"/>
            <w:tcMar>
              <w:top w:w="28" w:type="dxa"/>
              <w:bottom w:w="28" w:type="dxa"/>
            </w:tcMar>
          </w:tcPr>
          <w:p w14:paraId="3B29C2BC" w14:textId="3C6C5AD3" w:rsidR="00212D70" w:rsidRPr="00395B97" w:rsidRDefault="00212D70" w:rsidP="00513C4D">
            <w:pPr>
              <w:pStyle w:val="ListParagraph"/>
              <w:ind w:left="0"/>
              <w:rPr>
                <w:rFonts w:ascii="Arial" w:hAnsi="Arial" w:cs="Arial"/>
                <w:snapToGrid w:val="0"/>
                <w:sz w:val="20"/>
                <w:szCs w:val="20"/>
                <w:lang w:eastAsia="en-US"/>
              </w:rPr>
            </w:pPr>
            <w:r w:rsidRPr="00212D70">
              <w:rPr>
                <w:rFonts w:ascii="Arial" w:hAnsi="Arial" w:cs="Arial"/>
                <w:snapToGrid w:val="0"/>
                <w:sz w:val="20"/>
                <w:szCs w:val="20"/>
                <w:lang w:eastAsia="en-US"/>
              </w:rPr>
              <w:t>Resubmission to request an extension to the Section 100 (Highly Specialised Drug Program) Authority Required listing to include maintenance treatment of patients with newly diagnosed multiple myeloma who have undergone an autologous stem cell transplant</w:t>
            </w:r>
            <w:r w:rsidR="002F6C80">
              <w:rPr>
                <w:rFonts w:ascii="Arial" w:hAnsi="Arial" w:cs="Arial"/>
                <w:snapToGrid w:val="0"/>
                <w:sz w:val="20"/>
                <w:szCs w:val="20"/>
                <w:lang w:eastAsia="en-US"/>
              </w:rPr>
              <w:t xml:space="preserve"> </w:t>
            </w:r>
            <w:r w:rsidR="002F6C80" w:rsidRPr="002F6C80">
              <w:rPr>
                <w:rFonts w:ascii="Arial" w:hAnsi="Arial" w:cs="Arial"/>
                <w:snapToGrid w:val="0"/>
                <w:sz w:val="20"/>
                <w:szCs w:val="20"/>
                <w:lang w:eastAsia="en-US"/>
              </w:rPr>
              <w:t>(ASCT)</w:t>
            </w:r>
            <w:r w:rsidRPr="00212D70">
              <w:rPr>
                <w:rFonts w:ascii="Arial" w:hAnsi="Arial" w:cs="Arial"/>
                <w:snapToGrid w:val="0"/>
                <w:sz w:val="20"/>
                <w:szCs w:val="20"/>
                <w:lang w:eastAsia="en-US"/>
              </w:rPr>
              <w:t>.</w:t>
            </w:r>
          </w:p>
        </w:tc>
        <w:tc>
          <w:tcPr>
            <w:tcW w:w="6670" w:type="dxa"/>
            <w:shd w:val="clear" w:color="auto" w:fill="auto"/>
          </w:tcPr>
          <w:p w14:paraId="63D89E48" w14:textId="27F3746D" w:rsidR="005B41C8" w:rsidRDefault="005B41C8" w:rsidP="005B41C8">
            <w:pPr>
              <w:jc w:val="both"/>
              <w:rPr>
                <w:rFonts w:ascii="Arial" w:hAnsi="Arial" w:cs="Arial"/>
              </w:rPr>
            </w:pPr>
            <w:r w:rsidRPr="005B41C8">
              <w:rPr>
                <w:rFonts w:ascii="Arial" w:hAnsi="Arial" w:cs="Arial"/>
              </w:rPr>
              <w:t xml:space="preserve">The PBAC </w:t>
            </w:r>
            <w:r w:rsidR="00E73820">
              <w:rPr>
                <w:rFonts w:ascii="Arial" w:hAnsi="Arial" w:cs="Arial"/>
              </w:rPr>
              <w:t>deferred making a recommendation on</w:t>
            </w:r>
            <w:r w:rsidRPr="005B41C8">
              <w:rPr>
                <w:rFonts w:ascii="Arial" w:hAnsi="Arial" w:cs="Arial"/>
              </w:rPr>
              <w:t xml:space="preserve"> the listing of lenalidomide for the maintenance treatment of patients with multiple myeloma following an ASCT. The PBAC, noting that the resubmission presented a mixed comparator of best supportive care and thalidomide, was satisfied that lenalidomide provides, for some patients, a significant improvement in efficacy over placebo, and a different toxicity profile, but notably lower rates of peripheral neuropathy, compared to thalidomide. </w:t>
            </w:r>
          </w:p>
          <w:p w14:paraId="0FEC203A" w14:textId="77777777" w:rsidR="006C15A2" w:rsidRPr="005B41C8" w:rsidRDefault="006C15A2" w:rsidP="005B41C8">
            <w:pPr>
              <w:jc w:val="both"/>
              <w:rPr>
                <w:rFonts w:ascii="Arial" w:hAnsi="Arial" w:cs="Arial"/>
              </w:rPr>
            </w:pPr>
          </w:p>
          <w:p w14:paraId="4C20884D" w14:textId="5DAA5829" w:rsidR="00E73820" w:rsidRPr="00DC517F" w:rsidRDefault="005B41C8" w:rsidP="00E65364">
            <w:pPr>
              <w:jc w:val="both"/>
              <w:rPr>
                <w:rFonts w:ascii="Arial" w:hAnsi="Arial" w:cs="Arial"/>
              </w:rPr>
            </w:pPr>
            <w:r w:rsidRPr="005B41C8">
              <w:rPr>
                <w:rFonts w:ascii="Arial" w:hAnsi="Arial" w:cs="Arial"/>
              </w:rPr>
              <w:t>The PBAC noted that the resubmission addressed a number of the issues identified by the PBAC during the March 2018 consideration. However, the PBAC considered that at the proposed price the incremental cost-effectiveness ratio versus best supportive care was too high given the level of uncertainty surrounding the economic analyses. In addition, the PBAC considered that the estimates of overall cost were uncertain. The PBAC considered that in the context of the high and uncertain potential cost, a detailed Risk Sharing Arrangement would be required.</w:t>
            </w:r>
          </w:p>
        </w:tc>
      </w:tr>
      <w:tr w:rsidR="00212D70" w:rsidRPr="00971118" w14:paraId="6120CC7F" w14:textId="77777777" w:rsidTr="00A964C7">
        <w:trPr>
          <w:cantSplit/>
          <w:trHeight w:val="614"/>
        </w:trPr>
        <w:tc>
          <w:tcPr>
            <w:tcW w:w="3055" w:type="dxa"/>
            <w:vMerge/>
            <w:tcMar>
              <w:top w:w="28" w:type="dxa"/>
              <w:bottom w:w="28" w:type="dxa"/>
            </w:tcMar>
          </w:tcPr>
          <w:p w14:paraId="570B156F" w14:textId="77777777" w:rsidR="00212D70" w:rsidRDefault="00212D70" w:rsidP="00513C4D">
            <w:pPr>
              <w:autoSpaceDE w:val="0"/>
              <w:autoSpaceDN w:val="0"/>
              <w:adjustRightInd w:val="0"/>
              <w:rPr>
                <w:rFonts w:ascii="Arial+FPEF" w:hAnsi="Arial+FPEF" w:cs="Arial+FPEF"/>
              </w:rPr>
            </w:pPr>
          </w:p>
        </w:tc>
        <w:tc>
          <w:tcPr>
            <w:tcW w:w="2418" w:type="dxa"/>
            <w:vMerge/>
          </w:tcPr>
          <w:p w14:paraId="5F423A62" w14:textId="77777777" w:rsidR="00212D70" w:rsidRDefault="00212D70" w:rsidP="00513C4D">
            <w:pPr>
              <w:autoSpaceDE w:val="0"/>
              <w:autoSpaceDN w:val="0"/>
              <w:adjustRightInd w:val="0"/>
              <w:rPr>
                <w:rFonts w:ascii="Arial+FPEF" w:hAnsi="Arial+FPEF" w:cs="Arial+FPEF"/>
              </w:rPr>
            </w:pPr>
          </w:p>
        </w:tc>
        <w:tc>
          <w:tcPr>
            <w:tcW w:w="3168" w:type="dxa"/>
            <w:tcMar>
              <w:top w:w="28" w:type="dxa"/>
              <w:bottom w:w="28" w:type="dxa"/>
            </w:tcMar>
          </w:tcPr>
          <w:p w14:paraId="0AC6B37F" w14:textId="61B12B2E" w:rsidR="00212D70" w:rsidRPr="00395B97" w:rsidRDefault="00212D70" w:rsidP="00513C4D">
            <w:pPr>
              <w:pStyle w:val="ListParagraph"/>
              <w:ind w:left="0"/>
              <w:rPr>
                <w:rFonts w:ascii="Arial" w:hAnsi="Arial" w:cs="Arial"/>
                <w:snapToGrid w:val="0"/>
                <w:sz w:val="20"/>
                <w:szCs w:val="20"/>
                <w:lang w:eastAsia="en-US"/>
              </w:rPr>
            </w:pPr>
            <w:r>
              <w:rPr>
                <w:rFonts w:ascii="Arial" w:hAnsi="Arial" w:cs="Arial"/>
                <w:snapToGrid w:val="0"/>
                <w:sz w:val="20"/>
                <w:szCs w:val="20"/>
                <w:lang w:eastAsia="en-US"/>
              </w:rPr>
              <w:t xml:space="preserve">Sponsor Comment: </w:t>
            </w:r>
          </w:p>
        </w:tc>
        <w:tc>
          <w:tcPr>
            <w:tcW w:w="6670" w:type="dxa"/>
            <w:shd w:val="clear" w:color="auto" w:fill="auto"/>
          </w:tcPr>
          <w:p w14:paraId="03E0C637" w14:textId="6FE3AA03" w:rsidR="00AB3C7E" w:rsidRPr="00DC517F" w:rsidRDefault="00024B56" w:rsidP="00DC517F">
            <w:pPr>
              <w:jc w:val="both"/>
              <w:rPr>
                <w:rFonts w:ascii="Arial" w:hAnsi="Arial" w:cs="Arial"/>
              </w:rPr>
            </w:pPr>
            <w:r w:rsidRPr="00024B56">
              <w:rPr>
                <w:rFonts w:ascii="Arial" w:hAnsi="Arial" w:cs="Arial"/>
              </w:rPr>
              <w:t>Celgene is encouraged by the PBAC’s recognition of the role of lenalidomide for patients with Multiple Myeloma following an ASCT and is committed to working with the PBAC to secure access to lenalidomide for these patients.</w:t>
            </w:r>
          </w:p>
        </w:tc>
      </w:tr>
    </w:tbl>
    <w:p w14:paraId="7269ED0D" w14:textId="77777777" w:rsidR="00C26FE5" w:rsidRPr="00F609BF" w:rsidRDefault="00C26FE5" w:rsidP="0065234B">
      <w:pPr>
        <w:tabs>
          <w:tab w:val="left" w:pos="5210"/>
        </w:tabs>
        <w:rPr>
          <w:rFonts w:ascii="Arial" w:hAnsi="Arial" w:cs="Arial"/>
          <w:lang w:val="en-US"/>
        </w:rPr>
      </w:pPr>
    </w:p>
    <w:sectPr w:rsidR="00C26FE5" w:rsidRPr="00F609BF" w:rsidSect="00281EE0">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051C2" w14:textId="77777777" w:rsidR="00EC7CAC" w:rsidRDefault="00EC7CAC">
      <w:r>
        <w:separator/>
      </w:r>
    </w:p>
  </w:endnote>
  <w:endnote w:type="continuationSeparator" w:id="0">
    <w:p w14:paraId="5C7E3FC0" w14:textId="77777777"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7D62"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34F3CA"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C6A1" w14:textId="054E628F"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64126C">
      <w:rPr>
        <w:rStyle w:val="PageNumber"/>
        <w:rFonts w:ascii="Arial" w:hAnsi="Arial" w:cs="Arial"/>
        <w:noProof/>
      </w:rPr>
      <w:t>4</w:t>
    </w:r>
    <w:r w:rsidRPr="00287C89">
      <w:rPr>
        <w:rStyle w:val="PageNumber"/>
        <w:rFonts w:ascii="Arial" w:hAnsi="Arial" w:cs="Arial"/>
      </w:rPr>
      <w:fldChar w:fldCharType="end"/>
    </w:r>
  </w:p>
  <w:p w14:paraId="7C1EE374" w14:textId="77777777" w:rsidR="005E1F3B" w:rsidRDefault="005E1F3B"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78C65" w14:textId="77777777" w:rsidR="00EC7CAC" w:rsidRDefault="00EC7CAC">
      <w:r>
        <w:separator/>
      </w:r>
    </w:p>
  </w:footnote>
  <w:footnote w:type="continuationSeparator" w:id="0">
    <w:p w14:paraId="2FB7425C" w14:textId="77777777" w:rsidR="00EC7CAC" w:rsidRDefault="00EC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5266" w14:textId="534B6594" w:rsidR="00BB0500" w:rsidRDefault="00ED3795" w:rsidP="00BB0500">
    <w:pPr>
      <w:pStyle w:val="Header"/>
      <w:jc w:val="center"/>
      <w:rPr>
        <w:rFonts w:ascii="Arial" w:hAnsi="Arial" w:cs="Arial"/>
        <w:b/>
      </w:rPr>
    </w:pPr>
    <w:r>
      <w:rPr>
        <w:rFonts w:ascii="Arial" w:hAnsi="Arial" w:cs="Arial"/>
        <w:b/>
      </w:rPr>
      <w:t>MARCH 2019</w:t>
    </w:r>
    <w:r w:rsidR="00F274E4">
      <w:rPr>
        <w:rFonts w:ascii="Arial" w:hAnsi="Arial" w:cs="Arial"/>
        <w:b/>
      </w:rPr>
      <w:t xml:space="preserve"> </w:t>
    </w:r>
    <w:r w:rsidR="00BB0500" w:rsidRPr="00BB0500">
      <w:rPr>
        <w:rFonts w:ascii="Arial" w:hAnsi="Arial" w:cs="Arial"/>
        <w:b/>
      </w:rPr>
      <w:t xml:space="preserve">PBAC OUTCOMES </w:t>
    </w:r>
    <w:r w:rsidR="0057221C">
      <w:rPr>
        <w:rFonts w:ascii="Arial" w:hAnsi="Arial" w:cs="Arial"/>
        <w:b/>
      </w:rPr>
      <w:t>–</w:t>
    </w:r>
    <w:r w:rsidR="00BB0500" w:rsidRPr="00BB0500">
      <w:rPr>
        <w:rFonts w:ascii="Arial" w:hAnsi="Arial" w:cs="Arial"/>
        <w:b/>
      </w:rPr>
      <w:t xml:space="preserve"> DEFERRALS</w:t>
    </w:r>
  </w:p>
  <w:p w14:paraId="493D1E59" w14:textId="77777777" w:rsidR="0057221C" w:rsidRPr="00BB0500" w:rsidRDefault="0057221C" w:rsidP="00BB0500">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0EC"/>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4B56"/>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4E1"/>
    <w:rsid w:val="000407AC"/>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D6F"/>
    <w:rsid w:val="00053B4A"/>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565"/>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25B"/>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0F98"/>
    <w:rsid w:val="000C1BA1"/>
    <w:rsid w:val="000C1D4C"/>
    <w:rsid w:val="000C22B0"/>
    <w:rsid w:val="000C2786"/>
    <w:rsid w:val="000C3369"/>
    <w:rsid w:val="000C3CAA"/>
    <w:rsid w:val="000C45E3"/>
    <w:rsid w:val="000C56B4"/>
    <w:rsid w:val="000C586F"/>
    <w:rsid w:val="000C5B48"/>
    <w:rsid w:val="000C661A"/>
    <w:rsid w:val="000C77A9"/>
    <w:rsid w:val="000D0D8B"/>
    <w:rsid w:val="000D14F1"/>
    <w:rsid w:val="000D1893"/>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444A"/>
    <w:rsid w:val="000F5D35"/>
    <w:rsid w:val="000F5DDE"/>
    <w:rsid w:val="001000EA"/>
    <w:rsid w:val="00100B0B"/>
    <w:rsid w:val="001025E7"/>
    <w:rsid w:val="0010275F"/>
    <w:rsid w:val="0010316E"/>
    <w:rsid w:val="00103559"/>
    <w:rsid w:val="001038BB"/>
    <w:rsid w:val="00103F76"/>
    <w:rsid w:val="00105739"/>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12F"/>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17"/>
    <w:rsid w:val="00143E66"/>
    <w:rsid w:val="00144E02"/>
    <w:rsid w:val="00145D66"/>
    <w:rsid w:val="00146F0E"/>
    <w:rsid w:val="0014770F"/>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7B5"/>
    <w:rsid w:val="001E092F"/>
    <w:rsid w:val="001E0947"/>
    <w:rsid w:val="001E152C"/>
    <w:rsid w:val="001E24EA"/>
    <w:rsid w:val="001E25FF"/>
    <w:rsid w:val="001E35D6"/>
    <w:rsid w:val="001E3FC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2D70"/>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0D7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5478"/>
    <w:rsid w:val="0028663C"/>
    <w:rsid w:val="00287C89"/>
    <w:rsid w:val="002905B5"/>
    <w:rsid w:val="00293203"/>
    <w:rsid w:val="0029329A"/>
    <w:rsid w:val="00293A15"/>
    <w:rsid w:val="00295693"/>
    <w:rsid w:val="002969C0"/>
    <w:rsid w:val="00296E1E"/>
    <w:rsid w:val="002972D4"/>
    <w:rsid w:val="00297AEF"/>
    <w:rsid w:val="00297F02"/>
    <w:rsid w:val="00297F1D"/>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3C66"/>
    <w:rsid w:val="002C436C"/>
    <w:rsid w:val="002C46B4"/>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C80"/>
    <w:rsid w:val="002F6D11"/>
    <w:rsid w:val="002F6FC4"/>
    <w:rsid w:val="002F7255"/>
    <w:rsid w:val="00300450"/>
    <w:rsid w:val="003005AA"/>
    <w:rsid w:val="00300EA5"/>
    <w:rsid w:val="00301ADB"/>
    <w:rsid w:val="003022B8"/>
    <w:rsid w:val="003023C4"/>
    <w:rsid w:val="003023EB"/>
    <w:rsid w:val="003026B9"/>
    <w:rsid w:val="00302C73"/>
    <w:rsid w:val="003035B2"/>
    <w:rsid w:val="00303733"/>
    <w:rsid w:val="00303A2F"/>
    <w:rsid w:val="00303C94"/>
    <w:rsid w:val="00304BF7"/>
    <w:rsid w:val="00304FE8"/>
    <w:rsid w:val="00305FA4"/>
    <w:rsid w:val="0030662A"/>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1E0A"/>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0AA8"/>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A88"/>
    <w:rsid w:val="00352CFB"/>
    <w:rsid w:val="00352F20"/>
    <w:rsid w:val="003530B9"/>
    <w:rsid w:val="00353798"/>
    <w:rsid w:val="003541D1"/>
    <w:rsid w:val="003548D7"/>
    <w:rsid w:val="003548F0"/>
    <w:rsid w:val="00354BC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AC"/>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55"/>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1C2"/>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5096"/>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896"/>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1A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1B9"/>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19DA"/>
    <w:rsid w:val="004C1B65"/>
    <w:rsid w:val="004C2F07"/>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173"/>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3C4D"/>
    <w:rsid w:val="00513DAE"/>
    <w:rsid w:val="00514597"/>
    <w:rsid w:val="005150AB"/>
    <w:rsid w:val="0051769B"/>
    <w:rsid w:val="0052052F"/>
    <w:rsid w:val="00520571"/>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39DB"/>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4DE0"/>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1C"/>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462"/>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1C8"/>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424C"/>
    <w:rsid w:val="005F4F1F"/>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12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146"/>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3E9"/>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6F4"/>
    <w:rsid w:val="006807E1"/>
    <w:rsid w:val="00680DE4"/>
    <w:rsid w:val="0068116A"/>
    <w:rsid w:val="006823D9"/>
    <w:rsid w:val="00683291"/>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B23"/>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5C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15A2"/>
    <w:rsid w:val="006C1D5A"/>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419"/>
    <w:rsid w:val="006F6DDA"/>
    <w:rsid w:val="006F7041"/>
    <w:rsid w:val="0070068B"/>
    <w:rsid w:val="00700990"/>
    <w:rsid w:val="00700CF4"/>
    <w:rsid w:val="007016BE"/>
    <w:rsid w:val="007025A3"/>
    <w:rsid w:val="007030B9"/>
    <w:rsid w:val="00703181"/>
    <w:rsid w:val="007042E7"/>
    <w:rsid w:val="007044EC"/>
    <w:rsid w:val="00704571"/>
    <w:rsid w:val="00704832"/>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3D4"/>
    <w:rsid w:val="0072366C"/>
    <w:rsid w:val="00724291"/>
    <w:rsid w:val="00724D0C"/>
    <w:rsid w:val="0072590A"/>
    <w:rsid w:val="00725996"/>
    <w:rsid w:val="00726886"/>
    <w:rsid w:val="0072724E"/>
    <w:rsid w:val="00727381"/>
    <w:rsid w:val="00727924"/>
    <w:rsid w:val="00727AA5"/>
    <w:rsid w:val="00730896"/>
    <w:rsid w:val="007314BA"/>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407"/>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03B"/>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AA9"/>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29B"/>
    <w:rsid w:val="007B2F55"/>
    <w:rsid w:val="007B2FF1"/>
    <w:rsid w:val="007B56E1"/>
    <w:rsid w:val="007B5E15"/>
    <w:rsid w:val="007B7BB1"/>
    <w:rsid w:val="007C01BE"/>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2D75"/>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2998"/>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516"/>
    <w:rsid w:val="00844B2A"/>
    <w:rsid w:val="00844ED2"/>
    <w:rsid w:val="0084562E"/>
    <w:rsid w:val="0084736D"/>
    <w:rsid w:val="008479BC"/>
    <w:rsid w:val="00847C79"/>
    <w:rsid w:val="00850A19"/>
    <w:rsid w:val="0085106C"/>
    <w:rsid w:val="008514EC"/>
    <w:rsid w:val="00851F31"/>
    <w:rsid w:val="0085233E"/>
    <w:rsid w:val="008524F7"/>
    <w:rsid w:val="00852A9A"/>
    <w:rsid w:val="00852F53"/>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878B7"/>
    <w:rsid w:val="008900AA"/>
    <w:rsid w:val="00890427"/>
    <w:rsid w:val="0089096B"/>
    <w:rsid w:val="008919D4"/>
    <w:rsid w:val="00892157"/>
    <w:rsid w:val="0089225A"/>
    <w:rsid w:val="00892AC0"/>
    <w:rsid w:val="008934FE"/>
    <w:rsid w:val="00893B5D"/>
    <w:rsid w:val="00893E2F"/>
    <w:rsid w:val="008944DB"/>
    <w:rsid w:val="0089594E"/>
    <w:rsid w:val="008962D6"/>
    <w:rsid w:val="008968C4"/>
    <w:rsid w:val="00897463"/>
    <w:rsid w:val="0089753B"/>
    <w:rsid w:val="00897911"/>
    <w:rsid w:val="00897B11"/>
    <w:rsid w:val="008A03BE"/>
    <w:rsid w:val="008A1C8E"/>
    <w:rsid w:val="008A220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3063"/>
    <w:rsid w:val="008B3ABF"/>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11C"/>
    <w:rsid w:val="008E5755"/>
    <w:rsid w:val="008E6356"/>
    <w:rsid w:val="008E6529"/>
    <w:rsid w:val="008E6C51"/>
    <w:rsid w:val="008E6F7A"/>
    <w:rsid w:val="008E7734"/>
    <w:rsid w:val="008F07ED"/>
    <w:rsid w:val="008F142D"/>
    <w:rsid w:val="008F1674"/>
    <w:rsid w:val="008F16EE"/>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282"/>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43B8"/>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118"/>
    <w:rsid w:val="0097179C"/>
    <w:rsid w:val="0097191C"/>
    <w:rsid w:val="0097198A"/>
    <w:rsid w:val="009734BF"/>
    <w:rsid w:val="009737F3"/>
    <w:rsid w:val="00973C3E"/>
    <w:rsid w:val="00974398"/>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6AC"/>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2FB"/>
    <w:rsid w:val="009C1840"/>
    <w:rsid w:val="009C1B99"/>
    <w:rsid w:val="009C1DC2"/>
    <w:rsid w:val="009C323A"/>
    <w:rsid w:val="009C3AE8"/>
    <w:rsid w:val="009C4087"/>
    <w:rsid w:val="009C475C"/>
    <w:rsid w:val="009C4959"/>
    <w:rsid w:val="009C4CFF"/>
    <w:rsid w:val="009C5961"/>
    <w:rsid w:val="009C76A3"/>
    <w:rsid w:val="009C79E5"/>
    <w:rsid w:val="009C7ACB"/>
    <w:rsid w:val="009C7C85"/>
    <w:rsid w:val="009D03F6"/>
    <w:rsid w:val="009D0758"/>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4D1A"/>
    <w:rsid w:val="009F4DD4"/>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309"/>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5D70"/>
    <w:rsid w:val="00A71CDE"/>
    <w:rsid w:val="00A7252E"/>
    <w:rsid w:val="00A72BBC"/>
    <w:rsid w:val="00A72E18"/>
    <w:rsid w:val="00A730F3"/>
    <w:rsid w:val="00A74BE6"/>
    <w:rsid w:val="00A7557C"/>
    <w:rsid w:val="00A758A4"/>
    <w:rsid w:val="00A75BA0"/>
    <w:rsid w:val="00A768A2"/>
    <w:rsid w:val="00A76A55"/>
    <w:rsid w:val="00A77067"/>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4C7"/>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3C7E"/>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1CE"/>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2EA1"/>
    <w:rsid w:val="00B0432F"/>
    <w:rsid w:val="00B043ED"/>
    <w:rsid w:val="00B054FF"/>
    <w:rsid w:val="00B05CB6"/>
    <w:rsid w:val="00B0633F"/>
    <w:rsid w:val="00B0657E"/>
    <w:rsid w:val="00B070A0"/>
    <w:rsid w:val="00B0769A"/>
    <w:rsid w:val="00B07CC0"/>
    <w:rsid w:val="00B102F5"/>
    <w:rsid w:val="00B103E9"/>
    <w:rsid w:val="00B11586"/>
    <w:rsid w:val="00B11E6D"/>
    <w:rsid w:val="00B11FA4"/>
    <w:rsid w:val="00B12242"/>
    <w:rsid w:val="00B1390D"/>
    <w:rsid w:val="00B1393B"/>
    <w:rsid w:val="00B140D2"/>
    <w:rsid w:val="00B14CD1"/>
    <w:rsid w:val="00B15491"/>
    <w:rsid w:val="00B1562F"/>
    <w:rsid w:val="00B16D63"/>
    <w:rsid w:val="00B17629"/>
    <w:rsid w:val="00B21D6E"/>
    <w:rsid w:val="00B22B2B"/>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5F1"/>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52B"/>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01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36E"/>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31B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1A8E"/>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0C3"/>
    <w:rsid w:val="00C72DD5"/>
    <w:rsid w:val="00C733A6"/>
    <w:rsid w:val="00C737B0"/>
    <w:rsid w:val="00C73D39"/>
    <w:rsid w:val="00C7675A"/>
    <w:rsid w:val="00C76E9D"/>
    <w:rsid w:val="00C816DF"/>
    <w:rsid w:val="00C82013"/>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982"/>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698A"/>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28BD"/>
    <w:rsid w:val="00D0354D"/>
    <w:rsid w:val="00D0497C"/>
    <w:rsid w:val="00D04F45"/>
    <w:rsid w:val="00D04FAA"/>
    <w:rsid w:val="00D0548B"/>
    <w:rsid w:val="00D05AEE"/>
    <w:rsid w:val="00D05D6E"/>
    <w:rsid w:val="00D0648D"/>
    <w:rsid w:val="00D06EB9"/>
    <w:rsid w:val="00D1153F"/>
    <w:rsid w:val="00D11995"/>
    <w:rsid w:val="00D11A53"/>
    <w:rsid w:val="00D11CFD"/>
    <w:rsid w:val="00D12432"/>
    <w:rsid w:val="00D13808"/>
    <w:rsid w:val="00D14509"/>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27EED"/>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026"/>
    <w:rsid w:val="00D70C38"/>
    <w:rsid w:val="00D710E5"/>
    <w:rsid w:val="00D71197"/>
    <w:rsid w:val="00D7178C"/>
    <w:rsid w:val="00D72008"/>
    <w:rsid w:val="00D72192"/>
    <w:rsid w:val="00D72CAC"/>
    <w:rsid w:val="00D72D32"/>
    <w:rsid w:val="00D731D1"/>
    <w:rsid w:val="00D73645"/>
    <w:rsid w:val="00D73AC1"/>
    <w:rsid w:val="00D73BD2"/>
    <w:rsid w:val="00D73FC4"/>
    <w:rsid w:val="00D73FE8"/>
    <w:rsid w:val="00D74538"/>
    <w:rsid w:val="00D749CB"/>
    <w:rsid w:val="00D74C9E"/>
    <w:rsid w:val="00D75F19"/>
    <w:rsid w:val="00D762CF"/>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07D"/>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17F"/>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5DCC"/>
    <w:rsid w:val="00DF649D"/>
    <w:rsid w:val="00DF7637"/>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021D"/>
    <w:rsid w:val="00E111E7"/>
    <w:rsid w:val="00E111F8"/>
    <w:rsid w:val="00E12618"/>
    <w:rsid w:val="00E129DF"/>
    <w:rsid w:val="00E12B5D"/>
    <w:rsid w:val="00E13435"/>
    <w:rsid w:val="00E13F23"/>
    <w:rsid w:val="00E143D4"/>
    <w:rsid w:val="00E14773"/>
    <w:rsid w:val="00E14DD9"/>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27C86"/>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5364"/>
    <w:rsid w:val="00E66EAB"/>
    <w:rsid w:val="00E67339"/>
    <w:rsid w:val="00E6734C"/>
    <w:rsid w:val="00E67560"/>
    <w:rsid w:val="00E67B4D"/>
    <w:rsid w:val="00E67B50"/>
    <w:rsid w:val="00E67EF0"/>
    <w:rsid w:val="00E705EE"/>
    <w:rsid w:val="00E70B72"/>
    <w:rsid w:val="00E70FDA"/>
    <w:rsid w:val="00E722A2"/>
    <w:rsid w:val="00E7253C"/>
    <w:rsid w:val="00E729B9"/>
    <w:rsid w:val="00E73820"/>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2FAD"/>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3795"/>
    <w:rsid w:val="00ED4DFC"/>
    <w:rsid w:val="00ED4E42"/>
    <w:rsid w:val="00ED5E20"/>
    <w:rsid w:val="00ED5E54"/>
    <w:rsid w:val="00ED74DB"/>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2A"/>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56B0"/>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4AA3"/>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952"/>
    <w:rsid w:val="00F95E64"/>
    <w:rsid w:val="00F960B8"/>
    <w:rsid w:val="00F9649D"/>
    <w:rsid w:val="00F96A46"/>
    <w:rsid w:val="00F96BB8"/>
    <w:rsid w:val="00F96E75"/>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38F9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0EC"/>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qFormat/>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paragraph" w:styleId="PlainText">
    <w:name w:val="Plain Text"/>
    <w:basedOn w:val="Normal"/>
    <w:link w:val="PlainTextChar"/>
    <w:uiPriority w:val="99"/>
    <w:unhideWhenUsed/>
    <w:rsid w:val="00297F1D"/>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297F1D"/>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582613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1146260">
      <w:bodyDiv w:val="1"/>
      <w:marLeft w:val="0"/>
      <w:marRight w:val="0"/>
      <w:marTop w:val="0"/>
      <w:marBottom w:val="0"/>
      <w:divBdr>
        <w:top w:val="none" w:sz="0" w:space="0" w:color="auto"/>
        <w:left w:val="none" w:sz="0" w:space="0" w:color="auto"/>
        <w:bottom w:val="none" w:sz="0" w:space="0" w:color="auto"/>
        <w:right w:val="none" w:sz="0" w:space="0" w:color="auto"/>
      </w:divBdr>
    </w:div>
    <w:div w:id="8781944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1742942">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913879">
      <w:bodyDiv w:val="1"/>
      <w:marLeft w:val="0"/>
      <w:marRight w:val="0"/>
      <w:marTop w:val="0"/>
      <w:marBottom w:val="0"/>
      <w:divBdr>
        <w:top w:val="none" w:sz="0" w:space="0" w:color="auto"/>
        <w:left w:val="none" w:sz="0" w:space="0" w:color="auto"/>
        <w:bottom w:val="none" w:sz="0" w:space="0" w:color="auto"/>
        <w:right w:val="none" w:sz="0" w:space="0" w:color="auto"/>
      </w:divBdr>
    </w:div>
    <w:div w:id="21400400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447599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1960741">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3365">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141380">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994018">
      <w:bodyDiv w:val="1"/>
      <w:marLeft w:val="0"/>
      <w:marRight w:val="0"/>
      <w:marTop w:val="0"/>
      <w:marBottom w:val="0"/>
      <w:divBdr>
        <w:top w:val="none" w:sz="0" w:space="0" w:color="auto"/>
        <w:left w:val="none" w:sz="0" w:space="0" w:color="auto"/>
        <w:bottom w:val="none" w:sz="0" w:space="0" w:color="auto"/>
        <w:right w:val="none" w:sz="0" w:space="0" w:color="auto"/>
      </w:divBdr>
    </w:div>
    <w:div w:id="774641555">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754856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1166808">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1237565">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798087">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88826761">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1860037">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93165439">
      <w:bodyDiv w:val="1"/>
      <w:marLeft w:val="0"/>
      <w:marRight w:val="0"/>
      <w:marTop w:val="0"/>
      <w:marBottom w:val="0"/>
      <w:divBdr>
        <w:top w:val="none" w:sz="0" w:space="0" w:color="auto"/>
        <w:left w:val="none" w:sz="0" w:space="0" w:color="auto"/>
        <w:bottom w:val="none" w:sz="0" w:space="0" w:color="auto"/>
        <w:right w:val="none" w:sz="0" w:space="0" w:color="auto"/>
      </w:divBdr>
    </w:div>
    <w:div w:id="1106577837">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095063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6672039">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3698783">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6867764">
      <w:bodyDiv w:val="1"/>
      <w:marLeft w:val="0"/>
      <w:marRight w:val="0"/>
      <w:marTop w:val="0"/>
      <w:marBottom w:val="0"/>
      <w:divBdr>
        <w:top w:val="none" w:sz="0" w:space="0" w:color="auto"/>
        <w:left w:val="none" w:sz="0" w:space="0" w:color="auto"/>
        <w:bottom w:val="none" w:sz="0" w:space="0" w:color="auto"/>
        <w:right w:val="none" w:sz="0" w:space="0" w:color="auto"/>
      </w:divBdr>
    </w:div>
    <w:div w:id="1548712585">
      <w:bodyDiv w:val="1"/>
      <w:marLeft w:val="0"/>
      <w:marRight w:val="0"/>
      <w:marTop w:val="0"/>
      <w:marBottom w:val="0"/>
      <w:divBdr>
        <w:top w:val="none" w:sz="0" w:space="0" w:color="auto"/>
        <w:left w:val="none" w:sz="0" w:space="0" w:color="auto"/>
        <w:bottom w:val="none" w:sz="0" w:space="0" w:color="auto"/>
        <w:right w:val="none" w:sz="0" w:space="0" w:color="auto"/>
      </w:divBdr>
    </w:div>
    <w:div w:id="1580289368">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30416760">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262239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6212123">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49849003">
      <w:bodyDiv w:val="1"/>
      <w:marLeft w:val="0"/>
      <w:marRight w:val="0"/>
      <w:marTop w:val="0"/>
      <w:marBottom w:val="0"/>
      <w:divBdr>
        <w:top w:val="none" w:sz="0" w:space="0" w:color="auto"/>
        <w:left w:val="none" w:sz="0" w:space="0" w:color="auto"/>
        <w:bottom w:val="none" w:sz="0" w:space="0" w:color="auto"/>
        <w:right w:val="none" w:sz="0" w:space="0" w:color="auto"/>
      </w:divBdr>
    </w:div>
    <w:div w:id="195103810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89955201">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F0C8-4740-44A9-98CB-668DCFE6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2018-12-12T03:17:00Z</dcterms:created>
  <dcterms:modified xsi:type="dcterms:W3CDTF">2019-04-26T05:43:00Z</dcterms:modified>
</cp:coreProperties>
</file>