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307"/>
        <w:gridCol w:w="2987"/>
        <w:gridCol w:w="7192"/>
      </w:tblGrid>
      <w:tr w:rsidR="003D7E12" w:rsidRPr="003D7E12" w14:paraId="61917D71" w14:textId="77777777" w:rsidTr="007F6A0F">
        <w:trPr>
          <w:cantSplit/>
          <w:tblHeader/>
        </w:trPr>
        <w:tc>
          <w:tcPr>
            <w:tcW w:w="3369" w:type="dxa"/>
            <w:tcMar>
              <w:top w:w="28" w:type="dxa"/>
              <w:bottom w:w="28" w:type="dxa"/>
            </w:tcMar>
          </w:tcPr>
          <w:p w14:paraId="1F4C259B" w14:textId="77777777" w:rsidR="003D7E12" w:rsidRPr="003D7E12" w:rsidRDefault="003D7E12" w:rsidP="007F6A0F">
            <w:pPr>
              <w:widowControl w:val="0"/>
              <w:jc w:val="center"/>
              <w:rPr>
                <w:rFonts w:ascii="Arial" w:hAnsi="Arial" w:cs="Arial"/>
                <w:b/>
              </w:rPr>
            </w:pPr>
            <w:r w:rsidRPr="003D7E12">
              <w:rPr>
                <w:rFonts w:ascii="Arial" w:hAnsi="Arial" w:cs="Arial"/>
                <w:b/>
              </w:rPr>
              <w:t>SPONSOR, TYPE OF SUBMISSION</w:t>
            </w:r>
          </w:p>
          <w:p w14:paraId="474B7F74" w14:textId="77777777" w:rsidR="003D7E12" w:rsidRPr="003D7E12" w:rsidRDefault="003D7E12" w:rsidP="007F6A0F">
            <w:pPr>
              <w:widowControl w:val="0"/>
              <w:jc w:val="center"/>
              <w:rPr>
                <w:rFonts w:ascii="Arial" w:hAnsi="Arial" w:cs="Arial"/>
                <w:snapToGrid w:val="0"/>
                <w:lang w:eastAsia="en-US"/>
              </w:rPr>
            </w:pPr>
          </w:p>
          <w:p w14:paraId="36655E4E" w14:textId="77777777" w:rsidR="003D7E12" w:rsidRPr="003D7E12" w:rsidRDefault="003D7E12" w:rsidP="007F6A0F">
            <w:pPr>
              <w:widowControl w:val="0"/>
              <w:jc w:val="center"/>
              <w:rPr>
                <w:rFonts w:ascii="Arial" w:hAnsi="Arial" w:cs="Arial"/>
                <w:b/>
              </w:rPr>
            </w:pPr>
          </w:p>
        </w:tc>
        <w:tc>
          <w:tcPr>
            <w:tcW w:w="2307" w:type="dxa"/>
            <w:tcMar>
              <w:top w:w="28" w:type="dxa"/>
              <w:bottom w:w="28" w:type="dxa"/>
            </w:tcMar>
          </w:tcPr>
          <w:p w14:paraId="69DFB604" w14:textId="77777777" w:rsidR="003D7E12" w:rsidRPr="003D7E12" w:rsidRDefault="003D7E12" w:rsidP="007F6A0F">
            <w:pPr>
              <w:widowControl w:val="0"/>
              <w:jc w:val="center"/>
              <w:rPr>
                <w:rFonts w:ascii="Arial" w:hAnsi="Arial" w:cs="Arial"/>
                <w:b/>
                <w:snapToGrid w:val="0"/>
                <w:lang w:eastAsia="en-US"/>
              </w:rPr>
            </w:pPr>
            <w:r w:rsidRPr="003D7E12">
              <w:rPr>
                <w:rFonts w:ascii="Arial" w:hAnsi="Arial" w:cs="Arial"/>
                <w:b/>
                <w:snapToGrid w:val="0"/>
                <w:lang w:eastAsia="en-US"/>
              </w:rPr>
              <w:t>DRUG TYPE OR USE</w:t>
            </w:r>
          </w:p>
          <w:p w14:paraId="4656B5EF" w14:textId="77777777" w:rsidR="003D7E12" w:rsidRPr="003D7E12" w:rsidRDefault="003D7E12" w:rsidP="007F6A0F">
            <w:pPr>
              <w:widowControl w:val="0"/>
              <w:jc w:val="center"/>
              <w:rPr>
                <w:rFonts w:ascii="Arial" w:hAnsi="Arial" w:cs="Arial"/>
                <w:b/>
                <w:i/>
                <w:snapToGrid w:val="0"/>
                <w:lang w:eastAsia="en-US"/>
              </w:rPr>
            </w:pPr>
          </w:p>
        </w:tc>
        <w:tc>
          <w:tcPr>
            <w:tcW w:w="2987" w:type="dxa"/>
            <w:tcMar>
              <w:top w:w="28" w:type="dxa"/>
              <w:bottom w:w="28" w:type="dxa"/>
            </w:tcMar>
          </w:tcPr>
          <w:p w14:paraId="078E5CAE" w14:textId="77777777" w:rsidR="003D7E12" w:rsidRPr="003D7E12" w:rsidRDefault="003D7E12" w:rsidP="007F6A0F">
            <w:pPr>
              <w:widowControl w:val="0"/>
              <w:jc w:val="center"/>
              <w:rPr>
                <w:rFonts w:ascii="Arial" w:hAnsi="Arial" w:cs="Arial"/>
                <w:i/>
                <w:snapToGrid w:val="0"/>
                <w:lang w:eastAsia="en-US"/>
              </w:rPr>
            </w:pPr>
            <w:r w:rsidRPr="003D7E12">
              <w:rPr>
                <w:rFonts w:ascii="Arial" w:hAnsi="Arial" w:cs="Arial"/>
                <w:b/>
                <w:snapToGrid w:val="0"/>
                <w:lang w:eastAsia="en-US"/>
              </w:rPr>
              <w:t>LISTING REQUESTED BY SPONSOR / PURPOSE OF SUBMISSION</w:t>
            </w:r>
          </w:p>
          <w:p w14:paraId="7B86444B" w14:textId="77777777" w:rsidR="003D7E12" w:rsidRPr="003D7E12" w:rsidRDefault="003D7E12" w:rsidP="007F6A0F">
            <w:pPr>
              <w:widowControl w:val="0"/>
              <w:rPr>
                <w:rFonts w:ascii="Arial" w:hAnsi="Arial" w:cs="Arial"/>
                <w:b/>
                <w:snapToGrid w:val="0"/>
                <w:lang w:eastAsia="en-US"/>
              </w:rPr>
            </w:pPr>
          </w:p>
        </w:tc>
        <w:tc>
          <w:tcPr>
            <w:tcW w:w="7192" w:type="dxa"/>
          </w:tcPr>
          <w:p w14:paraId="68F6DD37" w14:textId="77777777" w:rsidR="003D7E12" w:rsidRPr="003D7E12" w:rsidRDefault="003D7E12" w:rsidP="007F6A0F">
            <w:pPr>
              <w:widowControl w:val="0"/>
              <w:jc w:val="center"/>
              <w:rPr>
                <w:rFonts w:ascii="Arial" w:hAnsi="Arial" w:cs="Arial"/>
                <w:b/>
                <w:snapToGrid w:val="0"/>
                <w:lang w:eastAsia="en-US"/>
              </w:rPr>
            </w:pPr>
            <w:r w:rsidRPr="003D7E12">
              <w:rPr>
                <w:rFonts w:ascii="Arial" w:hAnsi="Arial" w:cs="Arial"/>
                <w:b/>
                <w:snapToGrid w:val="0"/>
                <w:lang w:eastAsia="en-US"/>
              </w:rPr>
              <w:t>PBAC OUTCOME</w:t>
            </w:r>
          </w:p>
        </w:tc>
      </w:tr>
      <w:tr w:rsidR="007B0FBF" w:rsidRPr="003D7E12" w14:paraId="0E4B2636" w14:textId="77777777" w:rsidTr="007F6A0F">
        <w:trPr>
          <w:cantSplit/>
        </w:trPr>
        <w:tc>
          <w:tcPr>
            <w:tcW w:w="3369" w:type="dxa"/>
            <w:tcMar>
              <w:top w:w="28" w:type="dxa"/>
              <w:bottom w:w="28" w:type="dxa"/>
            </w:tcMar>
          </w:tcPr>
          <w:p w14:paraId="3C4B7BD7" w14:textId="534556F5" w:rsidR="00C36AC3" w:rsidRDefault="007B0FBF" w:rsidP="007F6A0F">
            <w:pPr>
              <w:widowControl w:val="0"/>
              <w:rPr>
                <w:rFonts w:ascii="Arial" w:hAnsi="Arial" w:cs="Arial"/>
                <w:b/>
              </w:rPr>
            </w:pPr>
            <w:r w:rsidRPr="00AE3FC2">
              <w:rPr>
                <w:rFonts w:ascii="Arial" w:hAnsi="Arial" w:cs="Arial"/>
                <w:color w:val="000000"/>
              </w:rPr>
              <w:t>ALIROCUMAB</w:t>
            </w:r>
            <w:r w:rsidRPr="00247B7A">
              <w:rPr>
                <w:rFonts w:ascii="Arial" w:hAnsi="Arial" w:cs="Arial"/>
                <w:color w:val="000000"/>
              </w:rPr>
              <w:br/>
            </w:r>
            <w:r w:rsidRPr="00247B7A">
              <w:rPr>
                <w:rFonts w:ascii="Arial" w:hAnsi="Arial" w:cs="Arial"/>
                <w:color w:val="000000"/>
              </w:rPr>
              <w:br/>
              <w:t>Injection 75 mg in 1 mL single dose pre-filled pen</w:t>
            </w:r>
            <w:r w:rsidRPr="00247B7A">
              <w:rPr>
                <w:rFonts w:ascii="Arial" w:hAnsi="Arial" w:cs="Arial"/>
                <w:color w:val="000000"/>
              </w:rPr>
              <w:br/>
              <w:t>Injection 150 mg in 1 mL single dose pre-filled pen</w:t>
            </w:r>
            <w:r w:rsidRPr="00247B7A">
              <w:rPr>
                <w:rFonts w:ascii="Arial" w:hAnsi="Arial" w:cs="Arial"/>
                <w:color w:val="000000"/>
              </w:rPr>
              <w:br/>
            </w:r>
            <w:r w:rsidRPr="00247B7A">
              <w:rPr>
                <w:rFonts w:ascii="Arial" w:hAnsi="Arial" w:cs="Arial"/>
                <w:color w:val="000000"/>
              </w:rPr>
              <w:br/>
              <w:t xml:space="preserve">Praluent® </w:t>
            </w:r>
            <w:r w:rsidRPr="00247B7A">
              <w:rPr>
                <w:rFonts w:ascii="Arial" w:hAnsi="Arial" w:cs="Arial"/>
                <w:color w:val="000000"/>
              </w:rPr>
              <w:br/>
            </w:r>
            <w:r w:rsidRPr="00247B7A">
              <w:rPr>
                <w:rFonts w:ascii="Arial" w:hAnsi="Arial" w:cs="Arial"/>
                <w:color w:val="000000"/>
              </w:rPr>
              <w:br/>
              <w:t>Sanofi-Aventis Australia Pty Ltd</w:t>
            </w:r>
          </w:p>
          <w:p w14:paraId="2625D105" w14:textId="2AA563E5" w:rsidR="00C36AC3" w:rsidRDefault="00C36AC3" w:rsidP="00C36AC3">
            <w:pPr>
              <w:rPr>
                <w:rFonts w:ascii="Arial" w:hAnsi="Arial" w:cs="Arial"/>
              </w:rPr>
            </w:pPr>
          </w:p>
          <w:p w14:paraId="670E3324" w14:textId="77777777" w:rsidR="00C36AC3" w:rsidRPr="00C36AC3" w:rsidRDefault="00C36AC3" w:rsidP="00C36AC3">
            <w:pPr>
              <w:rPr>
                <w:rFonts w:ascii="Arial" w:hAnsi="Arial" w:cs="Arial"/>
              </w:rPr>
            </w:pPr>
            <w:r w:rsidRPr="00C36AC3">
              <w:rPr>
                <w:rFonts w:ascii="Arial" w:hAnsi="Arial" w:cs="Arial"/>
              </w:rPr>
              <w:t>New listing</w:t>
            </w:r>
          </w:p>
          <w:p w14:paraId="25F62268" w14:textId="0601332B" w:rsidR="007B0FBF" w:rsidRPr="00C36AC3" w:rsidRDefault="00C36AC3" w:rsidP="00C36AC3">
            <w:pPr>
              <w:rPr>
                <w:rFonts w:ascii="Arial" w:hAnsi="Arial" w:cs="Arial"/>
              </w:rPr>
            </w:pPr>
            <w:r w:rsidRPr="00C36AC3">
              <w:rPr>
                <w:rFonts w:ascii="Arial" w:hAnsi="Arial" w:cs="Arial"/>
              </w:rPr>
              <w:t>(Major Submission)</w:t>
            </w:r>
          </w:p>
        </w:tc>
        <w:tc>
          <w:tcPr>
            <w:tcW w:w="2307" w:type="dxa"/>
            <w:tcMar>
              <w:top w:w="28" w:type="dxa"/>
              <w:bottom w:w="28" w:type="dxa"/>
            </w:tcMar>
          </w:tcPr>
          <w:p w14:paraId="36DAC31E" w14:textId="4B0B2C21" w:rsidR="007B0FBF" w:rsidRPr="003D7E12" w:rsidRDefault="007B0FBF" w:rsidP="007F6A0F">
            <w:pPr>
              <w:widowControl w:val="0"/>
              <w:rPr>
                <w:rFonts w:ascii="Arial" w:hAnsi="Arial" w:cs="Arial"/>
                <w:b/>
                <w:snapToGrid w:val="0"/>
                <w:lang w:eastAsia="en-US"/>
              </w:rPr>
            </w:pPr>
            <w:r w:rsidRPr="00247B7A">
              <w:rPr>
                <w:rFonts w:ascii="Arial" w:hAnsi="Arial" w:cs="Arial"/>
                <w:color w:val="000000"/>
              </w:rPr>
              <w:t>Hypercholesterolaemia</w:t>
            </w:r>
          </w:p>
        </w:tc>
        <w:tc>
          <w:tcPr>
            <w:tcW w:w="2987" w:type="dxa"/>
            <w:tcMar>
              <w:top w:w="28" w:type="dxa"/>
              <w:bottom w:w="28" w:type="dxa"/>
            </w:tcMar>
          </w:tcPr>
          <w:p w14:paraId="37A44F08" w14:textId="77777777" w:rsidR="00BE4436" w:rsidRPr="00BE4436" w:rsidRDefault="00BE4436" w:rsidP="007F6A0F">
            <w:pPr>
              <w:rPr>
                <w:rFonts w:ascii="Arial" w:hAnsi="Arial" w:cs="Arial"/>
                <w:color w:val="000000"/>
              </w:rPr>
            </w:pPr>
            <w:r w:rsidRPr="00BE4436">
              <w:rPr>
                <w:rFonts w:ascii="Arial" w:hAnsi="Arial" w:cs="Arial"/>
                <w:color w:val="000000"/>
              </w:rPr>
              <w:t>Resubmission to request an Authority Required listing for the treatment of patients:</w:t>
            </w:r>
          </w:p>
          <w:p w14:paraId="3578A7EB" w14:textId="1821DB6C" w:rsidR="00BE4436" w:rsidRPr="00BE4436" w:rsidRDefault="00BE4436" w:rsidP="00624D3B">
            <w:pPr>
              <w:numPr>
                <w:ilvl w:val="0"/>
                <w:numId w:val="45"/>
              </w:numPr>
              <w:ind w:left="282" w:hanging="282"/>
              <w:contextualSpacing/>
              <w:rPr>
                <w:rFonts w:ascii="Arial" w:hAnsi="Arial" w:cs="Arial"/>
                <w:color w:val="000000"/>
              </w:rPr>
            </w:pPr>
            <w:r w:rsidRPr="00BE4436">
              <w:rPr>
                <w:rFonts w:ascii="Arial" w:hAnsi="Arial" w:cs="Arial"/>
                <w:color w:val="000000"/>
              </w:rPr>
              <w:t xml:space="preserve">with </w:t>
            </w:r>
            <w:r w:rsidR="00624D3B" w:rsidRPr="00BE4436">
              <w:rPr>
                <w:rFonts w:ascii="Arial" w:hAnsi="Arial" w:cs="Arial"/>
                <w:color w:val="000000"/>
              </w:rPr>
              <w:t xml:space="preserve">heterozygous </w:t>
            </w:r>
            <w:r w:rsidRPr="00BE4436">
              <w:rPr>
                <w:rFonts w:ascii="Arial" w:hAnsi="Arial" w:cs="Arial"/>
                <w:color w:val="000000"/>
              </w:rPr>
              <w:t>familial hypercholesterolaemia</w:t>
            </w:r>
            <w:r w:rsidR="00624D3B">
              <w:rPr>
                <w:rFonts w:ascii="Arial" w:hAnsi="Arial" w:cs="Arial"/>
                <w:color w:val="000000"/>
              </w:rPr>
              <w:t xml:space="preserve"> (he-FH)</w:t>
            </w:r>
            <w:r w:rsidRPr="00BE4436">
              <w:rPr>
                <w:rFonts w:ascii="Arial" w:hAnsi="Arial" w:cs="Arial"/>
                <w:color w:val="000000"/>
              </w:rPr>
              <w:t>; or</w:t>
            </w:r>
          </w:p>
          <w:p w14:paraId="017C31D7" w14:textId="70CEBD2E" w:rsidR="007B0FBF" w:rsidRPr="00362796" w:rsidRDefault="00BE4436" w:rsidP="00624D3B">
            <w:pPr>
              <w:pStyle w:val="ListParagraph"/>
              <w:widowControl w:val="0"/>
              <w:numPr>
                <w:ilvl w:val="0"/>
                <w:numId w:val="45"/>
              </w:numPr>
              <w:ind w:left="282" w:hanging="282"/>
              <w:rPr>
                <w:rFonts w:ascii="Arial" w:hAnsi="Arial" w:cs="Arial"/>
                <w:b/>
                <w:snapToGrid w:val="0"/>
                <w:lang w:eastAsia="en-US"/>
              </w:rPr>
            </w:pPr>
            <w:r w:rsidRPr="00362796">
              <w:rPr>
                <w:rFonts w:ascii="Arial" w:hAnsi="Arial" w:cs="Arial"/>
                <w:color w:val="000000"/>
                <w:sz w:val="20"/>
              </w:rPr>
              <w:t>with hypercholesterolaemia with previous acute coronary syndrome and concomitant diabetes.</w:t>
            </w:r>
          </w:p>
        </w:tc>
        <w:tc>
          <w:tcPr>
            <w:tcW w:w="7192" w:type="dxa"/>
          </w:tcPr>
          <w:p w14:paraId="528D28CE" w14:textId="021E89BE" w:rsidR="007B0FBF" w:rsidRDefault="003A5684" w:rsidP="007F6A0F">
            <w:pPr>
              <w:widowControl w:val="0"/>
              <w:rPr>
                <w:rFonts w:ascii="Arial" w:hAnsi="Arial" w:cs="Arial"/>
                <w:snapToGrid w:val="0"/>
                <w:lang w:eastAsia="en-US"/>
              </w:rPr>
            </w:pPr>
            <w:r w:rsidRPr="003A5684">
              <w:rPr>
                <w:rFonts w:ascii="Arial" w:hAnsi="Arial" w:cs="Arial"/>
                <w:snapToGrid w:val="0"/>
                <w:lang w:eastAsia="en-US"/>
              </w:rPr>
              <w:t>The PBAC recommended an Authority Required listing of alirocumab for the treatment of patients with he-FH with high cardiovascular risk (patients with atherosclerotic disease and/or very high LDL levels) on a cost-minimisation basis to evolocumab. The PBAC advised that the listing of alirocumab for he-FH patients should have the same restriction wording and equivalent price as the evolocumab approval in March 2018.</w:t>
            </w:r>
          </w:p>
          <w:p w14:paraId="1E6B3CF8" w14:textId="77777777" w:rsidR="003A5684" w:rsidRDefault="003A5684" w:rsidP="007F6A0F">
            <w:pPr>
              <w:widowControl w:val="0"/>
              <w:rPr>
                <w:rFonts w:ascii="Arial" w:hAnsi="Arial" w:cs="Arial"/>
                <w:snapToGrid w:val="0"/>
                <w:lang w:eastAsia="en-US"/>
              </w:rPr>
            </w:pPr>
          </w:p>
          <w:p w14:paraId="1490B3B7" w14:textId="262A86F3" w:rsidR="00020B05" w:rsidRPr="003A5684" w:rsidRDefault="003A5684" w:rsidP="00624D3B">
            <w:pPr>
              <w:widowControl w:val="0"/>
              <w:rPr>
                <w:rFonts w:ascii="Arial" w:hAnsi="Arial" w:cs="Arial"/>
                <w:snapToGrid w:val="0"/>
                <w:lang w:eastAsia="en-US"/>
              </w:rPr>
            </w:pPr>
            <w:r w:rsidRPr="003A5684">
              <w:rPr>
                <w:rFonts w:ascii="Arial" w:hAnsi="Arial" w:cs="Arial"/>
                <w:snapToGrid w:val="0"/>
                <w:lang w:eastAsia="en-US"/>
              </w:rPr>
              <w:t xml:space="preserve">The PBAC did not recommend the listing of alirocumab for patients with non-familial hypercholesterolaemia (non-FH) with acute coronary syndrome and diabetes based on an inadequately defined high-risk patient population, and a high and uncertain incremental cost-effectiveness ratio. The PBAC considered the ODYSSEY OUTCOMES trial supported alirocumab as an effective agent with robust </w:t>
            </w:r>
            <w:r w:rsidR="00624D3B">
              <w:rPr>
                <w:rFonts w:ascii="Arial" w:hAnsi="Arial" w:cs="Arial"/>
                <w:snapToGrid w:val="0"/>
                <w:lang w:eastAsia="en-US"/>
              </w:rPr>
              <w:t>cardiovascular</w:t>
            </w:r>
            <w:r w:rsidR="00624D3B" w:rsidRPr="003A5684">
              <w:rPr>
                <w:rFonts w:ascii="Arial" w:hAnsi="Arial" w:cs="Arial"/>
                <w:snapToGrid w:val="0"/>
                <w:lang w:eastAsia="en-US"/>
              </w:rPr>
              <w:t xml:space="preserve"> </w:t>
            </w:r>
            <w:r w:rsidRPr="003A5684">
              <w:rPr>
                <w:rFonts w:ascii="Arial" w:hAnsi="Arial" w:cs="Arial"/>
                <w:snapToGrid w:val="0"/>
                <w:lang w:eastAsia="en-US"/>
              </w:rPr>
              <w:t>outcomes. However, the population required more refined eligibility criteria in the proposed PBS listing given concerns around the economic modelling and the high financial estimates.</w:t>
            </w:r>
          </w:p>
        </w:tc>
      </w:tr>
      <w:tr w:rsidR="007B0FBF" w:rsidRPr="003D7E12" w14:paraId="4742D82F" w14:textId="77777777" w:rsidTr="007F6A0F">
        <w:trPr>
          <w:cantSplit/>
        </w:trPr>
        <w:tc>
          <w:tcPr>
            <w:tcW w:w="3369" w:type="dxa"/>
            <w:tcMar>
              <w:top w:w="28" w:type="dxa"/>
              <w:bottom w:w="28" w:type="dxa"/>
            </w:tcMar>
          </w:tcPr>
          <w:p w14:paraId="7FC7DA5F" w14:textId="77777777" w:rsidR="00BE4436" w:rsidRPr="00247B7A" w:rsidRDefault="00BE4436" w:rsidP="007F6A0F">
            <w:pPr>
              <w:rPr>
                <w:rFonts w:ascii="Arial" w:hAnsi="Arial" w:cs="Arial"/>
                <w:color w:val="000000"/>
              </w:rPr>
            </w:pPr>
            <w:r w:rsidRPr="00247B7A">
              <w:rPr>
                <w:rFonts w:ascii="Arial" w:hAnsi="Arial" w:cs="Arial"/>
                <w:color w:val="000000"/>
              </w:rPr>
              <w:t>ATEZOLIZUMAB and BEVACIZUMAB</w:t>
            </w:r>
            <w:r w:rsidRPr="00247B7A">
              <w:rPr>
                <w:rFonts w:ascii="Arial" w:hAnsi="Arial" w:cs="Arial"/>
                <w:color w:val="000000"/>
              </w:rPr>
              <w:br/>
            </w:r>
            <w:r w:rsidRPr="00247B7A">
              <w:rPr>
                <w:rFonts w:ascii="Arial" w:hAnsi="Arial" w:cs="Arial"/>
                <w:color w:val="000000"/>
              </w:rPr>
              <w:br/>
              <w:t>Atezolizumab:</w:t>
            </w:r>
            <w:r w:rsidRPr="00247B7A">
              <w:rPr>
                <w:rFonts w:ascii="Arial" w:hAnsi="Arial" w:cs="Arial"/>
                <w:color w:val="000000"/>
              </w:rPr>
              <w:br/>
              <w:t>Solution concentrate for I.V. infusion 1200 mg in 20 mL</w:t>
            </w:r>
            <w:r w:rsidRPr="00247B7A">
              <w:rPr>
                <w:rFonts w:ascii="Arial" w:hAnsi="Arial" w:cs="Arial"/>
                <w:color w:val="000000"/>
              </w:rPr>
              <w:br/>
            </w:r>
          </w:p>
          <w:p w14:paraId="1B3AA479" w14:textId="77777777" w:rsidR="007B0FBF" w:rsidRDefault="00BE4436" w:rsidP="007F6A0F">
            <w:pPr>
              <w:widowControl w:val="0"/>
              <w:rPr>
                <w:rFonts w:ascii="Arial" w:hAnsi="Arial" w:cs="Arial"/>
                <w:color w:val="000000"/>
              </w:rPr>
            </w:pPr>
            <w:r w:rsidRPr="00247B7A">
              <w:rPr>
                <w:rFonts w:ascii="Arial" w:hAnsi="Arial" w:cs="Arial"/>
                <w:color w:val="000000"/>
              </w:rPr>
              <w:t>Bevacizumab:</w:t>
            </w:r>
            <w:r w:rsidRPr="00247B7A">
              <w:rPr>
                <w:rFonts w:ascii="Arial" w:hAnsi="Arial" w:cs="Arial"/>
                <w:color w:val="000000"/>
              </w:rPr>
              <w:br/>
              <w:t>Solution for I.V. infusion 100 mg in 4 mL</w:t>
            </w:r>
            <w:r w:rsidRPr="00247B7A">
              <w:rPr>
                <w:rFonts w:ascii="Arial" w:hAnsi="Arial" w:cs="Arial"/>
                <w:color w:val="000000"/>
              </w:rPr>
              <w:br/>
              <w:t>Solution for I.V. infusion 400 mg in 16 mL</w:t>
            </w:r>
            <w:r w:rsidRPr="00247B7A">
              <w:rPr>
                <w:rFonts w:ascii="Arial" w:hAnsi="Arial" w:cs="Arial"/>
                <w:color w:val="000000"/>
              </w:rPr>
              <w:br/>
            </w:r>
            <w:r w:rsidRPr="00247B7A">
              <w:rPr>
                <w:rFonts w:ascii="Arial" w:hAnsi="Arial" w:cs="Arial"/>
                <w:color w:val="000000"/>
              </w:rPr>
              <w:br/>
              <w:t>Tecentriq® and Avastin®</w:t>
            </w:r>
            <w:r w:rsidRPr="00247B7A">
              <w:rPr>
                <w:rFonts w:ascii="Arial" w:hAnsi="Arial" w:cs="Arial"/>
                <w:color w:val="000000"/>
              </w:rPr>
              <w:br/>
            </w:r>
            <w:r w:rsidRPr="00247B7A">
              <w:rPr>
                <w:rFonts w:ascii="Arial" w:hAnsi="Arial" w:cs="Arial"/>
                <w:color w:val="000000"/>
              </w:rPr>
              <w:br/>
              <w:t>Roche Products Pty Ltd</w:t>
            </w:r>
          </w:p>
          <w:p w14:paraId="668F9C7B" w14:textId="77777777" w:rsidR="00C36AC3" w:rsidRDefault="00C36AC3" w:rsidP="007F6A0F">
            <w:pPr>
              <w:widowControl w:val="0"/>
              <w:rPr>
                <w:rFonts w:ascii="Arial" w:hAnsi="Arial" w:cs="Arial"/>
                <w:color w:val="000000"/>
              </w:rPr>
            </w:pPr>
          </w:p>
          <w:p w14:paraId="69826D7E" w14:textId="77777777" w:rsidR="00C36AC3" w:rsidRPr="00C36AC3" w:rsidRDefault="00C36AC3" w:rsidP="00C36AC3">
            <w:pPr>
              <w:widowControl w:val="0"/>
              <w:rPr>
                <w:rFonts w:ascii="Arial" w:hAnsi="Arial" w:cs="Arial"/>
              </w:rPr>
            </w:pPr>
            <w:r w:rsidRPr="00C36AC3">
              <w:rPr>
                <w:rFonts w:ascii="Arial" w:hAnsi="Arial" w:cs="Arial"/>
              </w:rPr>
              <w:t>Change to listing</w:t>
            </w:r>
          </w:p>
          <w:p w14:paraId="4DF2CA50" w14:textId="0C16E00E" w:rsidR="00C36AC3" w:rsidRPr="003D7E12" w:rsidRDefault="00C36AC3" w:rsidP="00C36AC3">
            <w:pPr>
              <w:widowControl w:val="0"/>
              <w:rPr>
                <w:rFonts w:ascii="Arial" w:hAnsi="Arial" w:cs="Arial"/>
                <w:b/>
              </w:rPr>
            </w:pPr>
            <w:r w:rsidRPr="00C36AC3">
              <w:rPr>
                <w:rFonts w:ascii="Arial" w:hAnsi="Arial" w:cs="Arial"/>
              </w:rPr>
              <w:t>(Major Submission)</w:t>
            </w:r>
          </w:p>
        </w:tc>
        <w:tc>
          <w:tcPr>
            <w:tcW w:w="2307" w:type="dxa"/>
            <w:tcMar>
              <w:top w:w="28" w:type="dxa"/>
              <w:bottom w:w="28" w:type="dxa"/>
            </w:tcMar>
          </w:tcPr>
          <w:p w14:paraId="7648300F" w14:textId="28AB4D55" w:rsidR="007B0FBF" w:rsidRPr="003D7E12" w:rsidRDefault="00BE4436" w:rsidP="007F6A0F">
            <w:pPr>
              <w:widowControl w:val="0"/>
              <w:rPr>
                <w:rFonts w:ascii="Arial" w:hAnsi="Arial" w:cs="Arial"/>
                <w:b/>
                <w:snapToGrid w:val="0"/>
                <w:lang w:eastAsia="en-US"/>
              </w:rPr>
            </w:pPr>
            <w:r w:rsidRPr="00247B7A">
              <w:rPr>
                <w:rFonts w:ascii="Arial" w:hAnsi="Arial" w:cs="Arial"/>
                <w:color w:val="000000"/>
              </w:rPr>
              <w:t>Non-small cell lung cancer (NSCLC)</w:t>
            </w:r>
          </w:p>
        </w:tc>
        <w:tc>
          <w:tcPr>
            <w:tcW w:w="2987" w:type="dxa"/>
            <w:tcMar>
              <w:top w:w="28" w:type="dxa"/>
              <w:bottom w:w="28" w:type="dxa"/>
            </w:tcMar>
          </w:tcPr>
          <w:p w14:paraId="35DCB5C9" w14:textId="67894628" w:rsidR="00BE4436" w:rsidRPr="00BE4436" w:rsidRDefault="00BE4436" w:rsidP="007F6A0F">
            <w:pPr>
              <w:rPr>
                <w:rFonts w:ascii="Arial" w:hAnsi="Arial" w:cs="Arial"/>
                <w:color w:val="000000"/>
              </w:rPr>
            </w:pPr>
            <w:r w:rsidRPr="00BE4436">
              <w:rPr>
                <w:rFonts w:ascii="Arial" w:hAnsi="Arial" w:cs="Arial"/>
                <w:color w:val="000000"/>
              </w:rPr>
              <w:t xml:space="preserve">To request a Section 100 (Efficient Funding of Chemotherapy) Authority Required listing for the treatment of metastatic NSCLC in combination with platinum-doublet chemotherapy </w:t>
            </w:r>
            <w:r w:rsidR="00624D3B">
              <w:rPr>
                <w:rFonts w:ascii="Arial" w:hAnsi="Arial" w:cs="Arial"/>
                <w:color w:val="000000"/>
              </w:rPr>
              <w:t xml:space="preserve">(PDC) </w:t>
            </w:r>
            <w:r w:rsidRPr="00BE4436">
              <w:rPr>
                <w:rFonts w:ascii="Arial" w:hAnsi="Arial" w:cs="Arial"/>
                <w:color w:val="000000"/>
              </w:rPr>
              <w:t>in:</w:t>
            </w:r>
          </w:p>
          <w:p w14:paraId="6F36AE51" w14:textId="77777777" w:rsidR="00BE4436" w:rsidRPr="00BE4436" w:rsidRDefault="00BE4436" w:rsidP="00624D3B">
            <w:pPr>
              <w:numPr>
                <w:ilvl w:val="0"/>
                <w:numId w:val="46"/>
              </w:numPr>
              <w:ind w:left="275" w:hanging="275"/>
              <w:contextualSpacing/>
              <w:rPr>
                <w:rFonts w:ascii="Arial" w:hAnsi="Arial" w:cs="Arial"/>
                <w:color w:val="000000"/>
              </w:rPr>
            </w:pPr>
            <w:r w:rsidRPr="00BE4436">
              <w:rPr>
                <w:rFonts w:ascii="Arial" w:hAnsi="Arial" w:cs="Arial"/>
                <w:color w:val="000000"/>
              </w:rPr>
              <w:t>epidermal growth factor receptor (EGFR) wild type/</w:t>
            </w:r>
            <w:r w:rsidRPr="00BE4436">
              <w:t xml:space="preserve"> </w:t>
            </w:r>
            <w:r w:rsidRPr="00BE4436">
              <w:rPr>
                <w:rFonts w:ascii="Arial" w:hAnsi="Arial" w:cs="Arial"/>
                <w:color w:val="000000"/>
              </w:rPr>
              <w:t>anaplastic lymphoma kinase (ALK) negative patients; or</w:t>
            </w:r>
          </w:p>
          <w:p w14:paraId="4A6896DA" w14:textId="399274DC" w:rsidR="007B0FBF" w:rsidRPr="006E0124" w:rsidRDefault="00BE4436" w:rsidP="00624D3B">
            <w:pPr>
              <w:pStyle w:val="ListParagraph"/>
              <w:widowControl w:val="0"/>
              <w:numPr>
                <w:ilvl w:val="0"/>
                <w:numId w:val="46"/>
              </w:numPr>
              <w:ind w:left="275" w:hanging="275"/>
              <w:rPr>
                <w:rFonts w:ascii="Arial" w:hAnsi="Arial" w:cs="Arial"/>
                <w:b/>
                <w:snapToGrid w:val="0"/>
                <w:lang w:eastAsia="en-US"/>
              </w:rPr>
            </w:pPr>
            <w:r w:rsidRPr="006E0124">
              <w:rPr>
                <w:rFonts w:ascii="Arial" w:hAnsi="Arial" w:cs="Arial"/>
                <w:color w:val="000000"/>
                <w:sz w:val="20"/>
              </w:rPr>
              <w:t>EGFR/ALK mutation positive patients who have progressed on or after prior treatment with a tyrosine kinase inhibitor.</w:t>
            </w:r>
          </w:p>
        </w:tc>
        <w:tc>
          <w:tcPr>
            <w:tcW w:w="7192" w:type="dxa"/>
          </w:tcPr>
          <w:p w14:paraId="296FF626" w14:textId="656249EA" w:rsidR="00020B05" w:rsidRPr="000B5913" w:rsidRDefault="000B5913" w:rsidP="00624D3B">
            <w:pPr>
              <w:widowControl w:val="0"/>
              <w:rPr>
                <w:rFonts w:ascii="Arial" w:hAnsi="Arial" w:cs="Arial"/>
                <w:snapToGrid w:val="0"/>
                <w:lang w:eastAsia="en-US"/>
              </w:rPr>
            </w:pPr>
            <w:r w:rsidRPr="000B5913">
              <w:rPr>
                <w:rFonts w:ascii="Arial" w:hAnsi="Arial" w:cs="Arial"/>
                <w:snapToGrid w:val="0"/>
                <w:lang w:eastAsia="en-US"/>
              </w:rPr>
              <w:t xml:space="preserve">The PBAC recommended the Section 100 (Efficient Funding of Chemotherapy) Authority Required (STREAMLINED) listing of atezolizumab and bevacizumab in combination with PDC, for the first line treatment of patients with stage IV metastatic non-squamous (NSQ) </w:t>
            </w:r>
            <w:r>
              <w:rPr>
                <w:rFonts w:ascii="Arial" w:hAnsi="Arial" w:cs="Arial"/>
                <w:snapToGrid w:val="0"/>
                <w:lang w:eastAsia="en-US"/>
              </w:rPr>
              <w:t>NSCLC.</w:t>
            </w:r>
            <w:r w:rsidR="00624D3B">
              <w:rPr>
                <w:rFonts w:ascii="Arial" w:hAnsi="Arial" w:cs="Arial"/>
                <w:snapToGrid w:val="0"/>
                <w:lang w:eastAsia="en-US"/>
              </w:rPr>
              <w:t xml:space="preserve"> </w:t>
            </w:r>
            <w:r w:rsidRPr="000B5913">
              <w:rPr>
                <w:rFonts w:ascii="Arial" w:hAnsi="Arial" w:cs="Arial"/>
                <w:snapToGrid w:val="0"/>
                <w:lang w:eastAsia="en-US"/>
              </w:rPr>
              <w:t>The PBAC was satisfied that atezolizumab + bevacizumab in combination with PDC provides, for some patients, a significant improvement in efficacy over PDC, or, for patients with PD</w:t>
            </w:r>
            <w:r w:rsidR="00624D3B">
              <w:rPr>
                <w:rFonts w:ascii="Arial" w:hAnsi="Arial" w:cs="Arial"/>
                <w:snapToGrid w:val="0"/>
                <w:lang w:eastAsia="en-US"/>
              </w:rPr>
              <w:t>-</w:t>
            </w:r>
            <w:r w:rsidRPr="000B5913">
              <w:rPr>
                <w:rFonts w:ascii="Arial" w:hAnsi="Arial" w:cs="Arial"/>
                <w:snapToGrid w:val="0"/>
                <w:lang w:eastAsia="en-US"/>
              </w:rPr>
              <w:t xml:space="preserve">L1 TPS ≥ 50%, EGFR/ALK negative, NSQ disease, that atezolizumab </w:t>
            </w:r>
            <w:r w:rsidR="00124AB9">
              <w:rPr>
                <w:rFonts w:ascii="Arial" w:hAnsi="Arial" w:cs="Arial"/>
                <w:snapToGrid w:val="0"/>
                <w:lang w:eastAsia="en-US"/>
              </w:rPr>
              <w:t>with</w:t>
            </w:r>
            <w:r w:rsidRPr="000B5913">
              <w:rPr>
                <w:rFonts w:ascii="Arial" w:hAnsi="Arial" w:cs="Arial"/>
                <w:snapToGrid w:val="0"/>
                <w:lang w:eastAsia="en-US"/>
              </w:rPr>
              <w:t xml:space="preserve"> bevacizumab in combination with PDC will deliver similar clinical outcomes to pembrolizumab followed by chemotherapy.</w:t>
            </w:r>
          </w:p>
        </w:tc>
      </w:tr>
      <w:tr w:rsidR="007B0FBF" w:rsidRPr="003D7E12" w14:paraId="31D2703F" w14:textId="77777777" w:rsidTr="007F6A0F">
        <w:trPr>
          <w:cantSplit/>
        </w:trPr>
        <w:tc>
          <w:tcPr>
            <w:tcW w:w="3369" w:type="dxa"/>
            <w:tcMar>
              <w:top w:w="28" w:type="dxa"/>
              <w:bottom w:w="28" w:type="dxa"/>
            </w:tcMar>
          </w:tcPr>
          <w:p w14:paraId="55438B64" w14:textId="2AD2DF1C" w:rsidR="007B0FBF" w:rsidRDefault="00BE4436" w:rsidP="007F6A0F">
            <w:pPr>
              <w:widowControl w:val="0"/>
              <w:rPr>
                <w:rFonts w:ascii="Arial" w:hAnsi="Arial" w:cs="Arial"/>
                <w:b/>
              </w:rPr>
            </w:pPr>
            <w:r w:rsidRPr="00247B7A">
              <w:rPr>
                <w:rFonts w:ascii="Arial" w:hAnsi="Arial" w:cs="Arial"/>
              </w:rPr>
              <w:lastRenderedPageBreak/>
              <w:t>BENZATHINE BENZYLPENICILLIN</w:t>
            </w:r>
            <w:r w:rsidRPr="00247B7A">
              <w:rPr>
                <w:rFonts w:ascii="Arial" w:hAnsi="Arial" w:cs="Arial"/>
              </w:rPr>
              <w:br/>
            </w:r>
            <w:r w:rsidRPr="00247B7A">
              <w:rPr>
                <w:rFonts w:ascii="Arial" w:hAnsi="Arial" w:cs="Arial"/>
              </w:rPr>
              <w:br/>
              <w:t>Injection 517 mg in 1.17 mL single use pre-filled syringe</w:t>
            </w:r>
            <w:r w:rsidRPr="00247B7A">
              <w:rPr>
                <w:rFonts w:ascii="Arial" w:hAnsi="Arial" w:cs="Arial"/>
              </w:rPr>
              <w:br/>
            </w:r>
            <w:r w:rsidRPr="00247B7A">
              <w:rPr>
                <w:rFonts w:ascii="Arial" w:hAnsi="Arial" w:cs="Arial"/>
              </w:rPr>
              <w:br/>
              <w:t>Bicillin L-A®</w:t>
            </w:r>
            <w:r w:rsidRPr="00247B7A">
              <w:rPr>
                <w:rFonts w:ascii="Arial" w:hAnsi="Arial" w:cs="Arial"/>
              </w:rPr>
              <w:br/>
            </w:r>
            <w:r w:rsidRPr="00247B7A">
              <w:rPr>
                <w:rFonts w:ascii="Arial" w:hAnsi="Arial" w:cs="Arial"/>
              </w:rPr>
              <w:br/>
              <w:t>Pfizer Australia Pty Ltd</w:t>
            </w:r>
          </w:p>
          <w:p w14:paraId="5666F344" w14:textId="77777777" w:rsidR="00BE4436" w:rsidRDefault="00BE4436" w:rsidP="007F6A0F">
            <w:pPr>
              <w:widowControl w:val="0"/>
              <w:rPr>
                <w:rFonts w:ascii="Arial" w:hAnsi="Arial" w:cs="Arial"/>
                <w:b/>
              </w:rPr>
            </w:pPr>
          </w:p>
          <w:p w14:paraId="7211F1A8" w14:textId="77777777" w:rsidR="00C36AC3" w:rsidRPr="00C36AC3" w:rsidRDefault="00C36AC3" w:rsidP="00C36AC3">
            <w:pPr>
              <w:widowControl w:val="0"/>
              <w:rPr>
                <w:rFonts w:ascii="Arial" w:hAnsi="Arial" w:cs="Arial"/>
              </w:rPr>
            </w:pPr>
            <w:r w:rsidRPr="00C36AC3">
              <w:rPr>
                <w:rFonts w:ascii="Arial" w:hAnsi="Arial" w:cs="Arial"/>
              </w:rPr>
              <w:t>New listing</w:t>
            </w:r>
          </w:p>
          <w:p w14:paraId="41F44446" w14:textId="3570B5AA" w:rsidR="00BE4436" w:rsidRPr="003D7E12" w:rsidRDefault="00C36AC3" w:rsidP="00C36AC3">
            <w:pPr>
              <w:widowControl w:val="0"/>
              <w:rPr>
                <w:rFonts w:ascii="Arial" w:hAnsi="Arial" w:cs="Arial"/>
                <w:b/>
              </w:rPr>
            </w:pPr>
            <w:r w:rsidRPr="00C36AC3">
              <w:rPr>
                <w:rFonts w:ascii="Arial" w:hAnsi="Arial" w:cs="Arial"/>
              </w:rPr>
              <w:t>(Minor Submission)</w:t>
            </w:r>
          </w:p>
        </w:tc>
        <w:tc>
          <w:tcPr>
            <w:tcW w:w="2307" w:type="dxa"/>
            <w:tcMar>
              <w:top w:w="28" w:type="dxa"/>
              <w:bottom w:w="28" w:type="dxa"/>
            </w:tcMar>
          </w:tcPr>
          <w:p w14:paraId="52EC18AE" w14:textId="6D3EE991" w:rsidR="007B0FBF" w:rsidRPr="003D7E12" w:rsidRDefault="00BE4436" w:rsidP="007F6A0F">
            <w:pPr>
              <w:widowControl w:val="0"/>
              <w:rPr>
                <w:rFonts w:ascii="Arial" w:hAnsi="Arial" w:cs="Arial"/>
                <w:b/>
                <w:snapToGrid w:val="0"/>
                <w:lang w:eastAsia="en-US"/>
              </w:rPr>
            </w:pPr>
            <w:r w:rsidRPr="00247B7A">
              <w:rPr>
                <w:rFonts w:ascii="Arial" w:hAnsi="Arial" w:cs="Arial"/>
              </w:rPr>
              <w:t>Treatment of infections</w:t>
            </w:r>
          </w:p>
        </w:tc>
        <w:tc>
          <w:tcPr>
            <w:tcW w:w="2987" w:type="dxa"/>
            <w:tcMar>
              <w:top w:w="28" w:type="dxa"/>
              <w:bottom w:w="28" w:type="dxa"/>
            </w:tcMar>
          </w:tcPr>
          <w:p w14:paraId="467BB097" w14:textId="080618BE" w:rsidR="007B0FBF" w:rsidRPr="003D7E12" w:rsidRDefault="00BE4436" w:rsidP="007F6A0F">
            <w:pPr>
              <w:widowControl w:val="0"/>
              <w:rPr>
                <w:rFonts w:ascii="Arial" w:hAnsi="Arial" w:cs="Arial"/>
                <w:b/>
                <w:snapToGrid w:val="0"/>
                <w:lang w:eastAsia="en-US"/>
              </w:rPr>
            </w:pPr>
            <w:r w:rsidRPr="00247B7A">
              <w:rPr>
                <w:rFonts w:ascii="Arial" w:hAnsi="Arial" w:cs="Arial"/>
              </w:rPr>
              <w:t>To request an unrestricted benefit listing of a new strength of benzathine benzylpenicillin injection.</w:t>
            </w:r>
          </w:p>
        </w:tc>
        <w:tc>
          <w:tcPr>
            <w:tcW w:w="7192" w:type="dxa"/>
          </w:tcPr>
          <w:p w14:paraId="1232617B" w14:textId="7086A6D3" w:rsidR="006E0124" w:rsidRDefault="000B5913" w:rsidP="007F6A0F">
            <w:pPr>
              <w:widowControl w:val="0"/>
              <w:rPr>
                <w:rFonts w:ascii="Arial" w:hAnsi="Arial" w:cs="Arial"/>
                <w:snapToGrid w:val="0"/>
                <w:lang w:eastAsia="en-US"/>
              </w:rPr>
            </w:pPr>
            <w:r w:rsidRPr="000B5913">
              <w:rPr>
                <w:rFonts w:ascii="Arial" w:hAnsi="Arial" w:cs="Arial"/>
                <w:snapToGrid w:val="0"/>
                <w:lang w:eastAsia="en-US"/>
              </w:rPr>
              <w:t>The PBAC recommended the unrestricted General Schedule listing of a new additional strength of benzathine benzylpenicillin (0.6 million units (517 mg) in 1.17 mL pre-filled syringe, Bicillin L-A®) at an equivalent price per unit to the currently listed strength (1.2 million units (900 mg) in 2.3 mL pre-filled syringe).</w:t>
            </w:r>
          </w:p>
          <w:p w14:paraId="78BAD45A" w14:textId="771C99D1" w:rsidR="006E0124" w:rsidRDefault="006E0124" w:rsidP="007F6A0F">
            <w:pPr>
              <w:rPr>
                <w:rFonts w:ascii="Arial" w:hAnsi="Arial" w:cs="Arial"/>
                <w:lang w:eastAsia="en-US"/>
              </w:rPr>
            </w:pPr>
          </w:p>
          <w:p w14:paraId="1F45CD21" w14:textId="1784FDD6" w:rsidR="007B0FBF" w:rsidRPr="006E0124" w:rsidRDefault="006E0124" w:rsidP="007F6A0F">
            <w:pPr>
              <w:tabs>
                <w:tab w:val="left" w:pos="750"/>
              </w:tabs>
              <w:rPr>
                <w:rFonts w:ascii="Arial" w:hAnsi="Arial" w:cs="Arial"/>
                <w:lang w:eastAsia="en-US"/>
              </w:rPr>
            </w:pPr>
            <w:r>
              <w:rPr>
                <w:rFonts w:ascii="Arial" w:hAnsi="Arial" w:cs="Arial"/>
                <w:lang w:eastAsia="en-US"/>
              </w:rPr>
              <w:tab/>
            </w:r>
          </w:p>
        </w:tc>
      </w:tr>
      <w:tr w:rsidR="007B0FBF" w:rsidRPr="003D7E12" w14:paraId="7B382A84" w14:textId="77777777" w:rsidTr="007F6A0F">
        <w:trPr>
          <w:cantSplit/>
        </w:trPr>
        <w:tc>
          <w:tcPr>
            <w:tcW w:w="3369" w:type="dxa"/>
            <w:tcMar>
              <w:top w:w="28" w:type="dxa"/>
              <w:bottom w:w="28" w:type="dxa"/>
            </w:tcMar>
          </w:tcPr>
          <w:p w14:paraId="3150FE00" w14:textId="77777777" w:rsidR="00BE4436" w:rsidRPr="00247B7A" w:rsidRDefault="00BE4436" w:rsidP="007F6A0F">
            <w:pPr>
              <w:rPr>
                <w:rFonts w:ascii="Arial" w:hAnsi="Arial" w:cs="Arial"/>
              </w:rPr>
            </w:pPr>
            <w:r w:rsidRPr="00247B7A">
              <w:rPr>
                <w:rFonts w:ascii="Arial" w:hAnsi="Arial" w:cs="Arial"/>
              </w:rPr>
              <w:t>BOTULINUM TOXIN TYPE A</w:t>
            </w:r>
            <w:r w:rsidRPr="00247B7A">
              <w:rPr>
                <w:rFonts w:ascii="Arial" w:hAnsi="Arial" w:cs="Arial"/>
              </w:rPr>
              <w:br/>
            </w:r>
            <w:r w:rsidRPr="00247B7A">
              <w:rPr>
                <w:rFonts w:ascii="Arial" w:hAnsi="Arial" w:cs="Arial"/>
              </w:rPr>
              <w:br/>
              <w:t>Lyophilised powder for injection 100 units</w:t>
            </w:r>
            <w:r w:rsidRPr="00247B7A">
              <w:rPr>
                <w:rFonts w:ascii="Arial" w:hAnsi="Arial" w:cs="Arial"/>
              </w:rPr>
              <w:br/>
            </w:r>
            <w:r w:rsidRPr="00247B7A">
              <w:rPr>
                <w:rFonts w:ascii="Arial" w:hAnsi="Arial" w:cs="Arial"/>
              </w:rPr>
              <w:br/>
              <w:t xml:space="preserve">Botox® </w:t>
            </w:r>
            <w:r w:rsidRPr="00247B7A">
              <w:rPr>
                <w:rFonts w:ascii="Arial" w:hAnsi="Arial" w:cs="Arial"/>
              </w:rPr>
              <w:br/>
            </w:r>
            <w:r w:rsidRPr="00247B7A">
              <w:rPr>
                <w:rFonts w:ascii="Arial" w:hAnsi="Arial" w:cs="Arial"/>
              </w:rPr>
              <w:br/>
              <w:t>Allergan Australia Pty Ltd</w:t>
            </w:r>
          </w:p>
          <w:p w14:paraId="1E6D5956" w14:textId="77777777" w:rsidR="007B0FBF" w:rsidRDefault="007B0FBF" w:rsidP="007F6A0F">
            <w:pPr>
              <w:widowControl w:val="0"/>
              <w:rPr>
                <w:rFonts w:ascii="Arial" w:hAnsi="Arial" w:cs="Arial"/>
                <w:b/>
              </w:rPr>
            </w:pPr>
          </w:p>
          <w:p w14:paraId="1033696A" w14:textId="77777777" w:rsidR="00C36AC3" w:rsidRPr="00C36AC3" w:rsidRDefault="00C36AC3" w:rsidP="00C36AC3">
            <w:pPr>
              <w:widowControl w:val="0"/>
              <w:rPr>
                <w:rFonts w:ascii="Arial" w:hAnsi="Arial" w:cs="Arial"/>
              </w:rPr>
            </w:pPr>
            <w:r w:rsidRPr="00C36AC3">
              <w:rPr>
                <w:rFonts w:ascii="Arial" w:hAnsi="Arial" w:cs="Arial"/>
              </w:rPr>
              <w:t>Change to listing</w:t>
            </w:r>
          </w:p>
          <w:p w14:paraId="7128DC14" w14:textId="1F5FB5E4" w:rsidR="00C36AC3" w:rsidRPr="003D7E12" w:rsidRDefault="00C36AC3" w:rsidP="00C36AC3">
            <w:pPr>
              <w:widowControl w:val="0"/>
              <w:rPr>
                <w:rFonts w:ascii="Arial" w:hAnsi="Arial" w:cs="Arial"/>
                <w:b/>
              </w:rPr>
            </w:pPr>
            <w:r w:rsidRPr="00C36AC3">
              <w:rPr>
                <w:rFonts w:ascii="Arial" w:hAnsi="Arial" w:cs="Arial"/>
              </w:rPr>
              <w:t>(Minor Submission)</w:t>
            </w:r>
          </w:p>
        </w:tc>
        <w:tc>
          <w:tcPr>
            <w:tcW w:w="2307" w:type="dxa"/>
            <w:tcMar>
              <w:top w:w="28" w:type="dxa"/>
              <w:bottom w:w="28" w:type="dxa"/>
            </w:tcMar>
          </w:tcPr>
          <w:p w14:paraId="3782631E" w14:textId="77777777" w:rsidR="00BE4436" w:rsidRPr="00247B7A" w:rsidRDefault="00BE4436" w:rsidP="007F6A0F">
            <w:pPr>
              <w:rPr>
                <w:rFonts w:ascii="Arial" w:hAnsi="Arial" w:cs="Arial"/>
              </w:rPr>
            </w:pPr>
            <w:r w:rsidRPr="00247B7A">
              <w:rPr>
                <w:rFonts w:ascii="Arial" w:hAnsi="Arial" w:cs="Arial"/>
              </w:rPr>
              <w:t>Focal spasticity of the lower limb</w:t>
            </w:r>
          </w:p>
          <w:p w14:paraId="478FD823" w14:textId="77777777" w:rsidR="007B0FBF" w:rsidRPr="003D7E12" w:rsidRDefault="007B0FBF" w:rsidP="007F6A0F">
            <w:pPr>
              <w:widowControl w:val="0"/>
              <w:rPr>
                <w:rFonts w:ascii="Arial" w:hAnsi="Arial" w:cs="Arial"/>
                <w:b/>
                <w:snapToGrid w:val="0"/>
                <w:lang w:eastAsia="en-US"/>
              </w:rPr>
            </w:pPr>
          </w:p>
        </w:tc>
        <w:tc>
          <w:tcPr>
            <w:tcW w:w="2987" w:type="dxa"/>
            <w:tcMar>
              <w:top w:w="28" w:type="dxa"/>
              <w:bottom w:w="28" w:type="dxa"/>
            </w:tcMar>
          </w:tcPr>
          <w:p w14:paraId="7A246CE7" w14:textId="77777777" w:rsidR="00BE4436" w:rsidRPr="00247B7A" w:rsidRDefault="00BE4436" w:rsidP="007F6A0F">
            <w:pPr>
              <w:rPr>
                <w:rFonts w:ascii="Arial" w:hAnsi="Arial" w:cs="Arial"/>
              </w:rPr>
            </w:pPr>
            <w:r w:rsidRPr="00247B7A">
              <w:rPr>
                <w:rFonts w:ascii="Arial" w:hAnsi="Arial" w:cs="Arial"/>
              </w:rPr>
              <w:t>Resubmission to request an extension to the current Section 100 (Botulinum Toxin Program) listing to include the treatment of lower limb focal spasticity in adults following stroke, who meet certain conditions.</w:t>
            </w:r>
          </w:p>
          <w:p w14:paraId="74638DB4" w14:textId="77777777" w:rsidR="007B0FBF" w:rsidRPr="003D7E12" w:rsidRDefault="007B0FBF" w:rsidP="007F6A0F">
            <w:pPr>
              <w:widowControl w:val="0"/>
              <w:rPr>
                <w:rFonts w:ascii="Arial" w:hAnsi="Arial" w:cs="Arial"/>
                <w:b/>
                <w:snapToGrid w:val="0"/>
                <w:lang w:eastAsia="en-US"/>
              </w:rPr>
            </w:pPr>
          </w:p>
        </w:tc>
        <w:tc>
          <w:tcPr>
            <w:tcW w:w="7192" w:type="dxa"/>
          </w:tcPr>
          <w:p w14:paraId="26DA584C" w14:textId="55EC99FE" w:rsidR="000B5913" w:rsidRPr="000B5913" w:rsidRDefault="000B5913" w:rsidP="007F6A0F">
            <w:pPr>
              <w:widowControl w:val="0"/>
              <w:rPr>
                <w:rFonts w:ascii="Arial" w:hAnsi="Arial" w:cs="Arial"/>
                <w:snapToGrid w:val="0"/>
                <w:lang w:eastAsia="en-US"/>
              </w:rPr>
            </w:pPr>
            <w:r w:rsidRPr="000B5913">
              <w:rPr>
                <w:rFonts w:ascii="Arial" w:hAnsi="Arial" w:cs="Arial"/>
                <w:snapToGrid w:val="0"/>
                <w:lang w:eastAsia="en-US"/>
              </w:rPr>
              <w:t>The PBAC recommended the extension to the existing Section 100 (Botulinum Toxin Program) listing of botulinum toxin type A (</w:t>
            </w:r>
            <w:r w:rsidR="00624D3B" w:rsidRPr="000B5913">
              <w:rPr>
                <w:rFonts w:ascii="Arial" w:hAnsi="Arial" w:cs="Arial"/>
                <w:snapToGrid w:val="0"/>
                <w:lang w:eastAsia="en-US"/>
              </w:rPr>
              <w:t>B</w:t>
            </w:r>
            <w:r w:rsidR="00624D3B">
              <w:rPr>
                <w:rFonts w:ascii="Arial" w:hAnsi="Arial" w:cs="Arial"/>
                <w:snapToGrid w:val="0"/>
                <w:lang w:eastAsia="en-US"/>
              </w:rPr>
              <w:t>otox</w:t>
            </w:r>
            <w:r w:rsidRPr="000B5913">
              <w:rPr>
                <w:rFonts w:ascii="Arial" w:hAnsi="Arial" w:cs="Arial"/>
                <w:snapToGrid w:val="0"/>
                <w:lang w:eastAsia="en-US"/>
              </w:rPr>
              <w:t xml:space="preserve">®) to include treatment of lower limb focal spasticity following an acute neurological event. An acute neurological event included, but was not limited to, stroke, traumatic brain injury, spinal cord injury, hypoxia or infection. </w:t>
            </w:r>
          </w:p>
          <w:p w14:paraId="217A1B9A" w14:textId="77777777" w:rsidR="000B5913" w:rsidRPr="000B5913" w:rsidRDefault="000B5913" w:rsidP="007F6A0F">
            <w:pPr>
              <w:widowControl w:val="0"/>
              <w:rPr>
                <w:rFonts w:ascii="Arial" w:hAnsi="Arial" w:cs="Arial"/>
                <w:snapToGrid w:val="0"/>
                <w:lang w:eastAsia="en-US"/>
              </w:rPr>
            </w:pPr>
          </w:p>
          <w:p w14:paraId="57DAB269" w14:textId="77777777" w:rsidR="00671B19" w:rsidRPr="00671B19" w:rsidRDefault="00671B19" w:rsidP="00671B19">
            <w:pPr>
              <w:widowControl w:val="0"/>
              <w:rPr>
                <w:rFonts w:ascii="Arial" w:hAnsi="Arial" w:cs="Arial"/>
                <w:snapToGrid w:val="0"/>
                <w:lang w:eastAsia="en-US"/>
              </w:rPr>
            </w:pPr>
            <w:r w:rsidRPr="00671B19">
              <w:rPr>
                <w:rFonts w:ascii="Arial" w:hAnsi="Arial" w:cs="Arial"/>
                <w:snapToGrid w:val="0"/>
                <w:lang w:eastAsia="en-US"/>
              </w:rPr>
              <w:t>In November 2018, the PBAC considered that there was a clinical need for effective treatments for lower limb focal spasticity following stroke. In the March 2019 resubmission, the PBAC noted the request to add additional acute aetiologies, including traumatic brain and spinal cord injuries, to the requested population. The PBAC noted that this request was supported by the Rehabilitation Medicine Society of Australia and New Zealand (RMSANZ). The PBAC considered that, despite the lack of clinical trials in these populations, the request was reasonable and biologically plausible.</w:t>
            </w:r>
          </w:p>
          <w:p w14:paraId="7BFB436D" w14:textId="77777777" w:rsidR="00671B19" w:rsidRPr="00671B19" w:rsidRDefault="00671B19" w:rsidP="00671B19">
            <w:pPr>
              <w:widowControl w:val="0"/>
              <w:rPr>
                <w:rFonts w:ascii="Arial" w:hAnsi="Arial" w:cs="Arial"/>
                <w:snapToGrid w:val="0"/>
                <w:lang w:eastAsia="en-US"/>
              </w:rPr>
            </w:pPr>
          </w:p>
          <w:p w14:paraId="2A402E2C" w14:textId="5BE448FF" w:rsidR="00020B05" w:rsidRPr="000B5913" w:rsidRDefault="00671B19" w:rsidP="00671B19">
            <w:pPr>
              <w:widowControl w:val="0"/>
              <w:rPr>
                <w:rFonts w:ascii="Arial" w:hAnsi="Arial" w:cs="Arial"/>
                <w:snapToGrid w:val="0"/>
                <w:lang w:eastAsia="en-US"/>
              </w:rPr>
            </w:pPr>
            <w:r w:rsidRPr="00671B19">
              <w:rPr>
                <w:rFonts w:ascii="Arial" w:hAnsi="Arial" w:cs="Arial"/>
                <w:snapToGrid w:val="0"/>
                <w:lang w:eastAsia="en-US"/>
              </w:rPr>
              <w:t>The PBAC considered the restriction as proposed by the sponsor in its pre-PBAC Response was reasonable, noting that the recommendations made in November 2018 relating to condition eligibility, initiation and stopping rule criteria and the maximum number of treatment cycles per year had been incorporated. The PBAC also noted that the resubmission addressed residual concerns about the eligible population and economic model. The Committee considered it was appropriate for patients with spasticity following acute neurological events to be able to access treatment.</w:t>
            </w:r>
          </w:p>
        </w:tc>
      </w:tr>
      <w:tr w:rsidR="007B0FBF" w:rsidRPr="003D7E12" w14:paraId="6F07CDE6" w14:textId="77777777" w:rsidTr="007F6A0F">
        <w:trPr>
          <w:cantSplit/>
        </w:trPr>
        <w:tc>
          <w:tcPr>
            <w:tcW w:w="3369" w:type="dxa"/>
            <w:tcMar>
              <w:top w:w="28" w:type="dxa"/>
              <w:bottom w:w="28" w:type="dxa"/>
            </w:tcMar>
          </w:tcPr>
          <w:p w14:paraId="715E0775" w14:textId="77777777" w:rsidR="007B0FBF" w:rsidRDefault="00BE4436" w:rsidP="007F6A0F">
            <w:pPr>
              <w:widowControl w:val="0"/>
              <w:rPr>
                <w:rFonts w:ascii="Arial" w:hAnsi="Arial" w:cs="Arial"/>
              </w:rPr>
            </w:pPr>
            <w:r w:rsidRPr="00247B7A">
              <w:rPr>
                <w:rFonts w:ascii="Arial" w:hAnsi="Arial" w:cs="Arial"/>
              </w:rPr>
              <w:lastRenderedPageBreak/>
              <w:t>BUDESONIDE</w:t>
            </w:r>
            <w:r w:rsidRPr="00247B7A">
              <w:rPr>
                <w:rFonts w:ascii="Arial" w:hAnsi="Arial" w:cs="Arial"/>
              </w:rPr>
              <w:br/>
            </w:r>
            <w:r w:rsidRPr="00247B7A">
              <w:rPr>
                <w:rFonts w:ascii="Arial" w:hAnsi="Arial" w:cs="Arial"/>
              </w:rPr>
              <w:br/>
              <w:t>Capsule (modified release) 3 mg</w:t>
            </w:r>
            <w:r w:rsidRPr="00247B7A">
              <w:rPr>
                <w:rFonts w:ascii="Arial" w:hAnsi="Arial" w:cs="Arial"/>
              </w:rPr>
              <w:br/>
            </w:r>
            <w:r w:rsidRPr="00247B7A">
              <w:rPr>
                <w:rFonts w:ascii="Arial" w:hAnsi="Arial" w:cs="Arial"/>
              </w:rPr>
              <w:br/>
              <w:t>Budenofalk®</w:t>
            </w:r>
            <w:r w:rsidRPr="00247B7A">
              <w:rPr>
                <w:rFonts w:ascii="Arial" w:hAnsi="Arial" w:cs="Arial"/>
              </w:rPr>
              <w:br/>
            </w:r>
            <w:r w:rsidRPr="00247B7A">
              <w:rPr>
                <w:rFonts w:ascii="Arial" w:hAnsi="Arial" w:cs="Arial"/>
              </w:rPr>
              <w:br/>
              <w:t>Orphan Australia Pty Ltd</w:t>
            </w:r>
          </w:p>
          <w:p w14:paraId="24A6A93E" w14:textId="77777777" w:rsidR="00C36AC3" w:rsidRDefault="00C36AC3" w:rsidP="007F6A0F">
            <w:pPr>
              <w:widowControl w:val="0"/>
              <w:rPr>
                <w:rFonts w:ascii="Arial" w:hAnsi="Arial" w:cs="Arial"/>
              </w:rPr>
            </w:pPr>
          </w:p>
          <w:p w14:paraId="12E82A23" w14:textId="77777777" w:rsidR="00C36AC3" w:rsidRPr="00C36AC3" w:rsidRDefault="00C36AC3" w:rsidP="00C36AC3">
            <w:pPr>
              <w:widowControl w:val="0"/>
              <w:jc w:val="both"/>
              <w:rPr>
                <w:rFonts w:ascii="Arial" w:hAnsi="Arial" w:cs="Arial"/>
              </w:rPr>
            </w:pPr>
            <w:r w:rsidRPr="00C36AC3">
              <w:rPr>
                <w:rFonts w:ascii="Arial" w:hAnsi="Arial" w:cs="Arial"/>
              </w:rPr>
              <w:t>New listing</w:t>
            </w:r>
          </w:p>
          <w:p w14:paraId="10A61639" w14:textId="6FA54DD0" w:rsidR="00C36AC3" w:rsidRPr="003D7E12" w:rsidRDefault="00C36AC3" w:rsidP="00C36AC3">
            <w:pPr>
              <w:widowControl w:val="0"/>
              <w:jc w:val="both"/>
              <w:rPr>
                <w:rFonts w:ascii="Arial" w:hAnsi="Arial" w:cs="Arial"/>
                <w:b/>
              </w:rPr>
            </w:pPr>
            <w:r w:rsidRPr="00C36AC3">
              <w:rPr>
                <w:rFonts w:ascii="Arial" w:hAnsi="Arial" w:cs="Arial"/>
              </w:rPr>
              <w:t>(Minor Submission)</w:t>
            </w:r>
          </w:p>
        </w:tc>
        <w:tc>
          <w:tcPr>
            <w:tcW w:w="2307" w:type="dxa"/>
            <w:tcMar>
              <w:top w:w="28" w:type="dxa"/>
              <w:bottom w:w="28" w:type="dxa"/>
            </w:tcMar>
          </w:tcPr>
          <w:p w14:paraId="4EAF4121" w14:textId="013DA8AD" w:rsidR="007B0FBF" w:rsidRPr="003D7E12" w:rsidRDefault="00BE4436" w:rsidP="007F6A0F">
            <w:pPr>
              <w:widowControl w:val="0"/>
              <w:rPr>
                <w:rFonts w:ascii="Arial" w:hAnsi="Arial" w:cs="Arial"/>
                <w:b/>
                <w:snapToGrid w:val="0"/>
                <w:lang w:eastAsia="en-US"/>
              </w:rPr>
            </w:pPr>
            <w:r w:rsidRPr="00247B7A">
              <w:rPr>
                <w:rFonts w:ascii="Arial" w:hAnsi="Arial" w:cs="Arial"/>
              </w:rPr>
              <w:t>Crohn disease</w:t>
            </w:r>
          </w:p>
        </w:tc>
        <w:tc>
          <w:tcPr>
            <w:tcW w:w="2987" w:type="dxa"/>
            <w:tcMar>
              <w:top w:w="28" w:type="dxa"/>
              <w:bottom w:w="28" w:type="dxa"/>
            </w:tcMar>
          </w:tcPr>
          <w:p w14:paraId="34626036" w14:textId="523456F6" w:rsidR="007B0FBF" w:rsidRPr="003D7E12" w:rsidRDefault="00BE4436" w:rsidP="007F6A0F">
            <w:pPr>
              <w:widowControl w:val="0"/>
              <w:rPr>
                <w:rFonts w:ascii="Arial" w:hAnsi="Arial" w:cs="Arial"/>
                <w:b/>
                <w:snapToGrid w:val="0"/>
                <w:lang w:eastAsia="en-US"/>
              </w:rPr>
            </w:pPr>
            <w:r w:rsidRPr="00247B7A">
              <w:rPr>
                <w:rFonts w:ascii="Arial" w:hAnsi="Arial" w:cs="Arial"/>
              </w:rPr>
              <w:t>To request an Authority Required (STREAMLINED) listing for the treatment of patients with mild to moderate Crohn disease.</w:t>
            </w:r>
          </w:p>
        </w:tc>
        <w:tc>
          <w:tcPr>
            <w:tcW w:w="7192" w:type="dxa"/>
          </w:tcPr>
          <w:p w14:paraId="3D11CD8F" w14:textId="3042EC93" w:rsidR="00020B05" w:rsidRPr="000B5913" w:rsidRDefault="000B5913" w:rsidP="00624D3B">
            <w:pPr>
              <w:widowControl w:val="0"/>
              <w:rPr>
                <w:rFonts w:ascii="Arial" w:hAnsi="Arial" w:cs="Arial"/>
                <w:snapToGrid w:val="0"/>
                <w:lang w:eastAsia="en-US"/>
              </w:rPr>
            </w:pPr>
            <w:r w:rsidRPr="000B5913">
              <w:rPr>
                <w:rFonts w:ascii="Arial" w:hAnsi="Arial" w:cs="Arial"/>
                <w:snapToGrid w:val="0"/>
                <w:lang w:eastAsia="en-US"/>
              </w:rPr>
              <w:t>The PBAC recommended the listing of budesonide for the treatment of mild to moderate Crohn’s disease affecting the ileum and/or ascending colon. The PBAC recommended the listing on a cost-minimisation basis against a weighted mixed comparator of mesalazine and prednisolone.</w:t>
            </w:r>
          </w:p>
        </w:tc>
      </w:tr>
      <w:tr w:rsidR="007B0FBF" w:rsidRPr="003D7E12" w14:paraId="2D9DD4D8" w14:textId="77777777" w:rsidTr="007F6A0F">
        <w:trPr>
          <w:cantSplit/>
        </w:trPr>
        <w:tc>
          <w:tcPr>
            <w:tcW w:w="3369" w:type="dxa"/>
            <w:tcMar>
              <w:top w:w="28" w:type="dxa"/>
              <w:bottom w:w="28" w:type="dxa"/>
            </w:tcMar>
          </w:tcPr>
          <w:p w14:paraId="580CBE1C" w14:textId="77777777" w:rsidR="007B0FBF" w:rsidRDefault="00BE4436" w:rsidP="007F6A0F">
            <w:pPr>
              <w:widowControl w:val="0"/>
              <w:rPr>
                <w:rFonts w:ascii="Arial" w:hAnsi="Arial" w:cs="Arial"/>
              </w:rPr>
            </w:pPr>
            <w:r w:rsidRPr="00247B7A">
              <w:rPr>
                <w:rFonts w:ascii="Arial" w:hAnsi="Arial" w:cs="Arial"/>
              </w:rPr>
              <w:t>BUDESONIDE</w:t>
            </w:r>
            <w:r w:rsidRPr="00247B7A">
              <w:rPr>
                <w:rFonts w:ascii="Arial" w:hAnsi="Arial" w:cs="Arial"/>
              </w:rPr>
              <w:br/>
            </w:r>
            <w:r w:rsidRPr="00247B7A">
              <w:rPr>
                <w:rFonts w:ascii="Arial" w:hAnsi="Arial" w:cs="Arial"/>
              </w:rPr>
              <w:br/>
              <w:t>Capsule (modified release) 3 mg</w:t>
            </w:r>
            <w:r w:rsidRPr="00247B7A">
              <w:rPr>
                <w:rFonts w:ascii="Arial" w:hAnsi="Arial" w:cs="Arial"/>
              </w:rPr>
              <w:br/>
            </w:r>
            <w:r w:rsidRPr="00247B7A">
              <w:rPr>
                <w:rFonts w:ascii="Arial" w:hAnsi="Arial" w:cs="Arial"/>
              </w:rPr>
              <w:br/>
              <w:t>Entocort®</w:t>
            </w:r>
            <w:r w:rsidRPr="00247B7A">
              <w:rPr>
                <w:rFonts w:ascii="Arial" w:hAnsi="Arial" w:cs="Arial"/>
              </w:rPr>
              <w:br/>
            </w:r>
            <w:r w:rsidRPr="00247B7A">
              <w:rPr>
                <w:rFonts w:ascii="Arial" w:hAnsi="Arial" w:cs="Arial"/>
              </w:rPr>
              <w:br/>
              <w:t>Emerge Health Pty Ltd</w:t>
            </w:r>
          </w:p>
          <w:p w14:paraId="49B2A88E" w14:textId="77777777" w:rsidR="00C36AC3" w:rsidRDefault="00C36AC3" w:rsidP="007F6A0F">
            <w:pPr>
              <w:widowControl w:val="0"/>
              <w:rPr>
                <w:rFonts w:ascii="Arial" w:hAnsi="Arial" w:cs="Arial"/>
              </w:rPr>
            </w:pPr>
          </w:p>
          <w:p w14:paraId="0E6A9E11" w14:textId="77777777" w:rsidR="00C36AC3" w:rsidRPr="00C36AC3" w:rsidRDefault="00C36AC3" w:rsidP="00C36AC3">
            <w:pPr>
              <w:widowControl w:val="0"/>
              <w:rPr>
                <w:rFonts w:ascii="Arial" w:hAnsi="Arial" w:cs="Arial"/>
              </w:rPr>
            </w:pPr>
            <w:r w:rsidRPr="00C36AC3">
              <w:rPr>
                <w:rFonts w:ascii="Arial" w:hAnsi="Arial" w:cs="Arial"/>
              </w:rPr>
              <w:t>New listing</w:t>
            </w:r>
          </w:p>
          <w:p w14:paraId="1972E06D" w14:textId="2B3E9D1C" w:rsidR="00C36AC3" w:rsidRPr="003D7E12" w:rsidRDefault="00C36AC3" w:rsidP="00C36AC3">
            <w:pPr>
              <w:widowControl w:val="0"/>
              <w:rPr>
                <w:rFonts w:ascii="Arial" w:hAnsi="Arial" w:cs="Arial"/>
                <w:b/>
              </w:rPr>
            </w:pPr>
            <w:r w:rsidRPr="00C36AC3">
              <w:rPr>
                <w:rFonts w:ascii="Arial" w:hAnsi="Arial" w:cs="Arial"/>
              </w:rPr>
              <w:t>(Minor Submission)</w:t>
            </w:r>
          </w:p>
        </w:tc>
        <w:tc>
          <w:tcPr>
            <w:tcW w:w="2307" w:type="dxa"/>
            <w:tcMar>
              <w:top w:w="28" w:type="dxa"/>
              <w:bottom w:w="28" w:type="dxa"/>
            </w:tcMar>
          </w:tcPr>
          <w:p w14:paraId="046739A1" w14:textId="77777777" w:rsidR="00BE4436" w:rsidRPr="00247B7A" w:rsidRDefault="00BE4436" w:rsidP="007F6A0F">
            <w:pPr>
              <w:rPr>
                <w:rFonts w:ascii="Arial" w:hAnsi="Arial" w:cs="Arial"/>
              </w:rPr>
            </w:pPr>
            <w:r w:rsidRPr="00247B7A">
              <w:rPr>
                <w:rFonts w:ascii="Arial" w:hAnsi="Arial" w:cs="Arial"/>
              </w:rPr>
              <w:t>Mild to moderate Crohn disease</w:t>
            </w:r>
          </w:p>
          <w:p w14:paraId="6718706A" w14:textId="77777777" w:rsidR="007B0FBF" w:rsidRPr="003D7E12" w:rsidRDefault="007B0FBF" w:rsidP="007F6A0F">
            <w:pPr>
              <w:widowControl w:val="0"/>
              <w:rPr>
                <w:rFonts w:ascii="Arial" w:hAnsi="Arial" w:cs="Arial"/>
                <w:b/>
                <w:snapToGrid w:val="0"/>
                <w:lang w:eastAsia="en-US"/>
              </w:rPr>
            </w:pPr>
          </w:p>
        </w:tc>
        <w:tc>
          <w:tcPr>
            <w:tcW w:w="2987" w:type="dxa"/>
            <w:tcMar>
              <w:top w:w="28" w:type="dxa"/>
              <w:bottom w:w="28" w:type="dxa"/>
            </w:tcMar>
          </w:tcPr>
          <w:p w14:paraId="0366E0AA" w14:textId="77777777" w:rsidR="00BE4436" w:rsidRPr="00247B7A" w:rsidRDefault="00BE4436" w:rsidP="007F6A0F">
            <w:pPr>
              <w:rPr>
                <w:rFonts w:ascii="Arial" w:hAnsi="Arial" w:cs="Arial"/>
              </w:rPr>
            </w:pPr>
            <w:r w:rsidRPr="00247B7A">
              <w:rPr>
                <w:rFonts w:ascii="Arial" w:hAnsi="Arial" w:cs="Arial"/>
              </w:rPr>
              <w:t>Resubmission to request an Authority Required (STREAMLINED) listing for the treatment of patients with mild to moderate Crohn disease.</w:t>
            </w:r>
          </w:p>
          <w:p w14:paraId="2F9D82E7" w14:textId="77777777" w:rsidR="007B0FBF" w:rsidRPr="003D7E12" w:rsidRDefault="007B0FBF" w:rsidP="007F6A0F">
            <w:pPr>
              <w:widowControl w:val="0"/>
              <w:rPr>
                <w:rFonts w:ascii="Arial" w:hAnsi="Arial" w:cs="Arial"/>
                <w:b/>
                <w:snapToGrid w:val="0"/>
                <w:lang w:eastAsia="en-US"/>
              </w:rPr>
            </w:pPr>
          </w:p>
        </w:tc>
        <w:tc>
          <w:tcPr>
            <w:tcW w:w="7192" w:type="dxa"/>
          </w:tcPr>
          <w:p w14:paraId="48B39D14" w14:textId="0148D751" w:rsidR="00020B05" w:rsidRPr="000B5913" w:rsidRDefault="000B5913" w:rsidP="007F6A0F">
            <w:pPr>
              <w:widowControl w:val="0"/>
              <w:rPr>
                <w:rFonts w:ascii="Arial" w:hAnsi="Arial" w:cs="Arial"/>
                <w:snapToGrid w:val="0"/>
                <w:lang w:eastAsia="en-US"/>
              </w:rPr>
            </w:pPr>
            <w:r w:rsidRPr="000B5913">
              <w:rPr>
                <w:rFonts w:ascii="Arial" w:hAnsi="Arial" w:cs="Arial"/>
                <w:snapToGrid w:val="0"/>
                <w:lang w:eastAsia="en-US"/>
              </w:rPr>
              <w:t>The PBAC recommended the listing of budesonide for the treatment of mild to moderate Crohn’s disease affecting the ileum and/or ascending colon. The PBAC recommended the listing on a cost-minimisation basis against a weighted mixed comparator of mesalazine and prednisolone.</w:t>
            </w:r>
          </w:p>
        </w:tc>
      </w:tr>
      <w:tr w:rsidR="007B0FBF" w:rsidRPr="003D7E12" w14:paraId="0537D9B7" w14:textId="77777777" w:rsidTr="007F6A0F">
        <w:trPr>
          <w:cantSplit/>
        </w:trPr>
        <w:tc>
          <w:tcPr>
            <w:tcW w:w="3369" w:type="dxa"/>
            <w:tcMar>
              <w:top w:w="28" w:type="dxa"/>
              <w:bottom w:w="28" w:type="dxa"/>
            </w:tcMar>
          </w:tcPr>
          <w:p w14:paraId="2091A064" w14:textId="77777777" w:rsidR="007B0FBF" w:rsidRDefault="00BE4436" w:rsidP="007F6A0F">
            <w:pPr>
              <w:widowControl w:val="0"/>
              <w:rPr>
                <w:rFonts w:ascii="Arial" w:hAnsi="Arial" w:cs="Arial"/>
              </w:rPr>
            </w:pPr>
            <w:r w:rsidRPr="00247B7A">
              <w:rPr>
                <w:rFonts w:ascii="Arial" w:hAnsi="Arial" w:cs="Arial"/>
              </w:rPr>
              <w:lastRenderedPageBreak/>
              <w:t>BUPRENORPHINE</w:t>
            </w:r>
            <w:r w:rsidRPr="00247B7A">
              <w:rPr>
                <w:rFonts w:ascii="Arial" w:hAnsi="Arial" w:cs="Arial"/>
              </w:rPr>
              <w:br/>
            </w:r>
            <w:r w:rsidRPr="00247B7A">
              <w:rPr>
                <w:rFonts w:ascii="Arial" w:hAnsi="Arial" w:cs="Arial"/>
              </w:rPr>
              <w:br/>
              <w:t xml:space="preserve">Injection 8 mg in 0.16 mL pre-filled syringe </w:t>
            </w:r>
            <w:r w:rsidRPr="00247B7A">
              <w:rPr>
                <w:rFonts w:ascii="Arial" w:hAnsi="Arial" w:cs="Arial"/>
              </w:rPr>
              <w:br/>
              <w:t>Injection 16 mg in 0.32 mL pre-filled syringe</w:t>
            </w:r>
            <w:r w:rsidRPr="00247B7A">
              <w:rPr>
                <w:rFonts w:ascii="Arial" w:hAnsi="Arial" w:cs="Arial"/>
              </w:rPr>
              <w:br/>
              <w:t>Injection 24 mg in 0.48 mL pre-filled syringe</w:t>
            </w:r>
            <w:r w:rsidRPr="00247B7A">
              <w:rPr>
                <w:rFonts w:ascii="Arial" w:hAnsi="Arial" w:cs="Arial"/>
              </w:rPr>
              <w:br/>
              <w:t>Injection 32 mg in 0.64 mL pre-filled syringe</w:t>
            </w:r>
            <w:r w:rsidRPr="00247B7A">
              <w:rPr>
                <w:rFonts w:ascii="Arial" w:hAnsi="Arial" w:cs="Arial"/>
              </w:rPr>
              <w:br/>
              <w:t>Injection 64 mg in 0.18 mL pre-filled syringe</w:t>
            </w:r>
            <w:r w:rsidRPr="00247B7A">
              <w:rPr>
                <w:rFonts w:ascii="Arial" w:hAnsi="Arial" w:cs="Arial"/>
              </w:rPr>
              <w:br/>
              <w:t>Injection 96 mg in 0.27 mL pre-filled syringe</w:t>
            </w:r>
            <w:r w:rsidRPr="00247B7A">
              <w:rPr>
                <w:rFonts w:ascii="Arial" w:hAnsi="Arial" w:cs="Arial"/>
              </w:rPr>
              <w:br/>
              <w:t>Injection 128 mg in 0.36 mL pre-filled syringe</w:t>
            </w:r>
            <w:r w:rsidRPr="00247B7A">
              <w:rPr>
                <w:rFonts w:ascii="Arial" w:hAnsi="Arial" w:cs="Arial"/>
              </w:rPr>
              <w:br/>
            </w:r>
            <w:r w:rsidRPr="00247B7A">
              <w:rPr>
                <w:rFonts w:ascii="Arial" w:hAnsi="Arial" w:cs="Arial"/>
              </w:rPr>
              <w:br/>
              <w:t>Buvidal®</w:t>
            </w:r>
            <w:r w:rsidRPr="00247B7A">
              <w:rPr>
                <w:rFonts w:ascii="Arial" w:hAnsi="Arial" w:cs="Arial"/>
              </w:rPr>
              <w:br/>
            </w:r>
            <w:r w:rsidRPr="00247B7A">
              <w:rPr>
                <w:rFonts w:ascii="Arial" w:hAnsi="Arial" w:cs="Arial"/>
              </w:rPr>
              <w:br/>
              <w:t>Camurus AB</w:t>
            </w:r>
          </w:p>
          <w:p w14:paraId="3C97B26A" w14:textId="77777777" w:rsidR="00C36AC3" w:rsidRDefault="00C36AC3" w:rsidP="007F6A0F">
            <w:pPr>
              <w:widowControl w:val="0"/>
              <w:rPr>
                <w:rFonts w:ascii="Arial" w:hAnsi="Arial" w:cs="Arial"/>
              </w:rPr>
            </w:pPr>
          </w:p>
          <w:p w14:paraId="4C12A3E2" w14:textId="77777777" w:rsidR="00C36AC3" w:rsidRPr="00C36AC3" w:rsidRDefault="00C36AC3" w:rsidP="00C36AC3">
            <w:pPr>
              <w:widowControl w:val="0"/>
              <w:rPr>
                <w:rFonts w:ascii="Arial" w:hAnsi="Arial" w:cs="Arial"/>
              </w:rPr>
            </w:pPr>
            <w:r w:rsidRPr="00C36AC3">
              <w:rPr>
                <w:rFonts w:ascii="Arial" w:hAnsi="Arial" w:cs="Arial"/>
              </w:rPr>
              <w:t>New listing</w:t>
            </w:r>
          </w:p>
          <w:p w14:paraId="1AFB2E60" w14:textId="300B9566" w:rsidR="00C36AC3" w:rsidRPr="003D7E12" w:rsidRDefault="00C36AC3" w:rsidP="00C36AC3">
            <w:pPr>
              <w:widowControl w:val="0"/>
              <w:rPr>
                <w:rFonts w:ascii="Arial" w:hAnsi="Arial" w:cs="Arial"/>
                <w:b/>
              </w:rPr>
            </w:pPr>
            <w:r w:rsidRPr="00C36AC3">
              <w:rPr>
                <w:rFonts w:ascii="Arial" w:hAnsi="Arial" w:cs="Arial"/>
              </w:rPr>
              <w:t>(Minor Submission)</w:t>
            </w:r>
          </w:p>
        </w:tc>
        <w:tc>
          <w:tcPr>
            <w:tcW w:w="2307" w:type="dxa"/>
            <w:tcMar>
              <w:top w:w="28" w:type="dxa"/>
              <w:bottom w:w="28" w:type="dxa"/>
            </w:tcMar>
          </w:tcPr>
          <w:p w14:paraId="312ECC6D" w14:textId="283D01FF" w:rsidR="007B0FBF" w:rsidRPr="003D7E12" w:rsidRDefault="00BE4436" w:rsidP="007F6A0F">
            <w:pPr>
              <w:widowControl w:val="0"/>
              <w:rPr>
                <w:rFonts w:ascii="Arial" w:hAnsi="Arial" w:cs="Arial"/>
                <w:b/>
                <w:snapToGrid w:val="0"/>
                <w:lang w:eastAsia="en-US"/>
              </w:rPr>
            </w:pPr>
            <w:r w:rsidRPr="00247B7A">
              <w:rPr>
                <w:rFonts w:ascii="Arial" w:hAnsi="Arial" w:cs="Arial"/>
              </w:rPr>
              <w:t>Opiate dependence</w:t>
            </w:r>
          </w:p>
        </w:tc>
        <w:tc>
          <w:tcPr>
            <w:tcW w:w="2987" w:type="dxa"/>
            <w:tcMar>
              <w:top w:w="28" w:type="dxa"/>
              <w:bottom w:w="28" w:type="dxa"/>
            </w:tcMar>
          </w:tcPr>
          <w:p w14:paraId="6B654A3C" w14:textId="3E1FD98A" w:rsidR="007B0FBF" w:rsidRPr="003D7E12" w:rsidRDefault="00BE4436" w:rsidP="007F6A0F">
            <w:pPr>
              <w:widowControl w:val="0"/>
              <w:rPr>
                <w:rFonts w:ascii="Arial" w:hAnsi="Arial" w:cs="Arial"/>
                <w:b/>
                <w:snapToGrid w:val="0"/>
                <w:lang w:eastAsia="en-US"/>
              </w:rPr>
            </w:pPr>
            <w:r w:rsidRPr="00247B7A">
              <w:rPr>
                <w:rFonts w:ascii="Arial" w:hAnsi="Arial" w:cs="Arial"/>
              </w:rPr>
              <w:t xml:space="preserve">Resubmission to request a Section 100 (Opiate Dependence Treatment Program) listing for the treatment of patients with opiate dependence.  </w:t>
            </w:r>
          </w:p>
        </w:tc>
        <w:tc>
          <w:tcPr>
            <w:tcW w:w="7192" w:type="dxa"/>
          </w:tcPr>
          <w:p w14:paraId="27DDDB6E" w14:textId="084F5B50" w:rsidR="00555355" w:rsidRPr="000B5913" w:rsidRDefault="000B5913" w:rsidP="00D000FA">
            <w:pPr>
              <w:widowControl w:val="0"/>
              <w:rPr>
                <w:rFonts w:ascii="Arial" w:hAnsi="Arial" w:cs="Arial"/>
                <w:snapToGrid w:val="0"/>
                <w:lang w:eastAsia="en-US"/>
              </w:rPr>
            </w:pPr>
            <w:r w:rsidRPr="000B5913">
              <w:rPr>
                <w:rFonts w:ascii="Arial" w:hAnsi="Arial" w:cs="Arial"/>
                <w:snapToGrid w:val="0"/>
                <w:lang w:eastAsia="en-US"/>
              </w:rPr>
              <w:t>The PBAC recommended the Section 100 (Opiate Dependence Treatment Program) listing for buprenorphine</w:t>
            </w:r>
            <w:r w:rsidR="00F92700">
              <w:rPr>
                <w:rFonts w:ascii="Arial" w:hAnsi="Arial" w:cs="Arial"/>
                <w:snapToGrid w:val="0"/>
                <w:lang w:eastAsia="en-US"/>
              </w:rPr>
              <w:t xml:space="preserve"> prolonged release subcutaneous injection</w:t>
            </w:r>
            <w:r w:rsidRPr="000B5913">
              <w:rPr>
                <w:rFonts w:ascii="Arial" w:hAnsi="Arial" w:cs="Arial"/>
                <w:snapToGrid w:val="0"/>
                <w:lang w:eastAsia="en-US"/>
              </w:rPr>
              <w:t xml:space="preserve"> for the treatment of opiate dependence on a cost-minimisation basis with sublingual buprenorphine with naloxone. The PBAC considered that</w:t>
            </w:r>
            <w:r w:rsidR="00F92700">
              <w:rPr>
                <w:rFonts w:ascii="Arial" w:hAnsi="Arial" w:cs="Arial"/>
                <w:snapToGrid w:val="0"/>
                <w:lang w:eastAsia="en-US"/>
              </w:rPr>
              <w:t>, based on available clinical evidence,</w:t>
            </w:r>
            <w:r w:rsidRPr="000B5913">
              <w:rPr>
                <w:rFonts w:ascii="Arial" w:hAnsi="Arial" w:cs="Arial"/>
                <w:snapToGrid w:val="0"/>
                <w:lang w:eastAsia="en-US"/>
              </w:rPr>
              <w:t xml:space="preserve"> prolonged release buprenorphine provided the same clinical benefits as sublingual buprenorphine with naloxone; however it acknowledged there was a clinical need for an alternative form which was likely to have both clinical and social advantages for some patients in this treatment setting. On that basis, the PBAC considered a modest price premium over the existing sublingual formulation was reasonable.</w:t>
            </w:r>
          </w:p>
        </w:tc>
      </w:tr>
      <w:tr w:rsidR="00BE4436" w:rsidRPr="003D7E12" w14:paraId="7358A4A2" w14:textId="77777777" w:rsidTr="007F6A0F">
        <w:trPr>
          <w:cantSplit/>
        </w:trPr>
        <w:tc>
          <w:tcPr>
            <w:tcW w:w="3369" w:type="dxa"/>
            <w:tcMar>
              <w:top w:w="28" w:type="dxa"/>
              <w:bottom w:w="28" w:type="dxa"/>
            </w:tcMar>
          </w:tcPr>
          <w:p w14:paraId="50DFCD56" w14:textId="77777777" w:rsidR="00BE4436" w:rsidRDefault="00BE4436" w:rsidP="007F6A0F">
            <w:pPr>
              <w:widowControl w:val="0"/>
              <w:rPr>
                <w:rFonts w:ascii="Arial" w:hAnsi="Arial" w:cs="Arial"/>
              </w:rPr>
            </w:pPr>
            <w:r w:rsidRPr="00247B7A">
              <w:rPr>
                <w:rFonts w:ascii="Arial" w:hAnsi="Arial" w:cs="Arial"/>
              </w:rPr>
              <w:t>CALCIUM</w:t>
            </w:r>
            <w:r w:rsidRPr="00247B7A">
              <w:rPr>
                <w:rFonts w:ascii="Arial" w:hAnsi="Arial" w:cs="Arial"/>
              </w:rPr>
              <w:br/>
            </w:r>
            <w:r w:rsidRPr="00247B7A">
              <w:rPr>
                <w:rFonts w:ascii="Arial" w:hAnsi="Arial" w:cs="Arial"/>
              </w:rPr>
              <w:br/>
              <w:t>Tablet, chewable, 500 mg (as carbonate)</w:t>
            </w:r>
            <w:r w:rsidRPr="00247B7A">
              <w:rPr>
                <w:rFonts w:ascii="Arial" w:hAnsi="Arial" w:cs="Arial"/>
              </w:rPr>
              <w:br/>
            </w:r>
            <w:r w:rsidRPr="00247B7A">
              <w:rPr>
                <w:rFonts w:ascii="Arial" w:hAnsi="Arial" w:cs="Arial"/>
              </w:rPr>
              <w:br/>
              <w:t>Cal-500®</w:t>
            </w:r>
            <w:r w:rsidRPr="00247B7A">
              <w:rPr>
                <w:rFonts w:ascii="Arial" w:hAnsi="Arial" w:cs="Arial"/>
              </w:rPr>
              <w:br/>
            </w:r>
            <w:r w:rsidRPr="00247B7A">
              <w:rPr>
                <w:rFonts w:ascii="Arial" w:hAnsi="Arial" w:cs="Arial"/>
              </w:rPr>
              <w:br/>
              <w:t>Petrus Pharmaceuticals Pty Ltd</w:t>
            </w:r>
          </w:p>
          <w:p w14:paraId="10938DC8" w14:textId="77777777" w:rsidR="00C36AC3" w:rsidRDefault="00C36AC3" w:rsidP="007F6A0F">
            <w:pPr>
              <w:widowControl w:val="0"/>
              <w:rPr>
                <w:rFonts w:ascii="Arial" w:hAnsi="Arial" w:cs="Arial"/>
              </w:rPr>
            </w:pPr>
          </w:p>
          <w:p w14:paraId="6786CB10" w14:textId="77777777" w:rsidR="00C36AC3" w:rsidRPr="00C36AC3" w:rsidRDefault="00C36AC3" w:rsidP="00C36AC3">
            <w:pPr>
              <w:widowControl w:val="0"/>
              <w:rPr>
                <w:rFonts w:ascii="Arial" w:hAnsi="Arial" w:cs="Arial"/>
              </w:rPr>
            </w:pPr>
            <w:r w:rsidRPr="00C36AC3">
              <w:rPr>
                <w:rFonts w:ascii="Arial" w:hAnsi="Arial" w:cs="Arial"/>
              </w:rPr>
              <w:t>New listing</w:t>
            </w:r>
          </w:p>
          <w:p w14:paraId="4AA7F149" w14:textId="39292098" w:rsidR="00C36AC3" w:rsidRPr="003D7E12" w:rsidRDefault="00C36AC3" w:rsidP="00C36AC3">
            <w:pPr>
              <w:widowControl w:val="0"/>
              <w:rPr>
                <w:rFonts w:ascii="Arial" w:hAnsi="Arial" w:cs="Arial"/>
                <w:b/>
              </w:rPr>
            </w:pPr>
            <w:r w:rsidRPr="00C36AC3">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27E05304" w14:textId="3853F1C5" w:rsidR="00BE4436" w:rsidRPr="003D7E12" w:rsidRDefault="00BE4436" w:rsidP="007F6A0F">
            <w:pPr>
              <w:widowControl w:val="0"/>
              <w:rPr>
                <w:rFonts w:ascii="Arial" w:hAnsi="Arial" w:cs="Arial"/>
                <w:b/>
                <w:snapToGrid w:val="0"/>
                <w:lang w:eastAsia="en-US"/>
              </w:rPr>
            </w:pPr>
            <w:r w:rsidRPr="00247B7A">
              <w:rPr>
                <w:rFonts w:ascii="Arial" w:hAnsi="Arial" w:cs="Arial"/>
              </w:rPr>
              <w:t>Hyperphosphataemia</w:t>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63DD7D98" w14:textId="076EE870" w:rsidR="00BE4436" w:rsidRPr="003D7E12" w:rsidRDefault="00BE4436" w:rsidP="007F6A0F">
            <w:pPr>
              <w:widowControl w:val="0"/>
              <w:rPr>
                <w:rFonts w:ascii="Arial" w:hAnsi="Arial" w:cs="Arial"/>
                <w:b/>
                <w:snapToGrid w:val="0"/>
                <w:lang w:eastAsia="en-US"/>
              </w:rPr>
            </w:pPr>
            <w:r w:rsidRPr="00247B7A">
              <w:rPr>
                <w:rFonts w:ascii="Arial" w:hAnsi="Arial" w:cs="Arial"/>
              </w:rPr>
              <w:t>To request an Authority Required (STREAMLINED) listing of a new larger pack size of calcium for the treatment of hyperphosphataemia.</w:t>
            </w:r>
          </w:p>
        </w:tc>
        <w:tc>
          <w:tcPr>
            <w:tcW w:w="7192" w:type="dxa"/>
          </w:tcPr>
          <w:p w14:paraId="43281273" w14:textId="7669243A" w:rsidR="00555355" w:rsidRPr="000B5913" w:rsidRDefault="000B5913" w:rsidP="00EA7BD0">
            <w:pPr>
              <w:widowControl w:val="0"/>
              <w:rPr>
                <w:rFonts w:ascii="Arial" w:hAnsi="Arial" w:cs="Arial"/>
                <w:snapToGrid w:val="0"/>
                <w:lang w:eastAsia="en-US"/>
              </w:rPr>
            </w:pPr>
            <w:r w:rsidRPr="000B5913">
              <w:rPr>
                <w:rFonts w:ascii="Arial" w:hAnsi="Arial" w:cs="Arial"/>
                <w:snapToGrid w:val="0"/>
                <w:lang w:eastAsia="en-US"/>
              </w:rPr>
              <w:t xml:space="preserve">The PBAC </w:t>
            </w:r>
            <w:r w:rsidR="00F92700">
              <w:rPr>
                <w:rFonts w:ascii="Arial" w:hAnsi="Arial" w:cs="Arial"/>
                <w:snapToGrid w:val="0"/>
                <w:lang w:eastAsia="en-US"/>
              </w:rPr>
              <w:t xml:space="preserve">recommended the listing of a </w:t>
            </w:r>
            <w:r w:rsidRPr="000B5913">
              <w:rPr>
                <w:rFonts w:ascii="Arial" w:hAnsi="Arial" w:cs="Arial"/>
                <w:snapToGrid w:val="0"/>
                <w:lang w:eastAsia="en-US"/>
              </w:rPr>
              <w:t xml:space="preserve">120 tablet pack size of Cal-500 </w:t>
            </w:r>
            <w:r w:rsidR="00EA7BD0">
              <w:rPr>
                <w:rFonts w:ascii="Arial" w:hAnsi="Arial" w:cs="Arial"/>
                <w:snapToGrid w:val="0"/>
                <w:lang w:eastAsia="en-US"/>
              </w:rPr>
              <w:t xml:space="preserve">which is </w:t>
            </w:r>
            <w:r w:rsidRPr="000B5913">
              <w:rPr>
                <w:rFonts w:ascii="Arial" w:hAnsi="Arial" w:cs="Arial"/>
                <w:snapToGrid w:val="0"/>
                <w:lang w:eastAsia="en-US"/>
              </w:rPr>
              <w:t>intended to replace the currently listed 60 tablet pack size.</w:t>
            </w:r>
          </w:p>
        </w:tc>
      </w:tr>
      <w:tr w:rsidR="00BE4436" w:rsidRPr="003D7E12" w14:paraId="52027A44" w14:textId="77777777" w:rsidTr="007F6A0F">
        <w:trPr>
          <w:cantSplit/>
        </w:trPr>
        <w:tc>
          <w:tcPr>
            <w:tcW w:w="3369" w:type="dxa"/>
            <w:tcMar>
              <w:top w:w="28" w:type="dxa"/>
              <w:bottom w:w="28" w:type="dxa"/>
            </w:tcMar>
          </w:tcPr>
          <w:p w14:paraId="2630812C" w14:textId="77777777" w:rsidR="00BE4436" w:rsidRDefault="00BE4436" w:rsidP="007F6A0F">
            <w:pPr>
              <w:widowControl w:val="0"/>
              <w:rPr>
                <w:rFonts w:ascii="Arial" w:hAnsi="Arial" w:cs="Arial"/>
                <w:color w:val="000000"/>
              </w:rPr>
            </w:pPr>
            <w:r w:rsidRPr="00247B7A">
              <w:rPr>
                <w:rFonts w:ascii="Arial" w:hAnsi="Arial" w:cs="Arial"/>
                <w:color w:val="000000"/>
              </w:rPr>
              <w:lastRenderedPageBreak/>
              <w:t>CERTOLIZUMAB PEGOL</w:t>
            </w:r>
            <w:r w:rsidRPr="00247B7A">
              <w:rPr>
                <w:rFonts w:ascii="Arial" w:hAnsi="Arial" w:cs="Arial"/>
                <w:color w:val="000000"/>
              </w:rPr>
              <w:br/>
            </w:r>
            <w:r w:rsidRPr="00247B7A">
              <w:rPr>
                <w:rFonts w:ascii="Arial" w:hAnsi="Arial" w:cs="Arial"/>
                <w:color w:val="000000"/>
              </w:rPr>
              <w:br/>
              <w:t>Injection 200mg in 1 mL pre-syringe pen</w:t>
            </w:r>
            <w:r w:rsidRPr="00247B7A">
              <w:rPr>
                <w:rFonts w:ascii="Arial" w:hAnsi="Arial" w:cs="Arial"/>
                <w:color w:val="000000"/>
              </w:rPr>
              <w:br/>
              <w:t>Solution for injection 200 mg in 1 mL pre-filled pen</w:t>
            </w:r>
            <w:r w:rsidRPr="00247B7A">
              <w:rPr>
                <w:rFonts w:ascii="Arial" w:hAnsi="Arial" w:cs="Arial"/>
                <w:color w:val="000000"/>
              </w:rPr>
              <w:br/>
            </w:r>
            <w:r w:rsidRPr="00247B7A">
              <w:rPr>
                <w:rFonts w:ascii="Arial" w:hAnsi="Arial" w:cs="Arial"/>
                <w:color w:val="000000"/>
              </w:rPr>
              <w:br/>
              <w:t>Cimzia®</w:t>
            </w:r>
            <w:r w:rsidRPr="00247B7A">
              <w:rPr>
                <w:rFonts w:ascii="Arial" w:hAnsi="Arial" w:cs="Arial"/>
                <w:color w:val="000000"/>
              </w:rPr>
              <w:br/>
            </w:r>
            <w:r w:rsidRPr="00247B7A">
              <w:rPr>
                <w:rFonts w:ascii="Arial" w:hAnsi="Arial" w:cs="Arial"/>
                <w:color w:val="000000"/>
              </w:rPr>
              <w:br/>
              <w:t>UCB Australia Pty Ltd</w:t>
            </w:r>
          </w:p>
          <w:p w14:paraId="2AA7276B" w14:textId="77777777" w:rsidR="00C36AC3" w:rsidRDefault="00C36AC3" w:rsidP="007F6A0F">
            <w:pPr>
              <w:widowControl w:val="0"/>
              <w:rPr>
                <w:rFonts w:ascii="Arial" w:hAnsi="Arial" w:cs="Arial"/>
                <w:color w:val="000000"/>
              </w:rPr>
            </w:pPr>
          </w:p>
          <w:p w14:paraId="5EFCACAA" w14:textId="77777777" w:rsidR="00C36AC3" w:rsidRPr="00C36AC3" w:rsidRDefault="00C36AC3" w:rsidP="00C36AC3">
            <w:pPr>
              <w:widowControl w:val="0"/>
              <w:rPr>
                <w:rFonts w:ascii="Arial" w:hAnsi="Arial" w:cs="Arial"/>
              </w:rPr>
            </w:pPr>
            <w:r w:rsidRPr="00C36AC3">
              <w:rPr>
                <w:rFonts w:ascii="Arial" w:hAnsi="Arial" w:cs="Arial"/>
              </w:rPr>
              <w:t>Change to listing</w:t>
            </w:r>
          </w:p>
          <w:p w14:paraId="3B07B1CD" w14:textId="4D3EB525" w:rsidR="00C36AC3" w:rsidRPr="003D7E12" w:rsidRDefault="00C36AC3" w:rsidP="00C36AC3">
            <w:pPr>
              <w:widowControl w:val="0"/>
              <w:rPr>
                <w:rFonts w:ascii="Arial" w:hAnsi="Arial" w:cs="Arial"/>
                <w:b/>
              </w:rPr>
            </w:pPr>
            <w:r w:rsidRPr="00C36AC3">
              <w:rPr>
                <w:rFonts w:ascii="Arial" w:hAnsi="Arial" w:cs="Arial"/>
              </w:rPr>
              <w:t>(Major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313CE1F0" w14:textId="49171910" w:rsidR="00BE4436" w:rsidRPr="003D7E12" w:rsidRDefault="00BE4436" w:rsidP="007F6A0F">
            <w:pPr>
              <w:widowControl w:val="0"/>
              <w:rPr>
                <w:rFonts w:ascii="Arial" w:hAnsi="Arial" w:cs="Arial"/>
                <w:b/>
                <w:snapToGrid w:val="0"/>
                <w:lang w:eastAsia="en-US"/>
              </w:rPr>
            </w:pPr>
            <w:r w:rsidRPr="00247B7A">
              <w:rPr>
                <w:rFonts w:ascii="Arial" w:hAnsi="Arial" w:cs="Arial"/>
                <w:color w:val="000000"/>
              </w:rPr>
              <w:t xml:space="preserve">Severe chronic plaque psoriasis </w:t>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07B47B99" w14:textId="16294778" w:rsidR="00BE4436" w:rsidRPr="003D7E12" w:rsidRDefault="00BE4436" w:rsidP="007F6A0F">
            <w:pPr>
              <w:widowControl w:val="0"/>
              <w:rPr>
                <w:rFonts w:ascii="Arial" w:hAnsi="Arial" w:cs="Arial"/>
                <w:b/>
                <w:snapToGrid w:val="0"/>
                <w:lang w:eastAsia="en-US"/>
              </w:rPr>
            </w:pPr>
            <w:r w:rsidRPr="00247B7A">
              <w:rPr>
                <w:rFonts w:ascii="Arial" w:hAnsi="Arial" w:cs="Arial"/>
                <w:color w:val="000000"/>
              </w:rPr>
              <w:t xml:space="preserve">To request an Authority Required listing for the treatment of patients with severe chronic plaque psoriasis. </w:t>
            </w:r>
          </w:p>
        </w:tc>
        <w:tc>
          <w:tcPr>
            <w:tcW w:w="7192" w:type="dxa"/>
          </w:tcPr>
          <w:p w14:paraId="31F65408" w14:textId="024CD4A3" w:rsidR="00555355" w:rsidRPr="000B5913" w:rsidRDefault="000B5913" w:rsidP="007F6A0F">
            <w:pPr>
              <w:widowControl w:val="0"/>
              <w:rPr>
                <w:rFonts w:ascii="Arial" w:hAnsi="Arial" w:cs="Arial"/>
                <w:snapToGrid w:val="0"/>
                <w:lang w:eastAsia="en-US"/>
              </w:rPr>
            </w:pPr>
            <w:r w:rsidRPr="000B5913">
              <w:rPr>
                <w:rFonts w:ascii="Arial" w:hAnsi="Arial" w:cs="Arial"/>
                <w:snapToGrid w:val="0"/>
                <w:lang w:eastAsia="en-US"/>
              </w:rPr>
              <w:t>The PBAC recommended the Authority Required listing of certolizumab pegol on a cost</w:t>
            </w:r>
            <w:r w:rsidR="00555355">
              <w:rPr>
                <w:rFonts w:ascii="Arial" w:hAnsi="Arial" w:cs="Arial"/>
                <w:snapToGrid w:val="0"/>
                <w:lang w:eastAsia="en-US"/>
              </w:rPr>
              <w:t>-</w:t>
            </w:r>
            <w:r w:rsidRPr="000B5913">
              <w:rPr>
                <w:rFonts w:ascii="Arial" w:hAnsi="Arial" w:cs="Arial"/>
                <w:snapToGrid w:val="0"/>
                <w:lang w:eastAsia="en-US"/>
              </w:rPr>
              <w:t>minimisation basis with the least costly alternative biological disease modifying anti-rheumatic drug (bDMARD) for the treatment of severe chronic plaque psoriasis.</w:t>
            </w:r>
          </w:p>
        </w:tc>
      </w:tr>
      <w:tr w:rsidR="00C63EC9" w:rsidRPr="003D7E12" w14:paraId="3503D1E6" w14:textId="77777777" w:rsidTr="007F6A0F">
        <w:trPr>
          <w:cantSplit/>
        </w:trPr>
        <w:tc>
          <w:tcPr>
            <w:tcW w:w="3369" w:type="dxa"/>
            <w:tcMar>
              <w:top w:w="28" w:type="dxa"/>
              <w:bottom w:w="28" w:type="dxa"/>
            </w:tcMar>
          </w:tcPr>
          <w:p w14:paraId="096D0E36" w14:textId="77777777" w:rsidR="00C63EC9" w:rsidRDefault="00C63EC9" w:rsidP="007F6A0F">
            <w:pPr>
              <w:widowControl w:val="0"/>
              <w:tabs>
                <w:tab w:val="left" w:pos="810"/>
              </w:tabs>
              <w:rPr>
                <w:rFonts w:ascii="Arial" w:hAnsi="Arial" w:cs="Arial"/>
              </w:rPr>
            </w:pPr>
            <w:r w:rsidRPr="00247B7A">
              <w:rPr>
                <w:rFonts w:ascii="Arial" w:hAnsi="Arial" w:cs="Arial"/>
              </w:rPr>
              <w:t xml:space="preserve">CLOSTRIDIUM BOTULINUM TYPE A TOXIN – HAEMAGGLUTININ C COMPLEX  </w:t>
            </w:r>
            <w:r w:rsidRPr="00247B7A">
              <w:rPr>
                <w:rFonts w:ascii="Arial" w:hAnsi="Arial" w:cs="Arial"/>
              </w:rPr>
              <w:br/>
            </w:r>
            <w:r w:rsidRPr="00247B7A">
              <w:rPr>
                <w:rFonts w:ascii="Arial" w:hAnsi="Arial" w:cs="Arial"/>
              </w:rPr>
              <w:br/>
              <w:t>Lyophilised powder for I.M. injection 300 units</w:t>
            </w:r>
            <w:r w:rsidRPr="00247B7A">
              <w:rPr>
                <w:rFonts w:ascii="Arial" w:hAnsi="Arial" w:cs="Arial"/>
              </w:rPr>
              <w:br/>
              <w:t>Lyophilised powder for I.M. injection 500 units</w:t>
            </w:r>
            <w:r w:rsidRPr="00247B7A">
              <w:rPr>
                <w:rFonts w:ascii="Arial" w:hAnsi="Arial" w:cs="Arial"/>
              </w:rPr>
              <w:br/>
            </w:r>
            <w:r w:rsidRPr="00247B7A">
              <w:rPr>
                <w:rFonts w:ascii="Arial" w:hAnsi="Arial" w:cs="Arial"/>
              </w:rPr>
              <w:br/>
              <w:t>Dysport®</w:t>
            </w:r>
            <w:r w:rsidRPr="00247B7A">
              <w:rPr>
                <w:rFonts w:ascii="Arial" w:hAnsi="Arial" w:cs="Arial"/>
              </w:rPr>
              <w:br/>
            </w:r>
            <w:r w:rsidRPr="00247B7A">
              <w:rPr>
                <w:rFonts w:ascii="Arial" w:hAnsi="Arial" w:cs="Arial"/>
              </w:rPr>
              <w:br/>
              <w:t>Ipsen Pty Ltd</w:t>
            </w:r>
          </w:p>
          <w:p w14:paraId="42CB9C9E" w14:textId="77777777" w:rsidR="00C36AC3" w:rsidRDefault="00C36AC3" w:rsidP="007F6A0F">
            <w:pPr>
              <w:widowControl w:val="0"/>
              <w:tabs>
                <w:tab w:val="left" w:pos="810"/>
              </w:tabs>
              <w:rPr>
                <w:rFonts w:ascii="Arial" w:hAnsi="Arial" w:cs="Arial"/>
              </w:rPr>
            </w:pPr>
          </w:p>
          <w:p w14:paraId="3E185469" w14:textId="77777777" w:rsidR="00C36AC3" w:rsidRPr="00C36AC3" w:rsidRDefault="00C36AC3" w:rsidP="00C36AC3">
            <w:pPr>
              <w:widowControl w:val="0"/>
              <w:tabs>
                <w:tab w:val="left" w:pos="810"/>
              </w:tabs>
              <w:rPr>
                <w:rFonts w:ascii="Arial" w:hAnsi="Arial" w:cs="Arial"/>
              </w:rPr>
            </w:pPr>
            <w:r w:rsidRPr="00C36AC3">
              <w:rPr>
                <w:rFonts w:ascii="Arial" w:hAnsi="Arial" w:cs="Arial"/>
              </w:rPr>
              <w:t>Change to listing</w:t>
            </w:r>
          </w:p>
          <w:p w14:paraId="441967DB" w14:textId="466B2094" w:rsidR="00C36AC3" w:rsidRPr="003D7E12" w:rsidRDefault="00C36AC3" w:rsidP="00C36AC3">
            <w:pPr>
              <w:widowControl w:val="0"/>
              <w:tabs>
                <w:tab w:val="left" w:pos="810"/>
              </w:tabs>
              <w:rPr>
                <w:rFonts w:ascii="Arial" w:hAnsi="Arial" w:cs="Arial"/>
                <w:b/>
              </w:rPr>
            </w:pPr>
            <w:r w:rsidRPr="00C36AC3">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60866485" w14:textId="77777777" w:rsidR="00C63EC9" w:rsidRPr="00247B7A" w:rsidRDefault="00C63EC9" w:rsidP="007F6A0F">
            <w:pPr>
              <w:rPr>
                <w:rFonts w:ascii="Arial" w:hAnsi="Arial" w:cs="Arial"/>
              </w:rPr>
            </w:pPr>
            <w:r w:rsidRPr="00247B7A">
              <w:rPr>
                <w:rFonts w:ascii="Arial" w:hAnsi="Arial" w:cs="Arial"/>
              </w:rPr>
              <w:t xml:space="preserve">Spasticity of the upper limb </w:t>
            </w:r>
          </w:p>
          <w:p w14:paraId="1DB21EA4" w14:textId="77777777" w:rsidR="00C63EC9" w:rsidRPr="003D7E12" w:rsidRDefault="00C63EC9" w:rsidP="007F6A0F">
            <w:pPr>
              <w:widowControl w:val="0"/>
              <w:rPr>
                <w:rFonts w:ascii="Arial" w:hAnsi="Arial" w:cs="Arial"/>
                <w:b/>
                <w:snapToGrid w:val="0"/>
                <w:lang w:eastAsia="en-US"/>
              </w:rPr>
            </w:pP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1ECB345C" w14:textId="77777777" w:rsidR="00C63EC9" w:rsidRPr="00247B7A" w:rsidRDefault="00C63EC9" w:rsidP="007F6A0F">
            <w:pPr>
              <w:rPr>
                <w:rFonts w:ascii="Arial" w:hAnsi="Arial" w:cs="Arial"/>
              </w:rPr>
            </w:pPr>
            <w:r w:rsidRPr="00247B7A">
              <w:rPr>
                <w:rFonts w:ascii="Arial" w:hAnsi="Arial" w:cs="Arial"/>
              </w:rPr>
              <w:t>Resubmission to extend the current Section 100 (Botulinum Toxin Program) listing to include treatment of patients with moderate to severe spasticity of the upper limb following an acute event, and to remove the current restriction on the number of treatment periods in a lifetime.</w:t>
            </w:r>
          </w:p>
          <w:p w14:paraId="554E4A80" w14:textId="77777777" w:rsidR="00C63EC9" w:rsidRPr="003D7E12" w:rsidRDefault="00C63EC9" w:rsidP="007F6A0F">
            <w:pPr>
              <w:widowControl w:val="0"/>
              <w:rPr>
                <w:rFonts w:ascii="Arial" w:hAnsi="Arial" w:cs="Arial"/>
                <w:b/>
                <w:snapToGrid w:val="0"/>
                <w:lang w:eastAsia="en-US"/>
              </w:rPr>
            </w:pPr>
          </w:p>
        </w:tc>
        <w:tc>
          <w:tcPr>
            <w:tcW w:w="7192" w:type="dxa"/>
          </w:tcPr>
          <w:p w14:paraId="0614C81F" w14:textId="10806DED" w:rsidR="000B5913" w:rsidRPr="000B5913" w:rsidRDefault="000B5913" w:rsidP="007F6A0F">
            <w:pPr>
              <w:widowControl w:val="0"/>
              <w:rPr>
                <w:rFonts w:ascii="Arial" w:hAnsi="Arial" w:cs="Arial"/>
                <w:snapToGrid w:val="0"/>
                <w:lang w:eastAsia="en-US"/>
              </w:rPr>
            </w:pPr>
            <w:r w:rsidRPr="000B5913">
              <w:rPr>
                <w:rFonts w:ascii="Arial" w:hAnsi="Arial" w:cs="Arial"/>
                <w:snapToGrid w:val="0"/>
                <w:lang w:eastAsia="en-US"/>
              </w:rPr>
              <w:t>The PBAC recommended an extension of the current Section 100 (Botulinum Toxin Program), Authority Required (STREAMLINED) listing for clostridium botulinum type A toxin-haemagglutinin complex (Dysport®) for treatment of moderate to severe focal spasticity of the upper limb following a stroke, to also include spasticity following acute events other than stroke. The PBAC acknowledged the clinical need</w:t>
            </w:r>
            <w:r w:rsidR="00F92700">
              <w:rPr>
                <w:rFonts w:ascii="Arial" w:hAnsi="Arial" w:cs="Arial"/>
                <w:snapToGrid w:val="0"/>
                <w:lang w:eastAsia="en-US"/>
              </w:rPr>
              <w:t xml:space="preserve"> for effective treatment options in this patient population</w:t>
            </w:r>
            <w:r w:rsidRPr="000B5913">
              <w:rPr>
                <w:rFonts w:ascii="Arial" w:hAnsi="Arial" w:cs="Arial"/>
                <w:snapToGrid w:val="0"/>
                <w:lang w:eastAsia="en-US"/>
              </w:rPr>
              <w:t xml:space="preserve"> and was satisfied that Dysport® provides, for some patients, a modest improvement in efficacy compared with standard of care.</w:t>
            </w:r>
          </w:p>
          <w:p w14:paraId="664DEED4" w14:textId="77777777" w:rsidR="000B5913" w:rsidRPr="000B5913" w:rsidRDefault="000B5913" w:rsidP="007F6A0F">
            <w:pPr>
              <w:widowControl w:val="0"/>
              <w:rPr>
                <w:rFonts w:ascii="Arial" w:hAnsi="Arial" w:cs="Arial"/>
                <w:snapToGrid w:val="0"/>
                <w:lang w:eastAsia="en-US"/>
              </w:rPr>
            </w:pPr>
          </w:p>
          <w:p w14:paraId="56D0233D" w14:textId="03415E87" w:rsidR="000B5913" w:rsidRPr="000B5913" w:rsidRDefault="000B5913" w:rsidP="007F6A0F">
            <w:pPr>
              <w:widowControl w:val="0"/>
              <w:rPr>
                <w:rFonts w:ascii="Arial" w:hAnsi="Arial" w:cs="Arial"/>
                <w:snapToGrid w:val="0"/>
                <w:lang w:eastAsia="en-US"/>
              </w:rPr>
            </w:pPr>
            <w:r w:rsidRPr="000B5913">
              <w:rPr>
                <w:rFonts w:ascii="Arial" w:hAnsi="Arial" w:cs="Arial"/>
                <w:snapToGrid w:val="0"/>
                <w:lang w:eastAsia="en-US"/>
              </w:rPr>
              <w:t xml:space="preserve">The PBAC noted that although no new clinical data was presented in the resubmission, the proposed </w:t>
            </w:r>
            <w:r w:rsidR="00F92700">
              <w:rPr>
                <w:rFonts w:ascii="Arial" w:hAnsi="Arial" w:cs="Arial"/>
                <w:snapToGrid w:val="0"/>
                <w:lang w:eastAsia="en-US"/>
              </w:rPr>
              <w:t>Risk Sharing</w:t>
            </w:r>
            <w:r w:rsidRPr="000B5913">
              <w:rPr>
                <w:rFonts w:ascii="Arial" w:hAnsi="Arial" w:cs="Arial"/>
                <w:snapToGrid w:val="0"/>
                <w:lang w:eastAsia="en-US"/>
              </w:rPr>
              <w:t xml:space="preserve"> Arrangement helped mitigate the outstanding uncertainty surrounding the clinical benefit, the cost-effectiveness and the financial implication of Dysport in the extended population.</w:t>
            </w:r>
          </w:p>
          <w:p w14:paraId="378CF0EF" w14:textId="01DE70CE" w:rsidR="00555355" w:rsidRPr="000B5913" w:rsidRDefault="00555355" w:rsidP="007F6A0F">
            <w:pPr>
              <w:widowControl w:val="0"/>
              <w:rPr>
                <w:rFonts w:ascii="Arial" w:hAnsi="Arial" w:cs="Arial"/>
                <w:snapToGrid w:val="0"/>
                <w:lang w:eastAsia="en-US"/>
              </w:rPr>
            </w:pPr>
          </w:p>
        </w:tc>
      </w:tr>
      <w:tr w:rsidR="00C63EC9" w:rsidRPr="003D7E12" w14:paraId="1D885224" w14:textId="77777777" w:rsidTr="007F6A0F">
        <w:trPr>
          <w:cantSplit/>
        </w:trPr>
        <w:tc>
          <w:tcPr>
            <w:tcW w:w="3369" w:type="dxa"/>
            <w:tcMar>
              <w:top w:w="28" w:type="dxa"/>
              <w:bottom w:w="28" w:type="dxa"/>
            </w:tcMar>
          </w:tcPr>
          <w:p w14:paraId="1EB62B7A" w14:textId="77777777" w:rsidR="00C63EC9" w:rsidRPr="00247B7A" w:rsidRDefault="00C63EC9" w:rsidP="007F6A0F">
            <w:pPr>
              <w:spacing w:line="252" w:lineRule="auto"/>
              <w:rPr>
                <w:rFonts w:ascii="Arial" w:hAnsi="Arial" w:cs="Arial"/>
              </w:rPr>
            </w:pPr>
            <w:r w:rsidRPr="00247B7A">
              <w:rPr>
                <w:rFonts w:ascii="Arial" w:hAnsi="Arial" w:cs="Arial"/>
              </w:rPr>
              <w:lastRenderedPageBreak/>
              <w:t>DASATINIB</w:t>
            </w:r>
            <w:r w:rsidRPr="00247B7A">
              <w:rPr>
                <w:rFonts w:ascii="Arial" w:hAnsi="Arial" w:cs="Arial"/>
              </w:rPr>
              <w:br/>
            </w:r>
            <w:r w:rsidRPr="00247B7A">
              <w:rPr>
                <w:rFonts w:ascii="Arial" w:hAnsi="Arial" w:cs="Arial"/>
              </w:rPr>
              <w:br/>
              <w:t>Tablet 20mg</w:t>
            </w:r>
          </w:p>
          <w:p w14:paraId="4DAEB77E" w14:textId="77777777" w:rsidR="00C63EC9" w:rsidRPr="00247B7A" w:rsidRDefault="00C63EC9" w:rsidP="007F6A0F">
            <w:pPr>
              <w:spacing w:line="252" w:lineRule="auto"/>
              <w:rPr>
                <w:rFonts w:ascii="Arial" w:hAnsi="Arial" w:cs="Arial"/>
              </w:rPr>
            </w:pPr>
            <w:r w:rsidRPr="00247B7A">
              <w:rPr>
                <w:rFonts w:ascii="Arial" w:hAnsi="Arial" w:cs="Arial"/>
              </w:rPr>
              <w:t>Tablet 50mg</w:t>
            </w:r>
          </w:p>
          <w:p w14:paraId="42C24440" w14:textId="77777777" w:rsidR="00C63EC9" w:rsidRPr="00247B7A" w:rsidRDefault="00C63EC9" w:rsidP="007F6A0F">
            <w:pPr>
              <w:spacing w:line="252" w:lineRule="auto"/>
              <w:rPr>
                <w:rFonts w:ascii="Arial" w:hAnsi="Arial" w:cs="Arial"/>
              </w:rPr>
            </w:pPr>
            <w:r w:rsidRPr="00247B7A">
              <w:rPr>
                <w:rFonts w:ascii="Arial" w:hAnsi="Arial" w:cs="Arial"/>
              </w:rPr>
              <w:t>Tablet 70mg</w:t>
            </w:r>
          </w:p>
          <w:p w14:paraId="65907482" w14:textId="77777777" w:rsidR="00C63EC9" w:rsidRDefault="00C63EC9" w:rsidP="007F6A0F">
            <w:pPr>
              <w:widowControl w:val="0"/>
              <w:rPr>
                <w:rFonts w:ascii="Arial" w:hAnsi="Arial" w:cs="Arial"/>
              </w:rPr>
            </w:pPr>
            <w:r w:rsidRPr="00247B7A">
              <w:rPr>
                <w:rFonts w:ascii="Arial" w:hAnsi="Arial" w:cs="Arial"/>
              </w:rPr>
              <w:t>Tablet 100mg</w:t>
            </w:r>
            <w:r w:rsidRPr="00247B7A">
              <w:rPr>
                <w:rFonts w:ascii="Arial" w:hAnsi="Arial" w:cs="Arial"/>
              </w:rPr>
              <w:br/>
            </w:r>
            <w:r w:rsidRPr="00247B7A">
              <w:rPr>
                <w:rFonts w:ascii="Arial" w:hAnsi="Arial" w:cs="Arial"/>
              </w:rPr>
              <w:br/>
              <w:t>Sprycel®</w:t>
            </w:r>
            <w:r w:rsidRPr="00247B7A">
              <w:rPr>
                <w:rFonts w:ascii="Arial" w:hAnsi="Arial" w:cs="Arial"/>
              </w:rPr>
              <w:br/>
            </w:r>
            <w:r w:rsidRPr="00247B7A">
              <w:rPr>
                <w:rFonts w:ascii="Arial" w:hAnsi="Arial" w:cs="Arial"/>
              </w:rPr>
              <w:br/>
              <w:t>Bristol-Myers Squibb Australia Pty Ltd</w:t>
            </w:r>
          </w:p>
          <w:p w14:paraId="626C528D" w14:textId="77777777" w:rsidR="00C36AC3" w:rsidRDefault="00C36AC3" w:rsidP="007F6A0F">
            <w:pPr>
              <w:widowControl w:val="0"/>
              <w:rPr>
                <w:rFonts w:ascii="Arial" w:hAnsi="Arial" w:cs="Arial"/>
              </w:rPr>
            </w:pPr>
          </w:p>
          <w:p w14:paraId="718C14CA" w14:textId="77777777" w:rsidR="00C36AC3" w:rsidRPr="00C36AC3" w:rsidRDefault="00C36AC3" w:rsidP="00C36AC3">
            <w:pPr>
              <w:widowControl w:val="0"/>
              <w:rPr>
                <w:rFonts w:ascii="Arial" w:hAnsi="Arial" w:cs="Arial"/>
              </w:rPr>
            </w:pPr>
            <w:r w:rsidRPr="00C36AC3">
              <w:rPr>
                <w:rFonts w:ascii="Arial" w:hAnsi="Arial" w:cs="Arial"/>
              </w:rPr>
              <w:t>Change to listing</w:t>
            </w:r>
          </w:p>
          <w:p w14:paraId="01B1F64F" w14:textId="2606829E" w:rsidR="00C36AC3" w:rsidRPr="003D7E12" w:rsidRDefault="00C36AC3" w:rsidP="00C36AC3">
            <w:pPr>
              <w:widowControl w:val="0"/>
              <w:rPr>
                <w:rFonts w:ascii="Arial" w:hAnsi="Arial" w:cs="Arial"/>
                <w:b/>
              </w:rPr>
            </w:pPr>
            <w:r w:rsidRPr="00C36AC3">
              <w:rPr>
                <w:rFonts w:ascii="Arial" w:hAnsi="Arial" w:cs="Arial"/>
              </w:rPr>
              <w:t>(Minor Submission)</w:t>
            </w: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2342E734" w14:textId="0A5AEC28" w:rsidR="00C63EC9" w:rsidRPr="003D7E12" w:rsidRDefault="00C63EC9" w:rsidP="007F6A0F">
            <w:pPr>
              <w:widowControl w:val="0"/>
              <w:rPr>
                <w:rFonts w:ascii="Arial" w:hAnsi="Arial" w:cs="Arial"/>
                <w:b/>
                <w:snapToGrid w:val="0"/>
                <w:lang w:eastAsia="en-US"/>
              </w:rPr>
            </w:pPr>
            <w:r w:rsidRPr="00247B7A">
              <w:rPr>
                <w:rFonts w:ascii="Arial" w:hAnsi="Arial" w:cs="Arial"/>
              </w:rPr>
              <w:t>Acute lymphoblastic leukaemia (ALL)</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14:paraId="58AC79B4" w14:textId="66B1BE47" w:rsidR="00C63EC9" w:rsidRPr="003D7E12" w:rsidRDefault="00C63EC9" w:rsidP="00F92700">
            <w:pPr>
              <w:widowControl w:val="0"/>
              <w:rPr>
                <w:rFonts w:ascii="Arial" w:hAnsi="Arial" w:cs="Arial"/>
                <w:b/>
                <w:snapToGrid w:val="0"/>
                <w:lang w:eastAsia="en-US"/>
              </w:rPr>
            </w:pPr>
            <w:r w:rsidRPr="00247B7A">
              <w:rPr>
                <w:rFonts w:ascii="Arial" w:hAnsi="Arial" w:cs="Arial"/>
              </w:rPr>
              <w:t xml:space="preserve">To request an extension to the current Authority Required listing for the treatment of Philadelphia chromosome positive (Ph+) ALL to include newly diagnosed patients. </w:t>
            </w:r>
          </w:p>
        </w:tc>
        <w:tc>
          <w:tcPr>
            <w:tcW w:w="7192" w:type="dxa"/>
          </w:tcPr>
          <w:p w14:paraId="6BC5C7A1" w14:textId="41317B9A" w:rsidR="00F92700" w:rsidRDefault="000B5913" w:rsidP="007F6A0F">
            <w:pPr>
              <w:widowControl w:val="0"/>
              <w:rPr>
                <w:rFonts w:ascii="Arial" w:hAnsi="Arial" w:cs="Arial"/>
                <w:snapToGrid w:val="0"/>
                <w:lang w:eastAsia="en-US"/>
              </w:rPr>
            </w:pPr>
            <w:r w:rsidRPr="000B5913">
              <w:rPr>
                <w:rFonts w:ascii="Arial" w:hAnsi="Arial" w:cs="Arial"/>
                <w:snapToGrid w:val="0"/>
                <w:lang w:eastAsia="en-US"/>
              </w:rPr>
              <w:t>The PBAC recommended the listing of dasatinib for the treatment of patients with newly diagnosed Ph+</w:t>
            </w:r>
            <w:r w:rsidR="00EA7BD0">
              <w:rPr>
                <w:rFonts w:ascii="Arial" w:hAnsi="Arial" w:cs="Arial"/>
                <w:snapToGrid w:val="0"/>
                <w:lang w:eastAsia="en-US"/>
              </w:rPr>
              <w:t xml:space="preserve"> </w:t>
            </w:r>
            <w:r w:rsidRPr="000B5913">
              <w:rPr>
                <w:rFonts w:ascii="Arial" w:hAnsi="Arial" w:cs="Arial"/>
                <w:snapToGrid w:val="0"/>
                <w:lang w:eastAsia="en-US"/>
              </w:rPr>
              <w:t>ALL. The PBAC’s recommendation for listing was based on its assessment that the cost-effectiveness of dasatinib would be acceptable if it were cost-minimised against imatinib.</w:t>
            </w:r>
          </w:p>
          <w:p w14:paraId="23F6AB77" w14:textId="028184F1" w:rsidR="00F92700" w:rsidRDefault="00F92700" w:rsidP="00F92700">
            <w:pPr>
              <w:rPr>
                <w:rFonts w:ascii="Arial" w:hAnsi="Arial" w:cs="Arial"/>
                <w:lang w:eastAsia="en-US"/>
              </w:rPr>
            </w:pPr>
          </w:p>
          <w:p w14:paraId="49E2970C" w14:textId="77777777" w:rsidR="00F92700" w:rsidRPr="005433E5" w:rsidRDefault="00F92700" w:rsidP="00F92700">
            <w:pPr>
              <w:widowControl w:val="0"/>
              <w:jc w:val="both"/>
              <w:rPr>
                <w:rFonts w:ascii="Arial" w:hAnsi="Arial" w:cs="Arial"/>
                <w:szCs w:val="22"/>
              </w:rPr>
            </w:pPr>
            <w:r w:rsidRPr="005433E5">
              <w:rPr>
                <w:rFonts w:ascii="Arial" w:eastAsiaTheme="minorHAnsi" w:hAnsi="Arial" w:cs="Arial"/>
                <w:szCs w:val="22"/>
              </w:rPr>
              <w:t xml:space="preserve">The PBAC considered the claim that dasatinib in combination with chemotherapy or corticosteroids is comparable in both efficacy and safety to imatinib in combination with chemotherapy or corticosteroids for the first-line treatment of patients with Ph+ ALL to be reasonable although based on limited clinical evidence. The PBAC considered dasatinib may be a better treatment option for some patients given its penetration into the central nervous system. </w:t>
            </w:r>
          </w:p>
          <w:p w14:paraId="3DD5B12C" w14:textId="4A2328AC" w:rsidR="00555355" w:rsidRPr="00F92700" w:rsidRDefault="00555355" w:rsidP="00F92700">
            <w:pPr>
              <w:rPr>
                <w:rFonts w:ascii="Arial" w:hAnsi="Arial" w:cs="Arial"/>
                <w:lang w:eastAsia="en-US"/>
              </w:rPr>
            </w:pPr>
          </w:p>
        </w:tc>
      </w:tr>
      <w:tr w:rsidR="00C63EC9" w:rsidRPr="003D7E12" w14:paraId="4C079C85" w14:textId="77777777" w:rsidTr="007F6A0F">
        <w:trPr>
          <w:cantSplit/>
        </w:trPr>
        <w:tc>
          <w:tcPr>
            <w:tcW w:w="3369" w:type="dxa"/>
            <w:tcMar>
              <w:top w:w="28" w:type="dxa"/>
              <w:bottom w:w="28" w:type="dxa"/>
            </w:tcMar>
          </w:tcPr>
          <w:p w14:paraId="6EB2CAD7" w14:textId="77777777" w:rsidR="00C63EC9" w:rsidRDefault="00C63EC9" w:rsidP="007F6A0F">
            <w:pPr>
              <w:widowControl w:val="0"/>
              <w:rPr>
                <w:rFonts w:ascii="Arial" w:hAnsi="Arial" w:cs="Arial"/>
              </w:rPr>
            </w:pPr>
            <w:r w:rsidRPr="00247B7A">
              <w:rPr>
                <w:rFonts w:ascii="Arial" w:hAnsi="Arial" w:cs="Arial"/>
              </w:rPr>
              <w:t>ENOXAPARIN</w:t>
            </w:r>
            <w:r w:rsidRPr="00247B7A">
              <w:rPr>
                <w:rFonts w:ascii="Arial" w:hAnsi="Arial" w:cs="Arial"/>
              </w:rPr>
              <w:br/>
            </w:r>
            <w:r w:rsidRPr="00247B7A">
              <w:rPr>
                <w:rFonts w:ascii="Arial" w:hAnsi="Arial" w:cs="Arial"/>
              </w:rPr>
              <w:br/>
              <w:t>Injection containing enoxaparin sodium 20 mg (2,000 I.U. anti-Xa) in 0.2 mL pre-filled syringe</w:t>
            </w:r>
            <w:r w:rsidRPr="00247B7A">
              <w:rPr>
                <w:rFonts w:ascii="Arial" w:hAnsi="Arial" w:cs="Arial"/>
              </w:rPr>
              <w:br/>
              <w:t>Injection containing enoxaparin sodium 40 mg (4,000 I.U. anti-Xa) in 0.4 mL pre-filled syringe</w:t>
            </w:r>
            <w:r w:rsidRPr="00247B7A">
              <w:rPr>
                <w:rFonts w:ascii="Arial" w:hAnsi="Arial" w:cs="Arial"/>
              </w:rPr>
              <w:br/>
            </w:r>
            <w:r w:rsidRPr="00247B7A">
              <w:rPr>
                <w:rFonts w:ascii="Arial" w:hAnsi="Arial" w:cs="Arial"/>
              </w:rPr>
              <w:br/>
              <w:t>Clexane®</w:t>
            </w:r>
            <w:r w:rsidRPr="00247B7A">
              <w:rPr>
                <w:rFonts w:ascii="Arial" w:hAnsi="Arial" w:cs="Arial"/>
              </w:rPr>
              <w:br/>
            </w:r>
            <w:r w:rsidRPr="00247B7A">
              <w:rPr>
                <w:rFonts w:ascii="Arial" w:hAnsi="Arial" w:cs="Arial"/>
              </w:rPr>
              <w:br/>
              <w:t>Sanofi-Aventis Australia Pty Ltd</w:t>
            </w:r>
          </w:p>
          <w:p w14:paraId="4E4090AA" w14:textId="77777777" w:rsidR="00C36AC3" w:rsidRDefault="00C36AC3" w:rsidP="007F6A0F">
            <w:pPr>
              <w:widowControl w:val="0"/>
              <w:rPr>
                <w:rFonts w:ascii="Arial" w:hAnsi="Arial" w:cs="Arial"/>
              </w:rPr>
            </w:pPr>
          </w:p>
          <w:p w14:paraId="5B4FB305" w14:textId="77777777" w:rsidR="00C36AC3" w:rsidRPr="00C36AC3" w:rsidRDefault="00C36AC3" w:rsidP="00C36AC3">
            <w:pPr>
              <w:widowControl w:val="0"/>
              <w:rPr>
                <w:rFonts w:ascii="Arial" w:hAnsi="Arial" w:cs="Arial"/>
              </w:rPr>
            </w:pPr>
            <w:r w:rsidRPr="00C36AC3">
              <w:rPr>
                <w:rFonts w:ascii="Arial" w:hAnsi="Arial" w:cs="Arial"/>
              </w:rPr>
              <w:t>Change to listing</w:t>
            </w:r>
          </w:p>
          <w:p w14:paraId="717E3A8E" w14:textId="1B93AC32" w:rsidR="00C36AC3" w:rsidRPr="003D7E12" w:rsidRDefault="00C36AC3" w:rsidP="00C36AC3">
            <w:pPr>
              <w:widowControl w:val="0"/>
              <w:rPr>
                <w:rFonts w:ascii="Arial" w:hAnsi="Arial" w:cs="Arial"/>
                <w:b/>
              </w:rPr>
            </w:pPr>
            <w:r w:rsidRPr="00C36AC3">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1C253CC2" w14:textId="77777777" w:rsidR="00C63EC9" w:rsidRPr="00247B7A" w:rsidRDefault="00C63EC9" w:rsidP="007F6A0F">
            <w:pPr>
              <w:rPr>
                <w:rFonts w:ascii="Arial" w:hAnsi="Arial" w:cs="Arial"/>
              </w:rPr>
            </w:pPr>
            <w:r w:rsidRPr="00247B7A">
              <w:rPr>
                <w:rFonts w:ascii="Arial" w:hAnsi="Arial" w:cs="Arial"/>
              </w:rPr>
              <w:t>Venous thromboembolism (VTE) prophylaxis</w:t>
            </w:r>
          </w:p>
          <w:p w14:paraId="5B98A98E" w14:textId="77777777" w:rsidR="00C63EC9" w:rsidRPr="00247B7A" w:rsidRDefault="00C63EC9" w:rsidP="007F6A0F">
            <w:pPr>
              <w:rPr>
                <w:rFonts w:ascii="Arial" w:hAnsi="Arial" w:cs="Arial"/>
              </w:rPr>
            </w:pPr>
          </w:p>
          <w:p w14:paraId="0AAD8694" w14:textId="77777777" w:rsidR="00C63EC9" w:rsidRPr="00247B7A" w:rsidRDefault="00C63EC9" w:rsidP="007F6A0F">
            <w:pPr>
              <w:rPr>
                <w:rFonts w:ascii="Arial" w:hAnsi="Arial" w:cs="Arial"/>
              </w:rPr>
            </w:pPr>
          </w:p>
          <w:p w14:paraId="3E109503" w14:textId="77777777" w:rsidR="00C63EC9" w:rsidRPr="00247B7A" w:rsidRDefault="00C63EC9" w:rsidP="007F6A0F">
            <w:pPr>
              <w:rPr>
                <w:rFonts w:ascii="Arial" w:hAnsi="Arial" w:cs="Arial"/>
              </w:rPr>
            </w:pPr>
          </w:p>
          <w:p w14:paraId="12995C0A" w14:textId="1D31653D" w:rsidR="00C63EC9" w:rsidRPr="003D7E12" w:rsidRDefault="00C63EC9" w:rsidP="007F6A0F">
            <w:pPr>
              <w:widowControl w:val="0"/>
              <w:rPr>
                <w:rFonts w:ascii="Arial" w:hAnsi="Arial" w:cs="Arial"/>
                <w:b/>
                <w:snapToGrid w:val="0"/>
                <w:lang w:eastAsia="en-US"/>
              </w:rPr>
            </w:pPr>
            <w:r w:rsidRPr="00247B7A">
              <w:rPr>
                <w:rFonts w:ascii="Arial" w:hAnsi="Arial" w:cs="Arial"/>
              </w:rPr>
              <w:tab/>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206CA841" w14:textId="0B05A423" w:rsidR="00C63EC9" w:rsidRPr="003D7E12" w:rsidRDefault="00C63EC9" w:rsidP="007F6A0F">
            <w:pPr>
              <w:widowControl w:val="0"/>
              <w:rPr>
                <w:rFonts w:ascii="Arial" w:hAnsi="Arial" w:cs="Arial"/>
                <w:b/>
                <w:snapToGrid w:val="0"/>
                <w:lang w:eastAsia="en-US"/>
              </w:rPr>
            </w:pPr>
            <w:r w:rsidRPr="00247B7A">
              <w:rPr>
                <w:rFonts w:ascii="Arial" w:hAnsi="Arial" w:cs="Arial"/>
              </w:rPr>
              <w:t xml:space="preserve">To request an increase in the maximum number of repeats from 0 to 1 for the unrestricted listing of enoxaparin. </w:t>
            </w:r>
          </w:p>
        </w:tc>
        <w:tc>
          <w:tcPr>
            <w:tcW w:w="7192" w:type="dxa"/>
          </w:tcPr>
          <w:p w14:paraId="037F7712" w14:textId="546701DD" w:rsidR="00555355" w:rsidRPr="000B5913" w:rsidRDefault="000B5913" w:rsidP="00EA7BD0">
            <w:pPr>
              <w:widowControl w:val="0"/>
              <w:rPr>
                <w:rFonts w:ascii="Arial" w:hAnsi="Arial" w:cs="Arial"/>
                <w:snapToGrid w:val="0"/>
                <w:lang w:eastAsia="en-US"/>
              </w:rPr>
            </w:pPr>
            <w:r w:rsidRPr="000B5913">
              <w:rPr>
                <w:rFonts w:ascii="Arial" w:hAnsi="Arial" w:cs="Arial"/>
                <w:snapToGrid w:val="0"/>
                <w:lang w:eastAsia="en-US"/>
              </w:rPr>
              <w:t>The PBAC recommended a change to the PBS listing for enoxaparin 20mg/0.2 mL and 40 mg/0.4 mL to increase the maximum number of repeats from zero to one. The increase in repeats will provide appropriate supply for patients requiring VTE prophylaxis beyond 20 days.</w:t>
            </w:r>
          </w:p>
        </w:tc>
      </w:tr>
      <w:tr w:rsidR="00BE4436" w:rsidRPr="003D7E12" w14:paraId="576B4752" w14:textId="77777777" w:rsidTr="007F6A0F">
        <w:trPr>
          <w:cantSplit/>
        </w:trPr>
        <w:tc>
          <w:tcPr>
            <w:tcW w:w="3369" w:type="dxa"/>
            <w:tcMar>
              <w:top w:w="28" w:type="dxa"/>
              <w:bottom w:w="28" w:type="dxa"/>
            </w:tcMar>
          </w:tcPr>
          <w:p w14:paraId="54146915" w14:textId="77777777" w:rsidR="00BE4436" w:rsidRDefault="00C63EC9" w:rsidP="007F6A0F">
            <w:pPr>
              <w:widowControl w:val="0"/>
              <w:rPr>
                <w:rFonts w:ascii="Arial" w:hAnsi="Arial" w:cs="Arial"/>
                <w:color w:val="000000"/>
              </w:rPr>
            </w:pPr>
            <w:r w:rsidRPr="00247B7A">
              <w:rPr>
                <w:rFonts w:ascii="Arial" w:hAnsi="Arial" w:cs="Arial"/>
                <w:color w:val="000000"/>
              </w:rPr>
              <w:lastRenderedPageBreak/>
              <w:t>FLUTICASONE FUROATE with UMECLIDINIUM and VILANTEROL</w:t>
            </w:r>
            <w:r w:rsidRPr="00247B7A">
              <w:rPr>
                <w:rFonts w:ascii="Arial" w:hAnsi="Arial" w:cs="Arial"/>
                <w:color w:val="000000"/>
              </w:rPr>
              <w:br/>
            </w:r>
            <w:r w:rsidRPr="00247B7A">
              <w:rPr>
                <w:rFonts w:ascii="Arial" w:hAnsi="Arial" w:cs="Arial"/>
                <w:color w:val="000000"/>
              </w:rPr>
              <w:br/>
              <w:t>Powder for oral inhalation in breath actuated device containing fluticasone furoate 100 micrograms with umeclidinium 62.5 micrograms (as bromide) and vilanterol 25 micrograms (as trifenatate) per dose, 30 doses</w:t>
            </w:r>
            <w:r w:rsidRPr="00247B7A">
              <w:rPr>
                <w:rFonts w:ascii="Arial" w:hAnsi="Arial" w:cs="Arial"/>
                <w:color w:val="000000"/>
              </w:rPr>
              <w:br/>
            </w:r>
            <w:r w:rsidRPr="00247B7A">
              <w:rPr>
                <w:rFonts w:ascii="Arial" w:hAnsi="Arial" w:cs="Arial"/>
                <w:color w:val="000000"/>
              </w:rPr>
              <w:br/>
              <w:t>Trelegy® Ellipta®</w:t>
            </w:r>
            <w:r w:rsidRPr="00247B7A">
              <w:rPr>
                <w:rFonts w:ascii="Arial" w:hAnsi="Arial" w:cs="Arial"/>
                <w:color w:val="000000"/>
              </w:rPr>
              <w:br/>
            </w:r>
            <w:r w:rsidRPr="00247B7A">
              <w:rPr>
                <w:rFonts w:ascii="Arial" w:hAnsi="Arial" w:cs="Arial"/>
                <w:color w:val="000000"/>
              </w:rPr>
              <w:br/>
              <w:t>GlaxoSmithKline Australia Pty Ltd</w:t>
            </w:r>
          </w:p>
          <w:p w14:paraId="5D47245C" w14:textId="77777777" w:rsidR="00C36AC3" w:rsidRDefault="00C36AC3" w:rsidP="007F6A0F">
            <w:pPr>
              <w:widowControl w:val="0"/>
              <w:rPr>
                <w:rFonts w:ascii="Arial" w:hAnsi="Arial" w:cs="Arial"/>
                <w:color w:val="000000"/>
              </w:rPr>
            </w:pPr>
          </w:p>
          <w:p w14:paraId="3EE1CBB8" w14:textId="77777777" w:rsidR="00C36AC3" w:rsidRPr="00C36AC3" w:rsidRDefault="00C36AC3" w:rsidP="00C36AC3">
            <w:pPr>
              <w:widowControl w:val="0"/>
              <w:rPr>
                <w:rFonts w:ascii="Arial" w:hAnsi="Arial" w:cs="Arial"/>
              </w:rPr>
            </w:pPr>
            <w:r w:rsidRPr="00C36AC3">
              <w:rPr>
                <w:rFonts w:ascii="Arial" w:hAnsi="Arial" w:cs="Arial"/>
              </w:rPr>
              <w:t>Change to listing</w:t>
            </w:r>
          </w:p>
          <w:p w14:paraId="5B0C6FE2" w14:textId="4F2E7987" w:rsidR="00C36AC3" w:rsidRPr="003D7E12" w:rsidRDefault="00C36AC3" w:rsidP="00C36AC3">
            <w:pPr>
              <w:widowControl w:val="0"/>
              <w:rPr>
                <w:rFonts w:ascii="Arial" w:hAnsi="Arial" w:cs="Arial"/>
                <w:b/>
              </w:rPr>
            </w:pPr>
            <w:r w:rsidRPr="00C36AC3">
              <w:rPr>
                <w:rFonts w:ascii="Arial" w:hAnsi="Arial" w:cs="Arial"/>
              </w:rPr>
              <w:t>(Major Submission)</w:t>
            </w:r>
          </w:p>
        </w:tc>
        <w:tc>
          <w:tcPr>
            <w:tcW w:w="2307" w:type="dxa"/>
            <w:tcMar>
              <w:top w:w="28" w:type="dxa"/>
              <w:bottom w:w="28" w:type="dxa"/>
            </w:tcMar>
          </w:tcPr>
          <w:p w14:paraId="072D1B94" w14:textId="67F667A8" w:rsidR="00BE4436" w:rsidRPr="003D7E12" w:rsidRDefault="00C63EC9" w:rsidP="007F6A0F">
            <w:pPr>
              <w:widowControl w:val="0"/>
              <w:rPr>
                <w:rFonts w:ascii="Arial" w:hAnsi="Arial" w:cs="Arial"/>
                <w:b/>
                <w:snapToGrid w:val="0"/>
                <w:lang w:eastAsia="en-US"/>
              </w:rPr>
            </w:pPr>
            <w:r w:rsidRPr="00247B7A">
              <w:rPr>
                <w:rFonts w:ascii="Arial" w:hAnsi="Arial" w:cs="Arial"/>
                <w:color w:val="000000"/>
              </w:rPr>
              <w:t>Chronic Obstructive Pulmonary Disease (COPD)</w:t>
            </w:r>
          </w:p>
        </w:tc>
        <w:tc>
          <w:tcPr>
            <w:tcW w:w="2987" w:type="dxa"/>
            <w:tcMar>
              <w:top w:w="28" w:type="dxa"/>
              <w:bottom w:w="28" w:type="dxa"/>
            </w:tcMar>
          </w:tcPr>
          <w:p w14:paraId="6887B483" w14:textId="521620AE" w:rsidR="00BE4436" w:rsidRPr="003D7E12" w:rsidRDefault="00C63EC9" w:rsidP="007F6A0F">
            <w:pPr>
              <w:widowControl w:val="0"/>
              <w:rPr>
                <w:rFonts w:ascii="Arial" w:hAnsi="Arial" w:cs="Arial"/>
                <w:b/>
                <w:snapToGrid w:val="0"/>
                <w:lang w:eastAsia="en-US"/>
              </w:rPr>
            </w:pPr>
            <w:r w:rsidRPr="00247B7A">
              <w:rPr>
                <w:rFonts w:ascii="Arial" w:hAnsi="Arial" w:cs="Arial"/>
                <w:color w:val="000000"/>
              </w:rPr>
              <w:t>To request a change to the current clinical criteria to remove the requirement for patients to have a forced expiratory volume in 1 second (FEV1) less than 50% of predicted normal prior to therapy.</w:t>
            </w:r>
          </w:p>
        </w:tc>
        <w:tc>
          <w:tcPr>
            <w:tcW w:w="7192" w:type="dxa"/>
          </w:tcPr>
          <w:p w14:paraId="1E5BD8E2" w14:textId="64263651" w:rsidR="000B5913" w:rsidRDefault="000B5913" w:rsidP="007F6A0F">
            <w:pPr>
              <w:tabs>
                <w:tab w:val="left" w:pos="1500"/>
              </w:tabs>
              <w:rPr>
                <w:rFonts w:ascii="Arial" w:hAnsi="Arial" w:cs="Arial"/>
                <w:lang w:eastAsia="en-US"/>
              </w:rPr>
            </w:pPr>
            <w:r w:rsidRPr="000B5913">
              <w:rPr>
                <w:rFonts w:ascii="Arial" w:hAnsi="Arial" w:cs="Arial"/>
                <w:lang w:eastAsia="en-US"/>
              </w:rPr>
              <w:t>The PBAC recommended an extension to the existing Authority Required (STREAMLINED) listing of fluticasone furoate with umeclidinium and vilanterol (Trelegy) for COPD, specifically the removal of the FEV1 threshold from the clinical criteria in the restriction. The PBAC recommended the extension of the existing listing on the basis that triple therapy is cost-effective over dual therapy (</w:t>
            </w:r>
            <w:r w:rsidR="00C112EB" w:rsidRPr="00C112EB">
              <w:rPr>
                <w:rFonts w:ascii="Arial" w:hAnsi="Arial" w:cs="Arial"/>
                <w:lang w:eastAsia="en-US"/>
              </w:rPr>
              <w:t xml:space="preserve">long acting muscarinic receptor antagonist </w:t>
            </w:r>
            <w:r w:rsidR="00C112EB">
              <w:rPr>
                <w:rFonts w:ascii="Arial" w:hAnsi="Arial" w:cs="Arial"/>
                <w:lang w:eastAsia="en-US"/>
              </w:rPr>
              <w:t>(</w:t>
            </w:r>
            <w:r w:rsidRPr="000B5913">
              <w:rPr>
                <w:rFonts w:ascii="Arial" w:hAnsi="Arial" w:cs="Arial"/>
                <w:lang w:eastAsia="en-US"/>
              </w:rPr>
              <w:t>LAMA</w:t>
            </w:r>
            <w:r w:rsidR="00C112EB">
              <w:rPr>
                <w:rFonts w:ascii="Arial" w:hAnsi="Arial" w:cs="Arial"/>
                <w:lang w:eastAsia="en-US"/>
              </w:rPr>
              <w:t>)</w:t>
            </w:r>
            <w:r w:rsidRPr="000B5913">
              <w:rPr>
                <w:rFonts w:ascii="Arial" w:hAnsi="Arial" w:cs="Arial"/>
                <w:lang w:eastAsia="en-US"/>
              </w:rPr>
              <w:t>/</w:t>
            </w:r>
            <w:r w:rsidR="00C112EB" w:rsidRPr="00C112EB">
              <w:rPr>
                <w:rFonts w:ascii="Arial" w:hAnsi="Arial" w:cs="Arial"/>
                <w:lang w:eastAsia="en-US"/>
              </w:rPr>
              <w:t xml:space="preserve">long acting beta-2 adrenoreceptor agonist </w:t>
            </w:r>
            <w:r w:rsidR="00C112EB">
              <w:rPr>
                <w:rFonts w:ascii="Arial" w:hAnsi="Arial" w:cs="Arial"/>
                <w:lang w:eastAsia="en-US"/>
              </w:rPr>
              <w:t>(</w:t>
            </w:r>
            <w:r w:rsidRPr="000B5913">
              <w:rPr>
                <w:rFonts w:ascii="Arial" w:hAnsi="Arial" w:cs="Arial"/>
                <w:lang w:eastAsia="en-US"/>
              </w:rPr>
              <w:t>LABA</w:t>
            </w:r>
            <w:r w:rsidR="00C112EB">
              <w:rPr>
                <w:rFonts w:ascii="Arial" w:hAnsi="Arial" w:cs="Arial"/>
                <w:lang w:eastAsia="en-US"/>
              </w:rPr>
              <w:t>)</w:t>
            </w:r>
            <w:r w:rsidRPr="000B5913">
              <w:rPr>
                <w:rFonts w:ascii="Arial" w:hAnsi="Arial" w:cs="Arial"/>
                <w:lang w:eastAsia="en-US"/>
              </w:rPr>
              <w:t>) in this population.</w:t>
            </w:r>
          </w:p>
          <w:p w14:paraId="1C894815" w14:textId="77777777" w:rsidR="00A11D14" w:rsidRPr="000B5913" w:rsidRDefault="00A11D14" w:rsidP="007F6A0F">
            <w:pPr>
              <w:tabs>
                <w:tab w:val="left" w:pos="1500"/>
              </w:tabs>
              <w:rPr>
                <w:rFonts w:ascii="Arial" w:hAnsi="Arial" w:cs="Arial"/>
                <w:lang w:eastAsia="en-US"/>
              </w:rPr>
            </w:pPr>
          </w:p>
          <w:p w14:paraId="449C1079" w14:textId="25412885" w:rsidR="000B5913" w:rsidRPr="000B5913" w:rsidRDefault="000B5913" w:rsidP="007F6A0F">
            <w:pPr>
              <w:tabs>
                <w:tab w:val="left" w:pos="1500"/>
              </w:tabs>
              <w:rPr>
                <w:rFonts w:ascii="Arial" w:hAnsi="Arial" w:cs="Arial"/>
                <w:lang w:eastAsia="en-US"/>
              </w:rPr>
            </w:pPr>
            <w:r w:rsidRPr="000B5913">
              <w:rPr>
                <w:rFonts w:ascii="Arial" w:hAnsi="Arial" w:cs="Arial"/>
                <w:lang w:eastAsia="en-US"/>
              </w:rPr>
              <w:t xml:space="preserve">The PBAC considered that the requested removal of the clinical criteria (FEV1&lt;50% predicted) was also applicable to all </w:t>
            </w:r>
            <w:r w:rsidR="00C112EB" w:rsidRPr="00C112EB">
              <w:rPr>
                <w:rFonts w:ascii="Arial" w:hAnsi="Arial" w:cs="Arial"/>
                <w:lang w:eastAsia="en-US"/>
              </w:rPr>
              <w:t xml:space="preserve">inhaled corticosteroid </w:t>
            </w:r>
            <w:r w:rsidRPr="000B5913">
              <w:rPr>
                <w:rFonts w:ascii="Arial" w:hAnsi="Arial" w:cs="Arial"/>
                <w:lang w:eastAsia="en-US"/>
              </w:rPr>
              <w:t xml:space="preserve">/LABA </w:t>
            </w:r>
            <w:r w:rsidR="00C112EB">
              <w:rPr>
                <w:rFonts w:ascii="Arial" w:hAnsi="Arial" w:cs="Arial"/>
                <w:lang w:eastAsia="en-US"/>
              </w:rPr>
              <w:t>fixed dose combination</w:t>
            </w:r>
            <w:r w:rsidR="00C112EB" w:rsidRPr="000B5913">
              <w:rPr>
                <w:rFonts w:ascii="Arial" w:hAnsi="Arial" w:cs="Arial"/>
                <w:lang w:eastAsia="en-US"/>
              </w:rPr>
              <w:t xml:space="preserve"> </w:t>
            </w:r>
            <w:r w:rsidRPr="000B5913">
              <w:rPr>
                <w:rFonts w:ascii="Arial" w:hAnsi="Arial" w:cs="Arial"/>
                <w:lang w:eastAsia="en-US"/>
              </w:rPr>
              <w:t>products for COPD on the PBS and as such recommended that flow-on restriction changes to these products were appropriate.</w:t>
            </w:r>
          </w:p>
          <w:p w14:paraId="61452F00" w14:textId="3D51B7F2" w:rsidR="00555355" w:rsidRPr="000B5913" w:rsidRDefault="00555355" w:rsidP="007F6A0F">
            <w:pPr>
              <w:tabs>
                <w:tab w:val="left" w:pos="1500"/>
              </w:tabs>
              <w:rPr>
                <w:rFonts w:ascii="Arial" w:hAnsi="Arial" w:cs="Arial"/>
                <w:lang w:eastAsia="en-US"/>
              </w:rPr>
            </w:pPr>
          </w:p>
        </w:tc>
      </w:tr>
      <w:tr w:rsidR="00C63EC9" w:rsidRPr="003D7E12" w14:paraId="0FF5250F" w14:textId="77777777" w:rsidTr="007F6A0F">
        <w:trPr>
          <w:cantSplit/>
        </w:trPr>
        <w:tc>
          <w:tcPr>
            <w:tcW w:w="3369" w:type="dxa"/>
            <w:tcMar>
              <w:top w:w="28" w:type="dxa"/>
              <w:bottom w:w="28" w:type="dxa"/>
            </w:tcMar>
          </w:tcPr>
          <w:p w14:paraId="42C2E356" w14:textId="77777777" w:rsidR="00C36AC3" w:rsidRDefault="00C63EC9" w:rsidP="007F6A0F">
            <w:pPr>
              <w:widowControl w:val="0"/>
              <w:rPr>
                <w:rFonts w:ascii="Arial" w:hAnsi="Arial" w:cs="Arial"/>
              </w:rPr>
            </w:pPr>
            <w:r w:rsidRPr="00247B7A">
              <w:rPr>
                <w:rFonts w:ascii="Arial" w:hAnsi="Arial" w:cs="Arial"/>
              </w:rPr>
              <w:t>INFLIXIMAB</w:t>
            </w:r>
            <w:r w:rsidRPr="00247B7A">
              <w:rPr>
                <w:rFonts w:ascii="Arial" w:hAnsi="Arial" w:cs="Arial"/>
              </w:rPr>
              <w:br/>
            </w:r>
            <w:r w:rsidRPr="00247B7A">
              <w:rPr>
                <w:rFonts w:ascii="Arial" w:hAnsi="Arial" w:cs="Arial"/>
              </w:rPr>
              <w:br/>
              <w:t>Powder for I.V. infusion 100 mg</w:t>
            </w:r>
            <w:r w:rsidRPr="00247B7A">
              <w:rPr>
                <w:rFonts w:ascii="Arial" w:hAnsi="Arial" w:cs="Arial"/>
              </w:rPr>
              <w:br/>
            </w:r>
            <w:r w:rsidRPr="00247B7A">
              <w:rPr>
                <w:rFonts w:ascii="Arial" w:hAnsi="Arial" w:cs="Arial"/>
              </w:rPr>
              <w:br/>
              <w:t>Inflectra®</w:t>
            </w:r>
            <w:r w:rsidRPr="00247B7A">
              <w:rPr>
                <w:rFonts w:ascii="Arial" w:hAnsi="Arial" w:cs="Arial"/>
              </w:rPr>
              <w:br/>
            </w:r>
            <w:r w:rsidRPr="00247B7A">
              <w:rPr>
                <w:rFonts w:ascii="Arial" w:hAnsi="Arial" w:cs="Arial"/>
              </w:rPr>
              <w:br/>
              <w:t>Pfizer Australia Pty Ltd</w:t>
            </w:r>
          </w:p>
          <w:p w14:paraId="074FEBC5" w14:textId="77777777" w:rsidR="00C36AC3" w:rsidRDefault="00C36AC3" w:rsidP="007F6A0F">
            <w:pPr>
              <w:widowControl w:val="0"/>
              <w:rPr>
                <w:rFonts w:ascii="Arial" w:hAnsi="Arial" w:cs="Arial"/>
              </w:rPr>
            </w:pPr>
          </w:p>
          <w:p w14:paraId="6AE82D66" w14:textId="77777777" w:rsidR="00C36AC3" w:rsidRPr="00C36AC3" w:rsidRDefault="00C36AC3" w:rsidP="00C36AC3">
            <w:pPr>
              <w:widowControl w:val="0"/>
              <w:rPr>
                <w:rFonts w:ascii="Arial" w:hAnsi="Arial" w:cs="Arial"/>
              </w:rPr>
            </w:pPr>
            <w:r w:rsidRPr="00C36AC3">
              <w:rPr>
                <w:rFonts w:ascii="Arial" w:hAnsi="Arial" w:cs="Arial"/>
              </w:rPr>
              <w:t>Change to listing</w:t>
            </w:r>
          </w:p>
          <w:p w14:paraId="499BF85E" w14:textId="61E805CD" w:rsidR="00C63EC9" w:rsidRPr="003D7E12" w:rsidRDefault="00C36AC3" w:rsidP="00C36AC3">
            <w:pPr>
              <w:widowControl w:val="0"/>
              <w:rPr>
                <w:rFonts w:ascii="Arial" w:hAnsi="Arial" w:cs="Arial"/>
                <w:b/>
              </w:rPr>
            </w:pPr>
            <w:r>
              <w:rPr>
                <w:rFonts w:ascii="Arial" w:hAnsi="Arial" w:cs="Arial"/>
              </w:rPr>
              <w:t>(Minor Submission)</w:t>
            </w:r>
            <w:r w:rsidR="00C63EC9" w:rsidRPr="00247B7A">
              <w:rPr>
                <w:rFonts w:ascii="Arial" w:hAnsi="Arial" w:cs="Arial"/>
              </w:rPr>
              <w:tab/>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070D0DFD" w14:textId="77777777" w:rsidR="00C63EC9" w:rsidRPr="00247B7A" w:rsidRDefault="00C63EC9" w:rsidP="007F6A0F">
            <w:pPr>
              <w:rPr>
                <w:rFonts w:ascii="Arial" w:hAnsi="Arial" w:cs="Arial"/>
              </w:rPr>
            </w:pPr>
            <w:r w:rsidRPr="00247B7A">
              <w:rPr>
                <w:rFonts w:ascii="Arial" w:hAnsi="Arial" w:cs="Arial"/>
              </w:rPr>
              <w:t>Crohn disease</w:t>
            </w:r>
            <w:r w:rsidRPr="00247B7A">
              <w:rPr>
                <w:rFonts w:ascii="Arial" w:hAnsi="Arial" w:cs="Arial"/>
              </w:rPr>
              <w:br/>
              <w:t>Fistulating Crohn disease</w:t>
            </w:r>
            <w:r w:rsidRPr="00247B7A">
              <w:rPr>
                <w:rFonts w:ascii="Arial" w:hAnsi="Arial" w:cs="Arial"/>
              </w:rPr>
              <w:br/>
              <w:t>Ulcerative colitis</w:t>
            </w:r>
            <w:r w:rsidRPr="00247B7A">
              <w:rPr>
                <w:rFonts w:ascii="Arial" w:hAnsi="Arial" w:cs="Arial"/>
              </w:rPr>
              <w:br/>
              <w:t>Ankylosing spondylitis</w:t>
            </w:r>
            <w:r w:rsidRPr="00247B7A">
              <w:rPr>
                <w:rFonts w:ascii="Arial" w:hAnsi="Arial" w:cs="Arial"/>
              </w:rPr>
              <w:br/>
              <w:t>Psoriatic arthritis</w:t>
            </w:r>
            <w:r w:rsidRPr="00247B7A">
              <w:rPr>
                <w:rFonts w:ascii="Arial" w:hAnsi="Arial" w:cs="Arial"/>
              </w:rPr>
              <w:br/>
              <w:t>Chronic plaque psoriasis</w:t>
            </w:r>
          </w:p>
          <w:p w14:paraId="7F941758" w14:textId="77777777" w:rsidR="00C63EC9" w:rsidRPr="003D7E12" w:rsidRDefault="00C63EC9" w:rsidP="007F6A0F">
            <w:pPr>
              <w:widowControl w:val="0"/>
              <w:rPr>
                <w:rFonts w:ascii="Arial" w:hAnsi="Arial" w:cs="Arial"/>
                <w:b/>
                <w:snapToGrid w:val="0"/>
                <w:lang w:eastAsia="en-US"/>
              </w:rPr>
            </w:pP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1ADE642D" w14:textId="77777777" w:rsidR="00C63EC9" w:rsidRPr="00247B7A" w:rsidRDefault="00C63EC9" w:rsidP="007F6A0F">
            <w:pPr>
              <w:rPr>
                <w:rFonts w:ascii="Arial" w:hAnsi="Arial" w:cs="Arial"/>
              </w:rPr>
            </w:pPr>
            <w:r w:rsidRPr="00247B7A">
              <w:rPr>
                <w:rFonts w:ascii="Arial" w:hAnsi="Arial" w:cs="Arial"/>
              </w:rPr>
              <w:t>To request an increase in the maximum quantity of vials from 4 to 5 in the Authority Required (STREAMLINED), subsequent continuing treatment phase for indications for which a 5 mg/kg dose regimen is required.</w:t>
            </w:r>
          </w:p>
          <w:p w14:paraId="6F508C11" w14:textId="77777777" w:rsidR="00C63EC9" w:rsidRPr="003D7E12" w:rsidRDefault="00C63EC9" w:rsidP="007F6A0F">
            <w:pPr>
              <w:widowControl w:val="0"/>
              <w:rPr>
                <w:rFonts w:ascii="Arial" w:hAnsi="Arial" w:cs="Arial"/>
                <w:b/>
                <w:snapToGrid w:val="0"/>
                <w:lang w:eastAsia="en-US"/>
              </w:rPr>
            </w:pPr>
          </w:p>
        </w:tc>
        <w:tc>
          <w:tcPr>
            <w:tcW w:w="7192" w:type="dxa"/>
          </w:tcPr>
          <w:p w14:paraId="001A672F" w14:textId="546F5211" w:rsidR="00555355" w:rsidRPr="000B5913" w:rsidRDefault="00602E73" w:rsidP="00E436CF">
            <w:pPr>
              <w:widowControl w:val="0"/>
              <w:rPr>
                <w:rFonts w:ascii="Arial" w:hAnsi="Arial" w:cs="Arial"/>
                <w:snapToGrid w:val="0"/>
                <w:lang w:eastAsia="en-US"/>
              </w:rPr>
            </w:pPr>
            <w:r w:rsidRPr="00602E73">
              <w:rPr>
                <w:rFonts w:ascii="Arial" w:hAnsi="Arial" w:cs="Arial"/>
                <w:snapToGrid w:val="0"/>
                <w:lang w:eastAsia="en-US"/>
              </w:rPr>
              <w:t xml:space="preserve">The PBAC recommended an increase in the maximum quantity for the Section 100 (Highly Specialised Drugs) Authority Required (STREAMLINED) listings of infliximab for subsequent continuing treatment </w:t>
            </w:r>
            <w:r w:rsidR="00F92700">
              <w:rPr>
                <w:rFonts w:ascii="Arial" w:hAnsi="Arial" w:cs="Arial"/>
                <w:snapToGrid w:val="0"/>
                <w:lang w:eastAsia="en-US"/>
              </w:rPr>
              <w:t xml:space="preserve">from </w:t>
            </w:r>
            <w:r w:rsidR="00E436CF">
              <w:rPr>
                <w:rFonts w:ascii="Arial" w:hAnsi="Arial" w:cs="Arial"/>
                <w:snapToGrid w:val="0"/>
                <w:lang w:eastAsia="en-US"/>
              </w:rPr>
              <w:t xml:space="preserve">4 </w:t>
            </w:r>
            <w:r w:rsidRPr="00602E73">
              <w:rPr>
                <w:rFonts w:ascii="Arial" w:hAnsi="Arial" w:cs="Arial"/>
                <w:snapToGrid w:val="0"/>
                <w:lang w:eastAsia="en-US"/>
              </w:rPr>
              <w:t xml:space="preserve">to </w:t>
            </w:r>
            <w:r w:rsidR="00E436CF">
              <w:rPr>
                <w:rFonts w:ascii="Arial" w:hAnsi="Arial" w:cs="Arial"/>
                <w:snapToGrid w:val="0"/>
                <w:lang w:eastAsia="en-US"/>
              </w:rPr>
              <w:t>5</w:t>
            </w:r>
            <w:r w:rsidR="00E436CF" w:rsidRPr="00602E73">
              <w:rPr>
                <w:rFonts w:ascii="Arial" w:hAnsi="Arial" w:cs="Arial"/>
                <w:snapToGrid w:val="0"/>
                <w:lang w:eastAsia="en-US"/>
              </w:rPr>
              <w:t xml:space="preserve"> </w:t>
            </w:r>
            <w:r w:rsidRPr="00602E73">
              <w:rPr>
                <w:rFonts w:ascii="Arial" w:hAnsi="Arial" w:cs="Arial"/>
                <w:snapToGrid w:val="0"/>
                <w:lang w:eastAsia="en-US"/>
              </w:rPr>
              <w:t>vials for severe Crohn disease, complex refractory fistulising Crohn disease, moderate to severe Crohn disease, moderate to severe ulcerative colitis, ankylosing spondylitis, severe psoriatic arthritis, and severe chronic plaque psoriasis.</w:t>
            </w:r>
            <w:r w:rsidR="00F92700">
              <w:rPr>
                <w:rFonts w:ascii="Arial" w:hAnsi="Arial" w:cs="Arial"/>
                <w:snapToGrid w:val="0"/>
                <w:lang w:eastAsia="en-US"/>
              </w:rPr>
              <w:t xml:space="preserve"> The recommended change in maximum quantity would provide sufficient supply for the treatment of patients weighing up to 100 kg. </w:t>
            </w:r>
          </w:p>
        </w:tc>
      </w:tr>
      <w:tr w:rsidR="00C63EC9" w:rsidRPr="003D7E12" w14:paraId="34AFF782" w14:textId="77777777" w:rsidTr="007F6A0F">
        <w:trPr>
          <w:cantSplit/>
        </w:trPr>
        <w:tc>
          <w:tcPr>
            <w:tcW w:w="3369" w:type="dxa"/>
            <w:tcMar>
              <w:top w:w="28" w:type="dxa"/>
              <w:bottom w:w="28" w:type="dxa"/>
            </w:tcMar>
          </w:tcPr>
          <w:p w14:paraId="7B1DF2A5" w14:textId="77777777" w:rsidR="00C63EC9" w:rsidRDefault="00C63EC9" w:rsidP="007F6A0F">
            <w:pPr>
              <w:widowControl w:val="0"/>
              <w:rPr>
                <w:rFonts w:ascii="Arial" w:hAnsi="Arial" w:cs="Arial"/>
                <w:color w:val="000000"/>
              </w:rPr>
            </w:pPr>
            <w:r w:rsidRPr="009B0703">
              <w:rPr>
                <w:rFonts w:ascii="Arial" w:hAnsi="Arial" w:cs="Arial"/>
                <w:color w:val="000000"/>
              </w:rPr>
              <w:lastRenderedPageBreak/>
              <w:t>IVACAFTOR</w:t>
            </w:r>
            <w:r w:rsidRPr="00247B7A">
              <w:rPr>
                <w:rFonts w:ascii="Arial" w:hAnsi="Arial" w:cs="Arial"/>
                <w:color w:val="000000"/>
              </w:rPr>
              <w:br/>
            </w:r>
            <w:r w:rsidRPr="00247B7A">
              <w:rPr>
                <w:rFonts w:ascii="Arial" w:hAnsi="Arial" w:cs="Arial"/>
                <w:color w:val="000000"/>
              </w:rPr>
              <w:br/>
              <w:t>Sachet containing granules 50 mg</w:t>
            </w:r>
            <w:r w:rsidRPr="00247B7A">
              <w:rPr>
                <w:rFonts w:ascii="Arial" w:hAnsi="Arial" w:cs="Arial"/>
                <w:color w:val="000000"/>
              </w:rPr>
              <w:br/>
              <w:t>Sachet containing granules 75 mg</w:t>
            </w:r>
            <w:r w:rsidRPr="00247B7A">
              <w:rPr>
                <w:rFonts w:ascii="Arial" w:hAnsi="Arial" w:cs="Arial"/>
                <w:color w:val="000000"/>
              </w:rPr>
              <w:br/>
            </w:r>
            <w:r w:rsidRPr="00247B7A">
              <w:rPr>
                <w:rFonts w:ascii="Arial" w:hAnsi="Arial" w:cs="Arial"/>
                <w:color w:val="000000"/>
              </w:rPr>
              <w:br/>
              <w:t>Kalydeco®</w:t>
            </w:r>
            <w:r w:rsidRPr="00247B7A">
              <w:rPr>
                <w:rFonts w:ascii="Arial" w:hAnsi="Arial" w:cs="Arial"/>
                <w:color w:val="000000"/>
              </w:rPr>
              <w:br/>
            </w:r>
            <w:r w:rsidRPr="00247B7A">
              <w:rPr>
                <w:rFonts w:ascii="Arial" w:hAnsi="Arial" w:cs="Arial"/>
                <w:color w:val="000000"/>
              </w:rPr>
              <w:br/>
              <w:t>Vertex Pharmaceuticals (Australia) Pty Ltd</w:t>
            </w:r>
          </w:p>
          <w:p w14:paraId="7BF7FE79" w14:textId="77777777" w:rsidR="00C36AC3" w:rsidRDefault="00C36AC3" w:rsidP="007F6A0F">
            <w:pPr>
              <w:widowControl w:val="0"/>
              <w:rPr>
                <w:rFonts w:ascii="Arial" w:hAnsi="Arial" w:cs="Arial"/>
                <w:color w:val="000000"/>
              </w:rPr>
            </w:pPr>
          </w:p>
          <w:p w14:paraId="2BA116D9" w14:textId="77777777" w:rsidR="00C36AC3" w:rsidRPr="00C36AC3" w:rsidRDefault="00C36AC3" w:rsidP="00C36AC3">
            <w:pPr>
              <w:widowControl w:val="0"/>
              <w:rPr>
                <w:rFonts w:ascii="Arial" w:hAnsi="Arial" w:cs="Arial"/>
              </w:rPr>
            </w:pPr>
            <w:r w:rsidRPr="00C36AC3">
              <w:rPr>
                <w:rFonts w:ascii="Arial" w:hAnsi="Arial" w:cs="Arial"/>
              </w:rPr>
              <w:t>Change to listing</w:t>
            </w:r>
          </w:p>
          <w:p w14:paraId="4A9B5FA8" w14:textId="5DF64764" w:rsidR="00C36AC3" w:rsidRPr="003D7E12" w:rsidRDefault="00C36AC3" w:rsidP="00C36AC3">
            <w:pPr>
              <w:widowControl w:val="0"/>
              <w:rPr>
                <w:rFonts w:ascii="Arial" w:hAnsi="Arial" w:cs="Arial"/>
                <w:b/>
              </w:rPr>
            </w:pPr>
            <w:r w:rsidRPr="00C36AC3">
              <w:rPr>
                <w:rFonts w:ascii="Arial" w:hAnsi="Arial" w:cs="Arial"/>
              </w:rPr>
              <w:t>(Major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45B18282" w14:textId="2BE6C1ED" w:rsidR="00C63EC9" w:rsidRPr="003D7E12" w:rsidRDefault="00C63EC9" w:rsidP="007F6A0F">
            <w:pPr>
              <w:widowControl w:val="0"/>
              <w:rPr>
                <w:rFonts w:ascii="Arial" w:hAnsi="Arial" w:cs="Arial"/>
                <w:b/>
                <w:snapToGrid w:val="0"/>
                <w:lang w:eastAsia="en-US"/>
              </w:rPr>
            </w:pPr>
            <w:r w:rsidRPr="00247B7A">
              <w:rPr>
                <w:rFonts w:ascii="Arial" w:hAnsi="Arial" w:cs="Arial"/>
                <w:color w:val="000000"/>
              </w:rPr>
              <w:t>Cystic fibrosis (CF)</w:t>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45E89669" w14:textId="4EAA7A43" w:rsidR="00C63EC9" w:rsidRPr="003D7E12" w:rsidRDefault="00C63EC9" w:rsidP="007F6A0F">
            <w:pPr>
              <w:widowControl w:val="0"/>
              <w:rPr>
                <w:rFonts w:ascii="Arial" w:hAnsi="Arial" w:cs="Arial"/>
                <w:b/>
                <w:snapToGrid w:val="0"/>
                <w:lang w:eastAsia="en-US"/>
              </w:rPr>
            </w:pPr>
            <w:r w:rsidRPr="00247B7A">
              <w:rPr>
                <w:rFonts w:ascii="Arial" w:hAnsi="Arial" w:cs="Arial"/>
                <w:color w:val="000000"/>
              </w:rPr>
              <w:t xml:space="preserve">To request an extension to the current Section 100 (Highly Specialised Drugs Program) Authority Required listing to include the treatment of CF in patients aged 12–24 months who have at least one </w:t>
            </w:r>
            <w:r w:rsidRPr="00247B7A">
              <w:rPr>
                <w:rFonts w:ascii="Arial" w:hAnsi="Arial" w:cs="Arial"/>
                <w:i/>
                <w:color w:val="000000"/>
              </w:rPr>
              <w:t>G551D</w:t>
            </w:r>
            <w:r w:rsidRPr="00247B7A">
              <w:rPr>
                <w:rFonts w:ascii="Arial" w:hAnsi="Arial" w:cs="Arial"/>
                <w:color w:val="000000"/>
              </w:rPr>
              <w:t xml:space="preserve"> or other gating (class III) mutation in the CF transmembrane conductance regulator (CFTR) gene.</w:t>
            </w:r>
          </w:p>
        </w:tc>
        <w:tc>
          <w:tcPr>
            <w:tcW w:w="7192" w:type="dxa"/>
          </w:tcPr>
          <w:p w14:paraId="06DF042D" w14:textId="16620EAE" w:rsidR="0032767B" w:rsidRPr="000B5913" w:rsidRDefault="000B5913" w:rsidP="003A7D99">
            <w:pPr>
              <w:widowControl w:val="0"/>
              <w:rPr>
                <w:rFonts w:ascii="Arial" w:hAnsi="Arial" w:cs="Arial"/>
                <w:snapToGrid w:val="0"/>
                <w:lang w:eastAsia="en-US"/>
              </w:rPr>
            </w:pPr>
            <w:r w:rsidRPr="000B5913">
              <w:rPr>
                <w:rFonts w:ascii="Arial" w:hAnsi="Arial" w:cs="Arial"/>
                <w:snapToGrid w:val="0"/>
                <w:lang w:eastAsia="en-US"/>
              </w:rPr>
              <w:t xml:space="preserve">The PBAC recommended extending the Section 100 (Highly Specialised Drugs Program), Authority Required listing of ivacaftor granules to include treatment of patients aged 12 to 24 months who have a </w:t>
            </w:r>
            <w:r w:rsidRPr="00E44A44">
              <w:rPr>
                <w:rFonts w:ascii="Arial" w:hAnsi="Arial" w:cs="Arial"/>
                <w:i/>
                <w:snapToGrid w:val="0"/>
                <w:lang w:eastAsia="en-US"/>
              </w:rPr>
              <w:t>G551D</w:t>
            </w:r>
            <w:r w:rsidRPr="000B5913">
              <w:rPr>
                <w:rFonts w:ascii="Arial" w:hAnsi="Arial" w:cs="Arial"/>
                <w:snapToGrid w:val="0"/>
                <w:lang w:eastAsia="en-US"/>
              </w:rPr>
              <w:t xml:space="preserve"> mutation or other class III gating mutations in the CFTR gene. The PBAC noted that the efficacy data in the 12-24 months age group was limited however, acknowledged the difficulties associated with getting clinical data in this setting. The PBAC considered that based on the overall evidence, a benefit in earlier treatment was biologically plausible. The PBAC considered that any uncertainty in cost-effectiveness could be adequately managed by including this </w:t>
            </w:r>
            <w:r w:rsidRPr="005412E3">
              <w:rPr>
                <w:rFonts w:ascii="Arial" w:hAnsi="Arial" w:cs="Arial"/>
                <w:snapToGrid w:val="0"/>
                <w:lang w:eastAsia="en-US"/>
              </w:rPr>
              <w:t xml:space="preserve">patient population </w:t>
            </w:r>
            <w:r w:rsidR="003A7D99" w:rsidRPr="005412E3">
              <w:rPr>
                <w:rFonts w:ascii="Arial" w:hAnsi="Arial" w:cs="Arial"/>
                <w:snapToGrid w:val="0"/>
                <w:lang w:eastAsia="en-US"/>
              </w:rPr>
              <w:t>within the current risk sharing arrangements</w:t>
            </w:r>
            <w:r w:rsidRPr="005412E3">
              <w:rPr>
                <w:rFonts w:ascii="Arial" w:hAnsi="Arial" w:cs="Arial"/>
                <w:snapToGrid w:val="0"/>
                <w:lang w:eastAsia="en-US"/>
              </w:rPr>
              <w:t xml:space="preserve"> for ivacaftor.</w:t>
            </w:r>
            <w:bookmarkStart w:id="0" w:name="_GoBack"/>
            <w:bookmarkEnd w:id="0"/>
          </w:p>
        </w:tc>
      </w:tr>
      <w:tr w:rsidR="00370ADC" w:rsidRPr="003D7E12" w14:paraId="57AA5B43" w14:textId="77777777" w:rsidTr="007F6A0F">
        <w:trPr>
          <w:cantSplit/>
        </w:trPr>
        <w:tc>
          <w:tcPr>
            <w:tcW w:w="3369" w:type="dxa"/>
            <w:tcMar>
              <w:top w:w="28" w:type="dxa"/>
              <w:bottom w:w="28" w:type="dxa"/>
            </w:tcMar>
          </w:tcPr>
          <w:p w14:paraId="7BD4B58D" w14:textId="77777777" w:rsidR="00370ADC" w:rsidRDefault="00370ADC" w:rsidP="007F6A0F">
            <w:pPr>
              <w:widowControl w:val="0"/>
              <w:rPr>
                <w:rFonts w:ascii="Arial" w:hAnsi="Arial" w:cs="Arial"/>
              </w:rPr>
            </w:pPr>
            <w:r w:rsidRPr="00247B7A">
              <w:rPr>
                <w:rFonts w:ascii="Arial" w:hAnsi="Arial" w:cs="Arial"/>
              </w:rPr>
              <w:t>LANREOTIDE</w:t>
            </w:r>
            <w:r w:rsidRPr="00247B7A">
              <w:rPr>
                <w:rFonts w:ascii="Arial" w:hAnsi="Arial" w:cs="Arial"/>
              </w:rPr>
              <w:br/>
            </w:r>
            <w:r w:rsidRPr="00247B7A">
              <w:rPr>
                <w:rFonts w:ascii="Arial" w:hAnsi="Arial" w:cs="Arial"/>
              </w:rPr>
              <w:br/>
              <w:t>Injection 120 mg (as acetate) in single dose pre-filled syringe</w:t>
            </w:r>
            <w:r w:rsidRPr="00247B7A">
              <w:rPr>
                <w:rFonts w:ascii="Arial" w:hAnsi="Arial" w:cs="Arial"/>
              </w:rPr>
              <w:br/>
            </w:r>
            <w:r w:rsidRPr="00247B7A">
              <w:rPr>
                <w:rFonts w:ascii="Arial" w:hAnsi="Arial" w:cs="Arial"/>
              </w:rPr>
              <w:br/>
              <w:t>Somatuline® Autogel®</w:t>
            </w:r>
            <w:r w:rsidRPr="00247B7A">
              <w:rPr>
                <w:rFonts w:ascii="Arial" w:hAnsi="Arial" w:cs="Arial"/>
              </w:rPr>
              <w:br/>
            </w:r>
            <w:r w:rsidRPr="00247B7A">
              <w:rPr>
                <w:rFonts w:ascii="Arial" w:hAnsi="Arial" w:cs="Arial"/>
              </w:rPr>
              <w:br/>
              <w:t xml:space="preserve">Ipsen Pty Ltd </w:t>
            </w:r>
            <w:r w:rsidRPr="00247B7A">
              <w:rPr>
                <w:rFonts w:ascii="Arial" w:hAnsi="Arial" w:cs="Arial"/>
              </w:rPr>
              <w:tab/>
            </w:r>
          </w:p>
          <w:p w14:paraId="0C4D6816" w14:textId="77777777" w:rsidR="00C36AC3" w:rsidRDefault="00C36AC3" w:rsidP="007F6A0F">
            <w:pPr>
              <w:widowControl w:val="0"/>
              <w:rPr>
                <w:rFonts w:ascii="Arial" w:hAnsi="Arial" w:cs="Arial"/>
              </w:rPr>
            </w:pPr>
          </w:p>
          <w:p w14:paraId="77F62296" w14:textId="77777777" w:rsidR="00C36AC3" w:rsidRPr="00C36AC3" w:rsidRDefault="00C36AC3" w:rsidP="00C36AC3">
            <w:pPr>
              <w:widowControl w:val="0"/>
              <w:rPr>
                <w:rFonts w:ascii="Arial" w:hAnsi="Arial" w:cs="Arial"/>
              </w:rPr>
            </w:pPr>
            <w:r w:rsidRPr="00C36AC3">
              <w:rPr>
                <w:rFonts w:ascii="Arial" w:hAnsi="Arial" w:cs="Arial"/>
              </w:rPr>
              <w:t>Change to listing</w:t>
            </w:r>
          </w:p>
          <w:p w14:paraId="5DB702CD" w14:textId="3899D0B9" w:rsidR="00C36AC3" w:rsidRPr="003D7E12" w:rsidRDefault="00C36AC3" w:rsidP="00C36AC3">
            <w:pPr>
              <w:widowControl w:val="0"/>
              <w:rPr>
                <w:rFonts w:ascii="Arial" w:hAnsi="Arial" w:cs="Arial"/>
                <w:b/>
              </w:rPr>
            </w:pPr>
            <w:r w:rsidRPr="00C36AC3">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419A857D" w14:textId="77777777" w:rsidR="00370ADC" w:rsidRPr="00247B7A" w:rsidRDefault="00370ADC" w:rsidP="007F6A0F">
            <w:pPr>
              <w:rPr>
                <w:rFonts w:ascii="Arial" w:hAnsi="Arial" w:cs="Arial"/>
              </w:rPr>
            </w:pPr>
            <w:r w:rsidRPr="00247B7A">
              <w:rPr>
                <w:rFonts w:ascii="Arial" w:hAnsi="Arial" w:cs="Arial"/>
              </w:rPr>
              <w:t xml:space="preserve">Non-functional gastroenteropancreatic neuroendocrine tumour (GEP-NETs) </w:t>
            </w:r>
          </w:p>
          <w:p w14:paraId="50F364BD" w14:textId="77777777" w:rsidR="00370ADC" w:rsidRPr="003D7E12" w:rsidRDefault="00370ADC" w:rsidP="007F6A0F">
            <w:pPr>
              <w:widowControl w:val="0"/>
              <w:rPr>
                <w:rFonts w:ascii="Arial" w:hAnsi="Arial" w:cs="Arial"/>
                <w:b/>
                <w:snapToGrid w:val="0"/>
                <w:lang w:eastAsia="en-US"/>
              </w:rPr>
            </w:pP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5FFFE5A6" w14:textId="77777777" w:rsidR="00370ADC" w:rsidRPr="00247B7A" w:rsidRDefault="00370ADC" w:rsidP="007F6A0F">
            <w:pPr>
              <w:rPr>
                <w:rFonts w:ascii="Arial" w:hAnsi="Arial" w:cs="Arial"/>
              </w:rPr>
            </w:pPr>
            <w:r w:rsidRPr="00247B7A">
              <w:rPr>
                <w:rFonts w:ascii="Arial" w:hAnsi="Arial" w:cs="Arial"/>
              </w:rPr>
              <w:t>To request a Section 100 (Highly Specialised Drug - Community Access), Authority Required (STREAMLINED) listing for the treatment of GEP-NETs.</w:t>
            </w:r>
          </w:p>
          <w:p w14:paraId="7719F7F4" w14:textId="77777777" w:rsidR="00370ADC" w:rsidRPr="00247B7A" w:rsidRDefault="00370ADC" w:rsidP="007F6A0F">
            <w:pPr>
              <w:rPr>
                <w:rFonts w:ascii="Arial" w:hAnsi="Arial" w:cs="Arial"/>
              </w:rPr>
            </w:pPr>
          </w:p>
          <w:p w14:paraId="3A4A4600" w14:textId="77777777" w:rsidR="00370ADC" w:rsidRPr="00247B7A" w:rsidRDefault="00370ADC" w:rsidP="007F6A0F">
            <w:pPr>
              <w:rPr>
                <w:rFonts w:ascii="Arial" w:hAnsi="Arial" w:cs="Arial"/>
              </w:rPr>
            </w:pPr>
          </w:p>
          <w:p w14:paraId="4E6C394D" w14:textId="77777777" w:rsidR="00370ADC" w:rsidRPr="00247B7A" w:rsidRDefault="00370ADC" w:rsidP="007F6A0F">
            <w:pPr>
              <w:rPr>
                <w:rFonts w:ascii="Arial" w:hAnsi="Arial" w:cs="Arial"/>
              </w:rPr>
            </w:pPr>
          </w:p>
          <w:p w14:paraId="28DF2DDE" w14:textId="77777777" w:rsidR="00370ADC" w:rsidRPr="00247B7A" w:rsidRDefault="00370ADC" w:rsidP="007F6A0F">
            <w:pPr>
              <w:rPr>
                <w:rFonts w:ascii="Arial" w:hAnsi="Arial" w:cs="Arial"/>
              </w:rPr>
            </w:pPr>
          </w:p>
          <w:p w14:paraId="246C8093" w14:textId="14EF70E6" w:rsidR="00370ADC" w:rsidRPr="003D7E12" w:rsidRDefault="00370ADC" w:rsidP="007F6A0F">
            <w:pPr>
              <w:widowControl w:val="0"/>
              <w:rPr>
                <w:rFonts w:ascii="Arial" w:hAnsi="Arial" w:cs="Arial"/>
                <w:b/>
                <w:snapToGrid w:val="0"/>
                <w:lang w:eastAsia="en-US"/>
              </w:rPr>
            </w:pPr>
            <w:r w:rsidRPr="00247B7A">
              <w:rPr>
                <w:rFonts w:ascii="Arial" w:hAnsi="Arial" w:cs="Arial"/>
              </w:rPr>
              <w:tab/>
            </w:r>
          </w:p>
        </w:tc>
        <w:tc>
          <w:tcPr>
            <w:tcW w:w="7192" w:type="dxa"/>
          </w:tcPr>
          <w:p w14:paraId="718D600A" w14:textId="3B393474" w:rsidR="0032767B" w:rsidRPr="000B5913" w:rsidRDefault="00E44A44" w:rsidP="007F6A0F">
            <w:pPr>
              <w:widowControl w:val="0"/>
              <w:rPr>
                <w:rFonts w:ascii="Arial" w:hAnsi="Arial" w:cs="Arial"/>
                <w:snapToGrid w:val="0"/>
                <w:lang w:eastAsia="en-US"/>
              </w:rPr>
            </w:pPr>
            <w:r w:rsidRPr="00E44A44">
              <w:rPr>
                <w:rFonts w:ascii="Arial" w:hAnsi="Arial" w:cs="Arial"/>
                <w:snapToGrid w:val="0"/>
                <w:lang w:eastAsia="en-US"/>
              </w:rPr>
              <w:t xml:space="preserve">The PBAC recommended extending the current listing for lanreotide acetate  120 mg/0.5 mL pre-filled syringes to include a Section 100 </w:t>
            </w:r>
            <w:r w:rsidR="003B4CB4">
              <w:rPr>
                <w:rFonts w:ascii="Arial" w:hAnsi="Arial" w:cs="Arial"/>
                <w:snapToGrid w:val="0"/>
                <w:lang w:eastAsia="en-US"/>
              </w:rPr>
              <w:t>(</w:t>
            </w:r>
            <w:r w:rsidRPr="00E44A44">
              <w:rPr>
                <w:rFonts w:ascii="Arial" w:hAnsi="Arial" w:cs="Arial"/>
                <w:snapToGrid w:val="0"/>
                <w:lang w:eastAsia="en-US"/>
              </w:rPr>
              <w:t>Highly Specialised Drugs Program</w:t>
            </w:r>
            <w:r w:rsidR="003B4CB4">
              <w:rPr>
                <w:rFonts w:ascii="Arial" w:hAnsi="Arial" w:cs="Arial"/>
                <w:snapToGrid w:val="0"/>
                <w:lang w:eastAsia="en-US"/>
              </w:rPr>
              <w:t xml:space="preserve"> –</w:t>
            </w:r>
            <w:r w:rsidRPr="00E44A44">
              <w:rPr>
                <w:rFonts w:ascii="Arial" w:hAnsi="Arial" w:cs="Arial"/>
                <w:snapToGrid w:val="0"/>
                <w:lang w:eastAsia="en-US"/>
              </w:rPr>
              <w:t>Community</w:t>
            </w:r>
            <w:r w:rsidR="003B4CB4">
              <w:rPr>
                <w:rFonts w:ascii="Arial" w:hAnsi="Arial" w:cs="Arial"/>
                <w:snapToGrid w:val="0"/>
                <w:lang w:eastAsia="en-US"/>
              </w:rPr>
              <w:t xml:space="preserve"> </w:t>
            </w:r>
            <w:r w:rsidRPr="00E44A44">
              <w:rPr>
                <w:rFonts w:ascii="Arial" w:hAnsi="Arial" w:cs="Arial"/>
                <w:snapToGrid w:val="0"/>
                <w:lang w:eastAsia="en-US"/>
              </w:rPr>
              <w:t>Access</w:t>
            </w:r>
            <w:r w:rsidR="003B4CB4">
              <w:rPr>
                <w:rFonts w:ascii="Arial" w:hAnsi="Arial" w:cs="Arial"/>
                <w:snapToGrid w:val="0"/>
                <w:lang w:eastAsia="en-US"/>
              </w:rPr>
              <w:t>)</w:t>
            </w:r>
            <w:r w:rsidRPr="00E44A44">
              <w:rPr>
                <w:rFonts w:ascii="Arial" w:hAnsi="Arial" w:cs="Arial"/>
                <w:snapToGrid w:val="0"/>
                <w:lang w:eastAsia="en-US"/>
              </w:rPr>
              <w:t xml:space="preserve"> </w:t>
            </w:r>
            <w:r w:rsidR="003B4CB4" w:rsidRPr="00247B7A">
              <w:rPr>
                <w:rFonts w:ascii="Arial" w:hAnsi="Arial" w:cs="Arial"/>
              </w:rPr>
              <w:t xml:space="preserve">Authority Required (STREAMLINED) </w:t>
            </w:r>
            <w:r w:rsidRPr="00E44A44">
              <w:rPr>
                <w:rFonts w:ascii="Arial" w:hAnsi="Arial" w:cs="Arial"/>
                <w:snapToGrid w:val="0"/>
                <w:lang w:eastAsia="en-US"/>
              </w:rPr>
              <w:t xml:space="preserve">listing for patients receiving continuing treatment for non-functional gastroenteropancreatic neuroendocrine tumour. The PBAC recommended that the initial phase of treatment should remain unchanged under Section 100  </w:t>
            </w:r>
            <w:r w:rsidR="003B4CB4">
              <w:rPr>
                <w:rFonts w:ascii="Arial" w:hAnsi="Arial" w:cs="Arial"/>
                <w:snapToGrid w:val="0"/>
                <w:lang w:eastAsia="en-US"/>
              </w:rPr>
              <w:t>(</w:t>
            </w:r>
            <w:r w:rsidRPr="00E44A44">
              <w:rPr>
                <w:rFonts w:ascii="Arial" w:hAnsi="Arial" w:cs="Arial"/>
                <w:snapToGrid w:val="0"/>
                <w:lang w:eastAsia="en-US"/>
              </w:rPr>
              <w:t>Highly Specialised Drugs Program</w:t>
            </w:r>
            <w:r w:rsidR="003B4CB4">
              <w:rPr>
                <w:rFonts w:ascii="Arial" w:hAnsi="Arial" w:cs="Arial"/>
                <w:snapToGrid w:val="0"/>
                <w:lang w:eastAsia="en-US"/>
              </w:rPr>
              <w:t xml:space="preserve"> – Public/Private Hospital)</w:t>
            </w:r>
            <w:r w:rsidRPr="00E44A44">
              <w:rPr>
                <w:rFonts w:ascii="Arial" w:hAnsi="Arial" w:cs="Arial"/>
                <w:snapToGrid w:val="0"/>
                <w:lang w:eastAsia="en-US"/>
              </w:rPr>
              <w:t>.</w:t>
            </w:r>
          </w:p>
        </w:tc>
      </w:tr>
      <w:tr w:rsidR="00370ADC" w:rsidRPr="003D7E12" w14:paraId="24163383" w14:textId="77777777" w:rsidTr="007F6A0F">
        <w:trPr>
          <w:cantSplit/>
        </w:trPr>
        <w:tc>
          <w:tcPr>
            <w:tcW w:w="3369" w:type="dxa"/>
            <w:tcMar>
              <w:top w:w="28" w:type="dxa"/>
              <w:bottom w:w="28" w:type="dxa"/>
            </w:tcMar>
          </w:tcPr>
          <w:p w14:paraId="5D5AF890" w14:textId="77777777" w:rsidR="00370ADC" w:rsidRDefault="00370ADC" w:rsidP="007F6A0F">
            <w:pPr>
              <w:widowControl w:val="0"/>
              <w:rPr>
                <w:rFonts w:ascii="Arial" w:hAnsi="Arial" w:cs="Arial"/>
                <w:color w:val="000000"/>
              </w:rPr>
            </w:pPr>
            <w:r w:rsidRPr="00247B7A">
              <w:rPr>
                <w:rFonts w:ascii="Arial" w:hAnsi="Arial" w:cs="Arial"/>
                <w:color w:val="000000"/>
              </w:rPr>
              <w:t>LEVONORGESTREL</w:t>
            </w:r>
            <w:r w:rsidRPr="00247B7A">
              <w:rPr>
                <w:rFonts w:ascii="Arial" w:hAnsi="Arial" w:cs="Arial"/>
                <w:color w:val="000000"/>
              </w:rPr>
              <w:br/>
            </w:r>
            <w:r w:rsidRPr="00247B7A">
              <w:rPr>
                <w:rFonts w:ascii="Arial" w:hAnsi="Arial" w:cs="Arial"/>
                <w:color w:val="000000"/>
              </w:rPr>
              <w:br/>
              <w:t>Intrauterine drug delivery system 19.5 mg</w:t>
            </w:r>
            <w:r w:rsidRPr="00247B7A">
              <w:rPr>
                <w:rFonts w:ascii="Arial" w:hAnsi="Arial" w:cs="Arial"/>
                <w:color w:val="000000"/>
              </w:rPr>
              <w:br/>
            </w:r>
            <w:r w:rsidRPr="00247B7A">
              <w:rPr>
                <w:rFonts w:ascii="Arial" w:hAnsi="Arial" w:cs="Arial"/>
                <w:color w:val="000000"/>
              </w:rPr>
              <w:br/>
              <w:t>Kyleena®</w:t>
            </w:r>
            <w:r w:rsidRPr="00247B7A">
              <w:rPr>
                <w:rFonts w:ascii="Arial" w:hAnsi="Arial" w:cs="Arial"/>
                <w:color w:val="000000"/>
              </w:rPr>
              <w:br/>
            </w:r>
            <w:r w:rsidRPr="00247B7A">
              <w:rPr>
                <w:rFonts w:ascii="Arial" w:hAnsi="Arial" w:cs="Arial"/>
                <w:color w:val="000000"/>
              </w:rPr>
              <w:br/>
              <w:t>Bayer Australia Ltd</w:t>
            </w:r>
          </w:p>
          <w:p w14:paraId="3CA5662B" w14:textId="77777777" w:rsidR="00C36AC3" w:rsidRDefault="00C36AC3" w:rsidP="007F6A0F">
            <w:pPr>
              <w:widowControl w:val="0"/>
              <w:rPr>
                <w:rFonts w:ascii="Arial" w:hAnsi="Arial" w:cs="Arial"/>
                <w:color w:val="000000"/>
              </w:rPr>
            </w:pPr>
          </w:p>
          <w:p w14:paraId="6D391FB7" w14:textId="77777777" w:rsidR="00C36AC3" w:rsidRPr="00C36AC3" w:rsidRDefault="00C36AC3" w:rsidP="00C36AC3">
            <w:pPr>
              <w:widowControl w:val="0"/>
              <w:rPr>
                <w:rFonts w:ascii="Arial" w:hAnsi="Arial" w:cs="Arial"/>
              </w:rPr>
            </w:pPr>
            <w:r w:rsidRPr="00C36AC3">
              <w:rPr>
                <w:rFonts w:ascii="Arial" w:hAnsi="Arial" w:cs="Arial"/>
              </w:rPr>
              <w:t>New listing</w:t>
            </w:r>
          </w:p>
          <w:p w14:paraId="11C4033A" w14:textId="2F0FF2DF" w:rsidR="00C36AC3" w:rsidRPr="003D7E12" w:rsidRDefault="00C36AC3" w:rsidP="00C36AC3">
            <w:pPr>
              <w:widowControl w:val="0"/>
              <w:rPr>
                <w:rFonts w:ascii="Arial" w:hAnsi="Arial" w:cs="Arial"/>
                <w:b/>
              </w:rPr>
            </w:pPr>
            <w:r w:rsidRPr="00C36AC3">
              <w:rPr>
                <w:rFonts w:ascii="Arial" w:hAnsi="Arial" w:cs="Arial"/>
              </w:rPr>
              <w:t>(Major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27BC7AE0" w14:textId="541F8B5B" w:rsidR="00370ADC" w:rsidRPr="003D7E12" w:rsidRDefault="00370ADC" w:rsidP="007F6A0F">
            <w:pPr>
              <w:widowControl w:val="0"/>
              <w:rPr>
                <w:rFonts w:ascii="Arial" w:hAnsi="Arial" w:cs="Arial"/>
                <w:b/>
                <w:snapToGrid w:val="0"/>
                <w:lang w:eastAsia="en-US"/>
              </w:rPr>
            </w:pPr>
            <w:r w:rsidRPr="00247B7A">
              <w:rPr>
                <w:rFonts w:ascii="Arial" w:hAnsi="Arial" w:cs="Arial"/>
                <w:color w:val="000000"/>
              </w:rPr>
              <w:t>Contraception</w:t>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04C29CB3" w14:textId="59320DF4" w:rsidR="00370ADC" w:rsidRPr="003D7E12" w:rsidRDefault="00370ADC" w:rsidP="007F6A0F">
            <w:pPr>
              <w:widowControl w:val="0"/>
              <w:rPr>
                <w:rFonts w:ascii="Arial" w:hAnsi="Arial" w:cs="Arial"/>
                <w:b/>
                <w:snapToGrid w:val="0"/>
                <w:lang w:eastAsia="en-US"/>
              </w:rPr>
            </w:pPr>
            <w:r>
              <w:rPr>
                <w:rFonts w:ascii="Arial" w:hAnsi="Arial" w:cs="Arial"/>
                <w:color w:val="000000"/>
              </w:rPr>
              <w:t>To request a Restricted Benefit</w:t>
            </w:r>
            <w:r w:rsidRPr="00247B7A">
              <w:rPr>
                <w:rFonts w:ascii="Arial" w:hAnsi="Arial" w:cs="Arial"/>
                <w:color w:val="000000"/>
              </w:rPr>
              <w:t xml:space="preserve"> listing for contraception.</w:t>
            </w:r>
          </w:p>
        </w:tc>
        <w:tc>
          <w:tcPr>
            <w:tcW w:w="7192" w:type="dxa"/>
          </w:tcPr>
          <w:p w14:paraId="390230C8" w14:textId="633F6458" w:rsidR="0032767B" w:rsidRPr="000B5913" w:rsidRDefault="00E44A44" w:rsidP="007F6A0F">
            <w:pPr>
              <w:widowControl w:val="0"/>
              <w:rPr>
                <w:rFonts w:ascii="Arial" w:hAnsi="Arial" w:cs="Arial"/>
                <w:snapToGrid w:val="0"/>
                <w:lang w:eastAsia="en-US"/>
              </w:rPr>
            </w:pPr>
            <w:r w:rsidRPr="00E44A44">
              <w:rPr>
                <w:rFonts w:ascii="Arial" w:hAnsi="Arial" w:cs="Arial"/>
                <w:snapToGrid w:val="0"/>
                <w:lang w:eastAsia="en-US"/>
              </w:rPr>
              <w:t xml:space="preserve">The PBAC recommended the listing of </w:t>
            </w:r>
            <w:r w:rsidR="003B4CB4">
              <w:rPr>
                <w:rFonts w:ascii="Arial" w:hAnsi="Arial" w:cs="Arial"/>
                <w:snapToGrid w:val="0"/>
                <w:lang w:eastAsia="en-US"/>
              </w:rPr>
              <w:t>a new form of levonorgestrel (</w:t>
            </w:r>
            <w:r w:rsidRPr="00E44A44">
              <w:rPr>
                <w:rFonts w:ascii="Arial" w:hAnsi="Arial" w:cs="Arial"/>
                <w:snapToGrid w:val="0"/>
                <w:lang w:eastAsia="en-US"/>
              </w:rPr>
              <w:t>Kyleena®</w:t>
            </w:r>
            <w:r w:rsidR="003B4CB4">
              <w:rPr>
                <w:rFonts w:ascii="Arial" w:hAnsi="Arial" w:cs="Arial"/>
                <w:snapToGrid w:val="0"/>
                <w:lang w:eastAsia="en-US"/>
              </w:rPr>
              <w:t>)</w:t>
            </w:r>
            <w:r w:rsidRPr="00E44A44">
              <w:rPr>
                <w:rFonts w:ascii="Arial" w:hAnsi="Arial" w:cs="Arial"/>
                <w:snapToGrid w:val="0"/>
                <w:lang w:eastAsia="en-US"/>
              </w:rPr>
              <w:t xml:space="preserve"> as </w:t>
            </w:r>
            <w:r w:rsidR="003B4CB4">
              <w:rPr>
                <w:rFonts w:ascii="Arial" w:hAnsi="Arial" w:cs="Arial"/>
                <w:snapToGrid w:val="0"/>
                <w:lang w:eastAsia="en-US"/>
              </w:rPr>
              <w:t xml:space="preserve">a </w:t>
            </w:r>
            <w:r w:rsidRPr="00E44A44">
              <w:rPr>
                <w:rFonts w:ascii="Arial" w:hAnsi="Arial" w:cs="Arial"/>
                <w:snapToGrid w:val="0"/>
                <w:lang w:eastAsia="en-US"/>
              </w:rPr>
              <w:t>Restricted Benefit on a cost minimisation basis against</w:t>
            </w:r>
            <w:r w:rsidR="003B4CB4">
              <w:rPr>
                <w:rFonts w:ascii="Arial" w:hAnsi="Arial" w:cs="Arial"/>
                <w:snapToGrid w:val="0"/>
                <w:lang w:eastAsia="en-US"/>
              </w:rPr>
              <w:t xml:space="preserve"> a currently listed form of levonorgestrel</w:t>
            </w:r>
            <w:r w:rsidRPr="00E44A44">
              <w:rPr>
                <w:rFonts w:ascii="Arial" w:hAnsi="Arial" w:cs="Arial"/>
                <w:snapToGrid w:val="0"/>
                <w:lang w:eastAsia="en-US"/>
              </w:rPr>
              <w:t xml:space="preserve"> </w:t>
            </w:r>
            <w:r w:rsidR="003B4CB4">
              <w:rPr>
                <w:rFonts w:ascii="Arial" w:hAnsi="Arial" w:cs="Arial"/>
                <w:snapToGrid w:val="0"/>
                <w:lang w:eastAsia="en-US"/>
              </w:rPr>
              <w:t>(</w:t>
            </w:r>
            <w:r w:rsidRPr="00E44A44">
              <w:rPr>
                <w:rFonts w:ascii="Arial" w:hAnsi="Arial" w:cs="Arial"/>
                <w:snapToGrid w:val="0"/>
                <w:lang w:eastAsia="en-US"/>
              </w:rPr>
              <w:t>Mirena®</w:t>
            </w:r>
            <w:r w:rsidR="003B4CB4">
              <w:rPr>
                <w:rFonts w:ascii="Arial" w:hAnsi="Arial" w:cs="Arial"/>
                <w:snapToGrid w:val="0"/>
                <w:lang w:eastAsia="en-US"/>
              </w:rPr>
              <w:t>)</w:t>
            </w:r>
            <w:r w:rsidRPr="00E44A44">
              <w:rPr>
                <w:rFonts w:ascii="Arial" w:hAnsi="Arial" w:cs="Arial"/>
                <w:snapToGrid w:val="0"/>
                <w:lang w:eastAsia="en-US"/>
              </w:rPr>
              <w:t xml:space="preserve"> at an equivalent price for use in contraception.</w:t>
            </w:r>
          </w:p>
        </w:tc>
      </w:tr>
      <w:tr w:rsidR="00370ADC" w:rsidRPr="003D7E12" w14:paraId="03AC9F9E" w14:textId="77777777" w:rsidTr="007F6A0F">
        <w:trPr>
          <w:cantSplit/>
        </w:trPr>
        <w:tc>
          <w:tcPr>
            <w:tcW w:w="3369" w:type="dxa"/>
            <w:tcMar>
              <w:top w:w="28" w:type="dxa"/>
              <w:bottom w:w="28" w:type="dxa"/>
            </w:tcMar>
          </w:tcPr>
          <w:p w14:paraId="73C5A745" w14:textId="77777777" w:rsidR="00370ADC" w:rsidRPr="00247B7A" w:rsidRDefault="00370ADC" w:rsidP="007F6A0F">
            <w:pPr>
              <w:rPr>
                <w:rFonts w:ascii="Arial" w:hAnsi="Arial" w:cs="Arial"/>
              </w:rPr>
            </w:pPr>
            <w:r w:rsidRPr="00247B7A">
              <w:rPr>
                <w:rFonts w:ascii="Arial" w:hAnsi="Arial" w:cs="Arial"/>
              </w:rPr>
              <w:lastRenderedPageBreak/>
              <w:t>MORPHINE</w:t>
            </w:r>
            <w:r w:rsidRPr="00247B7A">
              <w:rPr>
                <w:rFonts w:ascii="Arial" w:hAnsi="Arial" w:cs="Arial"/>
              </w:rPr>
              <w:br/>
            </w:r>
            <w:r w:rsidRPr="00247B7A">
              <w:rPr>
                <w:rFonts w:ascii="Arial" w:hAnsi="Arial" w:cs="Arial"/>
              </w:rPr>
              <w:br/>
              <w:t>Capsule containing morphine sulfate pentahydrate 10 mg (modified release)</w:t>
            </w:r>
            <w:r w:rsidRPr="00247B7A">
              <w:rPr>
                <w:rFonts w:ascii="Arial" w:hAnsi="Arial" w:cs="Arial"/>
              </w:rPr>
              <w:br/>
              <w:t>Capsule containing morphine sulfate pentahydrate 20 mg (modified release)</w:t>
            </w:r>
            <w:r w:rsidRPr="00247B7A">
              <w:rPr>
                <w:rFonts w:ascii="Arial" w:hAnsi="Arial" w:cs="Arial"/>
              </w:rPr>
              <w:br/>
            </w:r>
            <w:r w:rsidRPr="00247B7A">
              <w:rPr>
                <w:rFonts w:ascii="Arial" w:hAnsi="Arial" w:cs="Arial"/>
              </w:rPr>
              <w:br/>
              <w:t>Kapanol®</w:t>
            </w:r>
            <w:r w:rsidRPr="00247B7A">
              <w:rPr>
                <w:rFonts w:ascii="Arial" w:hAnsi="Arial" w:cs="Arial"/>
              </w:rPr>
              <w:br/>
            </w:r>
            <w:r w:rsidRPr="00247B7A">
              <w:rPr>
                <w:rFonts w:ascii="Arial" w:hAnsi="Arial" w:cs="Arial"/>
              </w:rPr>
              <w:br/>
              <w:t>Mayne Pharma International Pty Ltd</w:t>
            </w:r>
          </w:p>
          <w:p w14:paraId="469BB62F" w14:textId="77777777" w:rsidR="00370ADC" w:rsidRDefault="00370ADC" w:rsidP="007F6A0F">
            <w:pPr>
              <w:widowControl w:val="0"/>
              <w:rPr>
                <w:rFonts w:ascii="Arial" w:hAnsi="Arial" w:cs="Arial"/>
                <w:b/>
              </w:rPr>
            </w:pPr>
          </w:p>
          <w:p w14:paraId="3438F0CC" w14:textId="77777777" w:rsidR="00C36AC3" w:rsidRPr="00C36AC3" w:rsidRDefault="00C36AC3" w:rsidP="00C36AC3">
            <w:pPr>
              <w:widowControl w:val="0"/>
              <w:rPr>
                <w:rFonts w:ascii="Arial" w:hAnsi="Arial" w:cs="Arial"/>
              </w:rPr>
            </w:pPr>
            <w:r w:rsidRPr="00C36AC3">
              <w:rPr>
                <w:rFonts w:ascii="Arial" w:hAnsi="Arial" w:cs="Arial"/>
              </w:rPr>
              <w:t>Change to listing</w:t>
            </w:r>
          </w:p>
          <w:p w14:paraId="02C2EDAE" w14:textId="4EDE03D2" w:rsidR="00C36AC3" w:rsidRPr="003D7E12" w:rsidRDefault="00C36AC3" w:rsidP="00C36AC3">
            <w:pPr>
              <w:widowControl w:val="0"/>
              <w:rPr>
                <w:rFonts w:ascii="Arial" w:hAnsi="Arial" w:cs="Arial"/>
                <w:b/>
              </w:rPr>
            </w:pPr>
            <w:r w:rsidRPr="00C36AC3">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1C4BA302" w14:textId="77777777" w:rsidR="00370ADC" w:rsidRPr="00247B7A" w:rsidRDefault="00370ADC" w:rsidP="007F6A0F">
            <w:pPr>
              <w:rPr>
                <w:rFonts w:ascii="Arial" w:hAnsi="Arial" w:cs="Arial"/>
              </w:rPr>
            </w:pPr>
            <w:r w:rsidRPr="00247B7A">
              <w:rPr>
                <w:rFonts w:ascii="Arial" w:hAnsi="Arial" w:cs="Arial"/>
              </w:rPr>
              <w:t>Chronic breathlessness</w:t>
            </w:r>
          </w:p>
          <w:p w14:paraId="0B24CB76" w14:textId="77777777" w:rsidR="00370ADC" w:rsidRPr="003D7E12" w:rsidRDefault="00370ADC" w:rsidP="007F6A0F">
            <w:pPr>
              <w:widowControl w:val="0"/>
              <w:rPr>
                <w:rFonts w:ascii="Arial" w:hAnsi="Arial" w:cs="Arial"/>
                <w:b/>
                <w:snapToGrid w:val="0"/>
                <w:lang w:eastAsia="en-US"/>
              </w:rPr>
            </w:pP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1CB94F2F" w14:textId="77777777" w:rsidR="00370ADC" w:rsidRPr="00247B7A" w:rsidRDefault="00370ADC" w:rsidP="007F6A0F">
            <w:pPr>
              <w:rPr>
                <w:rFonts w:ascii="Arial" w:hAnsi="Arial" w:cs="Arial"/>
              </w:rPr>
            </w:pPr>
            <w:r w:rsidRPr="00247B7A">
              <w:rPr>
                <w:rFonts w:ascii="Arial" w:hAnsi="Arial" w:cs="Arial"/>
              </w:rPr>
              <w:t>To request a Restricted Benefit listing on the Palliative Care schedule for the treatment of chronic breathlessness.</w:t>
            </w:r>
          </w:p>
          <w:p w14:paraId="1D9E1788" w14:textId="77777777" w:rsidR="00370ADC" w:rsidRPr="003D7E12" w:rsidRDefault="00370ADC" w:rsidP="007F6A0F">
            <w:pPr>
              <w:widowControl w:val="0"/>
              <w:rPr>
                <w:rFonts w:ascii="Arial" w:hAnsi="Arial" w:cs="Arial"/>
                <w:b/>
                <w:snapToGrid w:val="0"/>
                <w:lang w:eastAsia="en-US"/>
              </w:rPr>
            </w:pPr>
          </w:p>
        </w:tc>
        <w:tc>
          <w:tcPr>
            <w:tcW w:w="7192" w:type="dxa"/>
          </w:tcPr>
          <w:p w14:paraId="54F98693" w14:textId="54E81D5E" w:rsidR="00AF509D" w:rsidRPr="000B5913" w:rsidRDefault="00605C77" w:rsidP="00E44A44">
            <w:pPr>
              <w:widowControl w:val="0"/>
              <w:rPr>
                <w:rFonts w:ascii="Arial" w:hAnsi="Arial" w:cs="Arial"/>
                <w:snapToGrid w:val="0"/>
                <w:lang w:eastAsia="en-US"/>
              </w:rPr>
            </w:pPr>
            <w:r w:rsidRPr="00605C77">
              <w:rPr>
                <w:rFonts w:ascii="Arial" w:hAnsi="Arial" w:cs="Arial"/>
                <w:snapToGrid w:val="0"/>
                <w:lang w:eastAsia="en-US"/>
              </w:rPr>
              <w:t>The PBAC recommended extending the PBS-listing of morphine modified release capsules (Kapanol</w:t>
            </w:r>
            <w:r w:rsidR="00353EBB">
              <w:rPr>
                <w:rFonts w:ascii="Arial" w:hAnsi="Arial" w:cs="Arial"/>
                <w:snapToGrid w:val="0"/>
                <w:lang w:eastAsia="en-US"/>
              </w:rPr>
              <w:t>®</w:t>
            </w:r>
            <w:r w:rsidRPr="00605C77">
              <w:rPr>
                <w:rFonts w:ascii="Arial" w:hAnsi="Arial" w:cs="Arial"/>
                <w:snapToGrid w:val="0"/>
                <w:lang w:eastAsia="en-US"/>
              </w:rPr>
              <w:t>) on the Palliative Care schedule to include restricted benefit listing for the treatment of patients with chronic breathlessness. The PBAC considered that</w:t>
            </w:r>
            <w:r w:rsidR="00E44A44">
              <w:rPr>
                <w:rFonts w:ascii="Arial" w:hAnsi="Arial" w:cs="Arial"/>
                <w:snapToGrid w:val="0"/>
                <w:lang w:eastAsia="en-US"/>
              </w:rPr>
              <w:t xml:space="preserve"> while</w:t>
            </w:r>
            <w:r w:rsidRPr="00605C77">
              <w:rPr>
                <w:rFonts w:ascii="Arial" w:hAnsi="Arial" w:cs="Arial"/>
                <w:snapToGrid w:val="0"/>
                <w:lang w:eastAsia="en-US"/>
              </w:rPr>
              <w:t xml:space="preserve"> the current evidence base to support the use of morphine for breathlessness in palliative care </w:t>
            </w:r>
            <w:r w:rsidR="00E44A44">
              <w:rPr>
                <w:rFonts w:ascii="Arial" w:hAnsi="Arial" w:cs="Arial"/>
                <w:snapToGrid w:val="0"/>
                <w:lang w:eastAsia="en-US"/>
              </w:rPr>
              <w:t xml:space="preserve"> was limited, the Committee </w:t>
            </w:r>
            <w:r w:rsidRPr="00605C77">
              <w:rPr>
                <w:rFonts w:ascii="Arial" w:hAnsi="Arial" w:cs="Arial"/>
                <w:snapToGrid w:val="0"/>
                <w:lang w:eastAsia="en-US"/>
              </w:rPr>
              <w:t>was satisfied that morphine provides, for some patients, an improvement in efficacy over conventional care particularly in patients with severe symptoms.</w:t>
            </w:r>
          </w:p>
        </w:tc>
      </w:tr>
      <w:tr w:rsidR="00370ADC" w:rsidRPr="003D7E12" w14:paraId="5F69C8C6" w14:textId="77777777" w:rsidTr="007F6A0F">
        <w:trPr>
          <w:cantSplit/>
        </w:trPr>
        <w:tc>
          <w:tcPr>
            <w:tcW w:w="3369" w:type="dxa"/>
            <w:tcMar>
              <w:top w:w="28" w:type="dxa"/>
              <w:bottom w:w="28" w:type="dxa"/>
            </w:tcMar>
          </w:tcPr>
          <w:p w14:paraId="4EF8BDBF" w14:textId="77777777" w:rsidR="00370ADC" w:rsidRDefault="00370ADC" w:rsidP="007F6A0F">
            <w:pPr>
              <w:widowControl w:val="0"/>
              <w:rPr>
                <w:rFonts w:ascii="Arial" w:hAnsi="Arial" w:cs="Arial"/>
              </w:rPr>
            </w:pPr>
            <w:r w:rsidRPr="00247B7A">
              <w:rPr>
                <w:rFonts w:ascii="Arial" w:hAnsi="Arial" w:cs="Arial"/>
              </w:rPr>
              <w:t>NALOXONE</w:t>
            </w:r>
            <w:r w:rsidRPr="00247B7A">
              <w:rPr>
                <w:rFonts w:ascii="Arial" w:hAnsi="Arial" w:cs="Arial"/>
              </w:rPr>
              <w:br/>
            </w:r>
            <w:r w:rsidRPr="00247B7A">
              <w:rPr>
                <w:rFonts w:ascii="Arial" w:hAnsi="Arial" w:cs="Arial"/>
              </w:rPr>
              <w:br/>
              <w:t>2.2 mg/actuation nasal spray, 2 x 1 actuation</w:t>
            </w:r>
            <w:r w:rsidRPr="00247B7A">
              <w:rPr>
                <w:rFonts w:ascii="Arial" w:hAnsi="Arial" w:cs="Arial"/>
              </w:rPr>
              <w:br/>
            </w:r>
            <w:r w:rsidRPr="00247B7A">
              <w:rPr>
                <w:rFonts w:ascii="Arial" w:hAnsi="Arial" w:cs="Arial"/>
              </w:rPr>
              <w:br/>
              <w:t>Nyxoid®</w:t>
            </w:r>
            <w:r w:rsidRPr="00247B7A">
              <w:rPr>
                <w:rFonts w:ascii="Arial" w:hAnsi="Arial" w:cs="Arial"/>
              </w:rPr>
              <w:br/>
            </w:r>
            <w:r w:rsidRPr="00247B7A">
              <w:rPr>
                <w:rFonts w:ascii="Arial" w:hAnsi="Arial" w:cs="Arial"/>
              </w:rPr>
              <w:br/>
              <w:t>Mundipharma Pty Ltd</w:t>
            </w:r>
          </w:p>
          <w:p w14:paraId="68C39E38" w14:textId="77777777" w:rsidR="00C36AC3" w:rsidRDefault="00C36AC3" w:rsidP="007F6A0F">
            <w:pPr>
              <w:widowControl w:val="0"/>
              <w:rPr>
                <w:rFonts w:ascii="Arial" w:hAnsi="Arial" w:cs="Arial"/>
              </w:rPr>
            </w:pPr>
          </w:p>
          <w:p w14:paraId="5B6795A9" w14:textId="77777777" w:rsidR="00C36AC3" w:rsidRPr="00C36AC3" w:rsidRDefault="00C36AC3" w:rsidP="00C36AC3">
            <w:pPr>
              <w:widowControl w:val="0"/>
              <w:rPr>
                <w:rFonts w:ascii="Arial" w:hAnsi="Arial" w:cs="Arial"/>
              </w:rPr>
            </w:pPr>
            <w:r w:rsidRPr="00C36AC3">
              <w:rPr>
                <w:rFonts w:ascii="Arial" w:hAnsi="Arial" w:cs="Arial"/>
              </w:rPr>
              <w:t>New listing</w:t>
            </w:r>
          </w:p>
          <w:p w14:paraId="107422E7" w14:textId="4F1599C0" w:rsidR="00C36AC3" w:rsidRPr="003D7E12" w:rsidRDefault="00C36AC3" w:rsidP="00C36AC3">
            <w:pPr>
              <w:widowControl w:val="0"/>
              <w:rPr>
                <w:rFonts w:ascii="Arial" w:hAnsi="Arial" w:cs="Arial"/>
                <w:b/>
              </w:rPr>
            </w:pPr>
            <w:r w:rsidRPr="00C36AC3">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526BBBBA" w14:textId="12ACB2C1" w:rsidR="00370ADC" w:rsidRPr="003D7E12" w:rsidRDefault="00370ADC" w:rsidP="007F6A0F">
            <w:pPr>
              <w:widowControl w:val="0"/>
              <w:rPr>
                <w:rFonts w:ascii="Arial" w:hAnsi="Arial" w:cs="Arial"/>
                <w:b/>
                <w:snapToGrid w:val="0"/>
                <w:lang w:eastAsia="en-US"/>
              </w:rPr>
            </w:pPr>
            <w:r w:rsidRPr="00247B7A">
              <w:rPr>
                <w:rFonts w:ascii="Arial" w:hAnsi="Arial" w:cs="Arial"/>
              </w:rPr>
              <w:t>Known or suspected opiate overdose</w:t>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0A0DB72C" w14:textId="048F0973" w:rsidR="00370ADC" w:rsidRPr="003D7E12" w:rsidRDefault="00370ADC" w:rsidP="007F6A0F">
            <w:pPr>
              <w:widowControl w:val="0"/>
              <w:rPr>
                <w:rFonts w:ascii="Arial" w:hAnsi="Arial" w:cs="Arial"/>
                <w:b/>
                <w:snapToGrid w:val="0"/>
                <w:lang w:eastAsia="en-US"/>
              </w:rPr>
            </w:pPr>
            <w:r w:rsidRPr="00247B7A">
              <w:rPr>
                <w:rFonts w:ascii="Arial" w:hAnsi="Arial" w:cs="Arial"/>
              </w:rPr>
              <w:t xml:space="preserve">To request an unrestricted </w:t>
            </w:r>
            <w:r w:rsidR="00E44A44">
              <w:rPr>
                <w:rFonts w:ascii="Arial" w:hAnsi="Arial" w:cs="Arial"/>
              </w:rPr>
              <w:t xml:space="preserve">benefit </w:t>
            </w:r>
            <w:r w:rsidRPr="00247B7A">
              <w:rPr>
                <w:rFonts w:ascii="Arial" w:hAnsi="Arial" w:cs="Arial"/>
              </w:rPr>
              <w:t>listing for known or suspected opiate overdose.</w:t>
            </w:r>
          </w:p>
        </w:tc>
        <w:tc>
          <w:tcPr>
            <w:tcW w:w="7192" w:type="dxa"/>
          </w:tcPr>
          <w:p w14:paraId="730C0F81" w14:textId="77777777" w:rsidR="00370ADC" w:rsidRDefault="00605C77" w:rsidP="007F6A0F">
            <w:pPr>
              <w:widowControl w:val="0"/>
              <w:rPr>
                <w:rFonts w:ascii="Arial" w:hAnsi="Arial" w:cs="Arial"/>
                <w:snapToGrid w:val="0"/>
                <w:lang w:eastAsia="en-US"/>
              </w:rPr>
            </w:pPr>
            <w:r w:rsidRPr="00605C77">
              <w:rPr>
                <w:rFonts w:ascii="Arial" w:hAnsi="Arial" w:cs="Arial"/>
                <w:snapToGrid w:val="0"/>
                <w:lang w:eastAsia="en-US"/>
              </w:rPr>
              <w:t>The PBAC recommended the dual General Schedule and Section 100 listing of intranasal naloxone for use in acute opioid overdose. The PBAC considered that there was a public health need to increase use of naloxone to address high rates of opioid overdose, and considered that while the clinical benefits of intranasal naloxone were similar to injectable naloxone, availability of the intranasal formulation could contribute to increasing</w:t>
            </w:r>
            <w:r w:rsidR="00E44A44">
              <w:rPr>
                <w:rFonts w:ascii="Arial" w:hAnsi="Arial" w:cs="Arial"/>
                <w:snapToGrid w:val="0"/>
                <w:lang w:eastAsia="en-US"/>
              </w:rPr>
              <w:t xml:space="preserve"> overall</w:t>
            </w:r>
            <w:r w:rsidRPr="00605C77">
              <w:rPr>
                <w:rFonts w:ascii="Arial" w:hAnsi="Arial" w:cs="Arial"/>
                <w:snapToGrid w:val="0"/>
                <w:lang w:eastAsia="en-US"/>
              </w:rPr>
              <w:t xml:space="preserve"> use due to ease of administration.</w:t>
            </w:r>
          </w:p>
          <w:p w14:paraId="65C68D4E" w14:textId="77777777" w:rsidR="00AF509D" w:rsidRDefault="00AF509D" w:rsidP="007F6A0F">
            <w:pPr>
              <w:widowControl w:val="0"/>
              <w:rPr>
                <w:rFonts w:ascii="Arial" w:hAnsi="Arial" w:cs="Arial"/>
                <w:snapToGrid w:val="0"/>
                <w:lang w:eastAsia="en-US"/>
              </w:rPr>
            </w:pPr>
          </w:p>
          <w:p w14:paraId="39742DDD" w14:textId="77777777" w:rsidR="00AF509D" w:rsidRDefault="00AF509D" w:rsidP="007F6A0F">
            <w:pPr>
              <w:widowControl w:val="0"/>
              <w:rPr>
                <w:rFonts w:ascii="Arial" w:hAnsi="Arial" w:cs="Arial"/>
                <w:snapToGrid w:val="0"/>
                <w:lang w:val="en-US" w:eastAsia="en-US"/>
              </w:rPr>
            </w:pPr>
            <w:r w:rsidRPr="00AF509D">
              <w:rPr>
                <w:rFonts w:ascii="Arial" w:hAnsi="Arial" w:cs="Arial"/>
                <w:snapToGrid w:val="0"/>
                <w:lang w:val="en-US" w:eastAsia="en-US"/>
              </w:rPr>
              <w:t>The PBAC considered it would be appropriate to have a dual listing across Section 85 and Section 100 for existing forms of naloxone to enable their inclusion within the Take Home Naloxone pilot program announced by the Hon. Minister Hunt on 27 February 2019</w:t>
            </w:r>
            <w:r>
              <w:rPr>
                <w:rFonts w:ascii="Arial" w:hAnsi="Arial" w:cs="Arial"/>
                <w:snapToGrid w:val="0"/>
                <w:lang w:val="en-US" w:eastAsia="en-US"/>
              </w:rPr>
              <w:t>.</w:t>
            </w:r>
          </w:p>
          <w:p w14:paraId="0AF2D3FF" w14:textId="77777777" w:rsidR="00AF509D" w:rsidRDefault="00AF509D" w:rsidP="007F6A0F">
            <w:pPr>
              <w:widowControl w:val="0"/>
              <w:rPr>
                <w:rFonts w:ascii="Arial" w:hAnsi="Arial" w:cs="Arial"/>
                <w:snapToGrid w:val="0"/>
                <w:lang w:val="en-US" w:eastAsia="en-US"/>
              </w:rPr>
            </w:pPr>
          </w:p>
          <w:p w14:paraId="4B38DC57" w14:textId="24D2DCFF" w:rsidR="00AF509D" w:rsidRPr="000B5913" w:rsidRDefault="00AF509D" w:rsidP="007F6A0F">
            <w:pPr>
              <w:widowControl w:val="0"/>
              <w:rPr>
                <w:rFonts w:ascii="Arial" w:hAnsi="Arial" w:cs="Arial"/>
                <w:snapToGrid w:val="0"/>
                <w:lang w:eastAsia="en-US"/>
              </w:rPr>
            </w:pPr>
          </w:p>
        </w:tc>
      </w:tr>
      <w:tr w:rsidR="00370ADC" w:rsidRPr="003D7E12" w14:paraId="0C375022" w14:textId="77777777" w:rsidTr="007F6A0F">
        <w:trPr>
          <w:cantSplit/>
        </w:trPr>
        <w:tc>
          <w:tcPr>
            <w:tcW w:w="3369" w:type="dxa"/>
            <w:tcMar>
              <w:top w:w="28" w:type="dxa"/>
              <w:bottom w:w="28" w:type="dxa"/>
            </w:tcMar>
          </w:tcPr>
          <w:p w14:paraId="3BC58F08" w14:textId="77777777" w:rsidR="00370ADC" w:rsidRDefault="00370ADC" w:rsidP="007F6A0F">
            <w:pPr>
              <w:widowControl w:val="0"/>
              <w:rPr>
                <w:rFonts w:ascii="Arial" w:hAnsi="Arial" w:cs="Arial"/>
              </w:rPr>
            </w:pPr>
            <w:r w:rsidRPr="00247B7A">
              <w:rPr>
                <w:rFonts w:ascii="Arial" w:hAnsi="Arial" w:cs="Arial"/>
              </w:rPr>
              <w:lastRenderedPageBreak/>
              <w:t>NIVOLUMAB</w:t>
            </w:r>
            <w:r w:rsidRPr="00247B7A">
              <w:rPr>
                <w:rFonts w:ascii="Arial" w:hAnsi="Arial" w:cs="Arial"/>
              </w:rPr>
              <w:br/>
            </w:r>
            <w:r w:rsidRPr="00247B7A">
              <w:rPr>
                <w:rFonts w:ascii="Arial" w:hAnsi="Arial" w:cs="Arial"/>
              </w:rPr>
              <w:br/>
              <w:t xml:space="preserve">Injection concentrate for I.V. infusion 40 mg in 4 mL </w:t>
            </w:r>
            <w:r w:rsidRPr="00247B7A">
              <w:rPr>
                <w:rFonts w:ascii="Arial" w:hAnsi="Arial" w:cs="Arial"/>
              </w:rPr>
              <w:br/>
              <w:t>Injection concentrate for I.V. infusion 100 mg in 10 mL</w:t>
            </w:r>
            <w:r w:rsidRPr="00247B7A">
              <w:rPr>
                <w:rFonts w:ascii="Arial" w:hAnsi="Arial" w:cs="Arial"/>
              </w:rPr>
              <w:br/>
            </w:r>
            <w:r w:rsidRPr="00247B7A">
              <w:rPr>
                <w:rFonts w:ascii="Arial" w:hAnsi="Arial" w:cs="Arial"/>
              </w:rPr>
              <w:br/>
              <w:t>Opdivo®</w:t>
            </w:r>
            <w:r w:rsidRPr="00247B7A">
              <w:rPr>
                <w:rFonts w:ascii="Arial" w:hAnsi="Arial" w:cs="Arial"/>
              </w:rPr>
              <w:br/>
            </w:r>
            <w:r w:rsidRPr="00247B7A">
              <w:rPr>
                <w:rFonts w:ascii="Arial" w:hAnsi="Arial" w:cs="Arial"/>
              </w:rPr>
              <w:br/>
              <w:t>Bristol-Myers Squibb Australia Pty Ltd</w:t>
            </w:r>
          </w:p>
          <w:p w14:paraId="42DD8910" w14:textId="77777777" w:rsidR="00C36AC3" w:rsidRDefault="00C36AC3" w:rsidP="007F6A0F">
            <w:pPr>
              <w:widowControl w:val="0"/>
              <w:rPr>
                <w:rFonts w:ascii="Arial" w:hAnsi="Arial" w:cs="Arial"/>
              </w:rPr>
            </w:pPr>
          </w:p>
          <w:p w14:paraId="1BBA4DF5" w14:textId="77777777" w:rsidR="00C36AC3" w:rsidRPr="00C36AC3" w:rsidRDefault="00C36AC3" w:rsidP="00C36AC3">
            <w:pPr>
              <w:widowControl w:val="0"/>
              <w:rPr>
                <w:rFonts w:ascii="Arial" w:hAnsi="Arial" w:cs="Arial"/>
              </w:rPr>
            </w:pPr>
            <w:r w:rsidRPr="00C36AC3">
              <w:rPr>
                <w:rFonts w:ascii="Arial" w:hAnsi="Arial" w:cs="Arial"/>
              </w:rPr>
              <w:t>Change to listing</w:t>
            </w:r>
          </w:p>
          <w:p w14:paraId="00574A1F" w14:textId="0672B26E" w:rsidR="00C36AC3" w:rsidRPr="003D7E12" w:rsidRDefault="00C36AC3" w:rsidP="00C36AC3">
            <w:pPr>
              <w:widowControl w:val="0"/>
              <w:rPr>
                <w:rFonts w:ascii="Arial" w:hAnsi="Arial" w:cs="Arial"/>
                <w:b/>
              </w:rPr>
            </w:pPr>
            <w:r w:rsidRPr="00C36AC3">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48C4D0AE" w14:textId="77777777" w:rsidR="00370ADC" w:rsidRPr="00247B7A" w:rsidRDefault="00370ADC" w:rsidP="007F6A0F">
            <w:pPr>
              <w:rPr>
                <w:rFonts w:ascii="Arial" w:hAnsi="Arial" w:cs="Arial"/>
              </w:rPr>
            </w:pPr>
            <w:r w:rsidRPr="00247B7A">
              <w:rPr>
                <w:rFonts w:ascii="Arial" w:hAnsi="Arial" w:cs="Arial"/>
              </w:rPr>
              <w:t>Melanoma</w:t>
            </w:r>
          </w:p>
          <w:p w14:paraId="4186764F" w14:textId="77777777" w:rsidR="00370ADC" w:rsidRPr="00247B7A" w:rsidRDefault="00370ADC" w:rsidP="007F6A0F">
            <w:pPr>
              <w:rPr>
                <w:rFonts w:ascii="Arial" w:hAnsi="Arial" w:cs="Arial"/>
              </w:rPr>
            </w:pPr>
            <w:r w:rsidRPr="00247B7A">
              <w:rPr>
                <w:rFonts w:ascii="Arial" w:hAnsi="Arial" w:cs="Arial"/>
              </w:rPr>
              <w:t xml:space="preserve">Non-small cell lung cancer </w:t>
            </w:r>
          </w:p>
          <w:p w14:paraId="5E757908" w14:textId="77777777" w:rsidR="00370ADC" w:rsidRPr="00247B7A" w:rsidRDefault="00370ADC" w:rsidP="007F6A0F">
            <w:pPr>
              <w:rPr>
                <w:rFonts w:ascii="Arial" w:hAnsi="Arial" w:cs="Arial"/>
              </w:rPr>
            </w:pPr>
            <w:r w:rsidRPr="00247B7A">
              <w:rPr>
                <w:rFonts w:ascii="Arial" w:hAnsi="Arial" w:cs="Arial"/>
              </w:rPr>
              <w:t xml:space="preserve">Renal cell carcinoma </w:t>
            </w:r>
          </w:p>
          <w:p w14:paraId="5BB11AEB" w14:textId="77777777" w:rsidR="00370ADC" w:rsidRPr="00247B7A" w:rsidRDefault="00370ADC" w:rsidP="007F6A0F">
            <w:r w:rsidRPr="00247B7A">
              <w:rPr>
                <w:rFonts w:ascii="Arial" w:hAnsi="Arial" w:cs="Arial"/>
              </w:rPr>
              <w:t>Squamous cell carcinoma of the head and neck</w:t>
            </w:r>
            <w:r w:rsidRPr="00247B7A">
              <w:t xml:space="preserve"> </w:t>
            </w:r>
          </w:p>
          <w:p w14:paraId="3462A29B" w14:textId="77777777" w:rsidR="00370ADC" w:rsidRPr="00247B7A" w:rsidRDefault="00370ADC" w:rsidP="007F6A0F"/>
          <w:p w14:paraId="2FC33A97" w14:textId="77777777" w:rsidR="00370ADC" w:rsidRPr="003D7E12" w:rsidRDefault="00370ADC" w:rsidP="007F6A0F">
            <w:pPr>
              <w:widowControl w:val="0"/>
              <w:rPr>
                <w:rFonts w:ascii="Arial" w:hAnsi="Arial" w:cs="Arial"/>
                <w:b/>
                <w:snapToGrid w:val="0"/>
                <w:lang w:eastAsia="en-US"/>
              </w:rPr>
            </w:pP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6FAB7697" w14:textId="330EA9A5" w:rsidR="00370ADC" w:rsidRPr="003D7E12" w:rsidRDefault="00370ADC" w:rsidP="007F6A0F">
            <w:pPr>
              <w:widowControl w:val="0"/>
              <w:rPr>
                <w:rFonts w:ascii="Arial" w:hAnsi="Arial" w:cs="Arial"/>
                <w:b/>
                <w:snapToGrid w:val="0"/>
                <w:lang w:eastAsia="en-US"/>
              </w:rPr>
            </w:pPr>
            <w:r w:rsidRPr="00247B7A">
              <w:rPr>
                <w:rFonts w:ascii="Arial" w:hAnsi="Arial" w:cs="Arial"/>
              </w:rPr>
              <w:t>A request to amend the current 3mg/kg every two weeks (Q2W) dosing regimen of nivolumab for the treatment of unresectable Stage III or Stage IV malignant melanoma to include recent TGA approved changes to dosing and allow clinician choice of either:</w:t>
            </w:r>
            <w:r w:rsidRPr="00247B7A">
              <w:rPr>
                <w:rFonts w:ascii="Arial" w:hAnsi="Arial" w:cs="Arial"/>
              </w:rPr>
              <w:br/>
              <w:t>1. Weight-based 3mg/kg Q2W dosing, or</w:t>
            </w:r>
            <w:r w:rsidRPr="00247B7A">
              <w:rPr>
                <w:rFonts w:ascii="Arial" w:hAnsi="Arial" w:cs="Arial"/>
              </w:rPr>
              <w:br/>
              <w:t xml:space="preserve">2. Fixed 240mg Q2W dosing, or </w:t>
            </w:r>
            <w:r w:rsidRPr="00247B7A">
              <w:rPr>
                <w:rFonts w:ascii="Arial" w:hAnsi="Arial" w:cs="Arial"/>
              </w:rPr>
              <w:br/>
              <w:t>3. Fixed 480mg</w:t>
            </w:r>
            <w:r w:rsidR="00E44A44">
              <w:rPr>
                <w:rFonts w:ascii="Arial" w:hAnsi="Arial" w:cs="Arial"/>
              </w:rPr>
              <w:t xml:space="preserve"> every 4 weeks</w:t>
            </w:r>
            <w:r w:rsidRPr="00247B7A">
              <w:rPr>
                <w:rFonts w:ascii="Arial" w:hAnsi="Arial" w:cs="Arial"/>
              </w:rPr>
              <w:t xml:space="preserve"> </w:t>
            </w:r>
            <w:r w:rsidR="00E44A44">
              <w:rPr>
                <w:rFonts w:ascii="Arial" w:hAnsi="Arial" w:cs="Arial"/>
              </w:rPr>
              <w:t xml:space="preserve">(Q4W) </w:t>
            </w:r>
            <w:r w:rsidRPr="00247B7A">
              <w:rPr>
                <w:rFonts w:ascii="Arial" w:hAnsi="Arial" w:cs="Arial"/>
              </w:rPr>
              <w:t xml:space="preserve">dosing. </w:t>
            </w:r>
          </w:p>
        </w:tc>
        <w:tc>
          <w:tcPr>
            <w:tcW w:w="7192" w:type="dxa"/>
          </w:tcPr>
          <w:p w14:paraId="1FF16EE0" w14:textId="10B85C7E" w:rsidR="00AF509D" w:rsidRPr="000B5913" w:rsidRDefault="00605C77" w:rsidP="007F6A0F">
            <w:pPr>
              <w:widowControl w:val="0"/>
              <w:rPr>
                <w:rFonts w:ascii="Arial" w:hAnsi="Arial" w:cs="Arial"/>
                <w:snapToGrid w:val="0"/>
                <w:lang w:eastAsia="en-US"/>
              </w:rPr>
            </w:pPr>
            <w:r w:rsidRPr="00605C77">
              <w:rPr>
                <w:rFonts w:ascii="Arial" w:hAnsi="Arial" w:cs="Arial"/>
                <w:snapToGrid w:val="0"/>
                <w:lang w:eastAsia="en-US"/>
              </w:rPr>
              <w:t>The PBAC recommended the addition of two flat dosing regimens (240 mg Q2W and 480 mg Q4W) to the existing 3 mg/kg Q2W weight based dosing regimen for all existing and future PBS indications where nivolumab monotherapy is used. Based on the overall evidence, the PBAC considered that the efficacy and safety of the flat and weight based dosing regimens would likely be comparable. The PBAC considered that while the estimated utilisation split between flat and weight based dosing regimens was uncertain, it was reasonable to assume that the majority of patients would be prescribed the 480 mg Q4W dosing regimen if available. As such, the PBAC considered there would be some cost-savings to Government associated with the addition of nivolumab flat dosing regimens due to reduced infusion administrations.</w:t>
            </w:r>
          </w:p>
        </w:tc>
      </w:tr>
      <w:tr w:rsidR="00221330" w:rsidRPr="003D7E12" w14:paraId="6753C241" w14:textId="77777777" w:rsidTr="007F6A0F">
        <w:trPr>
          <w:cantSplit/>
        </w:trPr>
        <w:tc>
          <w:tcPr>
            <w:tcW w:w="3369" w:type="dxa"/>
            <w:tcMar>
              <w:top w:w="28" w:type="dxa"/>
              <w:bottom w:w="28" w:type="dxa"/>
            </w:tcMar>
          </w:tcPr>
          <w:p w14:paraId="75C8DF27" w14:textId="77777777" w:rsidR="00221330" w:rsidRDefault="00221330" w:rsidP="007F6A0F">
            <w:pPr>
              <w:widowControl w:val="0"/>
              <w:rPr>
                <w:rFonts w:ascii="Arial" w:hAnsi="Arial" w:cs="Arial"/>
              </w:rPr>
            </w:pPr>
            <w:r w:rsidRPr="00247B7A">
              <w:rPr>
                <w:rFonts w:ascii="Arial" w:hAnsi="Arial" w:cs="Arial"/>
              </w:rPr>
              <w:t>OCRIPLASMIN</w:t>
            </w:r>
            <w:r w:rsidRPr="00247B7A">
              <w:rPr>
                <w:rFonts w:ascii="Arial" w:hAnsi="Arial" w:cs="Arial"/>
              </w:rPr>
              <w:br/>
            </w:r>
            <w:r w:rsidRPr="00247B7A">
              <w:rPr>
                <w:rFonts w:ascii="Arial" w:hAnsi="Arial" w:cs="Arial"/>
              </w:rPr>
              <w:br/>
              <w:t>Solution for intravitreal injection 0.375 mg in 0.3 mL</w:t>
            </w:r>
            <w:r w:rsidRPr="00247B7A">
              <w:rPr>
                <w:rFonts w:ascii="Arial" w:hAnsi="Arial" w:cs="Arial"/>
              </w:rPr>
              <w:br/>
            </w:r>
            <w:r w:rsidRPr="00247B7A">
              <w:rPr>
                <w:rFonts w:ascii="Arial" w:hAnsi="Arial" w:cs="Arial"/>
              </w:rPr>
              <w:br/>
              <w:t>Jetrea® RTU</w:t>
            </w:r>
            <w:r w:rsidRPr="00247B7A">
              <w:rPr>
                <w:rFonts w:ascii="Arial" w:hAnsi="Arial" w:cs="Arial"/>
              </w:rPr>
              <w:br/>
            </w:r>
            <w:r w:rsidRPr="00247B7A">
              <w:rPr>
                <w:rFonts w:ascii="Arial" w:hAnsi="Arial" w:cs="Arial"/>
              </w:rPr>
              <w:br/>
              <w:t>iCare Pharma Distributors</w:t>
            </w:r>
          </w:p>
          <w:p w14:paraId="023E5AF0" w14:textId="77777777" w:rsidR="00C36AC3" w:rsidRDefault="00C36AC3" w:rsidP="007F6A0F">
            <w:pPr>
              <w:widowControl w:val="0"/>
              <w:rPr>
                <w:rFonts w:ascii="Arial" w:hAnsi="Arial" w:cs="Arial"/>
              </w:rPr>
            </w:pPr>
          </w:p>
          <w:p w14:paraId="2EE31FDF" w14:textId="77777777" w:rsidR="00C36AC3" w:rsidRPr="00C36AC3" w:rsidRDefault="00C36AC3" w:rsidP="00C36AC3">
            <w:pPr>
              <w:widowControl w:val="0"/>
              <w:rPr>
                <w:rFonts w:ascii="Arial" w:hAnsi="Arial" w:cs="Arial"/>
              </w:rPr>
            </w:pPr>
            <w:r w:rsidRPr="00C36AC3">
              <w:rPr>
                <w:rFonts w:ascii="Arial" w:hAnsi="Arial" w:cs="Arial"/>
              </w:rPr>
              <w:t>New listing</w:t>
            </w:r>
          </w:p>
          <w:p w14:paraId="4109EA24" w14:textId="63AB2933" w:rsidR="00C36AC3" w:rsidRPr="003D7E12" w:rsidRDefault="00C36AC3" w:rsidP="00C36AC3">
            <w:pPr>
              <w:widowControl w:val="0"/>
              <w:rPr>
                <w:rFonts w:ascii="Arial" w:hAnsi="Arial" w:cs="Arial"/>
                <w:b/>
              </w:rPr>
            </w:pPr>
            <w:r w:rsidRPr="00C36AC3">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34682CFD" w14:textId="7B3890E6" w:rsidR="00221330" w:rsidRPr="003D7E12" w:rsidRDefault="00221330" w:rsidP="007F6A0F">
            <w:pPr>
              <w:widowControl w:val="0"/>
              <w:rPr>
                <w:rFonts w:ascii="Arial" w:hAnsi="Arial" w:cs="Arial"/>
                <w:b/>
                <w:snapToGrid w:val="0"/>
                <w:lang w:eastAsia="en-US"/>
              </w:rPr>
            </w:pPr>
            <w:r w:rsidRPr="00247B7A">
              <w:rPr>
                <w:rFonts w:ascii="Arial" w:hAnsi="Arial" w:cs="Arial"/>
              </w:rPr>
              <w:t>Vitreomacular traction syndrome (VTS)</w:t>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1B92AB72" w14:textId="441BB2DB" w:rsidR="00221330" w:rsidRPr="003D7E12" w:rsidRDefault="00221330" w:rsidP="007F6A0F">
            <w:pPr>
              <w:widowControl w:val="0"/>
              <w:rPr>
                <w:rFonts w:ascii="Arial" w:hAnsi="Arial" w:cs="Arial"/>
                <w:b/>
                <w:snapToGrid w:val="0"/>
                <w:lang w:eastAsia="en-US"/>
              </w:rPr>
            </w:pPr>
            <w:r w:rsidRPr="00247B7A">
              <w:rPr>
                <w:rFonts w:ascii="Arial" w:hAnsi="Arial" w:cs="Arial"/>
              </w:rPr>
              <w:t>To request an Authority Required listing of a new form of ocriplasmin for VTS.</w:t>
            </w:r>
          </w:p>
        </w:tc>
        <w:tc>
          <w:tcPr>
            <w:tcW w:w="7192" w:type="dxa"/>
          </w:tcPr>
          <w:p w14:paraId="64C7FD78" w14:textId="0D853489" w:rsidR="00AF509D" w:rsidRPr="000B5913" w:rsidRDefault="00605C77" w:rsidP="00BE00ED">
            <w:pPr>
              <w:widowControl w:val="0"/>
              <w:rPr>
                <w:rFonts w:ascii="Arial" w:hAnsi="Arial" w:cs="Arial"/>
                <w:snapToGrid w:val="0"/>
                <w:lang w:eastAsia="en-US"/>
              </w:rPr>
            </w:pPr>
            <w:r w:rsidRPr="00605C77">
              <w:rPr>
                <w:rFonts w:ascii="Arial" w:hAnsi="Arial" w:cs="Arial"/>
                <w:snapToGrid w:val="0"/>
                <w:lang w:eastAsia="en-US"/>
              </w:rPr>
              <w:t xml:space="preserve">The PBAC recommended the Authority Required listing of the new form of ocriplasmin for the treatment of </w:t>
            </w:r>
            <w:r w:rsidR="00BE00ED">
              <w:rPr>
                <w:rFonts w:ascii="Arial" w:hAnsi="Arial" w:cs="Arial"/>
                <w:snapToGrid w:val="0"/>
                <w:lang w:eastAsia="en-US"/>
              </w:rPr>
              <w:t>VTS</w:t>
            </w:r>
            <w:r w:rsidR="00E44A44">
              <w:rPr>
                <w:rFonts w:ascii="Arial" w:hAnsi="Arial" w:cs="Arial"/>
                <w:snapToGrid w:val="0"/>
                <w:lang w:eastAsia="en-US"/>
              </w:rPr>
              <w:t xml:space="preserve"> that is intended to replace the existing 0.5mg/0.2mL formulation</w:t>
            </w:r>
            <w:r w:rsidRPr="00605C77">
              <w:rPr>
                <w:rFonts w:ascii="Arial" w:hAnsi="Arial" w:cs="Arial"/>
                <w:snapToGrid w:val="0"/>
                <w:lang w:eastAsia="en-US"/>
              </w:rPr>
              <w:t>.</w:t>
            </w:r>
          </w:p>
        </w:tc>
      </w:tr>
      <w:tr w:rsidR="00221330" w:rsidRPr="003D7E12" w14:paraId="108E3100" w14:textId="77777777" w:rsidTr="007F6A0F">
        <w:trPr>
          <w:cantSplit/>
        </w:trPr>
        <w:tc>
          <w:tcPr>
            <w:tcW w:w="3369" w:type="dxa"/>
            <w:tcMar>
              <w:top w:w="28" w:type="dxa"/>
              <w:bottom w:w="28" w:type="dxa"/>
            </w:tcMar>
          </w:tcPr>
          <w:p w14:paraId="5D3FA66E" w14:textId="77777777" w:rsidR="00221330" w:rsidRDefault="00221330" w:rsidP="007F6A0F">
            <w:pPr>
              <w:widowControl w:val="0"/>
              <w:rPr>
                <w:rFonts w:ascii="Arial" w:hAnsi="Arial" w:cs="Arial"/>
              </w:rPr>
            </w:pPr>
            <w:r w:rsidRPr="00247B7A">
              <w:rPr>
                <w:rFonts w:ascii="Arial" w:hAnsi="Arial" w:cs="Arial"/>
              </w:rPr>
              <w:lastRenderedPageBreak/>
              <w:t xml:space="preserve">PACLITAXEL, NANOPARTICLE ALBUMIN-BOUND </w:t>
            </w:r>
            <w:r w:rsidRPr="00247B7A">
              <w:rPr>
                <w:rFonts w:ascii="Arial" w:hAnsi="Arial" w:cs="Arial"/>
              </w:rPr>
              <w:br/>
            </w:r>
            <w:r w:rsidRPr="00247B7A">
              <w:rPr>
                <w:rFonts w:ascii="Arial" w:hAnsi="Arial" w:cs="Arial"/>
              </w:rPr>
              <w:br/>
              <w:t>Powder for I.V. injection containing 250 mg paclitaxel</w:t>
            </w:r>
            <w:r w:rsidRPr="00247B7A">
              <w:rPr>
                <w:rFonts w:ascii="Arial" w:hAnsi="Arial" w:cs="Arial"/>
              </w:rPr>
              <w:br/>
            </w:r>
            <w:r w:rsidRPr="00247B7A">
              <w:rPr>
                <w:rFonts w:ascii="Arial" w:hAnsi="Arial" w:cs="Arial"/>
              </w:rPr>
              <w:br/>
              <w:t>Abraxane®</w:t>
            </w:r>
            <w:r w:rsidRPr="00247B7A">
              <w:rPr>
                <w:rFonts w:ascii="Arial" w:hAnsi="Arial" w:cs="Arial"/>
              </w:rPr>
              <w:br/>
            </w:r>
            <w:r w:rsidRPr="00247B7A">
              <w:rPr>
                <w:rFonts w:ascii="Arial" w:hAnsi="Arial" w:cs="Arial"/>
              </w:rPr>
              <w:br/>
              <w:t>Specialised Therapeutics Pty Ltd</w:t>
            </w:r>
          </w:p>
          <w:p w14:paraId="58EA8DE7" w14:textId="77777777" w:rsidR="00C36AC3" w:rsidRDefault="00C36AC3" w:rsidP="007F6A0F">
            <w:pPr>
              <w:widowControl w:val="0"/>
              <w:rPr>
                <w:rFonts w:ascii="Arial" w:hAnsi="Arial" w:cs="Arial"/>
              </w:rPr>
            </w:pPr>
          </w:p>
          <w:p w14:paraId="2B4D30E9" w14:textId="77777777" w:rsidR="00C36AC3" w:rsidRPr="00C36AC3" w:rsidRDefault="00C36AC3" w:rsidP="00C36AC3">
            <w:pPr>
              <w:widowControl w:val="0"/>
              <w:rPr>
                <w:rFonts w:ascii="Arial" w:hAnsi="Arial" w:cs="Arial"/>
              </w:rPr>
            </w:pPr>
            <w:r w:rsidRPr="00C36AC3">
              <w:rPr>
                <w:rFonts w:ascii="Arial" w:hAnsi="Arial" w:cs="Arial"/>
              </w:rPr>
              <w:t>New listing</w:t>
            </w:r>
          </w:p>
          <w:p w14:paraId="13501367" w14:textId="4B5A23C6" w:rsidR="00C36AC3" w:rsidRPr="003D7E12" w:rsidRDefault="00C36AC3" w:rsidP="00C36AC3">
            <w:pPr>
              <w:widowControl w:val="0"/>
              <w:rPr>
                <w:rFonts w:ascii="Arial" w:hAnsi="Arial" w:cs="Arial"/>
                <w:b/>
              </w:rPr>
            </w:pPr>
            <w:r w:rsidRPr="00C36AC3">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02051D74" w14:textId="217049AD" w:rsidR="00221330" w:rsidRPr="003D7E12" w:rsidRDefault="00221330" w:rsidP="007F6A0F">
            <w:pPr>
              <w:widowControl w:val="0"/>
              <w:rPr>
                <w:rFonts w:ascii="Arial" w:hAnsi="Arial" w:cs="Arial"/>
                <w:b/>
                <w:snapToGrid w:val="0"/>
                <w:lang w:eastAsia="en-US"/>
              </w:rPr>
            </w:pPr>
            <w:r w:rsidRPr="00247B7A">
              <w:rPr>
                <w:rFonts w:ascii="Arial" w:hAnsi="Arial" w:cs="Arial"/>
              </w:rPr>
              <w:t>Adenocarcinoma of the pancreas</w:t>
            </w:r>
            <w:r w:rsidRPr="00247B7A">
              <w:rPr>
                <w:rFonts w:ascii="Arial" w:hAnsi="Arial" w:cs="Arial"/>
              </w:rPr>
              <w:br/>
              <w:t>Breast cancer</w:t>
            </w:r>
            <w:r w:rsidRPr="00247B7A">
              <w:rPr>
                <w:rFonts w:ascii="Arial" w:hAnsi="Arial" w:cs="Arial"/>
              </w:rPr>
              <w:br/>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1947A61D" w14:textId="6BC725EC" w:rsidR="00221330" w:rsidRPr="003D7E12" w:rsidRDefault="00221330" w:rsidP="007F6A0F">
            <w:pPr>
              <w:widowControl w:val="0"/>
              <w:rPr>
                <w:rFonts w:ascii="Arial" w:hAnsi="Arial" w:cs="Arial"/>
                <w:b/>
                <w:snapToGrid w:val="0"/>
                <w:lang w:eastAsia="en-US"/>
              </w:rPr>
            </w:pPr>
            <w:r w:rsidRPr="00247B7A">
              <w:rPr>
                <w:rFonts w:ascii="Arial" w:hAnsi="Arial" w:cs="Arial"/>
              </w:rPr>
              <w:t xml:space="preserve">To request an Authority Required (STREAMLINED) listing of a new vial size. </w:t>
            </w:r>
          </w:p>
        </w:tc>
        <w:tc>
          <w:tcPr>
            <w:tcW w:w="7192" w:type="dxa"/>
          </w:tcPr>
          <w:p w14:paraId="6CBC5823" w14:textId="53F9B124" w:rsidR="00A041ED" w:rsidRPr="000B5913" w:rsidRDefault="00605C77" w:rsidP="00E44A44">
            <w:pPr>
              <w:widowControl w:val="0"/>
              <w:rPr>
                <w:rFonts w:ascii="Arial" w:hAnsi="Arial" w:cs="Arial"/>
                <w:snapToGrid w:val="0"/>
                <w:lang w:eastAsia="en-US"/>
              </w:rPr>
            </w:pPr>
            <w:r w:rsidRPr="00605C77">
              <w:rPr>
                <w:rFonts w:ascii="Arial" w:hAnsi="Arial" w:cs="Arial"/>
                <w:snapToGrid w:val="0"/>
                <w:lang w:eastAsia="en-US"/>
              </w:rPr>
              <w:t xml:space="preserve">The PBAC recommended the </w:t>
            </w:r>
            <w:r w:rsidR="00BE00ED" w:rsidRPr="00247B7A">
              <w:rPr>
                <w:rFonts w:ascii="Arial" w:hAnsi="Arial" w:cs="Arial"/>
              </w:rPr>
              <w:t xml:space="preserve">Authority Required (STREAMLINED) </w:t>
            </w:r>
            <w:r w:rsidRPr="00605C77">
              <w:rPr>
                <w:rFonts w:ascii="Arial" w:hAnsi="Arial" w:cs="Arial"/>
                <w:snapToGrid w:val="0"/>
                <w:lang w:eastAsia="en-US"/>
              </w:rPr>
              <w:t>listing of a 250 mg vial of nanoparticle albumin-bound paclitaxel (</w:t>
            </w:r>
            <w:r w:rsidRPr="00E44A44">
              <w:rPr>
                <w:rFonts w:ascii="Arial" w:hAnsi="Arial" w:cs="Arial"/>
                <w:i/>
                <w:snapToGrid w:val="0"/>
                <w:lang w:eastAsia="en-US"/>
              </w:rPr>
              <w:t>nab</w:t>
            </w:r>
            <w:r w:rsidRPr="00605C77">
              <w:rPr>
                <w:rFonts w:ascii="Arial" w:hAnsi="Arial" w:cs="Arial"/>
                <w:snapToGrid w:val="0"/>
                <w:lang w:eastAsia="en-US"/>
              </w:rPr>
              <w:t xml:space="preserve">-paclitaxel) powder for injection under the same conditions as the currently listed </w:t>
            </w:r>
            <w:r w:rsidRPr="00E44A44">
              <w:rPr>
                <w:rFonts w:ascii="Arial" w:hAnsi="Arial" w:cs="Arial"/>
                <w:i/>
                <w:snapToGrid w:val="0"/>
                <w:lang w:eastAsia="en-US"/>
              </w:rPr>
              <w:t>nab</w:t>
            </w:r>
            <w:r w:rsidRPr="00605C77">
              <w:rPr>
                <w:rFonts w:ascii="Arial" w:hAnsi="Arial" w:cs="Arial"/>
                <w:snapToGrid w:val="0"/>
                <w:lang w:eastAsia="en-US"/>
              </w:rPr>
              <w:t xml:space="preserve">-paclitaxel 100 mg vial, at an equivalent price per mg </w:t>
            </w:r>
            <w:r w:rsidR="00E44A44">
              <w:rPr>
                <w:rFonts w:ascii="Arial" w:hAnsi="Arial" w:cs="Arial"/>
                <w:snapToGrid w:val="0"/>
                <w:lang w:eastAsia="en-US"/>
              </w:rPr>
              <w:t>as</w:t>
            </w:r>
            <w:r w:rsidRPr="00605C77">
              <w:rPr>
                <w:rFonts w:ascii="Arial" w:hAnsi="Arial" w:cs="Arial"/>
                <w:snapToGrid w:val="0"/>
                <w:lang w:eastAsia="en-US"/>
              </w:rPr>
              <w:t xml:space="preserve"> the 100 mg vial for its corresponding indications.</w:t>
            </w:r>
          </w:p>
        </w:tc>
      </w:tr>
      <w:tr w:rsidR="00221330" w:rsidRPr="003D7E12" w14:paraId="47FE9837" w14:textId="77777777" w:rsidTr="007F6A0F">
        <w:trPr>
          <w:cantSplit/>
        </w:trPr>
        <w:tc>
          <w:tcPr>
            <w:tcW w:w="3369" w:type="dxa"/>
            <w:tcMar>
              <w:top w:w="28" w:type="dxa"/>
              <w:bottom w:w="28" w:type="dxa"/>
            </w:tcMar>
          </w:tcPr>
          <w:p w14:paraId="674E1442" w14:textId="77777777" w:rsidR="00221330" w:rsidRDefault="00221330" w:rsidP="007F6A0F">
            <w:pPr>
              <w:widowControl w:val="0"/>
              <w:rPr>
                <w:rFonts w:ascii="Arial" w:hAnsi="Arial" w:cs="Arial"/>
              </w:rPr>
            </w:pPr>
            <w:r w:rsidRPr="00247B7A">
              <w:rPr>
                <w:rFonts w:ascii="Arial" w:hAnsi="Arial" w:cs="Arial"/>
              </w:rPr>
              <w:t>PEGVISOMANT</w:t>
            </w:r>
            <w:r w:rsidRPr="00247B7A">
              <w:rPr>
                <w:rFonts w:ascii="Arial" w:hAnsi="Arial" w:cs="Arial"/>
              </w:rPr>
              <w:br/>
            </w:r>
            <w:r w:rsidRPr="00247B7A">
              <w:rPr>
                <w:rFonts w:ascii="Arial" w:hAnsi="Arial" w:cs="Arial"/>
              </w:rPr>
              <w:br/>
              <w:t>Injection set containing powder for injection 10 mg, 30 and diluent, 30</w:t>
            </w:r>
            <w:r w:rsidRPr="00247B7A">
              <w:rPr>
                <w:rFonts w:ascii="Arial" w:hAnsi="Arial" w:cs="Arial"/>
              </w:rPr>
              <w:br/>
              <w:t>Injection set containing powder for injection 15 mg, 30 and diluent, 30</w:t>
            </w:r>
            <w:r w:rsidRPr="00247B7A">
              <w:rPr>
                <w:rFonts w:ascii="Arial" w:hAnsi="Arial" w:cs="Arial"/>
              </w:rPr>
              <w:br/>
              <w:t>Injection set containing powder for injection 20 mg, 30 and diluent, 30</w:t>
            </w:r>
            <w:r w:rsidRPr="00247B7A">
              <w:rPr>
                <w:rFonts w:ascii="Arial" w:hAnsi="Arial" w:cs="Arial"/>
              </w:rPr>
              <w:br/>
              <w:t>Injection set containing powder for injection 20 mg, 1 and diluent, 1</w:t>
            </w:r>
            <w:r w:rsidRPr="00247B7A">
              <w:rPr>
                <w:rFonts w:ascii="Arial" w:hAnsi="Arial" w:cs="Arial"/>
              </w:rPr>
              <w:br/>
            </w:r>
            <w:r w:rsidRPr="00247B7A">
              <w:rPr>
                <w:rFonts w:ascii="Arial" w:hAnsi="Arial" w:cs="Arial"/>
              </w:rPr>
              <w:br/>
              <w:t>Somavert®</w:t>
            </w:r>
            <w:r w:rsidRPr="00247B7A">
              <w:rPr>
                <w:rFonts w:ascii="Arial" w:hAnsi="Arial" w:cs="Arial"/>
              </w:rPr>
              <w:br/>
            </w:r>
            <w:r w:rsidRPr="00247B7A">
              <w:rPr>
                <w:rFonts w:ascii="Arial" w:hAnsi="Arial" w:cs="Arial"/>
              </w:rPr>
              <w:br/>
              <w:t>Pfizer Australia Pty Ltd</w:t>
            </w:r>
          </w:p>
          <w:p w14:paraId="4D5C3267" w14:textId="77777777" w:rsidR="00C36AC3" w:rsidRDefault="00C36AC3" w:rsidP="007F6A0F">
            <w:pPr>
              <w:widowControl w:val="0"/>
              <w:rPr>
                <w:rFonts w:ascii="Arial" w:hAnsi="Arial" w:cs="Arial"/>
              </w:rPr>
            </w:pPr>
          </w:p>
          <w:p w14:paraId="78D467D4" w14:textId="77777777" w:rsidR="00C36AC3" w:rsidRPr="00C36AC3" w:rsidRDefault="00C36AC3" w:rsidP="00C36AC3">
            <w:pPr>
              <w:widowControl w:val="0"/>
              <w:rPr>
                <w:rFonts w:ascii="Arial" w:hAnsi="Arial" w:cs="Arial"/>
              </w:rPr>
            </w:pPr>
            <w:r w:rsidRPr="00C36AC3">
              <w:rPr>
                <w:rFonts w:ascii="Arial" w:hAnsi="Arial" w:cs="Arial"/>
              </w:rPr>
              <w:t>Change to listing</w:t>
            </w:r>
          </w:p>
          <w:p w14:paraId="21F09966" w14:textId="2A4496D3" w:rsidR="00C36AC3" w:rsidRPr="003D7E12" w:rsidRDefault="00C36AC3" w:rsidP="00C36AC3">
            <w:pPr>
              <w:widowControl w:val="0"/>
              <w:rPr>
                <w:rFonts w:ascii="Arial" w:hAnsi="Arial" w:cs="Arial"/>
                <w:b/>
              </w:rPr>
            </w:pPr>
            <w:r w:rsidRPr="00C36AC3">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2639B0ED" w14:textId="0D59DA14" w:rsidR="00221330" w:rsidRPr="003D7E12" w:rsidRDefault="00221330" w:rsidP="007F6A0F">
            <w:pPr>
              <w:widowControl w:val="0"/>
              <w:rPr>
                <w:rFonts w:ascii="Arial" w:hAnsi="Arial" w:cs="Arial"/>
                <w:b/>
                <w:snapToGrid w:val="0"/>
                <w:lang w:eastAsia="en-US"/>
              </w:rPr>
            </w:pPr>
            <w:r w:rsidRPr="00247B7A">
              <w:rPr>
                <w:rFonts w:ascii="Arial" w:hAnsi="Arial" w:cs="Arial"/>
              </w:rPr>
              <w:t>Acromegaly</w:t>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4B0FF573" w14:textId="77777777" w:rsidR="00221330" w:rsidRPr="00247B7A" w:rsidRDefault="00221330" w:rsidP="007F6A0F">
            <w:pPr>
              <w:rPr>
                <w:rFonts w:ascii="Arial" w:hAnsi="Arial" w:cs="Arial"/>
              </w:rPr>
            </w:pPr>
            <w:r w:rsidRPr="00247B7A">
              <w:rPr>
                <w:rFonts w:ascii="Arial" w:hAnsi="Arial" w:cs="Arial"/>
              </w:rPr>
              <w:t xml:space="preserve">To request a change to the definition of failure to achieve biochemical control in the current PBS restriction. </w:t>
            </w:r>
          </w:p>
          <w:p w14:paraId="0E4549E5" w14:textId="77777777" w:rsidR="00221330" w:rsidRPr="003D7E12" w:rsidRDefault="00221330" w:rsidP="007F6A0F">
            <w:pPr>
              <w:widowControl w:val="0"/>
              <w:rPr>
                <w:rFonts w:ascii="Arial" w:hAnsi="Arial" w:cs="Arial"/>
                <w:b/>
                <w:snapToGrid w:val="0"/>
                <w:lang w:eastAsia="en-US"/>
              </w:rPr>
            </w:pPr>
          </w:p>
        </w:tc>
        <w:tc>
          <w:tcPr>
            <w:tcW w:w="7192" w:type="dxa"/>
          </w:tcPr>
          <w:p w14:paraId="6F98AF8D" w14:textId="20AC33B2" w:rsidR="00605C77" w:rsidRPr="00605C77" w:rsidRDefault="00605C77" w:rsidP="007F6A0F">
            <w:pPr>
              <w:tabs>
                <w:tab w:val="left" w:pos="1290"/>
              </w:tabs>
              <w:rPr>
                <w:rFonts w:ascii="Arial" w:hAnsi="Arial" w:cs="Arial"/>
                <w:lang w:eastAsia="en-US"/>
              </w:rPr>
            </w:pPr>
            <w:r w:rsidRPr="00605C77">
              <w:rPr>
                <w:rFonts w:ascii="Arial" w:hAnsi="Arial" w:cs="Arial"/>
                <w:lang w:eastAsia="en-US"/>
              </w:rPr>
              <w:t>The PBAC recommended the following changes to the definition of failure to achieve biochemical control in the current initial PBS restriction for pegvisomant:</w:t>
            </w:r>
          </w:p>
          <w:p w14:paraId="4F93A2E4" w14:textId="77777777" w:rsidR="00605C77" w:rsidRPr="00605C77" w:rsidRDefault="00605C77" w:rsidP="007F6A0F">
            <w:pPr>
              <w:tabs>
                <w:tab w:val="left" w:pos="1290"/>
              </w:tabs>
              <w:rPr>
                <w:rFonts w:ascii="Arial" w:hAnsi="Arial" w:cs="Arial"/>
                <w:lang w:eastAsia="en-US"/>
              </w:rPr>
            </w:pPr>
            <w:r w:rsidRPr="00605C77">
              <w:rPr>
                <w:rFonts w:ascii="Arial" w:hAnsi="Arial" w:cs="Arial"/>
                <w:lang w:eastAsia="en-US"/>
              </w:rPr>
              <w:t>• A reduction to the level of growth hormone (GH) from 2.5 mcg/L to 1 mcg/L;</w:t>
            </w:r>
          </w:p>
          <w:p w14:paraId="6DDCE99B" w14:textId="77777777" w:rsidR="00605C77" w:rsidRPr="00605C77" w:rsidRDefault="00605C77" w:rsidP="007F6A0F">
            <w:pPr>
              <w:tabs>
                <w:tab w:val="left" w:pos="1290"/>
              </w:tabs>
              <w:rPr>
                <w:rFonts w:ascii="Arial" w:hAnsi="Arial" w:cs="Arial"/>
                <w:lang w:eastAsia="en-US"/>
              </w:rPr>
            </w:pPr>
            <w:r w:rsidRPr="00605C77">
              <w:rPr>
                <w:rFonts w:ascii="Arial" w:hAnsi="Arial" w:cs="Arial"/>
                <w:lang w:eastAsia="en-US"/>
              </w:rPr>
              <w:t xml:space="preserve">• A reduction to the level of insulin-like growth factor 1 (IGF-1) from greater than 1.3 times the age- and sex-adjusted upper limit of normal (ULN) to greater than the age- and sex-adjusted ULN; </w:t>
            </w:r>
          </w:p>
          <w:p w14:paraId="4EFAC4E9" w14:textId="77777777" w:rsidR="00605C77" w:rsidRPr="00605C77" w:rsidRDefault="00605C77" w:rsidP="007F6A0F">
            <w:pPr>
              <w:tabs>
                <w:tab w:val="left" w:pos="1290"/>
              </w:tabs>
              <w:rPr>
                <w:rFonts w:ascii="Arial" w:hAnsi="Arial" w:cs="Arial"/>
                <w:lang w:eastAsia="en-US"/>
              </w:rPr>
            </w:pPr>
            <w:r w:rsidRPr="00605C77">
              <w:rPr>
                <w:rFonts w:ascii="Arial" w:hAnsi="Arial" w:cs="Arial"/>
                <w:lang w:eastAsia="en-US"/>
              </w:rPr>
              <w:t>• A change from using both the GH and IGF-1 criteria to define failure to using either of these criteria; and</w:t>
            </w:r>
          </w:p>
          <w:p w14:paraId="0561042D" w14:textId="77777777" w:rsidR="00605C77" w:rsidRPr="00605C77" w:rsidRDefault="00605C77" w:rsidP="007F6A0F">
            <w:pPr>
              <w:tabs>
                <w:tab w:val="left" w:pos="1290"/>
              </w:tabs>
              <w:rPr>
                <w:rFonts w:ascii="Arial" w:hAnsi="Arial" w:cs="Arial"/>
                <w:lang w:eastAsia="en-US"/>
              </w:rPr>
            </w:pPr>
            <w:r w:rsidRPr="00605C77">
              <w:rPr>
                <w:rFonts w:ascii="Arial" w:hAnsi="Arial" w:cs="Arial"/>
                <w:lang w:eastAsia="en-US"/>
              </w:rPr>
              <w:t xml:space="preserve">• To include GH levels in both mcg/L and mIU/L. </w:t>
            </w:r>
          </w:p>
          <w:p w14:paraId="2A1B7243" w14:textId="30736E45" w:rsidR="00A041ED" w:rsidRPr="00605C77" w:rsidRDefault="00605C77" w:rsidP="007F6A0F">
            <w:pPr>
              <w:tabs>
                <w:tab w:val="left" w:pos="1290"/>
              </w:tabs>
              <w:rPr>
                <w:rFonts w:ascii="Arial" w:hAnsi="Arial" w:cs="Arial"/>
                <w:lang w:eastAsia="en-US"/>
              </w:rPr>
            </w:pPr>
            <w:r w:rsidRPr="00605C77">
              <w:rPr>
                <w:rFonts w:ascii="Arial" w:hAnsi="Arial" w:cs="Arial"/>
                <w:lang w:eastAsia="en-US"/>
              </w:rPr>
              <w:t xml:space="preserve">The PBAC considered that this restriction change should also apply to pasireotide to maintain consistency in eligibility for second-line agents. </w:t>
            </w:r>
          </w:p>
          <w:p w14:paraId="39D88891" w14:textId="353D79B0" w:rsidR="00221330" w:rsidRPr="00605C77" w:rsidRDefault="00221330" w:rsidP="007F6A0F">
            <w:pPr>
              <w:tabs>
                <w:tab w:val="left" w:pos="1290"/>
              </w:tabs>
              <w:rPr>
                <w:rFonts w:ascii="Arial" w:hAnsi="Arial" w:cs="Arial"/>
                <w:lang w:eastAsia="en-US"/>
              </w:rPr>
            </w:pPr>
          </w:p>
        </w:tc>
      </w:tr>
      <w:tr w:rsidR="00221330" w:rsidRPr="003D7E12" w14:paraId="37C8CBC7" w14:textId="77777777" w:rsidTr="007F6A0F">
        <w:trPr>
          <w:cantSplit/>
        </w:trPr>
        <w:tc>
          <w:tcPr>
            <w:tcW w:w="3369" w:type="dxa"/>
            <w:tcMar>
              <w:top w:w="28" w:type="dxa"/>
              <w:bottom w:w="28" w:type="dxa"/>
            </w:tcMar>
          </w:tcPr>
          <w:p w14:paraId="35C5BF10" w14:textId="77777777" w:rsidR="00221330" w:rsidRDefault="00221330" w:rsidP="007F6A0F">
            <w:pPr>
              <w:widowControl w:val="0"/>
              <w:rPr>
                <w:rFonts w:ascii="Arial" w:hAnsi="Arial" w:cs="Arial"/>
              </w:rPr>
            </w:pPr>
            <w:r w:rsidRPr="00247B7A">
              <w:rPr>
                <w:rFonts w:ascii="Arial" w:hAnsi="Arial" w:cs="Arial"/>
              </w:rPr>
              <w:lastRenderedPageBreak/>
              <w:t>QUADRIVALENT INFLUENZA VACCINE</w:t>
            </w:r>
            <w:r w:rsidRPr="00247B7A">
              <w:rPr>
                <w:rFonts w:ascii="Arial" w:hAnsi="Arial" w:cs="Arial"/>
              </w:rPr>
              <w:br/>
            </w:r>
            <w:r w:rsidRPr="00247B7A">
              <w:rPr>
                <w:rFonts w:ascii="Arial" w:hAnsi="Arial" w:cs="Arial"/>
              </w:rPr>
              <w:br/>
              <w:t>0.5 mL pre-filled syringe</w:t>
            </w:r>
            <w:r w:rsidRPr="00247B7A">
              <w:rPr>
                <w:rFonts w:ascii="Arial" w:hAnsi="Arial" w:cs="Arial"/>
              </w:rPr>
              <w:br/>
            </w:r>
            <w:r w:rsidRPr="00247B7A">
              <w:rPr>
                <w:rFonts w:ascii="Arial" w:hAnsi="Arial" w:cs="Arial"/>
              </w:rPr>
              <w:br/>
              <w:t>Fluarix Tetra®</w:t>
            </w:r>
            <w:r w:rsidRPr="00247B7A">
              <w:rPr>
                <w:rFonts w:ascii="Arial" w:hAnsi="Arial" w:cs="Arial"/>
              </w:rPr>
              <w:br/>
            </w:r>
            <w:r w:rsidRPr="00247B7A">
              <w:rPr>
                <w:rFonts w:ascii="Arial" w:hAnsi="Arial" w:cs="Arial"/>
              </w:rPr>
              <w:br/>
              <w:t>GlaxoSmithKline Australia Pty Ltd</w:t>
            </w:r>
          </w:p>
          <w:p w14:paraId="46E6C42B" w14:textId="77777777" w:rsidR="00C36AC3" w:rsidRDefault="00C36AC3" w:rsidP="007F6A0F">
            <w:pPr>
              <w:widowControl w:val="0"/>
              <w:rPr>
                <w:rFonts w:ascii="Arial" w:hAnsi="Arial" w:cs="Arial"/>
              </w:rPr>
            </w:pPr>
          </w:p>
          <w:p w14:paraId="71A45BA9" w14:textId="77777777" w:rsidR="00C36AC3" w:rsidRPr="00C36AC3" w:rsidRDefault="00C36AC3" w:rsidP="00C36AC3">
            <w:pPr>
              <w:widowControl w:val="0"/>
              <w:rPr>
                <w:rFonts w:ascii="Arial" w:hAnsi="Arial" w:cs="Arial"/>
              </w:rPr>
            </w:pPr>
            <w:r w:rsidRPr="00C36AC3">
              <w:rPr>
                <w:rFonts w:ascii="Arial" w:hAnsi="Arial" w:cs="Arial"/>
              </w:rPr>
              <w:t>Change to listing</w:t>
            </w:r>
          </w:p>
          <w:p w14:paraId="663ACF47" w14:textId="71FDC4A4" w:rsidR="00C36AC3" w:rsidRPr="003D7E12" w:rsidRDefault="00C36AC3" w:rsidP="00C36AC3">
            <w:pPr>
              <w:widowControl w:val="0"/>
              <w:rPr>
                <w:rFonts w:ascii="Arial" w:hAnsi="Arial" w:cs="Arial"/>
                <w:b/>
              </w:rPr>
            </w:pPr>
            <w:r w:rsidRPr="00C36AC3">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792EC143" w14:textId="5058FEE6" w:rsidR="00221330" w:rsidRPr="003D7E12" w:rsidRDefault="00221330" w:rsidP="007F6A0F">
            <w:pPr>
              <w:widowControl w:val="0"/>
              <w:rPr>
                <w:rFonts w:ascii="Arial" w:hAnsi="Arial" w:cs="Arial"/>
                <w:b/>
                <w:snapToGrid w:val="0"/>
                <w:lang w:eastAsia="en-US"/>
              </w:rPr>
            </w:pPr>
            <w:r w:rsidRPr="00247B7A">
              <w:rPr>
                <w:rFonts w:ascii="Arial" w:hAnsi="Arial" w:cs="Arial"/>
              </w:rPr>
              <w:t>Influenza</w:t>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11B92BD1" w14:textId="01379C58" w:rsidR="00221330" w:rsidRPr="003D7E12" w:rsidRDefault="00221330" w:rsidP="007F6A0F">
            <w:pPr>
              <w:widowControl w:val="0"/>
              <w:rPr>
                <w:rFonts w:ascii="Arial" w:hAnsi="Arial" w:cs="Arial"/>
                <w:b/>
                <w:snapToGrid w:val="0"/>
                <w:lang w:eastAsia="en-US"/>
              </w:rPr>
            </w:pPr>
            <w:r w:rsidRPr="00247B7A">
              <w:rPr>
                <w:rFonts w:ascii="Arial" w:hAnsi="Arial" w:cs="Arial"/>
              </w:rPr>
              <w:t>To request an extension of the National Immunisation Program listing of the Fluarix® Tetra brand to include children aged 6 months to 3 years of age.</w:t>
            </w:r>
          </w:p>
        </w:tc>
        <w:tc>
          <w:tcPr>
            <w:tcW w:w="7192" w:type="dxa"/>
          </w:tcPr>
          <w:p w14:paraId="07D2A9CD" w14:textId="40F2EF34" w:rsidR="00A041ED" w:rsidRPr="000B5913" w:rsidRDefault="00605C77" w:rsidP="00E44A44">
            <w:pPr>
              <w:widowControl w:val="0"/>
              <w:rPr>
                <w:rFonts w:ascii="Arial" w:hAnsi="Arial" w:cs="Arial"/>
                <w:snapToGrid w:val="0"/>
                <w:lang w:eastAsia="en-US"/>
              </w:rPr>
            </w:pPr>
            <w:r w:rsidRPr="00605C77">
              <w:rPr>
                <w:rFonts w:ascii="Arial" w:hAnsi="Arial" w:cs="Arial"/>
                <w:snapToGrid w:val="0"/>
                <w:lang w:eastAsia="en-US"/>
              </w:rPr>
              <w:t>The PBAC recommended an extension to the listing of Fluarix Tetra® (quadrivalent influenza vaccine (split virion, inactivated)), on the National Health (Immunisation Program – Designated Vaccines) Determination 2014 (No.1) (the Determination), for the prevention of seasonal influenza to include high risk and Aboriginal and/or Torres Strait Islander infants and children aged 6 to 35 months of age, noting the current Fluarix Tetra listing is for patients over 3 years of age. The PBAC noted that there are benefits to a single vaccine that covers both adults and children, compared to the current NIP listing that only includes separate child and adult products. Based on the evidence presented, the PBAC considered that Fluarix Tetra was cost-effective on a cost-minimisation basis to FluQuadri Junior. The recommended change would provide a single influenza vaccine for infants, children and adults.</w:t>
            </w:r>
          </w:p>
        </w:tc>
      </w:tr>
      <w:tr w:rsidR="00221330" w:rsidRPr="003D7E12" w14:paraId="593A047F" w14:textId="77777777" w:rsidTr="007F6A0F">
        <w:trPr>
          <w:cantSplit/>
        </w:trPr>
        <w:tc>
          <w:tcPr>
            <w:tcW w:w="3369" w:type="dxa"/>
            <w:tcMar>
              <w:top w:w="28" w:type="dxa"/>
              <w:bottom w:w="28" w:type="dxa"/>
            </w:tcMar>
          </w:tcPr>
          <w:p w14:paraId="03328DBC" w14:textId="77777777" w:rsidR="00221330" w:rsidRDefault="00221330" w:rsidP="007F6A0F">
            <w:pPr>
              <w:widowControl w:val="0"/>
              <w:rPr>
                <w:rFonts w:ascii="Arial" w:hAnsi="Arial" w:cs="Arial"/>
              </w:rPr>
            </w:pPr>
            <w:r w:rsidRPr="00247B7A">
              <w:rPr>
                <w:rFonts w:ascii="Arial" w:hAnsi="Arial" w:cs="Arial"/>
              </w:rPr>
              <w:t>RITUXIMAB</w:t>
            </w:r>
            <w:r w:rsidRPr="00247B7A">
              <w:rPr>
                <w:rFonts w:ascii="Arial" w:hAnsi="Arial" w:cs="Arial"/>
              </w:rPr>
              <w:br/>
            </w:r>
            <w:r w:rsidRPr="00247B7A">
              <w:rPr>
                <w:rFonts w:ascii="Arial" w:hAnsi="Arial" w:cs="Arial"/>
              </w:rPr>
              <w:br/>
              <w:t>Solution for I.V. infusion 100 mg in 10 mL</w:t>
            </w:r>
            <w:r w:rsidRPr="00247B7A">
              <w:rPr>
                <w:rFonts w:ascii="Arial" w:hAnsi="Arial" w:cs="Arial"/>
              </w:rPr>
              <w:br/>
              <w:t>Solution for I.V. infusion 500 mg in 50 mL</w:t>
            </w:r>
            <w:r w:rsidRPr="00247B7A">
              <w:rPr>
                <w:rFonts w:ascii="Arial" w:hAnsi="Arial" w:cs="Arial"/>
              </w:rPr>
              <w:br/>
            </w:r>
            <w:r w:rsidRPr="00247B7A">
              <w:rPr>
                <w:rFonts w:ascii="Arial" w:hAnsi="Arial" w:cs="Arial"/>
              </w:rPr>
              <w:br/>
              <w:t>Truxima®</w:t>
            </w:r>
            <w:r w:rsidRPr="00247B7A">
              <w:rPr>
                <w:rFonts w:ascii="Arial" w:hAnsi="Arial" w:cs="Arial"/>
              </w:rPr>
              <w:br/>
            </w:r>
            <w:r w:rsidRPr="00247B7A">
              <w:rPr>
                <w:rFonts w:ascii="Arial" w:hAnsi="Arial" w:cs="Arial"/>
              </w:rPr>
              <w:br/>
              <w:t>Celltrion Healthcare Australia Pty. Ltd.</w:t>
            </w:r>
          </w:p>
          <w:p w14:paraId="7CB3CBD0" w14:textId="77777777" w:rsidR="00C36AC3" w:rsidRDefault="00C36AC3" w:rsidP="007F6A0F">
            <w:pPr>
              <w:widowControl w:val="0"/>
              <w:rPr>
                <w:rFonts w:ascii="Arial" w:hAnsi="Arial" w:cs="Arial"/>
              </w:rPr>
            </w:pPr>
          </w:p>
          <w:p w14:paraId="27AC7458" w14:textId="77777777" w:rsidR="00C36AC3" w:rsidRPr="00C36AC3" w:rsidRDefault="00C36AC3" w:rsidP="00C36AC3">
            <w:pPr>
              <w:widowControl w:val="0"/>
              <w:rPr>
                <w:rFonts w:ascii="Arial" w:hAnsi="Arial" w:cs="Arial"/>
              </w:rPr>
            </w:pPr>
            <w:r w:rsidRPr="00C36AC3">
              <w:rPr>
                <w:rFonts w:ascii="Arial" w:hAnsi="Arial" w:cs="Arial"/>
              </w:rPr>
              <w:t>New listing</w:t>
            </w:r>
          </w:p>
          <w:p w14:paraId="0F22BDB8" w14:textId="4632CC87" w:rsidR="00C36AC3" w:rsidRPr="003D7E12" w:rsidRDefault="00C36AC3" w:rsidP="00C36AC3">
            <w:pPr>
              <w:widowControl w:val="0"/>
              <w:rPr>
                <w:rFonts w:ascii="Arial" w:hAnsi="Arial" w:cs="Arial"/>
                <w:b/>
              </w:rPr>
            </w:pPr>
            <w:r w:rsidRPr="00C36AC3">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42D4EDE5" w14:textId="39E48574" w:rsidR="00221330" w:rsidRPr="003D7E12" w:rsidRDefault="00221330" w:rsidP="007F6A0F">
            <w:pPr>
              <w:widowControl w:val="0"/>
              <w:rPr>
                <w:rFonts w:ascii="Arial" w:hAnsi="Arial" w:cs="Arial"/>
                <w:b/>
                <w:snapToGrid w:val="0"/>
                <w:lang w:eastAsia="en-US"/>
              </w:rPr>
            </w:pPr>
            <w:r w:rsidRPr="00247B7A">
              <w:rPr>
                <w:rFonts w:ascii="Arial" w:hAnsi="Arial" w:cs="Arial"/>
              </w:rPr>
              <w:t>Non-Hodgkin lymphoma</w:t>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7DB750EA" w14:textId="0EE08D5C" w:rsidR="00221330" w:rsidRPr="003D7E12" w:rsidRDefault="00221330" w:rsidP="007F6A0F">
            <w:pPr>
              <w:widowControl w:val="0"/>
              <w:rPr>
                <w:rFonts w:ascii="Arial" w:hAnsi="Arial" w:cs="Arial"/>
                <w:b/>
                <w:snapToGrid w:val="0"/>
                <w:lang w:eastAsia="en-US"/>
              </w:rPr>
            </w:pPr>
            <w:r w:rsidRPr="00247B7A">
              <w:rPr>
                <w:rFonts w:ascii="Arial" w:hAnsi="Arial" w:cs="Arial"/>
              </w:rPr>
              <w:t>To request a Section 100 (Efficient Funding of Chemotherapy) listing of a biosimilar rituximab for the treatment of CD20 positive B-cell non-Hodgkin lymphoma under the same conditions as the reference biologic.</w:t>
            </w:r>
          </w:p>
        </w:tc>
        <w:tc>
          <w:tcPr>
            <w:tcW w:w="7192" w:type="dxa"/>
          </w:tcPr>
          <w:p w14:paraId="2AA56580" w14:textId="402BFE24" w:rsidR="00605C77" w:rsidRPr="00605C77" w:rsidRDefault="00605C77" w:rsidP="007F6A0F">
            <w:pPr>
              <w:widowControl w:val="0"/>
              <w:rPr>
                <w:rFonts w:ascii="Arial" w:hAnsi="Arial" w:cs="Arial"/>
                <w:snapToGrid w:val="0"/>
                <w:lang w:eastAsia="en-US"/>
              </w:rPr>
            </w:pPr>
            <w:r w:rsidRPr="00605C77">
              <w:rPr>
                <w:rFonts w:ascii="Arial" w:hAnsi="Arial" w:cs="Arial"/>
                <w:snapToGrid w:val="0"/>
                <w:lang w:eastAsia="en-US"/>
              </w:rPr>
              <w:t xml:space="preserve">The PBAC recommended the listing of the biosimilar brand of rituximab, Truxima®, under Section 100 (Efficient Funding of Chemotherapy) as an Authority Required (STREAMLINED) listing for the treatment of stage III or IV CD20 positive follicular B-cell non-Hodgkins lymphoma (NHL). The PBAC advised that the Truxima, MabThera and Riximyo brands of rituximab should be considered equivalent for the purpose of substitution (i.e., ‘a’ flagged). </w:t>
            </w:r>
          </w:p>
          <w:p w14:paraId="2633A410" w14:textId="179A7B46" w:rsidR="00605C77" w:rsidRDefault="00605C77" w:rsidP="007F6A0F">
            <w:pPr>
              <w:widowControl w:val="0"/>
              <w:rPr>
                <w:rFonts w:ascii="Arial" w:hAnsi="Arial" w:cs="Arial"/>
                <w:snapToGrid w:val="0"/>
                <w:lang w:eastAsia="en-US"/>
              </w:rPr>
            </w:pPr>
            <w:r w:rsidRPr="00605C77">
              <w:rPr>
                <w:rFonts w:ascii="Arial" w:hAnsi="Arial" w:cs="Arial"/>
                <w:snapToGrid w:val="0"/>
                <w:lang w:eastAsia="en-US"/>
              </w:rPr>
              <w:t xml:space="preserve">The PBAC noted four brands of the rituximab biosimilar are TGA registered by the same sponsor, including Tuxella®, Rituzena®, Ritemvia® in addition to Truxima, for different sets of indications.  The PBAC advised that although the submission only requested listing of Truxima for NHL indications, in principle, the Truxima brand (and other brands of the identical biosimilar rituximab sponsored by Celltrion Healthcare) could be recommended for all TGA registered indications for which the reference brand Mabthera is currently listed on the PBS. </w:t>
            </w:r>
          </w:p>
          <w:p w14:paraId="61B60D94" w14:textId="77777777" w:rsidR="00362796" w:rsidRPr="00605C77" w:rsidRDefault="00362796" w:rsidP="007F6A0F">
            <w:pPr>
              <w:widowControl w:val="0"/>
              <w:rPr>
                <w:rFonts w:ascii="Arial" w:hAnsi="Arial" w:cs="Arial"/>
                <w:snapToGrid w:val="0"/>
                <w:lang w:eastAsia="en-US"/>
              </w:rPr>
            </w:pPr>
          </w:p>
          <w:p w14:paraId="32436FBB" w14:textId="59FAB995" w:rsidR="00A041ED" w:rsidRPr="00605C77" w:rsidRDefault="00605C77" w:rsidP="007F6A0F">
            <w:pPr>
              <w:widowControl w:val="0"/>
              <w:rPr>
                <w:rFonts w:ascii="Arial" w:hAnsi="Arial" w:cs="Arial"/>
                <w:snapToGrid w:val="0"/>
                <w:lang w:eastAsia="en-US"/>
              </w:rPr>
            </w:pPr>
            <w:r w:rsidRPr="00605C77">
              <w:rPr>
                <w:rFonts w:ascii="Arial" w:hAnsi="Arial" w:cs="Arial"/>
                <w:snapToGrid w:val="0"/>
                <w:lang w:eastAsia="en-US"/>
              </w:rPr>
              <w:t>Where multiple brands of an identical biosimilar are marketed by the same sponsor, the PBAC stated a preference for a single brand of the same biosimilar rituximab to be PBS listed for all indications for which the reference biologic is currently PBS listed (where TGA registered for all indications), to minimise the risks of quality use of medicines issues such as patient and prescriber confusion, where a change in brand is incorrectly considered a treatment switch.</w:t>
            </w:r>
          </w:p>
          <w:p w14:paraId="7CA82255" w14:textId="6058831C" w:rsidR="00221330" w:rsidRPr="000B5913" w:rsidRDefault="00221330" w:rsidP="007F6A0F">
            <w:pPr>
              <w:widowControl w:val="0"/>
              <w:rPr>
                <w:rFonts w:ascii="Arial" w:hAnsi="Arial" w:cs="Arial"/>
                <w:snapToGrid w:val="0"/>
                <w:lang w:eastAsia="en-US"/>
              </w:rPr>
            </w:pPr>
          </w:p>
        </w:tc>
      </w:tr>
      <w:tr w:rsidR="00221330" w:rsidRPr="003D7E12" w14:paraId="09ECC605" w14:textId="77777777" w:rsidTr="007F6A0F">
        <w:trPr>
          <w:cantSplit/>
        </w:trPr>
        <w:tc>
          <w:tcPr>
            <w:tcW w:w="3369" w:type="dxa"/>
            <w:tcMar>
              <w:top w:w="28" w:type="dxa"/>
              <w:bottom w:w="28" w:type="dxa"/>
            </w:tcMar>
          </w:tcPr>
          <w:p w14:paraId="30A39947" w14:textId="77777777" w:rsidR="00221330" w:rsidRDefault="00221330" w:rsidP="007F6A0F">
            <w:pPr>
              <w:widowControl w:val="0"/>
              <w:rPr>
                <w:rFonts w:ascii="Arial" w:hAnsi="Arial" w:cs="Arial"/>
              </w:rPr>
            </w:pPr>
            <w:r w:rsidRPr="00247B7A">
              <w:rPr>
                <w:rFonts w:ascii="Arial" w:hAnsi="Arial" w:cs="Arial"/>
              </w:rPr>
              <w:lastRenderedPageBreak/>
              <w:t>SEVELAMER</w:t>
            </w:r>
            <w:r w:rsidRPr="00247B7A">
              <w:rPr>
                <w:rFonts w:ascii="Arial" w:hAnsi="Arial" w:cs="Arial"/>
              </w:rPr>
              <w:br/>
            </w:r>
            <w:r w:rsidRPr="00247B7A">
              <w:rPr>
                <w:rFonts w:ascii="Arial" w:hAnsi="Arial" w:cs="Arial"/>
              </w:rPr>
              <w:br/>
              <w:t>Tablet containing sevelamer carbonate 800 mg</w:t>
            </w:r>
            <w:r w:rsidRPr="00247B7A">
              <w:rPr>
                <w:rFonts w:ascii="Arial" w:hAnsi="Arial" w:cs="Arial"/>
              </w:rPr>
              <w:br/>
            </w:r>
            <w:r w:rsidRPr="00247B7A">
              <w:rPr>
                <w:rFonts w:ascii="Arial" w:hAnsi="Arial" w:cs="Arial"/>
              </w:rPr>
              <w:br/>
              <w:t>Sevelamer Dr Reddy's®</w:t>
            </w:r>
            <w:r w:rsidRPr="00247B7A">
              <w:rPr>
                <w:rFonts w:ascii="Arial" w:hAnsi="Arial" w:cs="Arial"/>
              </w:rPr>
              <w:br/>
            </w:r>
            <w:r w:rsidRPr="00247B7A">
              <w:rPr>
                <w:rFonts w:ascii="Arial" w:hAnsi="Arial" w:cs="Arial"/>
              </w:rPr>
              <w:br/>
              <w:t>Dr Reddy's</w:t>
            </w:r>
          </w:p>
          <w:p w14:paraId="6099AC02" w14:textId="77777777" w:rsidR="00C36AC3" w:rsidRDefault="00C36AC3" w:rsidP="007F6A0F">
            <w:pPr>
              <w:widowControl w:val="0"/>
              <w:rPr>
                <w:rFonts w:ascii="Arial" w:hAnsi="Arial" w:cs="Arial"/>
              </w:rPr>
            </w:pPr>
          </w:p>
          <w:p w14:paraId="2E33BB14" w14:textId="77777777" w:rsidR="00C36AC3" w:rsidRPr="00C36AC3" w:rsidRDefault="00C36AC3" w:rsidP="00C36AC3">
            <w:pPr>
              <w:widowControl w:val="0"/>
              <w:rPr>
                <w:rFonts w:ascii="Arial" w:hAnsi="Arial" w:cs="Arial"/>
              </w:rPr>
            </w:pPr>
            <w:r w:rsidRPr="00C36AC3">
              <w:rPr>
                <w:rFonts w:ascii="Arial" w:hAnsi="Arial" w:cs="Arial"/>
              </w:rPr>
              <w:t>New listing</w:t>
            </w:r>
          </w:p>
          <w:p w14:paraId="21CB7273" w14:textId="63433E5D" w:rsidR="00C36AC3" w:rsidRPr="003D7E12" w:rsidRDefault="00C36AC3" w:rsidP="00C36AC3">
            <w:pPr>
              <w:widowControl w:val="0"/>
              <w:rPr>
                <w:rFonts w:ascii="Arial" w:hAnsi="Arial" w:cs="Arial"/>
                <w:b/>
              </w:rPr>
            </w:pPr>
            <w:r w:rsidRPr="00C36AC3">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14F2785A" w14:textId="59F38718" w:rsidR="00221330" w:rsidRPr="003D7E12" w:rsidRDefault="00221330" w:rsidP="007F6A0F">
            <w:pPr>
              <w:widowControl w:val="0"/>
              <w:rPr>
                <w:rFonts w:ascii="Arial" w:hAnsi="Arial" w:cs="Arial"/>
                <w:b/>
                <w:snapToGrid w:val="0"/>
                <w:lang w:eastAsia="en-US"/>
              </w:rPr>
            </w:pPr>
            <w:r w:rsidRPr="00247B7A">
              <w:rPr>
                <w:rFonts w:ascii="Arial" w:hAnsi="Arial" w:cs="Arial"/>
              </w:rPr>
              <w:t>Hyperphosphataemia</w:t>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34FFCE9E" w14:textId="6E927AC8" w:rsidR="00221330" w:rsidRPr="003D7E12" w:rsidRDefault="00221330" w:rsidP="007F6A0F">
            <w:pPr>
              <w:widowControl w:val="0"/>
              <w:rPr>
                <w:rFonts w:ascii="Arial" w:hAnsi="Arial" w:cs="Arial"/>
                <w:b/>
                <w:snapToGrid w:val="0"/>
                <w:lang w:eastAsia="en-US"/>
              </w:rPr>
            </w:pPr>
            <w:r w:rsidRPr="00247B7A">
              <w:rPr>
                <w:rFonts w:ascii="Arial" w:hAnsi="Arial" w:cs="Arial"/>
              </w:rPr>
              <w:t>To request Section 100 (Highly Specialised Drug Program) and Section 85 Authority Required (STREAMLINED) listings for the treatment of hyperphosphataemia in adult patients with chronic kidney disease who are on dialysis.</w:t>
            </w:r>
          </w:p>
        </w:tc>
        <w:tc>
          <w:tcPr>
            <w:tcW w:w="7192" w:type="dxa"/>
          </w:tcPr>
          <w:p w14:paraId="43FE7502" w14:textId="39914BB2" w:rsidR="00605C77" w:rsidRPr="00605C77" w:rsidRDefault="00605C77" w:rsidP="007F6A0F">
            <w:pPr>
              <w:widowControl w:val="0"/>
              <w:rPr>
                <w:rFonts w:ascii="Arial" w:hAnsi="Arial" w:cs="Arial"/>
                <w:snapToGrid w:val="0"/>
                <w:lang w:eastAsia="en-US"/>
              </w:rPr>
            </w:pPr>
            <w:r w:rsidRPr="00605C77">
              <w:rPr>
                <w:rFonts w:ascii="Arial" w:hAnsi="Arial" w:cs="Arial"/>
                <w:snapToGrid w:val="0"/>
                <w:lang w:eastAsia="en-US"/>
              </w:rPr>
              <w:t>The PBAC recommended the listing of a new form</w:t>
            </w:r>
            <w:r w:rsidR="00E44A44">
              <w:rPr>
                <w:rFonts w:ascii="Arial" w:hAnsi="Arial" w:cs="Arial"/>
                <w:snapToGrid w:val="0"/>
                <w:lang w:eastAsia="en-US"/>
              </w:rPr>
              <w:t xml:space="preserve"> of</w:t>
            </w:r>
            <w:r w:rsidRPr="00605C77">
              <w:rPr>
                <w:rFonts w:ascii="Arial" w:hAnsi="Arial" w:cs="Arial"/>
                <w:snapToGrid w:val="0"/>
                <w:lang w:eastAsia="en-US"/>
              </w:rPr>
              <w:t xml:space="preserve"> sevelamer (as carbonate) on the General Schedule and under Section 100 (Highly Specialised Drugs Program) as an Authority Required (STREAMLINED) listing for hyperphosphataemia in patients undergoing dialysis for chronic kidney disease. The PBAC considered that sevelamer carbonate 800 mg tablets were therapeutically equivalent (and bioequivalent) to sevelamer hydrochloride 800 mg tablets at the recommended doses. </w:t>
            </w:r>
          </w:p>
          <w:p w14:paraId="13DBA5D8" w14:textId="77777777" w:rsidR="00605C77" w:rsidRPr="00605C77" w:rsidRDefault="00605C77" w:rsidP="007F6A0F">
            <w:pPr>
              <w:widowControl w:val="0"/>
              <w:rPr>
                <w:rFonts w:ascii="Arial" w:hAnsi="Arial" w:cs="Arial"/>
                <w:snapToGrid w:val="0"/>
                <w:lang w:eastAsia="en-US"/>
              </w:rPr>
            </w:pPr>
          </w:p>
          <w:p w14:paraId="6C761A52" w14:textId="1E485269" w:rsidR="00605C77" w:rsidRPr="00605C77" w:rsidRDefault="00605C77" w:rsidP="007F6A0F">
            <w:pPr>
              <w:widowControl w:val="0"/>
              <w:rPr>
                <w:rFonts w:ascii="Arial" w:hAnsi="Arial" w:cs="Arial"/>
                <w:snapToGrid w:val="0"/>
                <w:lang w:eastAsia="en-US"/>
              </w:rPr>
            </w:pPr>
            <w:r w:rsidRPr="00605C77">
              <w:rPr>
                <w:rFonts w:ascii="Arial" w:hAnsi="Arial" w:cs="Arial"/>
                <w:snapToGrid w:val="0"/>
                <w:lang w:eastAsia="en-US"/>
              </w:rPr>
              <w:t xml:space="preserve">The PBAC advised that, under Section 101(4AACD) of the </w:t>
            </w:r>
            <w:r w:rsidRPr="00F370B2">
              <w:rPr>
                <w:rFonts w:ascii="Arial" w:hAnsi="Arial" w:cs="Arial"/>
                <w:i/>
                <w:snapToGrid w:val="0"/>
                <w:lang w:eastAsia="en-US"/>
              </w:rPr>
              <w:t>National Health Act 1953</w:t>
            </w:r>
            <w:r w:rsidRPr="00605C77">
              <w:rPr>
                <w:rFonts w:ascii="Arial" w:hAnsi="Arial" w:cs="Arial"/>
                <w:snapToGrid w:val="0"/>
                <w:lang w:eastAsia="en-US"/>
              </w:rPr>
              <w:t xml:space="preserve">, the Renagel® and Sevelamer Dr Reddy’s brands could be marked as equivalent in the Schedule of Pharmaceutical Benefits for the purposes of substitution at the pharmacy level (‘a’ flagged). </w:t>
            </w:r>
          </w:p>
          <w:p w14:paraId="54A64689" w14:textId="0C6820F8" w:rsidR="00221330" w:rsidRPr="000B5913" w:rsidRDefault="00221330" w:rsidP="007F6A0F">
            <w:pPr>
              <w:widowControl w:val="0"/>
              <w:rPr>
                <w:rFonts w:ascii="Arial" w:hAnsi="Arial" w:cs="Arial"/>
                <w:snapToGrid w:val="0"/>
                <w:lang w:eastAsia="en-US"/>
              </w:rPr>
            </w:pPr>
          </w:p>
        </w:tc>
      </w:tr>
      <w:tr w:rsidR="00221330" w:rsidRPr="003D7E12" w14:paraId="1322AA12" w14:textId="77777777" w:rsidTr="007F6A0F">
        <w:trPr>
          <w:cantSplit/>
        </w:trPr>
        <w:tc>
          <w:tcPr>
            <w:tcW w:w="3369" w:type="dxa"/>
            <w:tcMar>
              <w:top w:w="28" w:type="dxa"/>
              <w:bottom w:w="28" w:type="dxa"/>
            </w:tcMar>
          </w:tcPr>
          <w:p w14:paraId="4F2AFA5E" w14:textId="77777777" w:rsidR="00221330" w:rsidRDefault="00221330" w:rsidP="007F6A0F">
            <w:pPr>
              <w:widowControl w:val="0"/>
              <w:rPr>
                <w:rFonts w:ascii="Arial" w:hAnsi="Arial" w:cs="Arial"/>
                <w:color w:val="000000"/>
              </w:rPr>
            </w:pPr>
            <w:r w:rsidRPr="00247B7A">
              <w:rPr>
                <w:rFonts w:ascii="Arial" w:hAnsi="Arial" w:cs="Arial"/>
                <w:color w:val="000000"/>
              </w:rPr>
              <w:t>TEDUGLUTIDE</w:t>
            </w:r>
            <w:r w:rsidRPr="00247B7A">
              <w:rPr>
                <w:rFonts w:ascii="Arial" w:hAnsi="Arial" w:cs="Arial"/>
                <w:color w:val="000000"/>
              </w:rPr>
              <w:br/>
            </w:r>
            <w:r w:rsidRPr="00247B7A">
              <w:rPr>
                <w:rFonts w:ascii="Arial" w:hAnsi="Arial" w:cs="Arial"/>
                <w:color w:val="000000"/>
              </w:rPr>
              <w:br/>
              <w:t>Powder for injection 5 mg with diluent</w:t>
            </w:r>
            <w:r w:rsidRPr="00247B7A">
              <w:rPr>
                <w:rFonts w:ascii="Arial" w:hAnsi="Arial" w:cs="Arial"/>
                <w:color w:val="000000"/>
              </w:rPr>
              <w:br/>
            </w:r>
            <w:r w:rsidRPr="00247B7A">
              <w:rPr>
                <w:rFonts w:ascii="Arial" w:hAnsi="Arial" w:cs="Arial"/>
                <w:color w:val="000000"/>
              </w:rPr>
              <w:br/>
              <w:t>Revestive®</w:t>
            </w:r>
            <w:r w:rsidRPr="00247B7A">
              <w:rPr>
                <w:rFonts w:ascii="Arial" w:hAnsi="Arial" w:cs="Arial"/>
                <w:color w:val="000000"/>
              </w:rPr>
              <w:br/>
            </w:r>
            <w:r w:rsidRPr="00247B7A">
              <w:rPr>
                <w:rFonts w:ascii="Arial" w:hAnsi="Arial" w:cs="Arial"/>
                <w:color w:val="000000"/>
              </w:rPr>
              <w:br/>
              <w:t>Shire Australia Pty Limited</w:t>
            </w:r>
          </w:p>
          <w:p w14:paraId="7C523E54" w14:textId="77777777" w:rsidR="00C36AC3" w:rsidRDefault="00C36AC3" w:rsidP="007F6A0F">
            <w:pPr>
              <w:widowControl w:val="0"/>
              <w:rPr>
                <w:rFonts w:ascii="Arial" w:hAnsi="Arial" w:cs="Arial"/>
                <w:color w:val="000000"/>
              </w:rPr>
            </w:pPr>
          </w:p>
          <w:p w14:paraId="16194CBF" w14:textId="77777777" w:rsidR="00C36AC3" w:rsidRPr="00C36AC3" w:rsidRDefault="00C36AC3" w:rsidP="00C36AC3">
            <w:pPr>
              <w:widowControl w:val="0"/>
              <w:rPr>
                <w:rFonts w:ascii="Arial" w:hAnsi="Arial" w:cs="Arial"/>
              </w:rPr>
            </w:pPr>
            <w:r w:rsidRPr="00C36AC3">
              <w:rPr>
                <w:rFonts w:ascii="Arial" w:hAnsi="Arial" w:cs="Arial"/>
              </w:rPr>
              <w:t>New listing</w:t>
            </w:r>
          </w:p>
          <w:p w14:paraId="6A007D0A" w14:textId="7F69B133" w:rsidR="00C36AC3" w:rsidRPr="003D7E12" w:rsidRDefault="00C36AC3" w:rsidP="00C36AC3">
            <w:pPr>
              <w:widowControl w:val="0"/>
              <w:rPr>
                <w:rFonts w:ascii="Arial" w:hAnsi="Arial" w:cs="Arial"/>
                <w:b/>
              </w:rPr>
            </w:pPr>
            <w:r w:rsidRPr="00C36AC3">
              <w:rPr>
                <w:rFonts w:ascii="Arial" w:hAnsi="Arial" w:cs="Arial"/>
              </w:rPr>
              <w:t>(Major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2FC9E3BE" w14:textId="7FF882F3" w:rsidR="00221330" w:rsidRPr="003D7E12" w:rsidRDefault="00221330" w:rsidP="007F6A0F">
            <w:pPr>
              <w:widowControl w:val="0"/>
              <w:rPr>
                <w:rFonts w:ascii="Arial" w:hAnsi="Arial" w:cs="Arial"/>
                <w:b/>
                <w:snapToGrid w:val="0"/>
                <w:lang w:eastAsia="en-US"/>
              </w:rPr>
            </w:pPr>
            <w:r w:rsidRPr="00247B7A">
              <w:rPr>
                <w:rFonts w:ascii="Arial" w:hAnsi="Arial" w:cs="Arial"/>
                <w:color w:val="000000"/>
              </w:rPr>
              <w:t>Short Bowel Syndrome (SBS)</w:t>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6F32B435" w14:textId="7BC49BA3" w:rsidR="00221330" w:rsidRPr="003D7E12" w:rsidRDefault="00221330" w:rsidP="007F6A0F">
            <w:pPr>
              <w:widowControl w:val="0"/>
              <w:rPr>
                <w:rFonts w:ascii="Arial" w:hAnsi="Arial" w:cs="Arial"/>
                <w:b/>
                <w:snapToGrid w:val="0"/>
                <w:lang w:eastAsia="en-US"/>
              </w:rPr>
            </w:pPr>
            <w:r w:rsidRPr="00247B7A">
              <w:rPr>
                <w:rFonts w:ascii="Arial" w:hAnsi="Arial" w:cs="Arial"/>
                <w:color w:val="000000"/>
              </w:rPr>
              <w:t>Resubmission to request a Section 100 (Highly Specialised Drug) Authority Required listing for the treatment of SBS in patients who are dependent on parenteral nutrition for survival.</w:t>
            </w:r>
          </w:p>
        </w:tc>
        <w:tc>
          <w:tcPr>
            <w:tcW w:w="7192" w:type="dxa"/>
          </w:tcPr>
          <w:p w14:paraId="25E3B5B2" w14:textId="3429184E" w:rsidR="00605C77" w:rsidRDefault="00605C77" w:rsidP="007F6A0F">
            <w:pPr>
              <w:widowControl w:val="0"/>
              <w:rPr>
                <w:rFonts w:ascii="Arial" w:hAnsi="Arial" w:cs="Arial"/>
                <w:snapToGrid w:val="0"/>
                <w:lang w:eastAsia="en-US"/>
              </w:rPr>
            </w:pPr>
            <w:r w:rsidRPr="00605C77">
              <w:rPr>
                <w:rFonts w:ascii="Arial" w:hAnsi="Arial" w:cs="Arial"/>
                <w:snapToGrid w:val="0"/>
                <w:lang w:eastAsia="en-US"/>
              </w:rPr>
              <w:t xml:space="preserve">The PBAC recommended the listing of teduglutide as a Section 100 (Highly Specialised Drug Program) </w:t>
            </w:r>
            <w:r w:rsidR="00E44A44">
              <w:rPr>
                <w:rFonts w:ascii="Arial" w:hAnsi="Arial" w:cs="Arial"/>
                <w:snapToGrid w:val="0"/>
                <w:lang w:eastAsia="en-US"/>
              </w:rPr>
              <w:t xml:space="preserve">Authority Required </w:t>
            </w:r>
            <w:r w:rsidRPr="00605C77">
              <w:rPr>
                <w:rFonts w:ascii="Arial" w:hAnsi="Arial" w:cs="Arial"/>
                <w:snapToGrid w:val="0"/>
                <w:lang w:eastAsia="en-US"/>
              </w:rPr>
              <w:t xml:space="preserve">benefit for the treatment of patients with Type III (chronic) intestinal failure associated with </w:t>
            </w:r>
            <w:r w:rsidR="00CD6A9C">
              <w:rPr>
                <w:rFonts w:ascii="Arial" w:hAnsi="Arial" w:cs="Arial"/>
                <w:snapToGrid w:val="0"/>
                <w:lang w:eastAsia="en-US"/>
              </w:rPr>
              <w:t>SBS</w:t>
            </w:r>
            <w:r w:rsidRPr="00605C77">
              <w:rPr>
                <w:rFonts w:ascii="Arial" w:hAnsi="Arial" w:cs="Arial"/>
                <w:snapToGrid w:val="0"/>
                <w:lang w:eastAsia="en-US"/>
              </w:rPr>
              <w:t xml:space="preserve">. The PBAC recognised the high clinical need in this small patient group, and considered that teduglutide may reduce the patient burden associated with the current therapy, parenteral support. The PBAC considered that, with the revised restriction informed by clinicians, and the risk sharing arrangement proposed, teduglutide was cost-effective compared with standard care. </w:t>
            </w:r>
          </w:p>
          <w:p w14:paraId="26526CD6" w14:textId="77777777" w:rsidR="00CD6A9C" w:rsidRPr="00605C77" w:rsidRDefault="00CD6A9C" w:rsidP="007F6A0F">
            <w:pPr>
              <w:widowControl w:val="0"/>
              <w:rPr>
                <w:rFonts w:ascii="Arial" w:hAnsi="Arial" w:cs="Arial"/>
                <w:snapToGrid w:val="0"/>
                <w:lang w:eastAsia="en-US"/>
              </w:rPr>
            </w:pPr>
          </w:p>
          <w:p w14:paraId="2BBE3526" w14:textId="77777777" w:rsidR="00605C77" w:rsidRPr="00605C77" w:rsidRDefault="00605C77" w:rsidP="007F6A0F">
            <w:pPr>
              <w:widowControl w:val="0"/>
              <w:rPr>
                <w:rFonts w:ascii="Arial" w:hAnsi="Arial" w:cs="Arial"/>
                <w:snapToGrid w:val="0"/>
                <w:lang w:eastAsia="en-US"/>
              </w:rPr>
            </w:pPr>
            <w:r w:rsidRPr="00605C77">
              <w:rPr>
                <w:rFonts w:ascii="Arial" w:hAnsi="Arial" w:cs="Arial"/>
                <w:snapToGrid w:val="0"/>
                <w:lang w:eastAsia="en-US"/>
              </w:rPr>
              <w:t xml:space="preserve">The PBAC noted the consumer comments that outlined the detrimental quality of life impact associated with parenteral support particularly due to the significant time impact, immobility while connected to parenteral support, dehydration, lack of energy and the social and carer impacts. The PBAC considered that, for some patients, teduglutide would result in a clinically meaningful reduction in the number of days per week of parenteral support. </w:t>
            </w:r>
          </w:p>
          <w:p w14:paraId="3B09B138" w14:textId="73536BED" w:rsidR="00605C77" w:rsidRPr="00605C77" w:rsidRDefault="00605C77" w:rsidP="007F6A0F">
            <w:pPr>
              <w:widowControl w:val="0"/>
              <w:rPr>
                <w:rFonts w:ascii="Arial" w:hAnsi="Arial" w:cs="Arial"/>
                <w:snapToGrid w:val="0"/>
                <w:lang w:eastAsia="en-US"/>
              </w:rPr>
            </w:pPr>
            <w:r w:rsidRPr="00605C77">
              <w:rPr>
                <w:rFonts w:ascii="Arial" w:hAnsi="Arial" w:cs="Arial"/>
                <w:snapToGrid w:val="0"/>
                <w:lang w:eastAsia="en-US"/>
              </w:rPr>
              <w:t xml:space="preserve">The PBAC considered that teduglutide treatment should be confined to those patients most likely to achieve a clinically meaningful benefit, with the treatment duration limited to that necessary to achieve </w:t>
            </w:r>
            <w:r w:rsidR="00E44A44">
              <w:rPr>
                <w:rFonts w:ascii="Arial" w:hAnsi="Arial" w:cs="Arial"/>
                <w:snapToGrid w:val="0"/>
                <w:lang w:eastAsia="en-US"/>
              </w:rPr>
              <w:t>such</w:t>
            </w:r>
            <w:r w:rsidRPr="00605C77">
              <w:rPr>
                <w:rFonts w:ascii="Arial" w:hAnsi="Arial" w:cs="Arial"/>
                <w:snapToGrid w:val="0"/>
                <w:lang w:eastAsia="en-US"/>
              </w:rPr>
              <w:t xml:space="preserve"> benefits.</w:t>
            </w:r>
          </w:p>
          <w:p w14:paraId="07383A56" w14:textId="4E8E2668" w:rsidR="00A041ED" w:rsidRPr="000B5913" w:rsidRDefault="00A041ED" w:rsidP="007F6A0F">
            <w:pPr>
              <w:widowControl w:val="0"/>
              <w:rPr>
                <w:rFonts w:ascii="Arial" w:hAnsi="Arial" w:cs="Arial"/>
                <w:snapToGrid w:val="0"/>
                <w:lang w:eastAsia="en-US"/>
              </w:rPr>
            </w:pPr>
          </w:p>
        </w:tc>
      </w:tr>
      <w:tr w:rsidR="00AF3CB4" w:rsidRPr="003D7E12" w14:paraId="77BE5DF6" w14:textId="77777777" w:rsidTr="007F6A0F">
        <w:tc>
          <w:tcPr>
            <w:tcW w:w="3369" w:type="dxa"/>
            <w:tcMar>
              <w:top w:w="28" w:type="dxa"/>
              <w:bottom w:w="28" w:type="dxa"/>
            </w:tcMar>
          </w:tcPr>
          <w:p w14:paraId="2030CCCC" w14:textId="77777777" w:rsidR="00AF3CB4" w:rsidRDefault="00AF3CB4" w:rsidP="00AF3CB4">
            <w:pPr>
              <w:widowControl w:val="0"/>
              <w:rPr>
                <w:rFonts w:ascii="Arial" w:hAnsi="Arial" w:cs="Arial"/>
                <w:color w:val="000000"/>
              </w:rPr>
            </w:pPr>
            <w:r w:rsidRPr="00247B7A">
              <w:rPr>
                <w:rFonts w:ascii="Arial" w:hAnsi="Arial" w:cs="Arial"/>
                <w:color w:val="000000"/>
              </w:rPr>
              <w:t>TEZACAFTOR with IVACAFTOR</w:t>
            </w:r>
            <w:r w:rsidRPr="00247B7A">
              <w:rPr>
                <w:rFonts w:ascii="Arial" w:hAnsi="Arial" w:cs="Arial"/>
                <w:color w:val="000000"/>
              </w:rPr>
              <w:br/>
            </w:r>
            <w:r w:rsidRPr="00247B7A">
              <w:rPr>
                <w:rFonts w:ascii="Arial" w:hAnsi="Arial" w:cs="Arial"/>
                <w:color w:val="000000"/>
              </w:rPr>
              <w:br/>
              <w:t>Tablet containing tezacaftor 100 mg with ivacaftor 150 mg</w:t>
            </w:r>
            <w:r w:rsidRPr="00247B7A">
              <w:rPr>
                <w:rFonts w:ascii="Arial" w:hAnsi="Arial" w:cs="Arial"/>
                <w:color w:val="000000"/>
              </w:rPr>
              <w:br/>
            </w:r>
            <w:r w:rsidRPr="00247B7A">
              <w:rPr>
                <w:rFonts w:ascii="Arial" w:hAnsi="Arial" w:cs="Arial"/>
                <w:color w:val="000000"/>
              </w:rPr>
              <w:br/>
            </w:r>
            <w:r w:rsidRPr="00247B7A">
              <w:rPr>
                <w:rFonts w:ascii="Arial" w:hAnsi="Arial" w:cs="Arial"/>
                <w:color w:val="000000"/>
              </w:rPr>
              <w:lastRenderedPageBreak/>
              <w:t>Symdeko®</w:t>
            </w:r>
            <w:r w:rsidRPr="00247B7A">
              <w:rPr>
                <w:rFonts w:ascii="Arial" w:hAnsi="Arial" w:cs="Arial"/>
                <w:color w:val="000000"/>
              </w:rPr>
              <w:br/>
            </w:r>
            <w:r w:rsidRPr="00247B7A">
              <w:rPr>
                <w:rFonts w:ascii="Arial" w:hAnsi="Arial" w:cs="Arial"/>
                <w:color w:val="000000"/>
              </w:rPr>
              <w:br/>
              <w:t>Vertex Pharmaceuticals (Australia) Pty Ltd</w:t>
            </w:r>
          </w:p>
          <w:p w14:paraId="0B2D75E5" w14:textId="77777777" w:rsidR="00AF3CB4" w:rsidRDefault="00AF3CB4" w:rsidP="00AF3CB4">
            <w:pPr>
              <w:widowControl w:val="0"/>
              <w:rPr>
                <w:rFonts w:ascii="Arial" w:hAnsi="Arial" w:cs="Arial"/>
                <w:color w:val="000000"/>
              </w:rPr>
            </w:pPr>
          </w:p>
          <w:p w14:paraId="6A10861D" w14:textId="77777777" w:rsidR="00AF3CB4" w:rsidRPr="00E74DCC" w:rsidRDefault="00AF3CB4" w:rsidP="00AF3CB4">
            <w:pPr>
              <w:widowControl w:val="0"/>
              <w:rPr>
                <w:rFonts w:ascii="Arial" w:hAnsi="Arial" w:cs="Arial"/>
              </w:rPr>
            </w:pPr>
            <w:r w:rsidRPr="00E74DCC">
              <w:rPr>
                <w:rFonts w:ascii="Arial" w:hAnsi="Arial" w:cs="Arial"/>
              </w:rPr>
              <w:t>New listing</w:t>
            </w:r>
          </w:p>
          <w:p w14:paraId="6A0B76EF" w14:textId="16F60205" w:rsidR="00AF3CB4" w:rsidRPr="00247B7A" w:rsidRDefault="00AF3CB4" w:rsidP="00AF3CB4">
            <w:pPr>
              <w:widowControl w:val="0"/>
              <w:rPr>
                <w:rFonts w:ascii="Arial" w:hAnsi="Arial" w:cs="Arial"/>
                <w:color w:val="000000"/>
              </w:rPr>
            </w:pPr>
            <w:r w:rsidRPr="00E74DCC">
              <w:rPr>
                <w:rFonts w:ascii="Arial" w:hAnsi="Arial" w:cs="Arial"/>
              </w:rPr>
              <w:t>(Major Submission)</w:t>
            </w:r>
          </w:p>
        </w:tc>
        <w:tc>
          <w:tcPr>
            <w:tcW w:w="2307" w:type="dxa"/>
            <w:tcMar>
              <w:top w:w="28" w:type="dxa"/>
              <w:bottom w:w="28" w:type="dxa"/>
            </w:tcMar>
          </w:tcPr>
          <w:p w14:paraId="54DEA2E3" w14:textId="3CC95B52" w:rsidR="00AF3CB4" w:rsidRPr="00247B7A" w:rsidRDefault="00AF3CB4" w:rsidP="007F6A0F">
            <w:pPr>
              <w:widowControl w:val="0"/>
              <w:rPr>
                <w:rFonts w:ascii="Arial" w:hAnsi="Arial" w:cs="Arial"/>
                <w:color w:val="000000"/>
              </w:rPr>
            </w:pPr>
            <w:r w:rsidRPr="00AF3CB4">
              <w:rPr>
                <w:rFonts w:ascii="Arial" w:hAnsi="Arial" w:cs="Arial"/>
                <w:color w:val="000000"/>
              </w:rPr>
              <w:lastRenderedPageBreak/>
              <w:t>Cystic fibrosis (CF)</w:t>
            </w:r>
          </w:p>
        </w:tc>
        <w:tc>
          <w:tcPr>
            <w:tcW w:w="2987" w:type="dxa"/>
            <w:tcMar>
              <w:top w:w="28" w:type="dxa"/>
              <w:bottom w:w="28" w:type="dxa"/>
            </w:tcMar>
          </w:tcPr>
          <w:p w14:paraId="6B5B2801" w14:textId="4FD7E1B0" w:rsidR="008C3AD7" w:rsidRDefault="00AF3CB4" w:rsidP="00F370B2">
            <w:pPr>
              <w:rPr>
                <w:rFonts w:ascii="Arial" w:hAnsi="Arial" w:cs="Arial"/>
                <w:color w:val="000000"/>
              </w:rPr>
            </w:pPr>
            <w:r w:rsidRPr="00221330">
              <w:rPr>
                <w:rFonts w:ascii="Arial" w:hAnsi="Arial" w:cs="Arial"/>
                <w:color w:val="000000"/>
              </w:rPr>
              <w:t>To request a Section 100 (Highly Specialised Drugs Program) Authority Required listing for the treatment of CF in patients aged over 12 years</w:t>
            </w:r>
            <w:r w:rsidR="008C3AD7">
              <w:rPr>
                <w:rFonts w:ascii="Arial" w:hAnsi="Arial" w:cs="Arial"/>
                <w:color w:val="000000"/>
              </w:rPr>
              <w:t>:</w:t>
            </w:r>
            <w:r w:rsidR="00DF47DA">
              <w:rPr>
                <w:rFonts w:ascii="Arial" w:hAnsi="Arial" w:cs="Arial"/>
                <w:color w:val="000000"/>
              </w:rPr>
              <w:t xml:space="preserve"> </w:t>
            </w:r>
          </w:p>
          <w:p w14:paraId="1FCAE118" w14:textId="77777777" w:rsidR="008C3AD7" w:rsidRDefault="008C3AD7" w:rsidP="00F370B2">
            <w:pPr>
              <w:rPr>
                <w:rFonts w:ascii="Arial" w:hAnsi="Arial" w:cs="Arial"/>
                <w:color w:val="000000"/>
              </w:rPr>
            </w:pPr>
          </w:p>
          <w:p w14:paraId="143A59D3" w14:textId="0045180C" w:rsidR="008C3AD7" w:rsidRPr="00F370B2" w:rsidRDefault="008C3AD7" w:rsidP="00F370B2">
            <w:pPr>
              <w:pStyle w:val="ListParagraph"/>
              <w:numPr>
                <w:ilvl w:val="0"/>
                <w:numId w:val="50"/>
              </w:numPr>
              <w:ind w:left="285" w:hanging="285"/>
              <w:rPr>
                <w:rFonts w:ascii="Arial" w:hAnsi="Arial" w:cs="Arial"/>
                <w:color w:val="000000"/>
                <w:sz w:val="20"/>
                <w:szCs w:val="20"/>
              </w:rPr>
            </w:pPr>
            <w:r w:rsidRPr="00F370B2">
              <w:rPr>
                <w:rFonts w:ascii="Arial" w:hAnsi="Arial" w:cs="Arial"/>
                <w:color w:val="000000"/>
                <w:sz w:val="20"/>
                <w:szCs w:val="20"/>
              </w:rPr>
              <w:t xml:space="preserve">who are homozygous for the </w:t>
            </w:r>
            <w:r w:rsidRPr="00F370B2">
              <w:rPr>
                <w:rFonts w:ascii="Arial" w:hAnsi="Arial" w:cs="Arial"/>
                <w:i/>
                <w:color w:val="000000"/>
                <w:sz w:val="20"/>
                <w:szCs w:val="20"/>
              </w:rPr>
              <w:t>F508del</w:t>
            </w:r>
            <w:r w:rsidRPr="00F370B2">
              <w:rPr>
                <w:rFonts w:ascii="Arial" w:hAnsi="Arial" w:cs="Arial"/>
                <w:color w:val="000000"/>
                <w:sz w:val="20"/>
                <w:szCs w:val="20"/>
              </w:rPr>
              <w:t xml:space="preserve"> mutation in the CF transmembrane conductance regulator (CFTR) gene; and</w:t>
            </w:r>
          </w:p>
          <w:p w14:paraId="7C1BC62A" w14:textId="3DB6D685" w:rsidR="00AF3CB4" w:rsidRPr="00F370B2" w:rsidRDefault="00AF3CB4" w:rsidP="00F370B2">
            <w:pPr>
              <w:pStyle w:val="ListParagraph"/>
              <w:numPr>
                <w:ilvl w:val="0"/>
                <w:numId w:val="50"/>
              </w:numPr>
              <w:ind w:left="285" w:hanging="285"/>
              <w:rPr>
                <w:rFonts w:ascii="Arial" w:hAnsi="Arial" w:cs="Arial"/>
                <w:color w:val="000000"/>
              </w:rPr>
            </w:pPr>
            <w:r w:rsidRPr="00F370B2">
              <w:rPr>
                <w:rFonts w:ascii="Arial" w:hAnsi="Arial" w:cs="Arial"/>
                <w:color w:val="000000"/>
                <w:sz w:val="20"/>
                <w:szCs w:val="20"/>
              </w:rPr>
              <w:t xml:space="preserve">who have at least one residual function (RF) mutation in the </w:t>
            </w:r>
            <w:r w:rsidR="00DF47DA" w:rsidRPr="00F370B2">
              <w:rPr>
                <w:rFonts w:ascii="Arial" w:hAnsi="Arial" w:cs="Arial"/>
                <w:color w:val="000000"/>
                <w:sz w:val="20"/>
                <w:szCs w:val="20"/>
              </w:rPr>
              <w:t xml:space="preserve">CF transmembrane conductance regulator (CFTR) </w:t>
            </w:r>
            <w:r w:rsidRPr="00F370B2">
              <w:rPr>
                <w:rFonts w:ascii="Arial" w:hAnsi="Arial" w:cs="Arial"/>
                <w:color w:val="000000"/>
                <w:sz w:val="20"/>
                <w:szCs w:val="20"/>
              </w:rPr>
              <w:t>gene.</w:t>
            </w:r>
          </w:p>
        </w:tc>
        <w:tc>
          <w:tcPr>
            <w:tcW w:w="7192" w:type="dxa"/>
          </w:tcPr>
          <w:p w14:paraId="7610C230" w14:textId="03BEA67F" w:rsidR="008C3AD7" w:rsidRPr="00F370B2" w:rsidRDefault="008C3AD7" w:rsidP="008C3AD7">
            <w:pPr>
              <w:widowControl w:val="0"/>
              <w:rPr>
                <w:rFonts w:ascii="Arial" w:hAnsi="Arial" w:cs="Arial"/>
                <w:i/>
                <w:snapToGrid w:val="0"/>
                <w:lang w:eastAsia="en-US"/>
              </w:rPr>
            </w:pPr>
            <w:r w:rsidRPr="008C3AD7">
              <w:rPr>
                <w:rFonts w:ascii="Arial" w:hAnsi="Arial" w:cs="Arial"/>
                <w:i/>
                <w:snapToGrid w:val="0"/>
                <w:lang w:eastAsia="en-US"/>
              </w:rPr>
              <w:lastRenderedPageBreak/>
              <w:t>(a</w:t>
            </w:r>
            <w:r>
              <w:rPr>
                <w:rFonts w:ascii="Arial" w:hAnsi="Arial" w:cs="Arial"/>
                <w:i/>
                <w:snapToGrid w:val="0"/>
                <w:lang w:eastAsia="en-US"/>
              </w:rPr>
              <w:t xml:space="preserve">) </w:t>
            </w:r>
            <w:r w:rsidRPr="00F370B2">
              <w:rPr>
                <w:rFonts w:ascii="Arial" w:hAnsi="Arial" w:cs="Arial"/>
                <w:i/>
                <w:snapToGrid w:val="0"/>
                <w:lang w:eastAsia="en-US"/>
              </w:rPr>
              <w:t>patients aged over 12 years who are homozygous for the F508del mutation in the CFTR gene</w:t>
            </w:r>
          </w:p>
          <w:p w14:paraId="207B6E41" w14:textId="5B854484" w:rsidR="008C3AD7" w:rsidRDefault="008C3AD7" w:rsidP="00F370B2">
            <w:pPr>
              <w:rPr>
                <w:snapToGrid w:val="0"/>
                <w:lang w:eastAsia="en-US"/>
              </w:rPr>
            </w:pPr>
          </w:p>
          <w:p w14:paraId="5D5B87B8" w14:textId="77777777" w:rsidR="008C3AD7" w:rsidRDefault="008C3AD7" w:rsidP="008C3AD7">
            <w:pPr>
              <w:widowControl w:val="0"/>
              <w:rPr>
                <w:rFonts w:ascii="Arial" w:hAnsi="Arial" w:cs="Arial"/>
                <w:snapToGrid w:val="0"/>
                <w:lang w:eastAsia="en-US"/>
              </w:rPr>
            </w:pPr>
            <w:r w:rsidRPr="00362796">
              <w:rPr>
                <w:rFonts w:ascii="Arial" w:hAnsi="Arial" w:cs="Arial"/>
                <w:snapToGrid w:val="0"/>
                <w:lang w:eastAsia="en-US"/>
              </w:rPr>
              <w:t xml:space="preserve">The PBAC recommended the </w:t>
            </w:r>
            <w:r w:rsidRPr="00AF3CB4">
              <w:rPr>
                <w:rFonts w:ascii="Arial" w:hAnsi="Arial" w:cs="Arial"/>
                <w:snapToGrid w:val="0"/>
                <w:lang w:eastAsia="en-US"/>
              </w:rPr>
              <w:t>Section 100 (Highly Specialised Drugs Program)</w:t>
            </w:r>
            <w:r>
              <w:rPr>
                <w:rFonts w:ascii="Arial" w:hAnsi="Arial" w:cs="Arial"/>
                <w:snapToGrid w:val="0"/>
                <w:lang w:eastAsia="en-US"/>
              </w:rPr>
              <w:t xml:space="preserve"> </w:t>
            </w:r>
            <w:r w:rsidRPr="00362796">
              <w:rPr>
                <w:rFonts w:ascii="Arial" w:hAnsi="Arial" w:cs="Arial"/>
                <w:snapToGrid w:val="0"/>
                <w:lang w:eastAsia="en-US"/>
              </w:rPr>
              <w:t xml:space="preserve">Authority Required listing of tezacaftor with ivacaftor for the treatment of </w:t>
            </w:r>
            <w:r w:rsidRPr="00362796">
              <w:rPr>
                <w:rFonts w:ascii="Arial" w:hAnsi="Arial" w:cs="Arial"/>
                <w:snapToGrid w:val="0"/>
                <w:lang w:eastAsia="en-US"/>
              </w:rPr>
              <w:lastRenderedPageBreak/>
              <w:t xml:space="preserve">patients aged 12 years and older who are homozygous for the </w:t>
            </w:r>
            <w:r w:rsidRPr="00B77643">
              <w:rPr>
                <w:rFonts w:ascii="Arial" w:hAnsi="Arial" w:cs="Arial"/>
                <w:i/>
                <w:snapToGrid w:val="0"/>
                <w:lang w:eastAsia="en-US"/>
              </w:rPr>
              <w:t>F508del</w:t>
            </w:r>
            <w:r w:rsidRPr="00362796">
              <w:rPr>
                <w:rFonts w:ascii="Arial" w:hAnsi="Arial" w:cs="Arial"/>
                <w:snapToGrid w:val="0"/>
                <w:lang w:eastAsia="en-US"/>
              </w:rPr>
              <w:t xml:space="preserve"> mutation in the CFTR gene on a cost-minimisation basis to lumacaftor with ivacaftor. </w:t>
            </w:r>
          </w:p>
          <w:p w14:paraId="1B728E9D" w14:textId="77777777" w:rsidR="008C3AD7" w:rsidRPr="00362796" w:rsidRDefault="008C3AD7" w:rsidP="008C3AD7">
            <w:pPr>
              <w:widowControl w:val="0"/>
              <w:rPr>
                <w:rFonts w:ascii="Arial" w:hAnsi="Arial" w:cs="Arial"/>
                <w:snapToGrid w:val="0"/>
                <w:lang w:eastAsia="en-US"/>
              </w:rPr>
            </w:pPr>
          </w:p>
          <w:p w14:paraId="14D5DEAD" w14:textId="77777777" w:rsidR="008C3AD7" w:rsidRDefault="008C3AD7" w:rsidP="008C3AD7">
            <w:pPr>
              <w:widowControl w:val="0"/>
              <w:rPr>
                <w:rFonts w:ascii="Arial" w:hAnsi="Arial" w:cs="Arial"/>
                <w:snapToGrid w:val="0"/>
                <w:lang w:eastAsia="en-US"/>
              </w:rPr>
            </w:pPr>
            <w:r w:rsidRPr="00362796">
              <w:rPr>
                <w:rFonts w:ascii="Arial" w:hAnsi="Arial" w:cs="Arial"/>
                <w:snapToGrid w:val="0"/>
                <w:lang w:eastAsia="en-US"/>
              </w:rPr>
              <w:t>The PBAC considered that, consistent with the evidence presented and the claim of non-inferior comparative effectiveness and safety, the price paid for tezacaftor with ivacaftor should be no higher than the price per patient per year at which it previously recommended lumacaftor with ivacaftor. The PBAC further advised that tezacaftor with ivacaftor should be listed under the same Managed Access Program arrangements for lumacaftor with ivacaftor and with no additional cost to Government.</w:t>
            </w:r>
          </w:p>
          <w:p w14:paraId="32DBDD55" w14:textId="77777777" w:rsidR="008C3AD7" w:rsidRDefault="008C3AD7" w:rsidP="00AF3CB4">
            <w:pPr>
              <w:widowControl w:val="0"/>
              <w:rPr>
                <w:rFonts w:ascii="Arial" w:hAnsi="Arial" w:cs="Arial"/>
                <w:snapToGrid w:val="0"/>
                <w:lang w:eastAsia="en-US"/>
              </w:rPr>
            </w:pPr>
          </w:p>
          <w:p w14:paraId="6E8AB1F0" w14:textId="0D796FCA" w:rsidR="008C3AD7" w:rsidRPr="00F370B2" w:rsidRDefault="008C3AD7" w:rsidP="00AF3CB4">
            <w:pPr>
              <w:widowControl w:val="0"/>
              <w:rPr>
                <w:rFonts w:ascii="Arial" w:hAnsi="Arial" w:cs="Arial"/>
                <w:i/>
                <w:snapToGrid w:val="0"/>
                <w:lang w:eastAsia="en-US"/>
              </w:rPr>
            </w:pPr>
            <w:r w:rsidRPr="00F370B2">
              <w:rPr>
                <w:rFonts w:ascii="Arial" w:hAnsi="Arial" w:cs="Arial"/>
                <w:i/>
                <w:snapToGrid w:val="0"/>
                <w:lang w:eastAsia="en-US"/>
              </w:rPr>
              <w:t>(b)</w:t>
            </w:r>
            <w:r w:rsidRPr="00F370B2">
              <w:rPr>
                <w:rFonts w:ascii="Arial" w:hAnsi="Arial" w:cs="Arial"/>
                <w:i/>
                <w:color w:val="000000"/>
              </w:rPr>
              <w:t xml:space="preserve"> </w:t>
            </w:r>
            <w:r w:rsidRPr="00F370B2">
              <w:rPr>
                <w:rFonts w:ascii="Arial" w:hAnsi="Arial" w:cs="Arial"/>
                <w:i/>
                <w:snapToGrid w:val="0"/>
                <w:lang w:eastAsia="en-US"/>
              </w:rPr>
              <w:t>patients aged over 12 years</w:t>
            </w:r>
            <w:r w:rsidRPr="00F370B2">
              <w:rPr>
                <w:rFonts w:ascii="Arial" w:hAnsi="Arial" w:cs="Arial"/>
                <w:i/>
                <w:color w:val="000000"/>
              </w:rPr>
              <w:t xml:space="preserve"> </w:t>
            </w:r>
            <w:r w:rsidRPr="00F370B2">
              <w:rPr>
                <w:rFonts w:ascii="Arial" w:hAnsi="Arial" w:cs="Arial"/>
                <w:i/>
                <w:snapToGrid w:val="0"/>
                <w:lang w:eastAsia="en-US"/>
              </w:rPr>
              <w:t>who have at least one RF mutation in the CFTR gene</w:t>
            </w:r>
          </w:p>
          <w:p w14:paraId="031EA890" w14:textId="77777777" w:rsidR="008C3AD7" w:rsidRDefault="008C3AD7" w:rsidP="00AF3CB4">
            <w:pPr>
              <w:widowControl w:val="0"/>
              <w:rPr>
                <w:rFonts w:ascii="Arial" w:hAnsi="Arial" w:cs="Arial"/>
                <w:snapToGrid w:val="0"/>
                <w:lang w:eastAsia="en-US"/>
              </w:rPr>
            </w:pPr>
          </w:p>
          <w:p w14:paraId="20396DD3" w14:textId="4FBF2573" w:rsidR="00AF3CB4" w:rsidRPr="00AF3CB4" w:rsidRDefault="00AF3CB4" w:rsidP="00AF3CB4">
            <w:pPr>
              <w:widowControl w:val="0"/>
              <w:rPr>
                <w:rFonts w:ascii="Arial" w:hAnsi="Arial" w:cs="Arial"/>
                <w:snapToGrid w:val="0"/>
                <w:lang w:eastAsia="en-US"/>
              </w:rPr>
            </w:pPr>
            <w:r w:rsidRPr="00AF3CB4">
              <w:rPr>
                <w:rFonts w:ascii="Arial" w:hAnsi="Arial" w:cs="Arial"/>
                <w:snapToGrid w:val="0"/>
                <w:lang w:eastAsia="en-US"/>
              </w:rPr>
              <w:t xml:space="preserve">The PBAC recommended the </w:t>
            </w:r>
            <w:r w:rsidR="00DF47DA" w:rsidRPr="00AF3CB4">
              <w:rPr>
                <w:rFonts w:ascii="Arial" w:hAnsi="Arial" w:cs="Arial"/>
                <w:snapToGrid w:val="0"/>
                <w:lang w:eastAsia="en-US"/>
              </w:rPr>
              <w:t>Section 100 (Highly Specialised Drugs Program)</w:t>
            </w:r>
            <w:r w:rsidR="00DF47DA">
              <w:rPr>
                <w:rFonts w:ascii="Arial" w:hAnsi="Arial" w:cs="Arial"/>
                <w:snapToGrid w:val="0"/>
                <w:lang w:eastAsia="en-US"/>
              </w:rPr>
              <w:t xml:space="preserve"> </w:t>
            </w:r>
            <w:r w:rsidRPr="00AF3CB4">
              <w:rPr>
                <w:rFonts w:ascii="Arial" w:hAnsi="Arial" w:cs="Arial"/>
                <w:snapToGrid w:val="0"/>
                <w:lang w:eastAsia="en-US"/>
              </w:rPr>
              <w:t xml:space="preserve">Authority Required listing of tezacaftor with ivacaftor for the treatment of patients aged 12 years or older who have one copy of the </w:t>
            </w:r>
            <w:r w:rsidRPr="00F370B2">
              <w:rPr>
                <w:rFonts w:ascii="Arial" w:hAnsi="Arial" w:cs="Arial"/>
                <w:i/>
                <w:snapToGrid w:val="0"/>
                <w:lang w:eastAsia="en-US"/>
              </w:rPr>
              <w:t>F508del</w:t>
            </w:r>
            <w:r w:rsidRPr="00AF3CB4">
              <w:rPr>
                <w:rFonts w:ascii="Arial" w:hAnsi="Arial" w:cs="Arial"/>
                <w:snapToGrid w:val="0"/>
                <w:lang w:eastAsia="en-US"/>
              </w:rPr>
              <w:t xml:space="preserve"> mutation and </w:t>
            </w:r>
            <w:r w:rsidR="0007079E">
              <w:rPr>
                <w:rFonts w:ascii="Arial" w:hAnsi="Arial" w:cs="Arial"/>
                <w:snapToGrid w:val="0"/>
                <w:lang w:eastAsia="en-US"/>
              </w:rPr>
              <w:t>one</w:t>
            </w:r>
            <w:r w:rsidR="0007079E" w:rsidRPr="00AF3CB4">
              <w:rPr>
                <w:rFonts w:ascii="Arial" w:hAnsi="Arial" w:cs="Arial"/>
                <w:snapToGrid w:val="0"/>
                <w:lang w:eastAsia="en-US"/>
              </w:rPr>
              <w:t xml:space="preserve"> </w:t>
            </w:r>
            <w:r w:rsidRPr="00AF3CB4">
              <w:rPr>
                <w:rFonts w:ascii="Arial" w:hAnsi="Arial" w:cs="Arial"/>
                <w:snapToGrid w:val="0"/>
                <w:lang w:eastAsia="en-US"/>
              </w:rPr>
              <w:t xml:space="preserve">mutation </w:t>
            </w:r>
            <w:r w:rsidR="0007079E">
              <w:rPr>
                <w:rFonts w:ascii="Arial" w:hAnsi="Arial" w:cs="Arial"/>
                <w:snapToGrid w:val="0"/>
                <w:lang w:eastAsia="en-US"/>
              </w:rPr>
              <w:t>that is responsive to tezacaftor with ivacaftor</w:t>
            </w:r>
            <w:r w:rsidR="0007079E" w:rsidRPr="00AF3CB4">
              <w:rPr>
                <w:rFonts w:ascii="Arial" w:hAnsi="Arial" w:cs="Arial"/>
                <w:snapToGrid w:val="0"/>
                <w:lang w:eastAsia="en-US"/>
              </w:rPr>
              <w:t xml:space="preserve"> </w:t>
            </w:r>
            <w:r w:rsidR="0007079E">
              <w:rPr>
                <w:rFonts w:ascii="Arial" w:hAnsi="Arial" w:cs="Arial"/>
                <w:snapToGrid w:val="0"/>
                <w:lang w:eastAsia="en-US"/>
              </w:rPr>
              <w:t xml:space="preserve">(referred to as an RF mutation) </w:t>
            </w:r>
            <w:r w:rsidRPr="00AF3CB4">
              <w:rPr>
                <w:rFonts w:ascii="Arial" w:hAnsi="Arial" w:cs="Arial"/>
                <w:snapToGrid w:val="0"/>
                <w:lang w:eastAsia="en-US"/>
              </w:rPr>
              <w:t xml:space="preserve">in the CFTR gene. </w:t>
            </w:r>
          </w:p>
          <w:p w14:paraId="5636F3F8" w14:textId="77777777" w:rsidR="00AF3CB4" w:rsidRPr="00AF3CB4" w:rsidRDefault="00AF3CB4" w:rsidP="00AF3CB4">
            <w:pPr>
              <w:widowControl w:val="0"/>
              <w:rPr>
                <w:rFonts w:ascii="Arial" w:hAnsi="Arial" w:cs="Arial"/>
                <w:snapToGrid w:val="0"/>
                <w:lang w:eastAsia="en-US"/>
              </w:rPr>
            </w:pPr>
          </w:p>
          <w:p w14:paraId="153A5367" w14:textId="33DDCC29" w:rsidR="00AF3CB4" w:rsidRPr="00AF3CB4" w:rsidRDefault="00AF3CB4" w:rsidP="00AF3CB4">
            <w:pPr>
              <w:widowControl w:val="0"/>
              <w:rPr>
                <w:rFonts w:ascii="Arial" w:hAnsi="Arial" w:cs="Arial"/>
                <w:snapToGrid w:val="0"/>
                <w:lang w:eastAsia="en-US"/>
              </w:rPr>
            </w:pPr>
            <w:r w:rsidRPr="00AF3CB4">
              <w:rPr>
                <w:rFonts w:ascii="Arial" w:hAnsi="Arial" w:cs="Arial"/>
                <w:snapToGrid w:val="0"/>
                <w:lang w:eastAsia="en-US"/>
              </w:rPr>
              <w:t xml:space="preserve">Overall, the PBAC considered the claim of superior efficacy compared with best supportive care (BSC) was adequately supported in the short-term on the basis of the primary outcome in Study 108 which indicated an increase from baseline in </w:t>
            </w:r>
            <w:r w:rsidR="0007079E" w:rsidRPr="0007079E">
              <w:rPr>
                <w:rFonts w:ascii="Arial" w:hAnsi="Arial" w:cs="Arial"/>
                <w:snapToGrid w:val="0"/>
                <w:lang w:eastAsia="en-US"/>
              </w:rPr>
              <w:t>per</w:t>
            </w:r>
            <w:r w:rsidR="0007079E">
              <w:rPr>
                <w:rFonts w:ascii="Arial" w:hAnsi="Arial" w:cs="Arial"/>
                <w:snapToGrid w:val="0"/>
                <w:lang w:eastAsia="en-US"/>
              </w:rPr>
              <w:t xml:space="preserve"> </w:t>
            </w:r>
            <w:r w:rsidR="0007079E" w:rsidRPr="0007079E">
              <w:rPr>
                <w:rFonts w:ascii="Arial" w:hAnsi="Arial" w:cs="Arial"/>
                <w:snapToGrid w:val="0"/>
                <w:lang w:eastAsia="en-US"/>
              </w:rPr>
              <w:t xml:space="preserve">cent predicted forced expiratory volume in one second </w:t>
            </w:r>
            <w:r w:rsidR="0007079E">
              <w:rPr>
                <w:rFonts w:ascii="Arial" w:hAnsi="Arial" w:cs="Arial"/>
                <w:snapToGrid w:val="0"/>
                <w:lang w:eastAsia="en-US"/>
              </w:rPr>
              <w:t>(</w:t>
            </w:r>
            <w:r w:rsidRPr="00AF3CB4">
              <w:rPr>
                <w:rFonts w:ascii="Arial" w:hAnsi="Arial" w:cs="Arial"/>
                <w:snapToGrid w:val="0"/>
                <w:lang w:eastAsia="en-US"/>
              </w:rPr>
              <w:t>ppFEV1</w:t>
            </w:r>
            <w:r w:rsidR="0007079E">
              <w:rPr>
                <w:rFonts w:ascii="Arial" w:hAnsi="Arial" w:cs="Arial"/>
                <w:snapToGrid w:val="0"/>
                <w:lang w:eastAsia="en-US"/>
              </w:rPr>
              <w:t>)</w:t>
            </w:r>
            <w:r w:rsidRPr="00AF3CB4">
              <w:rPr>
                <w:rFonts w:ascii="Arial" w:hAnsi="Arial" w:cs="Arial"/>
                <w:snapToGrid w:val="0"/>
                <w:lang w:eastAsia="en-US"/>
              </w:rPr>
              <w:t xml:space="preserve"> for patients treated with tezacaftor with ivacaftor compared with BSC of 6.8% (95% CI: 5.7, 7.8) after 8 weeks of treatment. An interim analysis of extension data from Study 110 indicated that this increase was maintained for an additional 16 weeks of treatment. However, the PBAC noted that given the short duration of follow-up, it was unknown whether the observed improvement in ppFEV1 would be maintained in the long-term, particularly in the context of a lifelong progressive disease.</w:t>
            </w:r>
          </w:p>
          <w:p w14:paraId="799E55E1" w14:textId="77777777" w:rsidR="00AF3CB4" w:rsidRPr="00AF3CB4" w:rsidRDefault="00AF3CB4" w:rsidP="00AF3CB4">
            <w:pPr>
              <w:widowControl w:val="0"/>
              <w:rPr>
                <w:rFonts w:ascii="Arial" w:hAnsi="Arial" w:cs="Arial"/>
                <w:snapToGrid w:val="0"/>
                <w:lang w:eastAsia="en-US"/>
              </w:rPr>
            </w:pPr>
          </w:p>
          <w:p w14:paraId="4A51932C" w14:textId="66742E32" w:rsidR="00AF3CB4" w:rsidRPr="00AF3CB4" w:rsidRDefault="00AF3CB4" w:rsidP="00AF3CB4">
            <w:pPr>
              <w:widowControl w:val="0"/>
              <w:rPr>
                <w:rFonts w:ascii="Arial" w:hAnsi="Arial" w:cs="Arial"/>
                <w:snapToGrid w:val="0"/>
                <w:lang w:eastAsia="en-US"/>
              </w:rPr>
            </w:pPr>
            <w:r w:rsidRPr="00AF3CB4">
              <w:rPr>
                <w:rFonts w:ascii="Arial" w:hAnsi="Arial" w:cs="Arial"/>
                <w:snapToGrid w:val="0"/>
                <w:lang w:eastAsia="en-US"/>
              </w:rPr>
              <w:t>The PBAC also noted that Study 108 demonstrated an improvement in quality of life</w:t>
            </w:r>
            <w:r w:rsidR="0007079E">
              <w:rPr>
                <w:rFonts w:ascii="Arial" w:hAnsi="Arial" w:cs="Arial"/>
                <w:snapToGrid w:val="0"/>
                <w:lang w:eastAsia="en-US"/>
              </w:rPr>
              <w:t xml:space="preserve"> </w:t>
            </w:r>
            <w:r w:rsidRPr="00AF3CB4">
              <w:rPr>
                <w:rFonts w:ascii="Arial" w:hAnsi="Arial" w:cs="Arial"/>
                <w:snapToGrid w:val="0"/>
                <w:lang w:eastAsia="en-US"/>
              </w:rPr>
              <w:t xml:space="preserve">compared with BSC after 8 weeks of treatment; however, it was uncertain whether this difference would be maintained over the long-term. There was insufficient clinical evidence to determine if treatment with </w:t>
            </w:r>
            <w:r w:rsidRPr="00AF3CB4">
              <w:rPr>
                <w:rFonts w:ascii="Arial" w:hAnsi="Arial" w:cs="Arial"/>
                <w:snapToGrid w:val="0"/>
                <w:lang w:eastAsia="en-US"/>
              </w:rPr>
              <w:lastRenderedPageBreak/>
              <w:t>tezacaftor with ivacaftor for the RF mutation patient population would be associated with improvements in life expectancy, nutritional status (including weight and height) or reduction in pulmonary exacerbations or the need for other medications. However, the PBAC acknowledged the high clinical need for therapy for this patient population and considered there is a clinical place for this medicine at a price commensurate with its potential clinical benefits.</w:t>
            </w:r>
          </w:p>
          <w:p w14:paraId="3687D155" w14:textId="77777777" w:rsidR="00AF3CB4" w:rsidRPr="00AF3CB4" w:rsidRDefault="00AF3CB4" w:rsidP="00AF3CB4">
            <w:pPr>
              <w:widowControl w:val="0"/>
              <w:rPr>
                <w:rFonts w:ascii="Arial" w:hAnsi="Arial" w:cs="Arial"/>
                <w:snapToGrid w:val="0"/>
                <w:lang w:eastAsia="en-US"/>
              </w:rPr>
            </w:pPr>
          </w:p>
          <w:p w14:paraId="508E2215" w14:textId="19F23C33" w:rsidR="007C55B5" w:rsidRPr="00362796" w:rsidRDefault="00AF3CB4" w:rsidP="00435C71">
            <w:pPr>
              <w:widowControl w:val="0"/>
              <w:rPr>
                <w:rFonts w:ascii="Arial" w:hAnsi="Arial" w:cs="Arial"/>
                <w:snapToGrid w:val="0"/>
                <w:lang w:eastAsia="en-US"/>
              </w:rPr>
            </w:pPr>
            <w:r w:rsidRPr="00AF3CB4">
              <w:rPr>
                <w:rFonts w:ascii="Arial" w:hAnsi="Arial" w:cs="Arial"/>
                <w:snapToGrid w:val="0"/>
                <w:lang w:eastAsia="en-US"/>
              </w:rPr>
              <w:t>The PBAC considered the assumptions around the long-term efficacy of tezacaftor with ivacaftor in the economic model and the resulting incremental cost-effectiveness ratio</w:t>
            </w:r>
            <w:r w:rsidR="0007079E">
              <w:rPr>
                <w:rFonts w:ascii="Arial" w:hAnsi="Arial" w:cs="Arial"/>
                <w:snapToGrid w:val="0"/>
                <w:lang w:eastAsia="en-US"/>
              </w:rPr>
              <w:t xml:space="preserve"> compared with BSC</w:t>
            </w:r>
            <w:r w:rsidRPr="00AF3CB4">
              <w:rPr>
                <w:rFonts w:ascii="Arial" w:hAnsi="Arial" w:cs="Arial"/>
                <w:snapToGrid w:val="0"/>
                <w:lang w:eastAsia="en-US"/>
              </w:rPr>
              <w:t xml:space="preserve"> to be uncertain. The PBAC advised that the cost effectiveness of tezacaftor with ivacaftor would likely be no worse than that for lumacaftor with ivacaftor for patients who are homozygous for the F508del mutation if the price per patient per year for tezacaftor with ivacaftor was no higher than that previously recommended for lumacaftor with ivacaftor. </w:t>
            </w:r>
            <w:r w:rsidRPr="005412E3">
              <w:rPr>
                <w:rFonts w:ascii="Arial" w:hAnsi="Arial" w:cs="Arial"/>
                <w:snapToGrid w:val="0"/>
                <w:lang w:eastAsia="en-US"/>
              </w:rPr>
              <w:t xml:space="preserve">The PBAC further advised that </w:t>
            </w:r>
            <w:r w:rsidR="00435C71" w:rsidRPr="005412E3">
              <w:rPr>
                <w:rFonts w:ascii="Arial" w:hAnsi="Arial" w:cs="Arial"/>
                <w:snapToGrid w:val="0"/>
                <w:lang w:eastAsia="en-US"/>
              </w:rPr>
              <w:t xml:space="preserve">the </w:t>
            </w:r>
            <w:r w:rsidRPr="005412E3">
              <w:rPr>
                <w:rFonts w:ascii="Arial" w:hAnsi="Arial" w:cs="Arial"/>
                <w:snapToGrid w:val="0"/>
                <w:lang w:eastAsia="en-US"/>
              </w:rPr>
              <w:t xml:space="preserve">financial </w:t>
            </w:r>
            <w:r w:rsidR="00435C71" w:rsidRPr="005412E3">
              <w:rPr>
                <w:rFonts w:ascii="Arial" w:hAnsi="Arial" w:cs="Arial"/>
                <w:snapToGrid w:val="0"/>
                <w:lang w:eastAsia="en-US"/>
              </w:rPr>
              <w:t xml:space="preserve">arrangements </w:t>
            </w:r>
            <w:r w:rsidRPr="005412E3">
              <w:rPr>
                <w:rFonts w:ascii="Arial" w:hAnsi="Arial" w:cs="Arial"/>
                <w:snapToGrid w:val="0"/>
                <w:lang w:eastAsia="en-US"/>
              </w:rPr>
              <w:t xml:space="preserve">and </w:t>
            </w:r>
            <w:r w:rsidR="00435C71" w:rsidRPr="005412E3">
              <w:rPr>
                <w:rFonts w:ascii="Arial" w:hAnsi="Arial" w:cs="Arial"/>
                <w:snapToGrid w:val="0"/>
                <w:lang w:eastAsia="en-US"/>
              </w:rPr>
              <w:t xml:space="preserve">other terms of the </w:t>
            </w:r>
            <w:r w:rsidRPr="005412E3">
              <w:rPr>
                <w:rFonts w:ascii="Arial" w:hAnsi="Arial" w:cs="Arial"/>
                <w:snapToGrid w:val="0"/>
                <w:lang w:eastAsia="en-US"/>
              </w:rPr>
              <w:t>existing Managed Access Program for lumacaftor with ivacaftor would</w:t>
            </w:r>
            <w:r w:rsidR="00435C71" w:rsidRPr="005412E3">
              <w:rPr>
                <w:rFonts w:ascii="Arial" w:hAnsi="Arial" w:cs="Arial"/>
                <w:snapToGrid w:val="0"/>
                <w:lang w:eastAsia="en-US"/>
              </w:rPr>
              <w:t xml:space="preserve"> be required to apply equally to tezacaftor with ivacaftor</w:t>
            </w:r>
            <w:r w:rsidRPr="005412E3">
              <w:rPr>
                <w:rFonts w:ascii="Arial" w:hAnsi="Arial" w:cs="Arial"/>
                <w:snapToGrid w:val="0"/>
                <w:lang w:eastAsia="en-US"/>
              </w:rPr>
              <w:t xml:space="preserve"> to manage the uncertain cost-effectiveness of tezacaftor with ivacaftor in this treatment setting.</w:t>
            </w:r>
          </w:p>
        </w:tc>
      </w:tr>
      <w:tr w:rsidR="00221330" w:rsidRPr="003D7E12" w14:paraId="18C84B04" w14:textId="77777777" w:rsidTr="007F6A0F">
        <w:trPr>
          <w:cantSplit/>
        </w:trPr>
        <w:tc>
          <w:tcPr>
            <w:tcW w:w="3369" w:type="dxa"/>
            <w:tcMar>
              <w:top w:w="28" w:type="dxa"/>
              <w:bottom w:w="28" w:type="dxa"/>
            </w:tcMar>
          </w:tcPr>
          <w:p w14:paraId="5947A2AB" w14:textId="77777777" w:rsidR="00221330" w:rsidRDefault="00221330" w:rsidP="007F6A0F">
            <w:pPr>
              <w:widowControl w:val="0"/>
              <w:rPr>
                <w:rFonts w:ascii="Arial" w:hAnsi="Arial" w:cs="Arial"/>
              </w:rPr>
            </w:pPr>
            <w:r w:rsidRPr="00247B7A">
              <w:rPr>
                <w:rFonts w:ascii="Arial" w:hAnsi="Arial" w:cs="Arial"/>
              </w:rPr>
              <w:lastRenderedPageBreak/>
              <w:t>TIOTROPIUM</w:t>
            </w:r>
            <w:r w:rsidRPr="00247B7A">
              <w:rPr>
                <w:rFonts w:ascii="Arial" w:hAnsi="Arial" w:cs="Arial"/>
              </w:rPr>
              <w:br/>
            </w:r>
            <w:r w:rsidRPr="00247B7A">
              <w:rPr>
                <w:rFonts w:ascii="Arial" w:hAnsi="Arial" w:cs="Arial"/>
              </w:rPr>
              <w:br/>
              <w:t>Capsule containing powder for oral inhalation 13 microgram (for use in Zonda device)</w:t>
            </w:r>
            <w:r w:rsidRPr="00247B7A">
              <w:rPr>
                <w:rFonts w:ascii="Arial" w:hAnsi="Arial" w:cs="Arial"/>
              </w:rPr>
              <w:br/>
            </w:r>
            <w:r w:rsidRPr="00247B7A">
              <w:rPr>
                <w:rFonts w:ascii="Arial" w:hAnsi="Arial" w:cs="Arial"/>
              </w:rPr>
              <w:br/>
              <w:t>Braltus®</w:t>
            </w:r>
            <w:r w:rsidRPr="00247B7A">
              <w:rPr>
                <w:rFonts w:ascii="Arial" w:hAnsi="Arial" w:cs="Arial"/>
              </w:rPr>
              <w:br/>
            </w:r>
            <w:r w:rsidRPr="00247B7A">
              <w:rPr>
                <w:rFonts w:ascii="Arial" w:hAnsi="Arial" w:cs="Arial"/>
              </w:rPr>
              <w:br/>
              <w:t>TEVA Australia Pty Ltd</w:t>
            </w:r>
          </w:p>
          <w:p w14:paraId="4B05F196" w14:textId="77777777" w:rsidR="00E74DCC" w:rsidRDefault="00E74DCC" w:rsidP="007F6A0F">
            <w:pPr>
              <w:widowControl w:val="0"/>
              <w:rPr>
                <w:rFonts w:ascii="Arial" w:hAnsi="Arial" w:cs="Arial"/>
              </w:rPr>
            </w:pPr>
          </w:p>
          <w:p w14:paraId="4E770276" w14:textId="77777777" w:rsidR="00E74DCC" w:rsidRPr="00E74DCC" w:rsidRDefault="00E74DCC" w:rsidP="00E74DCC">
            <w:pPr>
              <w:widowControl w:val="0"/>
              <w:rPr>
                <w:rFonts w:ascii="Arial" w:hAnsi="Arial" w:cs="Arial"/>
              </w:rPr>
            </w:pPr>
            <w:r w:rsidRPr="00E74DCC">
              <w:rPr>
                <w:rFonts w:ascii="Arial" w:hAnsi="Arial" w:cs="Arial"/>
              </w:rPr>
              <w:t>New listing</w:t>
            </w:r>
          </w:p>
          <w:p w14:paraId="6487B929" w14:textId="46A636A5" w:rsidR="00E74DCC" w:rsidRPr="003D7E12" w:rsidRDefault="00E74DCC" w:rsidP="00E74DCC">
            <w:pPr>
              <w:widowControl w:val="0"/>
              <w:rPr>
                <w:rFonts w:ascii="Arial" w:hAnsi="Arial" w:cs="Arial"/>
                <w:b/>
              </w:rPr>
            </w:pPr>
            <w:r w:rsidRPr="00E74DCC">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45D73E4C" w14:textId="19FCD794" w:rsidR="00221330" w:rsidRPr="003D7E12" w:rsidRDefault="00221330" w:rsidP="007F6A0F">
            <w:pPr>
              <w:widowControl w:val="0"/>
              <w:rPr>
                <w:rFonts w:ascii="Arial" w:hAnsi="Arial" w:cs="Arial"/>
                <w:b/>
                <w:snapToGrid w:val="0"/>
                <w:lang w:eastAsia="en-US"/>
              </w:rPr>
            </w:pPr>
            <w:r w:rsidRPr="00247B7A">
              <w:rPr>
                <w:rFonts w:ascii="Arial" w:hAnsi="Arial" w:cs="Arial"/>
              </w:rPr>
              <w:t>Chronic obstructive pulmonary disease (COPD)</w:t>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6D7DD2BB" w14:textId="13E6F5BA" w:rsidR="00221330" w:rsidRPr="003D7E12" w:rsidRDefault="00221330" w:rsidP="007F6A0F">
            <w:pPr>
              <w:widowControl w:val="0"/>
              <w:rPr>
                <w:rFonts w:ascii="Arial" w:hAnsi="Arial" w:cs="Arial"/>
                <w:b/>
                <w:snapToGrid w:val="0"/>
                <w:lang w:eastAsia="en-US"/>
              </w:rPr>
            </w:pPr>
            <w:r w:rsidRPr="00247B7A">
              <w:rPr>
                <w:rFonts w:ascii="Arial" w:hAnsi="Arial" w:cs="Arial"/>
              </w:rPr>
              <w:t>To request a Restricted Benefit listing for the treatment of COPD.</w:t>
            </w:r>
          </w:p>
        </w:tc>
        <w:tc>
          <w:tcPr>
            <w:tcW w:w="7192" w:type="dxa"/>
          </w:tcPr>
          <w:p w14:paraId="6D4FD56A" w14:textId="00828D67" w:rsidR="00B01957" w:rsidRDefault="00B01957" w:rsidP="007F6A0F">
            <w:pPr>
              <w:widowControl w:val="0"/>
              <w:rPr>
                <w:rFonts w:ascii="Arial" w:hAnsi="Arial" w:cs="Arial"/>
                <w:snapToGrid w:val="0"/>
                <w:lang w:eastAsia="en-US"/>
              </w:rPr>
            </w:pPr>
            <w:r w:rsidRPr="00B01957">
              <w:rPr>
                <w:rFonts w:ascii="Arial" w:hAnsi="Arial" w:cs="Arial"/>
                <w:snapToGrid w:val="0"/>
                <w:lang w:eastAsia="en-US"/>
              </w:rPr>
              <w:t xml:space="preserve">The PBAC recommended the Section 85 Restricted Benefit listing of a new brand of tiotropium, Braltus® as an alternative brand to the currently listed </w:t>
            </w:r>
            <w:r w:rsidR="00E44A44">
              <w:rPr>
                <w:rFonts w:ascii="Arial" w:hAnsi="Arial" w:cs="Arial"/>
                <w:snapToGrid w:val="0"/>
                <w:lang w:eastAsia="en-US"/>
              </w:rPr>
              <w:t xml:space="preserve">brand </w:t>
            </w:r>
            <w:r w:rsidRPr="00B01957">
              <w:rPr>
                <w:rFonts w:ascii="Arial" w:hAnsi="Arial" w:cs="Arial"/>
                <w:snapToGrid w:val="0"/>
                <w:lang w:eastAsia="en-US"/>
              </w:rPr>
              <w:t xml:space="preserve">Spiriva®. </w:t>
            </w:r>
          </w:p>
          <w:p w14:paraId="3DAECCD2" w14:textId="77777777" w:rsidR="00B01957" w:rsidRPr="00B01957" w:rsidRDefault="00B01957" w:rsidP="007F6A0F">
            <w:pPr>
              <w:widowControl w:val="0"/>
              <w:rPr>
                <w:rFonts w:ascii="Arial" w:hAnsi="Arial" w:cs="Arial"/>
                <w:snapToGrid w:val="0"/>
                <w:lang w:eastAsia="en-US"/>
              </w:rPr>
            </w:pPr>
          </w:p>
          <w:p w14:paraId="2ABB3B3F" w14:textId="7AC58CA5" w:rsidR="00B01957" w:rsidRDefault="00B01957" w:rsidP="007F6A0F">
            <w:pPr>
              <w:widowControl w:val="0"/>
              <w:rPr>
                <w:rFonts w:ascii="Arial" w:hAnsi="Arial" w:cs="Arial"/>
                <w:snapToGrid w:val="0"/>
                <w:lang w:eastAsia="en-US"/>
              </w:rPr>
            </w:pPr>
            <w:r w:rsidRPr="00B01957">
              <w:rPr>
                <w:rFonts w:ascii="Arial" w:hAnsi="Arial" w:cs="Arial"/>
                <w:snapToGrid w:val="0"/>
                <w:lang w:eastAsia="en-US"/>
              </w:rPr>
              <w:t xml:space="preserve">The PBAC noted two main differences between the Braltus® and Spiriva® products: both Braltus® and Spiriva® deliver the same dose of active substance to the patient (10 microgram per capsule) but have a different labelled metered dose (13 and 18 microgram per capsule respectively); Braltus® is delivered via a Zonda® device whereas Spiriva® is delivered via a HandiHaler device®. </w:t>
            </w:r>
          </w:p>
          <w:p w14:paraId="07B19CAB" w14:textId="77777777" w:rsidR="00B01957" w:rsidRPr="00B01957" w:rsidRDefault="00B01957" w:rsidP="007F6A0F">
            <w:pPr>
              <w:widowControl w:val="0"/>
              <w:rPr>
                <w:rFonts w:ascii="Arial" w:hAnsi="Arial" w:cs="Arial"/>
                <w:snapToGrid w:val="0"/>
                <w:lang w:eastAsia="en-US"/>
              </w:rPr>
            </w:pPr>
          </w:p>
          <w:p w14:paraId="6BDC9D8D" w14:textId="0549717A" w:rsidR="00B01957" w:rsidRDefault="00B01957" w:rsidP="007F6A0F">
            <w:pPr>
              <w:widowControl w:val="0"/>
              <w:rPr>
                <w:rFonts w:ascii="Arial" w:hAnsi="Arial" w:cs="Arial"/>
                <w:snapToGrid w:val="0"/>
                <w:lang w:eastAsia="en-US"/>
              </w:rPr>
            </w:pPr>
            <w:r w:rsidRPr="00B01957">
              <w:rPr>
                <w:rFonts w:ascii="Arial" w:hAnsi="Arial" w:cs="Arial"/>
                <w:snapToGrid w:val="0"/>
                <w:lang w:eastAsia="en-US"/>
              </w:rPr>
              <w:t xml:space="preserve">The PBAC noted that the TGA has accepted that bioequivalence has been established between the Braltus® and Spiriva® products, and as such the PBAC recommended that the Braltus® and the Spiriva® products </w:t>
            </w:r>
            <w:r w:rsidR="00E44A44">
              <w:rPr>
                <w:rFonts w:ascii="Arial" w:hAnsi="Arial" w:cs="Arial"/>
                <w:snapToGrid w:val="0"/>
                <w:lang w:eastAsia="en-US"/>
              </w:rPr>
              <w:t>are to</w:t>
            </w:r>
            <w:r w:rsidRPr="00B01957">
              <w:rPr>
                <w:rFonts w:ascii="Arial" w:hAnsi="Arial" w:cs="Arial"/>
                <w:snapToGrid w:val="0"/>
                <w:lang w:eastAsia="en-US"/>
              </w:rPr>
              <w:t xml:space="preserve"> be </w:t>
            </w:r>
            <w:r w:rsidR="00E44A44">
              <w:rPr>
                <w:rFonts w:ascii="Arial" w:hAnsi="Arial" w:cs="Arial"/>
                <w:snapToGrid w:val="0"/>
                <w:lang w:eastAsia="en-US"/>
              </w:rPr>
              <w:t>treated</w:t>
            </w:r>
            <w:r w:rsidRPr="00B01957">
              <w:rPr>
                <w:rFonts w:ascii="Arial" w:hAnsi="Arial" w:cs="Arial"/>
                <w:snapToGrid w:val="0"/>
                <w:lang w:eastAsia="en-US"/>
              </w:rPr>
              <w:t xml:space="preserve"> as equivalent (i.e. “a” flagging) in the Schedule of Pharmaceutical Benefits. The PBAC considered the differences in the labelled metered dose and devices could be managed in the course of the regular patient education and counselling on the use of the devices that is provided to patients by prescribers and pharmacists. </w:t>
            </w:r>
          </w:p>
          <w:p w14:paraId="6D930E30" w14:textId="77777777" w:rsidR="005A27F3" w:rsidRPr="00B01957" w:rsidRDefault="005A27F3" w:rsidP="007F6A0F">
            <w:pPr>
              <w:widowControl w:val="0"/>
              <w:rPr>
                <w:rFonts w:ascii="Arial" w:hAnsi="Arial" w:cs="Arial"/>
                <w:snapToGrid w:val="0"/>
                <w:lang w:eastAsia="en-US"/>
              </w:rPr>
            </w:pPr>
          </w:p>
          <w:p w14:paraId="7AA2FE19" w14:textId="75E86C4A" w:rsidR="007C55B5" w:rsidRPr="00B01957" w:rsidRDefault="00B01957" w:rsidP="007F6A0F">
            <w:pPr>
              <w:widowControl w:val="0"/>
              <w:rPr>
                <w:rFonts w:ascii="Arial" w:hAnsi="Arial" w:cs="Arial"/>
                <w:snapToGrid w:val="0"/>
                <w:lang w:eastAsia="en-US"/>
              </w:rPr>
            </w:pPr>
            <w:r w:rsidRPr="00B01957">
              <w:rPr>
                <w:rFonts w:ascii="Arial" w:hAnsi="Arial" w:cs="Arial"/>
                <w:snapToGrid w:val="0"/>
                <w:lang w:eastAsia="en-US"/>
              </w:rPr>
              <w:t>The PBAC considered that the information and education measures proposed by the sponsor had addressed key Quality Use of Medicine concerns regarding the two main differences between the Braltus® and Spiriva® products.</w:t>
            </w:r>
          </w:p>
          <w:p w14:paraId="0F0A4A12" w14:textId="053E221A" w:rsidR="00221330" w:rsidRPr="000B5913" w:rsidRDefault="00221330" w:rsidP="007F6A0F">
            <w:pPr>
              <w:widowControl w:val="0"/>
              <w:rPr>
                <w:rFonts w:ascii="Arial" w:hAnsi="Arial" w:cs="Arial"/>
                <w:snapToGrid w:val="0"/>
                <w:lang w:eastAsia="en-US"/>
              </w:rPr>
            </w:pPr>
          </w:p>
        </w:tc>
      </w:tr>
      <w:tr w:rsidR="00221330" w:rsidRPr="003D7E12" w14:paraId="2A5C04F8" w14:textId="77777777" w:rsidTr="007F6A0F">
        <w:trPr>
          <w:cantSplit/>
        </w:trPr>
        <w:tc>
          <w:tcPr>
            <w:tcW w:w="3369" w:type="dxa"/>
            <w:tcMar>
              <w:top w:w="28" w:type="dxa"/>
              <w:bottom w:w="28" w:type="dxa"/>
            </w:tcMar>
          </w:tcPr>
          <w:p w14:paraId="35584AF2" w14:textId="77777777" w:rsidR="00221330" w:rsidRPr="00247B7A" w:rsidRDefault="00221330" w:rsidP="007F6A0F">
            <w:pPr>
              <w:rPr>
                <w:rFonts w:ascii="Arial" w:hAnsi="Arial" w:cs="Arial"/>
              </w:rPr>
            </w:pPr>
            <w:r w:rsidRPr="00247B7A">
              <w:rPr>
                <w:rFonts w:ascii="Arial" w:hAnsi="Arial" w:cs="Arial"/>
              </w:rPr>
              <w:lastRenderedPageBreak/>
              <w:t>TOCILIZUMAB</w:t>
            </w:r>
            <w:r w:rsidRPr="00247B7A">
              <w:rPr>
                <w:rFonts w:ascii="Arial" w:hAnsi="Arial" w:cs="Arial"/>
              </w:rPr>
              <w:br/>
            </w:r>
            <w:r w:rsidRPr="00247B7A">
              <w:rPr>
                <w:rFonts w:ascii="Arial" w:hAnsi="Arial" w:cs="Arial"/>
              </w:rPr>
              <w:br/>
              <w:t>Injection 162 mg in 0.9 mL single use pre-filled pen</w:t>
            </w:r>
            <w:r w:rsidRPr="00247B7A">
              <w:rPr>
                <w:rFonts w:ascii="Arial" w:hAnsi="Arial" w:cs="Arial"/>
              </w:rPr>
              <w:br/>
            </w:r>
          </w:p>
          <w:p w14:paraId="17400081" w14:textId="77777777" w:rsidR="00221330" w:rsidRPr="00247B7A" w:rsidRDefault="00221330" w:rsidP="007F6A0F">
            <w:pPr>
              <w:rPr>
                <w:rFonts w:ascii="Arial" w:hAnsi="Arial" w:cs="Arial"/>
              </w:rPr>
            </w:pPr>
            <w:r w:rsidRPr="00247B7A">
              <w:rPr>
                <w:rFonts w:ascii="Arial" w:hAnsi="Arial" w:cs="Arial"/>
              </w:rPr>
              <w:t xml:space="preserve">Injection 162 mg in 0.9 mL single use pre-filled syringe </w:t>
            </w:r>
          </w:p>
          <w:p w14:paraId="08F3A558" w14:textId="77777777" w:rsidR="00221330" w:rsidRDefault="00221330" w:rsidP="007F6A0F">
            <w:pPr>
              <w:widowControl w:val="0"/>
              <w:rPr>
                <w:rFonts w:ascii="Arial" w:hAnsi="Arial" w:cs="Arial"/>
              </w:rPr>
            </w:pPr>
            <w:r w:rsidRPr="00247B7A">
              <w:rPr>
                <w:rFonts w:ascii="Arial" w:hAnsi="Arial" w:cs="Arial"/>
              </w:rPr>
              <w:br/>
              <w:t>Actemra®</w:t>
            </w:r>
            <w:r w:rsidRPr="00247B7A">
              <w:rPr>
                <w:rFonts w:ascii="Arial" w:hAnsi="Arial" w:cs="Arial"/>
              </w:rPr>
              <w:br/>
            </w:r>
            <w:r w:rsidRPr="00247B7A">
              <w:rPr>
                <w:rFonts w:ascii="Arial" w:hAnsi="Arial" w:cs="Arial"/>
              </w:rPr>
              <w:br/>
              <w:t>Roche Products Pty Ltd</w:t>
            </w:r>
          </w:p>
          <w:p w14:paraId="1C2CF9D4" w14:textId="77777777" w:rsidR="00E74DCC" w:rsidRDefault="00E74DCC" w:rsidP="007F6A0F">
            <w:pPr>
              <w:widowControl w:val="0"/>
              <w:rPr>
                <w:rFonts w:ascii="Arial" w:hAnsi="Arial" w:cs="Arial"/>
              </w:rPr>
            </w:pPr>
          </w:p>
          <w:p w14:paraId="39626CBF" w14:textId="77777777" w:rsidR="00E74DCC" w:rsidRPr="00E74DCC" w:rsidRDefault="00E74DCC" w:rsidP="00E74DCC">
            <w:pPr>
              <w:widowControl w:val="0"/>
              <w:rPr>
                <w:rFonts w:ascii="Arial" w:hAnsi="Arial" w:cs="Arial"/>
              </w:rPr>
            </w:pPr>
            <w:r w:rsidRPr="00E74DCC">
              <w:rPr>
                <w:rFonts w:ascii="Arial" w:hAnsi="Arial" w:cs="Arial"/>
              </w:rPr>
              <w:t>Change to listing</w:t>
            </w:r>
          </w:p>
          <w:p w14:paraId="56F28DF3" w14:textId="0A5482A6" w:rsidR="00E74DCC" w:rsidRPr="003D7E12" w:rsidRDefault="00E74DCC" w:rsidP="00E74DCC">
            <w:pPr>
              <w:widowControl w:val="0"/>
              <w:rPr>
                <w:rFonts w:ascii="Arial" w:hAnsi="Arial" w:cs="Arial"/>
                <w:b/>
              </w:rPr>
            </w:pPr>
            <w:r w:rsidRPr="00E74DCC">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323C97A4" w14:textId="1D9C038A" w:rsidR="00221330" w:rsidRPr="003D7E12" w:rsidRDefault="00221330">
            <w:pPr>
              <w:widowControl w:val="0"/>
              <w:rPr>
                <w:rFonts w:ascii="Arial" w:hAnsi="Arial" w:cs="Arial"/>
                <w:b/>
                <w:snapToGrid w:val="0"/>
                <w:lang w:eastAsia="en-US"/>
              </w:rPr>
            </w:pPr>
            <w:r w:rsidRPr="00247B7A">
              <w:rPr>
                <w:rFonts w:ascii="Arial" w:hAnsi="Arial" w:cs="Arial"/>
              </w:rPr>
              <w:t xml:space="preserve">Polyarticular juvenile idiopathic arthritis. </w:t>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59924BCA" w14:textId="1B3CA6FB" w:rsidR="00221330" w:rsidRPr="003D7E12" w:rsidRDefault="00221330" w:rsidP="007F6A0F">
            <w:pPr>
              <w:widowControl w:val="0"/>
              <w:rPr>
                <w:rFonts w:ascii="Arial" w:hAnsi="Arial" w:cs="Arial"/>
                <w:b/>
                <w:snapToGrid w:val="0"/>
                <w:lang w:eastAsia="en-US"/>
              </w:rPr>
            </w:pPr>
            <w:r w:rsidRPr="00247B7A">
              <w:rPr>
                <w:rFonts w:ascii="Arial" w:hAnsi="Arial" w:cs="Arial"/>
              </w:rPr>
              <w:t xml:space="preserve">To request an extension of the current Authority Required listing of subcutaneous tocilizumab to include </w:t>
            </w:r>
            <w:r w:rsidR="005A27F3">
              <w:rPr>
                <w:rFonts w:ascii="Arial" w:hAnsi="Arial" w:cs="Arial"/>
              </w:rPr>
              <w:t>p</w:t>
            </w:r>
            <w:r w:rsidR="005A27F3" w:rsidRPr="00247B7A">
              <w:rPr>
                <w:rFonts w:ascii="Arial" w:hAnsi="Arial" w:cs="Arial"/>
              </w:rPr>
              <w:t>olyarticular juvenile idiopathic arthritis</w:t>
            </w:r>
            <w:r w:rsidRPr="00247B7A">
              <w:rPr>
                <w:rFonts w:ascii="Arial" w:hAnsi="Arial" w:cs="Arial"/>
              </w:rPr>
              <w:t xml:space="preserve">. </w:t>
            </w:r>
          </w:p>
        </w:tc>
        <w:tc>
          <w:tcPr>
            <w:tcW w:w="7192" w:type="dxa"/>
          </w:tcPr>
          <w:p w14:paraId="5C725CB9" w14:textId="6F5FDA9B" w:rsidR="00221330" w:rsidRPr="000B5913" w:rsidRDefault="00B01957" w:rsidP="007F6A0F">
            <w:pPr>
              <w:widowControl w:val="0"/>
              <w:rPr>
                <w:rFonts w:ascii="Arial" w:hAnsi="Arial" w:cs="Arial"/>
                <w:snapToGrid w:val="0"/>
                <w:lang w:eastAsia="en-US"/>
              </w:rPr>
            </w:pPr>
            <w:r w:rsidRPr="00B01957">
              <w:rPr>
                <w:rFonts w:ascii="Arial" w:hAnsi="Arial" w:cs="Arial"/>
                <w:snapToGrid w:val="0"/>
                <w:lang w:eastAsia="en-US"/>
              </w:rPr>
              <w:t>The PBAC recommended extending the PBS-listing of subcutaneous tocilizumab to include an Authority Required listing for the treatment of severe active polyarticular juvenile idiopathic arthritis on a cost-minimisation basis to intravenous tocilizumab. The PBAC considered based on the evidence presented, that subcutaneous tocilizumab was likely to be equivalent in efficacy and safety to IV tocilizumab.</w:t>
            </w:r>
          </w:p>
        </w:tc>
      </w:tr>
      <w:tr w:rsidR="00221330" w:rsidRPr="003D7E12" w14:paraId="618A88B9" w14:textId="77777777" w:rsidTr="007F6A0F">
        <w:trPr>
          <w:cantSplit/>
        </w:trPr>
        <w:tc>
          <w:tcPr>
            <w:tcW w:w="3369" w:type="dxa"/>
            <w:tcMar>
              <w:top w:w="28" w:type="dxa"/>
              <w:bottom w:w="28" w:type="dxa"/>
            </w:tcMar>
          </w:tcPr>
          <w:p w14:paraId="37C05999" w14:textId="77777777" w:rsidR="00221330" w:rsidRDefault="00221330" w:rsidP="007F6A0F">
            <w:pPr>
              <w:widowControl w:val="0"/>
              <w:rPr>
                <w:rFonts w:ascii="Arial" w:hAnsi="Arial" w:cs="Arial"/>
              </w:rPr>
            </w:pPr>
            <w:r w:rsidRPr="00247B7A">
              <w:rPr>
                <w:rFonts w:ascii="Arial" w:hAnsi="Arial" w:cs="Arial"/>
              </w:rPr>
              <w:t>TOCILIZUMAB</w:t>
            </w:r>
            <w:r w:rsidRPr="00247B7A">
              <w:rPr>
                <w:rFonts w:ascii="Arial" w:hAnsi="Arial" w:cs="Arial"/>
              </w:rPr>
              <w:br/>
            </w:r>
            <w:r w:rsidRPr="00247B7A">
              <w:rPr>
                <w:rFonts w:ascii="Arial" w:hAnsi="Arial" w:cs="Arial"/>
              </w:rPr>
              <w:br/>
              <w:t>Injection 162 mg in 0.9 mL single use pre-filled pen</w:t>
            </w:r>
            <w:r w:rsidRPr="00247B7A">
              <w:rPr>
                <w:rFonts w:ascii="Arial" w:hAnsi="Arial" w:cs="Arial"/>
              </w:rPr>
              <w:br/>
            </w:r>
            <w:r w:rsidRPr="00247B7A">
              <w:rPr>
                <w:rFonts w:ascii="Arial" w:hAnsi="Arial" w:cs="Arial"/>
              </w:rPr>
              <w:br/>
              <w:t>Actemra®</w:t>
            </w:r>
            <w:r w:rsidRPr="00247B7A">
              <w:rPr>
                <w:rFonts w:ascii="Arial" w:hAnsi="Arial" w:cs="Arial"/>
              </w:rPr>
              <w:br/>
            </w:r>
            <w:r w:rsidRPr="00247B7A">
              <w:rPr>
                <w:rFonts w:ascii="Arial" w:hAnsi="Arial" w:cs="Arial"/>
              </w:rPr>
              <w:br/>
              <w:t>Roche Products Pty Ltd</w:t>
            </w:r>
          </w:p>
          <w:p w14:paraId="133BB483" w14:textId="77777777" w:rsidR="00E74DCC" w:rsidRDefault="00E74DCC" w:rsidP="007F6A0F">
            <w:pPr>
              <w:widowControl w:val="0"/>
              <w:rPr>
                <w:rFonts w:ascii="Arial" w:hAnsi="Arial" w:cs="Arial"/>
              </w:rPr>
            </w:pPr>
          </w:p>
          <w:p w14:paraId="3BD5DF9C" w14:textId="77777777" w:rsidR="00E74DCC" w:rsidRPr="00E74DCC" w:rsidRDefault="00E74DCC" w:rsidP="00E74DCC">
            <w:pPr>
              <w:widowControl w:val="0"/>
              <w:rPr>
                <w:rFonts w:ascii="Arial" w:hAnsi="Arial" w:cs="Arial"/>
              </w:rPr>
            </w:pPr>
            <w:r w:rsidRPr="00E74DCC">
              <w:rPr>
                <w:rFonts w:ascii="Arial" w:hAnsi="Arial" w:cs="Arial"/>
              </w:rPr>
              <w:t>Change to listing</w:t>
            </w:r>
          </w:p>
          <w:p w14:paraId="273756D1" w14:textId="5BC71F82" w:rsidR="00E74DCC" w:rsidRPr="003D7E12" w:rsidRDefault="00E74DCC" w:rsidP="00E74DCC">
            <w:pPr>
              <w:widowControl w:val="0"/>
              <w:rPr>
                <w:rFonts w:ascii="Arial" w:hAnsi="Arial" w:cs="Arial"/>
                <w:b/>
              </w:rPr>
            </w:pPr>
            <w:r w:rsidRPr="00E74DCC">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110A56A9" w14:textId="607B9E31" w:rsidR="00221330" w:rsidRPr="003D7E12" w:rsidRDefault="00221330">
            <w:pPr>
              <w:widowControl w:val="0"/>
              <w:rPr>
                <w:rFonts w:ascii="Arial" w:hAnsi="Arial" w:cs="Arial"/>
                <w:b/>
                <w:snapToGrid w:val="0"/>
                <w:lang w:eastAsia="en-US"/>
              </w:rPr>
            </w:pPr>
            <w:r w:rsidRPr="00247B7A">
              <w:rPr>
                <w:rFonts w:ascii="Arial" w:hAnsi="Arial" w:cs="Arial"/>
              </w:rPr>
              <w:t xml:space="preserve">Giant </w:t>
            </w:r>
            <w:r w:rsidR="005A27F3">
              <w:rPr>
                <w:rFonts w:ascii="Arial" w:hAnsi="Arial" w:cs="Arial"/>
              </w:rPr>
              <w:t>c</w:t>
            </w:r>
            <w:r w:rsidRPr="00247B7A">
              <w:rPr>
                <w:rFonts w:ascii="Arial" w:hAnsi="Arial" w:cs="Arial"/>
              </w:rPr>
              <w:t xml:space="preserve">ell </w:t>
            </w:r>
            <w:r w:rsidR="005A27F3">
              <w:rPr>
                <w:rFonts w:ascii="Arial" w:hAnsi="Arial" w:cs="Arial"/>
              </w:rPr>
              <w:t>a</w:t>
            </w:r>
            <w:r w:rsidRPr="00247B7A">
              <w:rPr>
                <w:rFonts w:ascii="Arial" w:hAnsi="Arial" w:cs="Arial"/>
              </w:rPr>
              <w:t>rteritis</w:t>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54AB56DA" w14:textId="2A527FE3" w:rsidR="00221330" w:rsidRPr="003D7E12" w:rsidRDefault="00221330" w:rsidP="007F6A0F">
            <w:pPr>
              <w:widowControl w:val="0"/>
              <w:rPr>
                <w:rFonts w:ascii="Arial" w:hAnsi="Arial" w:cs="Arial"/>
                <w:b/>
                <w:snapToGrid w:val="0"/>
                <w:lang w:eastAsia="en-US"/>
              </w:rPr>
            </w:pPr>
            <w:r w:rsidRPr="00247B7A">
              <w:rPr>
                <w:rFonts w:ascii="Arial" w:hAnsi="Arial" w:cs="Arial"/>
              </w:rPr>
              <w:t>Resubmission to request an Authority Required listing for the treatment of giant cell arteritis.</w:t>
            </w:r>
          </w:p>
        </w:tc>
        <w:tc>
          <w:tcPr>
            <w:tcW w:w="7192" w:type="dxa"/>
          </w:tcPr>
          <w:p w14:paraId="5517EC64" w14:textId="78D6D8F9" w:rsidR="00B01957" w:rsidRPr="00B01957" w:rsidRDefault="00B01957" w:rsidP="007F6A0F">
            <w:pPr>
              <w:widowControl w:val="0"/>
              <w:rPr>
                <w:rFonts w:ascii="Arial" w:hAnsi="Arial" w:cs="Arial"/>
                <w:snapToGrid w:val="0"/>
                <w:lang w:eastAsia="en-US"/>
              </w:rPr>
            </w:pPr>
            <w:r w:rsidRPr="00B01957">
              <w:rPr>
                <w:rFonts w:ascii="Arial" w:hAnsi="Arial" w:cs="Arial"/>
                <w:snapToGrid w:val="0"/>
                <w:lang w:eastAsia="en-US"/>
              </w:rPr>
              <w:t>The PBAC recommended the Authority Required listing of tocilizumab for the treatment of patients with giant cell arteritis. The PBAC considered that the minor resubmission had adequately addressed its concerns from November 2018 by revising the restriction and the financial estimates and including a</w:t>
            </w:r>
            <w:r w:rsidR="005A27F3">
              <w:rPr>
                <w:rFonts w:ascii="Arial" w:hAnsi="Arial" w:cs="Arial"/>
                <w:snapToGrid w:val="0"/>
                <w:lang w:eastAsia="en-US"/>
              </w:rPr>
              <w:t xml:space="preserve"> proposal for a Risk Sharing Agreement</w:t>
            </w:r>
            <w:r w:rsidRPr="00B01957">
              <w:rPr>
                <w:rFonts w:ascii="Arial" w:hAnsi="Arial" w:cs="Arial"/>
                <w:snapToGrid w:val="0"/>
                <w:lang w:eastAsia="en-US"/>
              </w:rPr>
              <w:t>.</w:t>
            </w:r>
          </w:p>
          <w:p w14:paraId="11D49FCF" w14:textId="77777777" w:rsidR="00B01957" w:rsidRPr="00B01957" w:rsidRDefault="00B01957" w:rsidP="007F6A0F">
            <w:pPr>
              <w:widowControl w:val="0"/>
              <w:rPr>
                <w:rFonts w:ascii="Arial" w:hAnsi="Arial" w:cs="Arial"/>
                <w:snapToGrid w:val="0"/>
                <w:lang w:eastAsia="en-US"/>
              </w:rPr>
            </w:pPr>
          </w:p>
          <w:p w14:paraId="250375C2" w14:textId="7EA52E11" w:rsidR="00B01957" w:rsidRDefault="00B01957" w:rsidP="007F6A0F">
            <w:pPr>
              <w:widowControl w:val="0"/>
              <w:rPr>
                <w:rFonts w:ascii="Arial" w:hAnsi="Arial" w:cs="Arial"/>
                <w:snapToGrid w:val="0"/>
                <w:lang w:eastAsia="en-US"/>
              </w:rPr>
            </w:pPr>
            <w:r w:rsidRPr="00B01957">
              <w:rPr>
                <w:rFonts w:ascii="Arial" w:hAnsi="Arial" w:cs="Arial"/>
                <w:snapToGrid w:val="0"/>
                <w:lang w:eastAsia="en-US"/>
              </w:rPr>
              <w:t xml:space="preserve">The PBAC was satisfied that tocilizumab provides, for some patients, a significant improvement in efficacy over standard of care. The PBAC reiterated its previous advice that there is a high unmet clinical need for effective treatments for </w:t>
            </w:r>
            <w:r w:rsidR="005A27F3" w:rsidRPr="00B01957">
              <w:rPr>
                <w:rFonts w:ascii="Arial" w:hAnsi="Arial" w:cs="Arial"/>
                <w:snapToGrid w:val="0"/>
                <w:lang w:eastAsia="en-US"/>
              </w:rPr>
              <w:t xml:space="preserve">giant cell arteritis </w:t>
            </w:r>
            <w:r w:rsidRPr="00B01957">
              <w:rPr>
                <w:rFonts w:ascii="Arial" w:hAnsi="Arial" w:cs="Arial"/>
                <w:snapToGrid w:val="0"/>
                <w:lang w:eastAsia="en-US"/>
              </w:rPr>
              <w:t>particularly given the adverse events associated with corticosteroids in this population who are often older patients with comorbidities, and the limited treatment options available.</w:t>
            </w:r>
          </w:p>
          <w:p w14:paraId="0BE8C48F" w14:textId="6F010266" w:rsidR="007C55B5" w:rsidRDefault="007C55B5" w:rsidP="007F6A0F">
            <w:pPr>
              <w:widowControl w:val="0"/>
              <w:rPr>
                <w:rFonts w:ascii="Arial" w:hAnsi="Arial" w:cs="Arial"/>
                <w:snapToGrid w:val="0"/>
                <w:lang w:eastAsia="en-US"/>
              </w:rPr>
            </w:pPr>
          </w:p>
          <w:p w14:paraId="4C2FD1A5" w14:textId="04DC07A2" w:rsidR="00221330" w:rsidRPr="000B5913" w:rsidRDefault="00221330" w:rsidP="00F370B2">
            <w:pPr>
              <w:widowControl w:val="0"/>
              <w:rPr>
                <w:rFonts w:ascii="Arial" w:hAnsi="Arial" w:cs="Arial"/>
                <w:snapToGrid w:val="0"/>
                <w:lang w:eastAsia="en-US"/>
              </w:rPr>
            </w:pPr>
          </w:p>
        </w:tc>
      </w:tr>
      <w:tr w:rsidR="00582B09" w:rsidRPr="003D7E12" w14:paraId="2F6DC5A2" w14:textId="77777777" w:rsidTr="00BB1F77">
        <w:trPr>
          <w:cantSplit/>
        </w:trPr>
        <w:tc>
          <w:tcPr>
            <w:tcW w:w="3369" w:type="dxa"/>
            <w:tcBorders>
              <w:top w:val="single" w:sz="4" w:space="0" w:color="auto"/>
              <w:left w:val="single" w:sz="4" w:space="0" w:color="auto"/>
              <w:bottom w:val="single" w:sz="4" w:space="0" w:color="auto"/>
              <w:right w:val="single" w:sz="4" w:space="0" w:color="auto"/>
            </w:tcBorders>
            <w:tcMar>
              <w:top w:w="28" w:type="dxa"/>
              <w:bottom w:w="28" w:type="dxa"/>
            </w:tcMar>
          </w:tcPr>
          <w:p w14:paraId="5D2F9B02" w14:textId="77777777" w:rsidR="00582B09" w:rsidRDefault="00582B09" w:rsidP="00582B09">
            <w:pPr>
              <w:widowControl w:val="0"/>
              <w:rPr>
                <w:rFonts w:ascii="Arial" w:hAnsi="Arial" w:cs="Arial"/>
              </w:rPr>
            </w:pPr>
            <w:r>
              <w:rPr>
                <w:rFonts w:ascii="Arial" w:hAnsi="Arial" w:cs="Arial"/>
              </w:rPr>
              <w:lastRenderedPageBreak/>
              <w:t>TOFACITINIB</w:t>
            </w:r>
          </w:p>
          <w:p w14:paraId="065A90EB" w14:textId="77777777" w:rsidR="00582B09" w:rsidRDefault="00582B09" w:rsidP="00582B09">
            <w:pPr>
              <w:widowControl w:val="0"/>
              <w:rPr>
                <w:rFonts w:ascii="Arial" w:hAnsi="Arial" w:cs="Arial"/>
              </w:rPr>
            </w:pPr>
          </w:p>
          <w:p w14:paraId="5B763E24" w14:textId="77777777" w:rsidR="00582B09" w:rsidRDefault="00582B09" w:rsidP="00582B09">
            <w:pPr>
              <w:widowControl w:val="0"/>
              <w:rPr>
                <w:rFonts w:ascii="Arial" w:hAnsi="Arial" w:cs="Arial"/>
              </w:rPr>
            </w:pPr>
            <w:r>
              <w:rPr>
                <w:rFonts w:ascii="Arial" w:hAnsi="Arial" w:cs="Arial"/>
              </w:rPr>
              <w:t>Tablet 5 mg</w:t>
            </w:r>
          </w:p>
          <w:p w14:paraId="623AE2D0" w14:textId="77777777" w:rsidR="00582B09" w:rsidRDefault="00582B09" w:rsidP="00582B09">
            <w:pPr>
              <w:widowControl w:val="0"/>
              <w:rPr>
                <w:rFonts w:ascii="Arial" w:hAnsi="Arial" w:cs="Arial"/>
              </w:rPr>
            </w:pPr>
            <w:r>
              <w:rPr>
                <w:rFonts w:ascii="Arial" w:hAnsi="Arial" w:cs="Arial"/>
              </w:rPr>
              <w:t>Tablet 10 mg</w:t>
            </w:r>
          </w:p>
          <w:p w14:paraId="081C2972" w14:textId="77777777" w:rsidR="00582B09" w:rsidRDefault="00582B09" w:rsidP="00582B09">
            <w:pPr>
              <w:widowControl w:val="0"/>
              <w:rPr>
                <w:rFonts w:ascii="Arial" w:hAnsi="Arial" w:cs="Arial"/>
              </w:rPr>
            </w:pPr>
          </w:p>
          <w:p w14:paraId="3B6EB2C3" w14:textId="77777777" w:rsidR="00582B09" w:rsidRDefault="00582B09" w:rsidP="00582B09">
            <w:pPr>
              <w:widowControl w:val="0"/>
              <w:rPr>
                <w:rFonts w:ascii="Arial" w:hAnsi="Arial" w:cs="Arial"/>
              </w:rPr>
            </w:pPr>
            <w:r>
              <w:rPr>
                <w:rFonts w:ascii="Arial" w:hAnsi="Arial" w:cs="Arial"/>
              </w:rPr>
              <w:t>Xeljanz®</w:t>
            </w:r>
          </w:p>
          <w:p w14:paraId="20CCAD19" w14:textId="77777777" w:rsidR="00582B09" w:rsidRDefault="00582B09" w:rsidP="00582B09">
            <w:pPr>
              <w:widowControl w:val="0"/>
              <w:rPr>
                <w:rFonts w:ascii="Arial" w:hAnsi="Arial" w:cs="Arial"/>
              </w:rPr>
            </w:pPr>
          </w:p>
          <w:p w14:paraId="67194BC8" w14:textId="77777777" w:rsidR="00582B09" w:rsidRDefault="00582B09" w:rsidP="00582B09">
            <w:pPr>
              <w:widowControl w:val="0"/>
              <w:rPr>
                <w:rFonts w:ascii="Arial" w:hAnsi="Arial" w:cs="Arial"/>
              </w:rPr>
            </w:pPr>
            <w:r>
              <w:rPr>
                <w:rFonts w:ascii="Arial" w:hAnsi="Arial" w:cs="Arial"/>
              </w:rPr>
              <w:t>Pfizer Australia Pty Ltd</w:t>
            </w:r>
          </w:p>
          <w:p w14:paraId="507D1E3B" w14:textId="77777777" w:rsidR="00582B09" w:rsidRDefault="00582B09" w:rsidP="00582B09">
            <w:pPr>
              <w:widowControl w:val="0"/>
              <w:rPr>
                <w:rFonts w:ascii="Arial" w:hAnsi="Arial" w:cs="Arial"/>
              </w:rPr>
            </w:pPr>
          </w:p>
          <w:p w14:paraId="6AFDB0D2" w14:textId="77777777" w:rsidR="00582B09" w:rsidRDefault="00582B09" w:rsidP="00582B09">
            <w:pPr>
              <w:widowControl w:val="0"/>
              <w:rPr>
                <w:rFonts w:ascii="Arial" w:hAnsi="Arial" w:cs="Arial"/>
              </w:rPr>
            </w:pPr>
            <w:r>
              <w:rPr>
                <w:rFonts w:ascii="Arial" w:hAnsi="Arial" w:cs="Arial"/>
              </w:rPr>
              <w:t>Change to listing</w:t>
            </w:r>
          </w:p>
          <w:p w14:paraId="0348EF23" w14:textId="21755E01" w:rsidR="00582B09" w:rsidRPr="00247B7A" w:rsidRDefault="00582B09" w:rsidP="00582B09">
            <w:pPr>
              <w:widowControl w:val="0"/>
              <w:rPr>
                <w:rFonts w:ascii="Arial" w:hAnsi="Arial" w:cs="Arial"/>
              </w:rPr>
            </w:pPr>
            <w:r>
              <w:rPr>
                <w:rFonts w:ascii="Arial" w:hAnsi="Arial" w:cs="Arial"/>
              </w:rPr>
              <w:t>(Major Submission)</w:t>
            </w:r>
          </w:p>
        </w:tc>
        <w:tc>
          <w:tcPr>
            <w:tcW w:w="2307" w:type="dxa"/>
            <w:tcBorders>
              <w:top w:val="single" w:sz="4" w:space="0" w:color="auto"/>
              <w:left w:val="single" w:sz="4" w:space="0" w:color="auto"/>
              <w:bottom w:val="single" w:sz="4" w:space="0" w:color="auto"/>
              <w:right w:val="single" w:sz="4" w:space="0" w:color="auto"/>
            </w:tcBorders>
            <w:tcMar>
              <w:top w:w="28" w:type="dxa"/>
              <w:bottom w:w="28" w:type="dxa"/>
            </w:tcMar>
          </w:tcPr>
          <w:p w14:paraId="200ABF33" w14:textId="2EA40DA1" w:rsidR="00582B09" w:rsidRPr="00247B7A" w:rsidRDefault="00582B09" w:rsidP="00582B09">
            <w:pPr>
              <w:widowControl w:val="0"/>
              <w:rPr>
                <w:rFonts w:ascii="Arial" w:hAnsi="Arial" w:cs="Arial"/>
              </w:rPr>
            </w:pPr>
            <w:r>
              <w:rPr>
                <w:rFonts w:ascii="Arial" w:hAnsi="Arial" w:cs="Arial"/>
              </w:rPr>
              <w:t>Ulcerative Colitis (UC)</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14:paraId="66AB94FB" w14:textId="77777777" w:rsidR="00582B09" w:rsidRDefault="00582B09" w:rsidP="00582B09">
            <w:pPr>
              <w:widowControl w:val="0"/>
              <w:rPr>
                <w:rFonts w:ascii="Arial" w:hAnsi="Arial" w:cs="Arial"/>
              </w:rPr>
            </w:pPr>
            <w:r>
              <w:rPr>
                <w:rFonts w:ascii="Arial" w:hAnsi="Arial" w:cs="Arial"/>
              </w:rPr>
              <w:t>To request an Authority Required listing for the</w:t>
            </w:r>
          </w:p>
          <w:p w14:paraId="5F7F4390" w14:textId="77777777" w:rsidR="00582B09" w:rsidRDefault="00582B09" w:rsidP="00582B09">
            <w:pPr>
              <w:widowControl w:val="0"/>
              <w:rPr>
                <w:rFonts w:ascii="Arial" w:hAnsi="Arial" w:cs="Arial"/>
              </w:rPr>
            </w:pPr>
            <w:r>
              <w:rPr>
                <w:rFonts w:ascii="Arial" w:hAnsi="Arial" w:cs="Arial"/>
              </w:rPr>
              <w:t>treatment of moderate to severe UC in adult patients</w:t>
            </w:r>
          </w:p>
          <w:p w14:paraId="304FD81C" w14:textId="77777777" w:rsidR="00582B09" w:rsidRDefault="00582B09" w:rsidP="00582B09">
            <w:pPr>
              <w:widowControl w:val="0"/>
              <w:rPr>
                <w:rFonts w:ascii="Arial" w:hAnsi="Arial" w:cs="Arial"/>
              </w:rPr>
            </w:pPr>
            <w:r>
              <w:rPr>
                <w:rFonts w:ascii="Arial" w:hAnsi="Arial" w:cs="Arial"/>
              </w:rPr>
              <w:t>who have had an inadequate response or failure of</w:t>
            </w:r>
          </w:p>
          <w:p w14:paraId="02227A20" w14:textId="77777777" w:rsidR="00582B09" w:rsidRDefault="00582B09" w:rsidP="00582B09">
            <w:pPr>
              <w:widowControl w:val="0"/>
              <w:rPr>
                <w:rFonts w:ascii="Arial" w:hAnsi="Arial" w:cs="Arial"/>
              </w:rPr>
            </w:pPr>
            <w:r>
              <w:rPr>
                <w:rFonts w:ascii="Arial" w:hAnsi="Arial" w:cs="Arial"/>
              </w:rPr>
              <w:t>standard medical management (5-aminosalicylates</w:t>
            </w:r>
          </w:p>
          <w:p w14:paraId="7FB3C9D4" w14:textId="77777777" w:rsidR="00582B09" w:rsidRDefault="00582B09" w:rsidP="00582B09">
            <w:pPr>
              <w:widowControl w:val="0"/>
              <w:rPr>
                <w:rFonts w:ascii="Arial" w:hAnsi="Arial" w:cs="Arial"/>
              </w:rPr>
            </w:pPr>
            <w:r>
              <w:rPr>
                <w:rFonts w:ascii="Arial" w:hAnsi="Arial" w:cs="Arial"/>
              </w:rPr>
              <w:t>[5-ASAs], thiopurines and/or a course of</w:t>
            </w:r>
          </w:p>
          <w:p w14:paraId="2F52D0AA" w14:textId="77777777" w:rsidR="00582B09" w:rsidRDefault="00582B09" w:rsidP="00582B09">
            <w:pPr>
              <w:widowControl w:val="0"/>
              <w:rPr>
                <w:rFonts w:ascii="Arial" w:hAnsi="Arial" w:cs="Arial"/>
              </w:rPr>
            </w:pPr>
            <w:r>
              <w:rPr>
                <w:rFonts w:ascii="Arial" w:hAnsi="Arial" w:cs="Arial"/>
              </w:rPr>
              <w:t>corticosteroids) according to the Mayo endoscopy</w:t>
            </w:r>
          </w:p>
          <w:p w14:paraId="5755C4D2" w14:textId="171BE3E6" w:rsidR="00582B09" w:rsidRPr="00247B7A" w:rsidRDefault="00582B09" w:rsidP="00582B09">
            <w:pPr>
              <w:widowControl w:val="0"/>
              <w:rPr>
                <w:rFonts w:ascii="Arial" w:hAnsi="Arial" w:cs="Arial"/>
              </w:rPr>
            </w:pPr>
            <w:r>
              <w:rPr>
                <w:rFonts w:ascii="Arial" w:hAnsi="Arial" w:cs="Arial"/>
              </w:rPr>
              <w:t>score, or intolerance to these treatments.</w:t>
            </w:r>
          </w:p>
        </w:tc>
        <w:tc>
          <w:tcPr>
            <w:tcW w:w="7192" w:type="dxa"/>
            <w:tcBorders>
              <w:top w:val="single" w:sz="4" w:space="0" w:color="auto"/>
              <w:left w:val="single" w:sz="4" w:space="0" w:color="auto"/>
              <w:bottom w:val="single" w:sz="4" w:space="0" w:color="auto"/>
              <w:right w:val="single" w:sz="4" w:space="0" w:color="auto"/>
            </w:tcBorders>
          </w:tcPr>
          <w:p w14:paraId="106C8D1A" w14:textId="2402B5BD" w:rsidR="00582B09" w:rsidRPr="00B01957" w:rsidRDefault="00582B09" w:rsidP="00582B09">
            <w:pPr>
              <w:widowControl w:val="0"/>
              <w:rPr>
                <w:rFonts w:ascii="Arial" w:hAnsi="Arial" w:cs="Arial"/>
                <w:snapToGrid w:val="0"/>
                <w:lang w:eastAsia="en-US"/>
              </w:rPr>
            </w:pPr>
            <w:r>
              <w:rPr>
                <w:rFonts w:ascii="Arial" w:hAnsi="Arial" w:cs="Arial"/>
                <w:snapToGrid w:val="0"/>
              </w:rPr>
              <w:t xml:space="preserve">The PBAC recommended the Authority Required listing of tofacitinib on a cost minimisation basis against the least costly biologic therapy for moderate to severe UC. </w:t>
            </w:r>
          </w:p>
        </w:tc>
      </w:tr>
      <w:tr w:rsidR="00221330" w:rsidRPr="003D7E12" w14:paraId="2B6FC23F" w14:textId="77777777" w:rsidTr="007F6A0F">
        <w:trPr>
          <w:cantSplit/>
        </w:trPr>
        <w:tc>
          <w:tcPr>
            <w:tcW w:w="3369" w:type="dxa"/>
            <w:tcMar>
              <w:top w:w="28" w:type="dxa"/>
              <w:bottom w:w="28" w:type="dxa"/>
            </w:tcMar>
          </w:tcPr>
          <w:p w14:paraId="55D4D170" w14:textId="77777777" w:rsidR="00221330" w:rsidRDefault="00221330" w:rsidP="007F6A0F">
            <w:pPr>
              <w:widowControl w:val="0"/>
              <w:rPr>
                <w:rFonts w:ascii="Arial" w:hAnsi="Arial" w:cs="Arial"/>
              </w:rPr>
            </w:pPr>
            <w:r w:rsidRPr="00247B7A">
              <w:rPr>
                <w:rFonts w:ascii="Arial" w:hAnsi="Arial" w:cs="Arial"/>
              </w:rPr>
              <w:t>TRASTUZUMAB</w:t>
            </w:r>
            <w:r w:rsidRPr="00247B7A">
              <w:rPr>
                <w:rFonts w:ascii="Arial" w:hAnsi="Arial" w:cs="Arial"/>
              </w:rPr>
              <w:br/>
            </w:r>
            <w:r w:rsidRPr="00247B7A">
              <w:rPr>
                <w:rFonts w:ascii="Arial" w:hAnsi="Arial" w:cs="Arial"/>
              </w:rPr>
              <w:br/>
              <w:t>Powder for I.V. infusion 150 mg</w:t>
            </w:r>
            <w:r w:rsidRPr="00247B7A">
              <w:rPr>
                <w:rFonts w:ascii="Arial" w:hAnsi="Arial" w:cs="Arial"/>
              </w:rPr>
              <w:br/>
              <w:t>Powder for I.V. infusion 440 mg with diluent</w:t>
            </w:r>
            <w:r w:rsidRPr="00247B7A">
              <w:rPr>
                <w:rFonts w:ascii="Arial" w:hAnsi="Arial" w:cs="Arial"/>
              </w:rPr>
              <w:br/>
            </w:r>
            <w:r w:rsidRPr="00247B7A">
              <w:rPr>
                <w:rFonts w:ascii="Arial" w:hAnsi="Arial" w:cs="Arial"/>
              </w:rPr>
              <w:br/>
              <w:t xml:space="preserve">Ogivri® </w:t>
            </w:r>
            <w:r w:rsidRPr="00247B7A">
              <w:rPr>
                <w:rFonts w:ascii="Arial" w:hAnsi="Arial" w:cs="Arial"/>
              </w:rPr>
              <w:br/>
            </w:r>
            <w:r w:rsidRPr="00247B7A">
              <w:rPr>
                <w:rFonts w:ascii="Arial" w:hAnsi="Arial" w:cs="Arial"/>
              </w:rPr>
              <w:br/>
              <w:t>Alphapharm Pty Ltd</w:t>
            </w:r>
          </w:p>
          <w:p w14:paraId="7E0F03E5" w14:textId="77777777" w:rsidR="00E74DCC" w:rsidRDefault="00E74DCC" w:rsidP="007F6A0F">
            <w:pPr>
              <w:widowControl w:val="0"/>
              <w:rPr>
                <w:rFonts w:ascii="Arial" w:hAnsi="Arial" w:cs="Arial"/>
              </w:rPr>
            </w:pPr>
          </w:p>
          <w:p w14:paraId="1A1EF2B1" w14:textId="77777777" w:rsidR="00E74DCC" w:rsidRPr="00E74DCC" w:rsidRDefault="00E74DCC" w:rsidP="00E74DCC">
            <w:pPr>
              <w:widowControl w:val="0"/>
              <w:rPr>
                <w:rFonts w:ascii="Arial" w:hAnsi="Arial" w:cs="Arial"/>
              </w:rPr>
            </w:pPr>
            <w:r w:rsidRPr="00E74DCC">
              <w:rPr>
                <w:rFonts w:ascii="Arial" w:hAnsi="Arial" w:cs="Arial"/>
              </w:rPr>
              <w:t>New listing</w:t>
            </w:r>
          </w:p>
          <w:p w14:paraId="1AABFC9F" w14:textId="06D020AA" w:rsidR="00E74DCC" w:rsidRPr="003D7E12" w:rsidRDefault="00E74DCC" w:rsidP="00E74DCC">
            <w:pPr>
              <w:widowControl w:val="0"/>
              <w:rPr>
                <w:rFonts w:ascii="Arial" w:hAnsi="Arial" w:cs="Arial"/>
                <w:b/>
              </w:rPr>
            </w:pPr>
            <w:r w:rsidRPr="00E74DCC">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61335713" w14:textId="77777777" w:rsidR="00221330" w:rsidRPr="00247B7A" w:rsidRDefault="00221330" w:rsidP="007F6A0F">
            <w:pPr>
              <w:rPr>
                <w:rFonts w:ascii="Arial" w:hAnsi="Arial" w:cs="Arial"/>
              </w:rPr>
            </w:pPr>
            <w:r w:rsidRPr="00247B7A">
              <w:rPr>
                <w:rFonts w:ascii="Arial" w:hAnsi="Arial" w:cs="Arial"/>
              </w:rPr>
              <w:t>Breast cancer</w:t>
            </w:r>
          </w:p>
          <w:p w14:paraId="53072A51" w14:textId="09A06785" w:rsidR="00221330" w:rsidRPr="003D7E12" w:rsidRDefault="00221330" w:rsidP="007F6A0F">
            <w:pPr>
              <w:widowControl w:val="0"/>
              <w:rPr>
                <w:rFonts w:ascii="Arial" w:hAnsi="Arial" w:cs="Arial"/>
                <w:b/>
                <w:snapToGrid w:val="0"/>
                <w:lang w:eastAsia="en-US"/>
              </w:rPr>
            </w:pPr>
            <w:r w:rsidRPr="00247B7A">
              <w:rPr>
                <w:rFonts w:ascii="Arial" w:hAnsi="Arial" w:cs="Arial"/>
              </w:rPr>
              <w:t>Gastric cancer</w:t>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54EF3500" w14:textId="69B01734" w:rsidR="00221330" w:rsidRPr="003D7E12" w:rsidRDefault="00221330" w:rsidP="007F6A0F">
            <w:pPr>
              <w:widowControl w:val="0"/>
              <w:rPr>
                <w:rFonts w:ascii="Arial" w:hAnsi="Arial" w:cs="Arial"/>
                <w:b/>
                <w:snapToGrid w:val="0"/>
                <w:lang w:eastAsia="en-US"/>
              </w:rPr>
            </w:pPr>
            <w:r w:rsidRPr="00247B7A">
              <w:rPr>
                <w:rFonts w:ascii="Arial" w:hAnsi="Arial" w:cs="Arial"/>
              </w:rPr>
              <w:t>To request a Section 100 (Efficient Funding of Chemotherapy) listing of a biosimilar trastuzumab under the same conditions as the reference biologic.</w:t>
            </w:r>
          </w:p>
        </w:tc>
        <w:tc>
          <w:tcPr>
            <w:tcW w:w="7192" w:type="dxa"/>
          </w:tcPr>
          <w:p w14:paraId="7DAED14C" w14:textId="665D3EB2" w:rsidR="00B01957" w:rsidRPr="00B01957" w:rsidRDefault="00B01957" w:rsidP="007F6A0F">
            <w:pPr>
              <w:widowControl w:val="0"/>
              <w:rPr>
                <w:rFonts w:ascii="Arial" w:hAnsi="Arial" w:cs="Arial"/>
                <w:snapToGrid w:val="0"/>
                <w:lang w:eastAsia="en-US"/>
              </w:rPr>
            </w:pPr>
            <w:r w:rsidRPr="00B01957">
              <w:rPr>
                <w:rFonts w:ascii="Arial" w:hAnsi="Arial" w:cs="Arial"/>
                <w:snapToGrid w:val="0"/>
                <w:lang w:eastAsia="en-US"/>
              </w:rPr>
              <w:t xml:space="preserve">The PBAC recommended the listing of the biosimilar brand of trastuzumab, Ogivri, on the Section 100 </w:t>
            </w:r>
            <w:r w:rsidR="005A27F3">
              <w:rPr>
                <w:rFonts w:ascii="Arial" w:hAnsi="Arial" w:cs="Arial"/>
                <w:snapToGrid w:val="0"/>
                <w:lang w:eastAsia="en-US"/>
              </w:rPr>
              <w:t>(</w:t>
            </w:r>
            <w:r w:rsidRPr="00B01957">
              <w:rPr>
                <w:rFonts w:ascii="Arial" w:hAnsi="Arial" w:cs="Arial"/>
                <w:snapToGrid w:val="0"/>
                <w:lang w:eastAsia="en-US"/>
              </w:rPr>
              <w:t xml:space="preserve">Efficient Funding of Chemotherapy </w:t>
            </w:r>
            <w:r w:rsidR="005A27F3">
              <w:rPr>
                <w:rFonts w:ascii="Arial" w:hAnsi="Arial" w:cs="Arial"/>
                <w:snapToGrid w:val="0"/>
                <w:lang w:eastAsia="en-US"/>
              </w:rPr>
              <w:t>P</w:t>
            </w:r>
            <w:r w:rsidRPr="00B01957">
              <w:rPr>
                <w:rFonts w:ascii="Arial" w:hAnsi="Arial" w:cs="Arial"/>
                <w:snapToGrid w:val="0"/>
                <w:lang w:eastAsia="en-US"/>
              </w:rPr>
              <w:t>rogram</w:t>
            </w:r>
            <w:r w:rsidR="005A27F3">
              <w:rPr>
                <w:rFonts w:ascii="Arial" w:hAnsi="Arial" w:cs="Arial"/>
                <w:snapToGrid w:val="0"/>
                <w:lang w:eastAsia="en-US"/>
              </w:rPr>
              <w:t>)</w:t>
            </w:r>
            <w:r w:rsidRPr="00B01957">
              <w:rPr>
                <w:rFonts w:ascii="Arial" w:hAnsi="Arial" w:cs="Arial"/>
                <w:snapToGrid w:val="0"/>
                <w:lang w:eastAsia="en-US"/>
              </w:rPr>
              <w:t xml:space="preserve">, for all indications for which the trastuzumab reference brand (Herceptin) is currently PBS-listed. </w:t>
            </w:r>
          </w:p>
          <w:p w14:paraId="36A04653" w14:textId="77777777" w:rsidR="00B01957" w:rsidRPr="00B01957" w:rsidRDefault="00B01957" w:rsidP="007F6A0F">
            <w:pPr>
              <w:widowControl w:val="0"/>
              <w:rPr>
                <w:rFonts w:ascii="Arial" w:hAnsi="Arial" w:cs="Arial"/>
                <w:snapToGrid w:val="0"/>
                <w:lang w:eastAsia="en-US"/>
              </w:rPr>
            </w:pPr>
          </w:p>
          <w:p w14:paraId="3DB69F6A" w14:textId="04606BD9" w:rsidR="00B01957" w:rsidRPr="00B01957" w:rsidRDefault="00B01957" w:rsidP="007F6A0F">
            <w:pPr>
              <w:widowControl w:val="0"/>
              <w:rPr>
                <w:rFonts w:ascii="Arial" w:hAnsi="Arial" w:cs="Arial"/>
                <w:snapToGrid w:val="0"/>
                <w:lang w:eastAsia="en-US"/>
              </w:rPr>
            </w:pPr>
            <w:r w:rsidRPr="00B01957">
              <w:rPr>
                <w:rFonts w:ascii="Arial" w:hAnsi="Arial" w:cs="Arial"/>
                <w:snapToGrid w:val="0"/>
                <w:lang w:eastAsia="en-US"/>
              </w:rPr>
              <w:t xml:space="preserve">The PBAC advised that the Herceptin, Ogivri and Ontruzant brands of trastuzumab should be considered equivalent for the purpose of substitution (i.e. ‘a’ flagged) and considered the application of biosimilar uptake drivers was reasonable. The PBAC recommended that all listings of trastuzumab could be changed to </w:t>
            </w:r>
            <w:r w:rsidR="000D4810">
              <w:rPr>
                <w:rFonts w:ascii="Arial" w:hAnsi="Arial" w:cs="Arial"/>
                <w:snapToGrid w:val="0"/>
                <w:lang w:eastAsia="en-US"/>
              </w:rPr>
              <w:t>Authority Required (Streamlined)</w:t>
            </w:r>
            <w:r w:rsidRPr="00B01957">
              <w:rPr>
                <w:rFonts w:ascii="Arial" w:hAnsi="Arial" w:cs="Arial"/>
                <w:snapToGrid w:val="0"/>
                <w:lang w:eastAsia="en-US"/>
              </w:rPr>
              <w:t>, however PBS listings for other agents used in metastatic breast cancer (pertuzumab, trastuzumab emtansine and lapatinib) should remain written authority required.</w:t>
            </w:r>
          </w:p>
          <w:p w14:paraId="77D11717" w14:textId="7DFA429D" w:rsidR="00277BFB" w:rsidRPr="000B5913" w:rsidRDefault="00277BFB" w:rsidP="007F6A0F">
            <w:pPr>
              <w:widowControl w:val="0"/>
              <w:rPr>
                <w:rFonts w:ascii="Arial" w:hAnsi="Arial" w:cs="Arial"/>
                <w:snapToGrid w:val="0"/>
                <w:lang w:eastAsia="en-US"/>
              </w:rPr>
            </w:pPr>
          </w:p>
        </w:tc>
      </w:tr>
      <w:tr w:rsidR="00221330" w:rsidRPr="003D7E12" w14:paraId="5D3FA34C" w14:textId="77777777" w:rsidTr="007F6A0F">
        <w:trPr>
          <w:cantSplit/>
        </w:trPr>
        <w:tc>
          <w:tcPr>
            <w:tcW w:w="3369" w:type="dxa"/>
            <w:tcMar>
              <w:top w:w="28" w:type="dxa"/>
              <w:bottom w:w="28" w:type="dxa"/>
            </w:tcMar>
          </w:tcPr>
          <w:p w14:paraId="60035EF7" w14:textId="77777777" w:rsidR="00221330" w:rsidRDefault="00221330" w:rsidP="007F6A0F">
            <w:pPr>
              <w:widowControl w:val="0"/>
              <w:rPr>
                <w:rFonts w:ascii="Arial" w:hAnsi="Arial" w:cs="Arial"/>
              </w:rPr>
            </w:pPr>
            <w:r w:rsidRPr="00247B7A">
              <w:rPr>
                <w:rFonts w:ascii="Arial" w:hAnsi="Arial" w:cs="Arial"/>
              </w:rPr>
              <w:lastRenderedPageBreak/>
              <w:t>TRASTUZUMAB</w:t>
            </w:r>
            <w:r w:rsidRPr="00247B7A">
              <w:rPr>
                <w:rFonts w:ascii="Arial" w:hAnsi="Arial" w:cs="Arial"/>
              </w:rPr>
              <w:br/>
            </w:r>
            <w:r w:rsidRPr="00247B7A">
              <w:rPr>
                <w:rFonts w:ascii="Arial" w:hAnsi="Arial" w:cs="Arial"/>
              </w:rPr>
              <w:br/>
              <w:t>Powder for I.V. infusion 150 mg</w:t>
            </w:r>
            <w:r w:rsidRPr="00247B7A">
              <w:rPr>
                <w:rFonts w:ascii="Arial" w:hAnsi="Arial" w:cs="Arial"/>
              </w:rPr>
              <w:br/>
            </w:r>
            <w:r w:rsidRPr="00247B7A">
              <w:rPr>
                <w:rFonts w:ascii="Arial" w:hAnsi="Arial" w:cs="Arial"/>
              </w:rPr>
              <w:br/>
              <w:t>Ontruzant®</w:t>
            </w:r>
            <w:r w:rsidRPr="00247B7A">
              <w:rPr>
                <w:rFonts w:ascii="Arial" w:hAnsi="Arial" w:cs="Arial"/>
              </w:rPr>
              <w:br/>
            </w:r>
            <w:r w:rsidRPr="00247B7A">
              <w:rPr>
                <w:rFonts w:ascii="Arial" w:hAnsi="Arial" w:cs="Arial"/>
              </w:rPr>
              <w:br/>
              <w:t>Merck Sharp &amp; Dohme (Australia) Pty Limited</w:t>
            </w:r>
          </w:p>
          <w:p w14:paraId="687EDD69" w14:textId="77777777" w:rsidR="00E74DCC" w:rsidRDefault="00E74DCC" w:rsidP="007F6A0F">
            <w:pPr>
              <w:widowControl w:val="0"/>
              <w:rPr>
                <w:rFonts w:ascii="Arial" w:hAnsi="Arial" w:cs="Arial"/>
              </w:rPr>
            </w:pPr>
          </w:p>
          <w:p w14:paraId="5F9D9F93" w14:textId="77777777" w:rsidR="00E74DCC" w:rsidRPr="00E74DCC" w:rsidRDefault="00E74DCC" w:rsidP="00E74DCC">
            <w:pPr>
              <w:widowControl w:val="0"/>
              <w:rPr>
                <w:rFonts w:ascii="Arial" w:hAnsi="Arial" w:cs="Arial"/>
              </w:rPr>
            </w:pPr>
            <w:r w:rsidRPr="00E74DCC">
              <w:rPr>
                <w:rFonts w:ascii="Arial" w:hAnsi="Arial" w:cs="Arial"/>
              </w:rPr>
              <w:t>New listing</w:t>
            </w:r>
          </w:p>
          <w:p w14:paraId="797BAC25" w14:textId="3233EDF7" w:rsidR="00E74DCC" w:rsidRPr="003D7E12" w:rsidRDefault="00E74DCC" w:rsidP="00E74DCC">
            <w:pPr>
              <w:widowControl w:val="0"/>
              <w:rPr>
                <w:rFonts w:ascii="Arial" w:hAnsi="Arial" w:cs="Arial"/>
                <w:b/>
              </w:rPr>
            </w:pPr>
            <w:r w:rsidRPr="00E74DCC">
              <w:rPr>
                <w:rFonts w:ascii="Arial" w:hAnsi="Arial" w:cs="Arial"/>
              </w:rPr>
              <w:t>(Minor Submission)</w:t>
            </w: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7508720E" w14:textId="77777777" w:rsidR="00221330" w:rsidRPr="00247B7A" w:rsidRDefault="00221330" w:rsidP="007F6A0F">
            <w:pPr>
              <w:rPr>
                <w:rFonts w:ascii="Arial" w:hAnsi="Arial" w:cs="Arial"/>
              </w:rPr>
            </w:pPr>
            <w:r w:rsidRPr="00247B7A">
              <w:rPr>
                <w:rFonts w:ascii="Arial" w:hAnsi="Arial" w:cs="Arial"/>
              </w:rPr>
              <w:t>Breast cancer</w:t>
            </w:r>
          </w:p>
          <w:p w14:paraId="18880FAA" w14:textId="600C7C2B" w:rsidR="00221330" w:rsidRPr="003D7E12" w:rsidRDefault="00221330" w:rsidP="007F6A0F">
            <w:pPr>
              <w:widowControl w:val="0"/>
              <w:rPr>
                <w:rFonts w:ascii="Arial" w:hAnsi="Arial" w:cs="Arial"/>
                <w:b/>
                <w:snapToGrid w:val="0"/>
                <w:lang w:eastAsia="en-US"/>
              </w:rPr>
            </w:pPr>
            <w:r w:rsidRPr="00247B7A">
              <w:rPr>
                <w:rFonts w:ascii="Arial" w:hAnsi="Arial" w:cs="Arial"/>
              </w:rPr>
              <w:t xml:space="preserve">Gastric cancer </w:t>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36CDA8ED" w14:textId="5A046BD7" w:rsidR="00221330" w:rsidRPr="003D7E12" w:rsidRDefault="00221330" w:rsidP="007F6A0F">
            <w:pPr>
              <w:widowControl w:val="0"/>
              <w:rPr>
                <w:rFonts w:ascii="Arial" w:hAnsi="Arial" w:cs="Arial"/>
                <w:b/>
                <w:snapToGrid w:val="0"/>
                <w:lang w:eastAsia="en-US"/>
              </w:rPr>
            </w:pPr>
            <w:r w:rsidRPr="00247B7A">
              <w:rPr>
                <w:rFonts w:ascii="Arial" w:hAnsi="Arial" w:cs="Arial"/>
              </w:rPr>
              <w:t>To request a Section 100 (Efficient Funding of Chemotherapy) listing of a biosimilar trastuzumab under the same conditions as the reference biologic.</w:t>
            </w:r>
          </w:p>
        </w:tc>
        <w:tc>
          <w:tcPr>
            <w:tcW w:w="7192" w:type="dxa"/>
          </w:tcPr>
          <w:p w14:paraId="69A1A406" w14:textId="6BC43364" w:rsidR="00B01957" w:rsidRPr="00B01957" w:rsidRDefault="00B01957" w:rsidP="007F6A0F">
            <w:pPr>
              <w:widowControl w:val="0"/>
              <w:rPr>
                <w:rFonts w:ascii="Arial" w:hAnsi="Arial" w:cs="Arial"/>
                <w:snapToGrid w:val="0"/>
                <w:lang w:eastAsia="en-US"/>
              </w:rPr>
            </w:pPr>
            <w:r w:rsidRPr="00B01957">
              <w:rPr>
                <w:rFonts w:ascii="Arial" w:hAnsi="Arial" w:cs="Arial"/>
                <w:snapToGrid w:val="0"/>
                <w:lang w:eastAsia="en-US"/>
              </w:rPr>
              <w:t xml:space="preserve">The PBAC recommended the listing of the biosimilar brand of trastuzumab, Ontruzant, on the Section 100 </w:t>
            </w:r>
            <w:r w:rsidR="005A27F3">
              <w:rPr>
                <w:rFonts w:ascii="Arial" w:hAnsi="Arial" w:cs="Arial"/>
                <w:snapToGrid w:val="0"/>
                <w:lang w:eastAsia="en-US"/>
              </w:rPr>
              <w:t>(</w:t>
            </w:r>
            <w:r w:rsidR="005A27F3" w:rsidRPr="00B01957">
              <w:rPr>
                <w:rFonts w:ascii="Arial" w:hAnsi="Arial" w:cs="Arial"/>
                <w:snapToGrid w:val="0"/>
                <w:lang w:eastAsia="en-US"/>
              </w:rPr>
              <w:t xml:space="preserve">Efficient Funding of Chemotherapy </w:t>
            </w:r>
            <w:r w:rsidR="005A27F3">
              <w:rPr>
                <w:rFonts w:ascii="Arial" w:hAnsi="Arial" w:cs="Arial"/>
                <w:snapToGrid w:val="0"/>
                <w:lang w:eastAsia="en-US"/>
              </w:rPr>
              <w:t>P</w:t>
            </w:r>
            <w:r w:rsidR="005A27F3" w:rsidRPr="00B01957">
              <w:rPr>
                <w:rFonts w:ascii="Arial" w:hAnsi="Arial" w:cs="Arial"/>
                <w:snapToGrid w:val="0"/>
                <w:lang w:eastAsia="en-US"/>
              </w:rPr>
              <w:t>rogram</w:t>
            </w:r>
            <w:r w:rsidR="005A27F3">
              <w:rPr>
                <w:rFonts w:ascii="Arial" w:hAnsi="Arial" w:cs="Arial"/>
                <w:snapToGrid w:val="0"/>
                <w:lang w:eastAsia="en-US"/>
              </w:rPr>
              <w:t>)</w:t>
            </w:r>
            <w:r w:rsidRPr="00B01957">
              <w:rPr>
                <w:rFonts w:ascii="Arial" w:hAnsi="Arial" w:cs="Arial"/>
                <w:snapToGrid w:val="0"/>
                <w:lang w:eastAsia="en-US"/>
              </w:rPr>
              <w:t xml:space="preserve">, for all indications for which the trastuzumab reference brand (Herceptin) is currently PBS-listed. </w:t>
            </w:r>
          </w:p>
          <w:p w14:paraId="791E7775" w14:textId="77777777" w:rsidR="00B01957" w:rsidRPr="00B01957" w:rsidRDefault="00B01957" w:rsidP="007F6A0F">
            <w:pPr>
              <w:widowControl w:val="0"/>
              <w:rPr>
                <w:rFonts w:ascii="Arial" w:hAnsi="Arial" w:cs="Arial"/>
                <w:snapToGrid w:val="0"/>
                <w:lang w:eastAsia="en-US"/>
              </w:rPr>
            </w:pPr>
          </w:p>
          <w:p w14:paraId="0AD66078" w14:textId="197C1EDF" w:rsidR="00277BFB" w:rsidRPr="000B5913" w:rsidRDefault="00B01957" w:rsidP="000D4810">
            <w:pPr>
              <w:widowControl w:val="0"/>
              <w:rPr>
                <w:rFonts w:ascii="Arial" w:hAnsi="Arial" w:cs="Arial"/>
                <w:snapToGrid w:val="0"/>
                <w:lang w:eastAsia="en-US"/>
              </w:rPr>
            </w:pPr>
            <w:r w:rsidRPr="00B01957">
              <w:rPr>
                <w:rFonts w:ascii="Arial" w:hAnsi="Arial" w:cs="Arial"/>
                <w:snapToGrid w:val="0"/>
                <w:lang w:eastAsia="en-US"/>
              </w:rPr>
              <w:t xml:space="preserve">The PBAC advised that the Herceptin, Ontruzant and Ogivri brands of trastuzumab should be considered equivalent for the purpose of substitution (i.e. ‘a’ flagged) and considered the application of biosimilar uptake drivers was reasonable. The PBAC recommended that all listings of trastuzumab could be changed to </w:t>
            </w:r>
            <w:r w:rsidR="000D4810">
              <w:rPr>
                <w:rFonts w:ascii="Arial" w:hAnsi="Arial" w:cs="Arial"/>
                <w:snapToGrid w:val="0"/>
                <w:lang w:eastAsia="en-US"/>
              </w:rPr>
              <w:t>Authority Required (Streamlined)</w:t>
            </w:r>
            <w:r w:rsidRPr="00B01957">
              <w:rPr>
                <w:rFonts w:ascii="Arial" w:hAnsi="Arial" w:cs="Arial"/>
                <w:snapToGrid w:val="0"/>
                <w:lang w:eastAsia="en-US"/>
              </w:rPr>
              <w:t>, however PBS listings for other agents used in metastatic breast cancer (pertuzumab, trastuzumab emtansine and lapatinib) should remain written authority required.</w:t>
            </w:r>
          </w:p>
        </w:tc>
      </w:tr>
      <w:tr w:rsidR="00221330" w:rsidRPr="003D7E12" w14:paraId="78A19B4C" w14:textId="77777777" w:rsidTr="007F6A0F">
        <w:trPr>
          <w:cantSplit/>
        </w:trPr>
        <w:tc>
          <w:tcPr>
            <w:tcW w:w="3369" w:type="dxa"/>
            <w:tcMar>
              <w:top w:w="28" w:type="dxa"/>
              <w:bottom w:w="28" w:type="dxa"/>
            </w:tcMar>
          </w:tcPr>
          <w:p w14:paraId="555712BC" w14:textId="2288CAC0" w:rsidR="00221330" w:rsidRDefault="00221330" w:rsidP="007F6A0F">
            <w:pPr>
              <w:widowControl w:val="0"/>
              <w:rPr>
                <w:rFonts w:ascii="Arial" w:hAnsi="Arial" w:cs="Arial"/>
              </w:rPr>
            </w:pPr>
            <w:r w:rsidRPr="00247B7A">
              <w:rPr>
                <w:rFonts w:ascii="Arial" w:hAnsi="Arial" w:cs="Arial"/>
              </w:rPr>
              <w:t>TRIGLYCERIDES - MEDIUM CHAIN, FORMULA</w:t>
            </w:r>
            <w:r w:rsidRPr="00247B7A">
              <w:rPr>
                <w:rFonts w:ascii="Arial" w:hAnsi="Arial" w:cs="Arial"/>
              </w:rPr>
              <w:br/>
            </w:r>
            <w:r w:rsidRPr="00247B7A">
              <w:rPr>
                <w:rFonts w:ascii="Arial" w:hAnsi="Arial" w:cs="Arial"/>
              </w:rPr>
              <w:br/>
            </w:r>
            <w:r w:rsidRPr="00247B7A">
              <w:rPr>
                <w:rFonts w:ascii="Arial" w:hAnsi="Arial" w:cs="Arial"/>
              </w:rPr>
              <w:br/>
              <w:t>Oral liquid 500mL, 12 (Nutrini Peptisorb)</w:t>
            </w:r>
            <w:r w:rsidRPr="00247B7A">
              <w:rPr>
                <w:rFonts w:ascii="Arial" w:hAnsi="Arial" w:cs="Arial"/>
              </w:rPr>
              <w:br/>
              <w:t>Oral liquid 500 mL, 12 (Nutrini Peptisorb Energy)</w:t>
            </w:r>
            <w:r w:rsidRPr="00247B7A">
              <w:rPr>
                <w:rFonts w:ascii="Arial" w:hAnsi="Arial" w:cs="Arial"/>
              </w:rPr>
              <w:br/>
            </w:r>
            <w:r w:rsidRPr="00247B7A">
              <w:rPr>
                <w:rFonts w:ascii="Arial" w:hAnsi="Arial" w:cs="Arial"/>
              </w:rPr>
              <w:br/>
              <w:t>Nutrini Peptisorb®</w:t>
            </w:r>
            <w:r w:rsidRPr="00247B7A">
              <w:rPr>
                <w:rFonts w:ascii="Arial" w:hAnsi="Arial" w:cs="Arial"/>
              </w:rPr>
              <w:br/>
              <w:t>Nutrini Peptisorb Energy®</w:t>
            </w:r>
            <w:r w:rsidRPr="00247B7A">
              <w:rPr>
                <w:rFonts w:ascii="Arial" w:hAnsi="Arial" w:cs="Arial"/>
              </w:rPr>
              <w:br/>
            </w:r>
            <w:r w:rsidRPr="00247B7A">
              <w:rPr>
                <w:rFonts w:ascii="Arial" w:hAnsi="Arial" w:cs="Arial"/>
              </w:rPr>
              <w:br/>
              <w:t>Nutricia Australia Pty Limited</w:t>
            </w:r>
          </w:p>
          <w:p w14:paraId="74D6E676" w14:textId="77777777" w:rsidR="00E74DCC" w:rsidRDefault="00E74DCC" w:rsidP="007F6A0F">
            <w:pPr>
              <w:widowControl w:val="0"/>
              <w:rPr>
                <w:rFonts w:ascii="Arial" w:hAnsi="Arial" w:cs="Arial"/>
              </w:rPr>
            </w:pPr>
          </w:p>
          <w:p w14:paraId="6E045742" w14:textId="77777777" w:rsidR="00E74DCC" w:rsidRPr="00E74DCC" w:rsidRDefault="00E74DCC" w:rsidP="00E74DCC">
            <w:pPr>
              <w:widowControl w:val="0"/>
              <w:rPr>
                <w:rFonts w:ascii="Arial" w:hAnsi="Arial" w:cs="Arial"/>
              </w:rPr>
            </w:pPr>
            <w:r w:rsidRPr="00E74DCC">
              <w:rPr>
                <w:rFonts w:ascii="Arial" w:hAnsi="Arial" w:cs="Arial"/>
              </w:rPr>
              <w:t>Change to listing</w:t>
            </w:r>
          </w:p>
          <w:p w14:paraId="064C22A3" w14:textId="3794621C" w:rsidR="00E74DCC" w:rsidRDefault="00E74DCC" w:rsidP="00E74DCC">
            <w:pPr>
              <w:widowControl w:val="0"/>
              <w:rPr>
                <w:rFonts w:ascii="Arial" w:hAnsi="Arial" w:cs="Arial"/>
              </w:rPr>
            </w:pPr>
            <w:r w:rsidRPr="00E74DCC">
              <w:rPr>
                <w:rFonts w:ascii="Arial" w:hAnsi="Arial" w:cs="Arial"/>
              </w:rPr>
              <w:t>(Minor Submission)</w:t>
            </w:r>
          </w:p>
          <w:p w14:paraId="6D68944A" w14:textId="7E4A5FDA" w:rsidR="00E74DCC" w:rsidRPr="003D7E12" w:rsidRDefault="00E74DCC" w:rsidP="007F6A0F">
            <w:pPr>
              <w:widowControl w:val="0"/>
              <w:rPr>
                <w:rFonts w:ascii="Arial" w:hAnsi="Arial" w:cs="Arial"/>
                <w:b/>
              </w:rPr>
            </w:pPr>
          </w:p>
        </w:tc>
        <w:tc>
          <w:tcPr>
            <w:tcW w:w="230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600DDA7C" w14:textId="47B1EA3C" w:rsidR="00221330" w:rsidRPr="003D7E12" w:rsidRDefault="00221330" w:rsidP="007F6A0F">
            <w:pPr>
              <w:widowControl w:val="0"/>
              <w:rPr>
                <w:rFonts w:ascii="Arial" w:hAnsi="Arial" w:cs="Arial"/>
                <w:b/>
                <w:snapToGrid w:val="0"/>
                <w:lang w:eastAsia="en-US"/>
              </w:rPr>
            </w:pPr>
            <w:r w:rsidRPr="00247B7A">
              <w:rPr>
                <w:rFonts w:ascii="Arial" w:hAnsi="Arial" w:cs="Arial"/>
              </w:rPr>
              <w:t>Dietary management of conditions requiring a source of medium chain triglycerides</w:t>
            </w:r>
          </w:p>
        </w:tc>
        <w:tc>
          <w:tcPr>
            <w:tcW w:w="2987"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0E83ADC7" w14:textId="0F73CF00" w:rsidR="00221330" w:rsidRPr="003D7E12" w:rsidRDefault="00221330" w:rsidP="007F6A0F">
            <w:pPr>
              <w:widowControl w:val="0"/>
              <w:rPr>
                <w:rFonts w:ascii="Arial" w:hAnsi="Arial" w:cs="Arial"/>
                <w:b/>
                <w:snapToGrid w:val="0"/>
                <w:lang w:eastAsia="en-US"/>
              </w:rPr>
            </w:pPr>
            <w:r w:rsidRPr="00247B7A">
              <w:rPr>
                <w:rFonts w:ascii="Arial" w:hAnsi="Arial" w:cs="Arial"/>
              </w:rPr>
              <w:t>To request a change to the pack size and maximum quantities of Nutrini Peptisorb and Nutrini Peptisorb Energy.</w:t>
            </w:r>
          </w:p>
        </w:tc>
        <w:tc>
          <w:tcPr>
            <w:tcW w:w="7192" w:type="dxa"/>
          </w:tcPr>
          <w:p w14:paraId="0947CDEC" w14:textId="05A069A7" w:rsidR="00A11D14" w:rsidRDefault="00A11D14" w:rsidP="007F6A0F">
            <w:pPr>
              <w:widowControl w:val="0"/>
              <w:rPr>
                <w:rFonts w:ascii="Arial" w:hAnsi="Arial" w:cs="Arial"/>
                <w:snapToGrid w:val="0"/>
                <w:lang w:eastAsia="en-US"/>
              </w:rPr>
            </w:pPr>
            <w:r w:rsidRPr="00A11D14">
              <w:rPr>
                <w:rFonts w:ascii="Arial" w:hAnsi="Arial" w:cs="Arial"/>
                <w:snapToGrid w:val="0"/>
                <w:lang w:eastAsia="en-US"/>
              </w:rPr>
              <w:t>The PBAC agreed with the change to the pack sizes and associated maximum quantities for triglycerides and protein formulas (Nutrini Peptisorb® and Nutrini Peptisorb Energy®)  processed by the Secretariat at the same price per gram of energy equivalence as the current listing.</w:t>
            </w:r>
          </w:p>
          <w:p w14:paraId="7601D82C" w14:textId="77777777" w:rsidR="00A11D14" w:rsidRPr="00A11D14" w:rsidRDefault="00A11D14" w:rsidP="007F6A0F">
            <w:pPr>
              <w:widowControl w:val="0"/>
              <w:rPr>
                <w:rFonts w:ascii="Arial" w:hAnsi="Arial" w:cs="Arial"/>
                <w:snapToGrid w:val="0"/>
                <w:lang w:eastAsia="en-US"/>
              </w:rPr>
            </w:pPr>
          </w:p>
          <w:p w14:paraId="6CAE5FE4" w14:textId="4AF8F293" w:rsidR="00277BFB" w:rsidRPr="000B5913" w:rsidRDefault="00A11D14" w:rsidP="007F6A0F">
            <w:pPr>
              <w:widowControl w:val="0"/>
              <w:rPr>
                <w:rFonts w:ascii="Arial" w:hAnsi="Arial" w:cs="Arial"/>
                <w:snapToGrid w:val="0"/>
                <w:lang w:eastAsia="en-US"/>
              </w:rPr>
            </w:pPr>
            <w:r w:rsidRPr="00A11D14">
              <w:rPr>
                <w:rFonts w:ascii="Arial" w:hAnsi="Arial" w:cs="Arial"/>
                <w:snapToGrid w:val="0"/>
                <w:lang w:eastAsia="en-US"/>
              </w:rPr>
              <w:t>Due to the reduction in maximum volume per prescription of Nutrini Peptisorb®, the PBAC requested the Department monitor utilisation 12 months following listing to ensure patients are receiving adequate supply.</w:t>
            </w:r>
          </w:p>
        </w:tc>
      </w:tr>
    </w:tbl>
    <w:p w14:paraId="74DAB237" w14:textId="77777777" w:rsidR="003D7E12" w:rsidRPr="009147E0" w:rsidRDefault="003D7E12">
      <w:pPr>
        <w:tabs>
          <w:tab w:val="left" w:pos="5210"/>
        </w:tabs>
        <w:rPr>
          <w:rFonts w:ascii="Arial" w:hAnsi="Arial" w:cs="Arial"/>
          <w:lang w:val="en-US"/>
        </w:rPr>
      </w:pPr>
    </w:p>
    <w:sectPr w:rsidR="003D7E12" w:rsidRPr="009147E0" w:rsidSect="009C43AD">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C4FF" w14:textId="77777777" w:rsidR="003238E9" w:rsidRDefault="003238E9">
      <w:r>
        <w:separator/>
      </w:r>
    </w:p>
  </w:endnote>
  <w:endnote w:type="continuationSeparator" w:id="0">
    <w:p w14:paraId="370559C7" w14:textId="77777777" w:rsidR="003238E9" w:rsidRDefault="0032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FDA6" w14:textId="77777777" w:rsidR="003238E9" w:rsidRDefault="003238E9"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36F9C8C" w14:textId="77777777" w:rsidR="003238E9" w:rsidRDefault="003238E9"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8F8B" w14:textId="176DDD82" w:rsidR="003238E9" w:rsidRPr="00CE0CBC" w:rsidRDefault="003238E9"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5412E3">
      <w:rPr>
        <w:rStyle w:val="PageNumber"/>
        <w:rFonts w:ascii="Arial" w:hAnsi="Arial" w:cs="Arial"/>
        <w:noProof/>
      </w:rPr>
      <w:t>7</w:t>
    </w:r>
    <w:r w:rsidRPr="00CE0CBC">
      <w:rPr>
        <w:rStyle w:val="PageNumber"/>
        <w:rFonts w:ascii="Arial" w:hAnsi="Arial" w:cs="Arial"/>
      </w:rPr>
      <w:fldChar w:fldCharType="end"/>
    </w:r>
  </w:p>
  <w:p w14:paraId="1013C17C" w14:textId="77777777" w:rsidR="003238E9" w:rsidRDefault="003238E9"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2820" w14:textId="77777777" w:rsidR="003238E9" w:rsidRDefault="003238E9">
      <w:r>
        <w:separator/>
      </w:r>
    </w:p>
  </w:footnote>
  <w:footnote w:type="continuationSeparator" w:id="0">
    <w:p w14:paraId="6A6DF096" w14:textId="77777777" w:rsidR="003238E9" w:rsidRDefault="0032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4B29" w14:textId="1C278C7F" w:rsidR="003238E9" w:rsidRDefault="003238E9" w:rsidP="007D408D">
    <w:pPr>
      <w:pStyle w:val="Header"/>
      <w:jc w:val="center"/>
      <w:rPr>
        <w:rFonts w:ascii="Arial" w:hAnsi="Arial" w:cs="Arial"/>
        <w:b/>
        <w:snapToGrid w:val="0"/>
        <w:lang w:eastAsia="en-US"/>
      </w:rPr>
    </w:pPr>
    <w:r>
      <w:rPr>
        <w:rFonts w:ascii="Arial" w:hAnsi="Arial" w:cs="Arial"/>
        <w:b/>
        <w:snapToGrid w:val="0"/>
        <w:lang w:eastAsia="en-US"/>
      </w:rPr>
      <w:t>MARCH 2019 PBAC MEETING – POSITIVE RECOMMENDATIONS</w:t>
    </w:r>
  </w:p>
  <w:p w14:paraId="159E4E12" w14:textId="77777777" w:rsidR="003238E9" w:rsidRDefault="003238E9"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21E22"/>
    <w:multiLevelType w:val="hybridMultilevel"/>
    <w:tmpl w:val="A96AB24A"/>
    <w:lvl w:ilvl="0" w:tplc="4810E2C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0154D3"/>
    <w:multiLevelType w:val="hybridMultilevel"/>
    <w:tmpl w:val="26980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CE01BB8"/>
    <w:multiLevelType w:val="hybridMultilevel"/>
    <w:tmpl w:val="CB42444E"/>
    <w:lvl w:ilvl="0" w:tplc="B6B28284">
      <w:start w:val="1"/>
      <w:numFmt w:val="bullet"/>
      <w:lvlText w:val=""/>
      <w:lvlJc w:val="left"/>
      <w:pPr>
        <w:ind w:left="770" w:hanging="360"/>
      </w:pPr>
      <w:rPr>
        <w:rFonts w:ascii="Symbol" w:hAnsi="Symbol" w:hint="default"/>
        <w:sz w:val="20"/>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0D360D53"/>
    <w:multiLevelType w:val="hybridMultilevel"/>
    <w:tmpl w:val="9DDE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7374F3A"/>
    <w:multiLevelType w:val="hybridMultilevel"/>
    <w:tmpl w:val="CEA8B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8C5A51"/>
    <w:multiLevelType w:val="hybridMultilevel"/>
    <w:tmpl w:val="1F6CDD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15:restartNumberingAfterBreak="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4E6825"/>
    <w:multiLevelType w:val="multilevel"/>
    <w:tmpl w:val="9C8AE392"/>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A2E5BD8"/>
    <w:multiLevelType w:val="hybridMultilevel"/>
    <w:tmpl w:val="381C0966"/>
    <w:lvl w:ilvl="0" w:tplc="D6DC68C0">
      <w:start w:val="1"/>
      <w:numFmt w:val="lowerLetter"/>
      <w:lvlText w:val="%1)"/>
      <w:lvlJc w:val="left"/>
      <w:pPr>
        <w:ind w:left="720" w:hanging="360"/>
      </w:pPr>
      <w:rPr>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B9764B"/>
    <w:multiLevelType w:val="hybridMultilevel"/>
    <w:tmpl w:val="C32E5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D17818"/>
    <w:multiLevelType w:val="hybridMultilevel"/>
    <w:tmpl w:val="10EA5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1B0CE3"/>
    <w:multiLevelType w:val="hybridMultilevel"/>
    <w:tmpl w:val="6406903C"/>
    <w:lvl w:ilvl="0" w:tplc="FE280AEC">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732A42"/>
    <w:multiLevelType w:val="hybridMultilevel"/>
    <w:tmpl w:val="C0D416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F178ED"/>
    <w:multiLevelType w:val="hybridMultilevel"/>
    <w:tmpl w:val="488EDFF6"/>
    <w:lvl w:ilvl="0" w:tplc="7A521848">
      <w:start w:val="1"/>
      <w:numFmt w:val="bullet"/>
      <w:lvlText w:val=""/>
      <w:lvlJc w:val="left"/>
      <w:pPr>
        <w:ind w:left="770" w:hanging="360"/>
      </w:pPr>
      <w:rPr>
        <w:rFonts w:ascii="Symbol" w:hAnsi="Symbol" w:hint="default"/>
        <w:sz w:val="20"/>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4A0D19F2"/>
    <w:multiLevelType w:val="hybridMultilevel"/>
    <w:tmpl w:val="322C42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4A7F2A"/>
    <w:multiLevelType w:val="multilevel"/>
    <w:tmpl w:val="A16C22E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82174D"/>
    <w:multiLevelType w:val="hybridMultilevel"/>
    <w:tmpl w:val="D854920C"/>
    <w:lvl w:ilvl="0" w:tplc="762CFA6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92086A"/>
    <w:multiLevelType w:val="hybridMultilevel"/>
    <w:tmpl w:val="07FE071E"/>
    <w:lvl w:ilvl="0" w:tplc="3C9216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776C67"/>
    <w:multiLevelType w:val="hybridMultilevel"/>
    <w:tmpl w:val="00C856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4236DB8"/>
    <w:multiLevelType w:val="hybridMultilevel"/>
    <w:tmpl w:val="D4BC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50" w15:restartNumberingAfterBreak="0">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47"/>
  </w:num>
  <w:num w:numId="3">
    <w:abstractNumId w:val="46"/>
  </w:num>
  <w:num w:numId="4">
    <w:abstractNumId w:val="33"/>
  </w:num>
  <w:num w:numId="5">
    <w:abstractNumId w:val="26"/>
  </w:num>
  <w:num w:numId="6">
    <w:abstractNumId w:val="10"/>
  </w:num>
  <w:num w:numId="7">
    <w:abstractNumId w:val="48"/>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51"/>
  </w:num>
  <w:num w:numId="12">
    <w:abstractNumId w:val="50"/>
  </w:num>
  <w:num w:numId="13">
    <w:abstractNumId w:val="11"/>
  </w:num>
  <w:num w:numId="14">
    <w:abstractNumId w:val="37"/>
  </w:num>
  <w:num w:numId="15">
    <w:abstractNumId w:val="16"/>
  </w:num>
  <w:num w:numId="16">
    <w:abstractNumId w:val="40"/>
  </w:num>
  <w:num w:numId="17">
    <w:abstractNumId w:val="2"/>
  </w:num>
  <w:num w:numId="18">
    <w:abstractNumId w:val="4"/>
  </w:num>
  <w:num w:numId="19">
    <w:abstractNumId w:val="17"/>
  </w:num>
  <w:num w:numId="20">
    <w:abstractNumId w:val="44"/>
  </w:num>
  <w:num w:numId="21">
    <w:abstractNumId w:val="36"/>
  </w:num>
  <w:num w:numId="22">
    <w:abstractNumId w:val="43"/>
  </w:num>
  <w:num w:numId="23">
    <w:abstractNumId w:val="1"/>
  </w:num>
  <w:num w:numId="24">
    <w:abstractNumId w:val="7"/>
  </w:num>
  <w:num w:numId="25">
    <w:abstractNumId w:val="39"/>
  </w:num>
  <w:num w:numId="26">
    <w:abstractNumId w:val="49"/>
  </w:num>
  <w:num w:numId="27">
    <w:abstractNumId w:val="22"/>
  </w:num>
  <w:num w:numId="28">
    <w:abstractNumId w:val="5"/>
  </w:num>
  <w:num w:numId="29">
    <w:abstractNumId w:val="15"/>
  </w:num>
  <w:num w:numId="30">
    <w:abstractNumId w:val="18"/>
  </w:num>
  <w:num w:numId="31">
    <w:abstractNumId w:val="30"/>
  </w:num>
  <w:num w:numId="32">
    <w:abstractNumId w:val="28"/>
  </w:num>
  <w:num w:numId="33">
    <w:abstractNumId w:val="41"/>
  </w:num>
  <w:num w:numId="34">
    <w:abstractNumId w:val="34"/>
  </w:num>
  <w:num w:numId="35">
    <w:abstractNumId w:val="24"/>
  </w:num>
  <w:num w:numId="36">
    <w:abstractNumId w:val="19"/>
  </w:num>
  <w:num w:numId="37">
    <w:abstractNumId w:val="21"/>
  </w:num>
  <w:num w:numId="38">
    <w:abstractNumId w:val="45"/>
  </w:num>
  <w:num w:numId="39">
    <w:abstractNumId w:val="6"/>
  </w:num>
  <w:num w:numId="40">
    <w:abstractNumId w:val="9"/>
  </w:num>
  <w:num w:numId="41">
    <w:abstractNumId w:val="29"/>
  </w:num>
  <w:num w:numId="42">
    <w:abstractNumId w:val="14"/>
  </w:num>
  <w:num w:numId="43">
    <w:abstractNumId w:val="32"/>
  </w:num>
  <w:num w:numId="44">
    <w:abstractNumId w:val="13"/>
  </w:num>
  <w:num w:numId="45">
    <w:abstractNumId w:val="8"/>
  </w:num>
  <w:num w:numId="46">
    <w:abstractNumId w:val="31"/>
  </w:num>
  <w:num w:numId="47">
    <w:abstractNumId w:val="3"/>
  </w:num>
  <w:num w:numId="48">
    <w:abstractNumId w:val="35"/>
  </w:num>
  <w:num w:numId="49">
    <w:abstractNumId w:val="42"/>
  </w:num>
  <w:num w:numId="50">
    <w:abstractNumId w:val="20"/>
  </w:num>
  <w:num w:numId="51">
    <w:abstractNumId w:val="38"/>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9C6"/>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0B05"/>
    <w:rsid w:val="00022361"/>
    <w:rsid w:val="000223D3"/>
    <w:rsid w:val="00022435"/>
    <w:rsid w:val="00022686"/>
    <w:rsid w:val="000228B1"/>
    <w:rsid w:val="0002300F"/>
    <w:rsid w:val="0002305C"/>
    <w:rsid w:val="00023228"/>
    <w:rsid w:val="000236BA"/>
    <w:rsid w:val="00023817"/>
    <w:rsid w:val="000238B3"/>
    <w:rsid w:val="0002401C"/>
    <w:rsid w:val="00024248"/>
    <w:rsid w:val="000245BC"/>
    <w:rsid w:val="0002470A"/>
    <w:rsid w:val="0002564D"/>
    <w:rsid w:val="00025967"/>
    <w:rsid w:val="00025F56"/>
    <w:rsid w:val="00026F9B"/>
    <w:rsid w:val="0002716D"/>
    <w:rsid w:val="00027346"/>
    <w:rsid w:val="00030320"/>
    <w:rsid w:val="0003033D"/>
    <w:rsid w:val="00031946"/>
    <w:rsid w:val="000322EC"/>
    <w:rsid w:val="00032AB9"/>
    <w:rsid w:val="00033D0B"/>
    <w:rsid w:val="00034086"/>
    <w:rsid w:val="00034121"/>
    <w:rsid w:val="0003455E"/>
    <w:rsid w:val="000350A9"/>
    <w:rsid w:val="00035472"/>
    <w:rsid w:val="0003621F"/>
    <w:rsid w:val="000365B0"/>
    <w:rsid w:val="00036CF7"/>
    <w:rsid w:val="00037F52"/>
    <w:rsid w:val="0004019D"/>
    <w:rsid w:val="000401CC"/>
    <w:rsid w:val="000407E0"/>
    <w:rsid w:val="00040BE7"/>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079E"/>
    <w:rsid w:val="000712A9"/>
    <w:rsid w:val="000714CE"/>
    <w:rsid w:val="00071D67"/>
    <w:rsid w:val="00072584"/>
    <w:rsid w:val="00072F02"/>
    <w:rsid w:val="00074126"/>
    <w:rsid w:val="0007412F"/>
    <w:rsid w:val="00075004"/>
    <w:rsid w:val="0007567B"/>
    <w:rsid w:val="00075B7E"/>
    <w:rsid w:val="00076287"/>
    <w:rsid w:val="00076297"/>
    <w:rsid w:val="00077F45"/>
    <w:rsid w:val="00080510"/>
    <w:rsid w:val="00081153"/>
    <w:rsid w:val="000812EE"/>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6D0"/>
    <w:rsid w:val="000A1AAB"/>
    <w:rsid w:val="000A1E1C"/>
    <w:rsid w:val="000A2697"/>
    <w:rsid w:val="000A2A86"/>
    <w:rsid w:val="000A2C2D"/>
    <w:rsid w:val="000A2DE4"/>
    <w:rsid w:val="000A2FEC"/>
    <w:rsid w:val="000A418B"/>
    <w:rsid w:val="000A46FC"/>
    <w:rsid w:val="000A4955"/>
    <w:rsid w:val="000A570D"/>
    <w:rsid w:val="000A59CC"/>
    <w:rsid w:val="000A64C7"/>
    <w:rsid w:val="000A74AC"/>
    <w:rsid w:val="000A7C8A"/>
    <w:rsid w:val="000A7F23"/>
    <w:rsid w:val="000B0B19"/>
    <w:rsid w:val="000B1811"/>
    <w:rsid w:val="000B1A6E"/>
    <w:rsid w:val="000B21DD"/>
    <w:rsid w:val="000B258B"/>
    <w:rsid w:val="000B2F97"/>
    <w:rsid w:val="000B3043"/>
    <w:rsid w:val="000B34FA"/>
    <w:rsid w:val="000B36FE"/>
    <w:rsid w:val="000B372D"/>
    <w:rsid w:val="000B38D3"/>
    <w:rsid w:val="000B5120"/>
    <w:rsid w:val="000B5913"/>
    <w:rsid w:val="000B5B24"/>
    <w:rsid w:val="000B6487"/>
    <w:rsid w:val="000B7071"/>
    <w:rsid w:val="000B7A91"/>
    <w:rsid w:val="000B7F45"/>
    <w:rsid w:val="000C040A"/>
    <w:rsid w:val="000C0497"/>
    <w:rsid w:val="000C059E"/>
    <w:rsid w:val="000C0E21"/>
    <w:rsid w:val="000C1BA1"/>
    <w:rsid w:val="000C2059"/>
    <w:rsid w:val="000C223A"/>
    <w:rsid w:val="000C22B0"/>
    <w:rsid w:val="000C2786"/>
    <w:rsid w:val="000C3369"/>
    <w:rsid w:val="000C3CAA"/>
    <w:rsid w:val="000C3E90"/>
    <w:rsid w:val="000C45E3"/>
    <w:rsid w:val="000C56B4"/>
    <w:rsid w:val="000C5728"/>
    <w:rsid w:val="000C581F"/>
    <w:rsid w:val="000C586F"/>
    <w:rsid w:val="000C5B48"/>
    <w:rsid w:val="000C661A"/>
    <w:rsid w:val="000C77A9"/>
    <w:rsid w:val="000D0D8B"/>
    <w:rsid w:val="000D141C"/>
    <w:rsid w:val="000D14F1"/>
    <w:rsid w:val="000D1C61"/>
    <w:rsid w:val="000D203D"/>
    <w:rsid w:val="000D2AFE"/>
    <w:rsid w:val="000D2D84"/>
    <w:rsid w:val="000D3190"/>
    <w:rsid w:val="000D3ECA"/>
    <w:rsid w:val="000D40FA"/>
    <w:rsid w:val="000D418F"/>
    <w:rsid w:val="000D4551"/>
    <w:rsid w:val="000D4810"/>
    <w:rsid w:val="000D5D71"/>
    <w:rsid w:val="000D5EFB"/>
    <w:rsid w:val="000D6416"/>
    <w:rsid w:val="000D744C"/>
    <w:rsid w:val="000D7F3B"/>
    <w:rsid w:val="000E055E"/>
    <w:rsid w:val="000E0C55"/>
    <w:rsid w:val="000E1259"/>
    <w:rsid w:val="000E12D5"/>
    <w:rsid w:val="000E15F8"/>
    <w:rsid w:val="000E1C3A"/>
    <w:rsid w:val="000E21D8"/>
    <w:rsid w:val="000E2C73"/>
    <w:rsid w:val="000E2C8F"/>
    <w:rsid w:val="000E2EA3"/>
    <w:rsid w:val="000E4B3E"/>
    <w:rsid w:val="000E4EEA"/>
    <w:rsid w:val="000E539F"/>
    <w:rsid w:val="000E56ED"/>
    <w:rsid w:val="000E6CF9"/>
    <w:rsid w:val="000E73BD"/>
    <w:rsid w:val="000F069C"/>
    <w:rsid w:val="000F0B27"/>
    <w:rsid w:val="000F1D4F"/>
    <w:rsid w:val="000F2E82"/>
    <w:rsid w:val="000F3A4F"/>
    <w:rsid w:val="000F3D50"/>
    <w:rsid w:val="000F5D35"/>
    <w:rsid w:val="000F5DDE"/>
    <w:rsid w:val="000F6E22"/>
    <w:rsid w:val="001000EA"/>
    <w:rsid w:val="00100B0B"/>
    <w:rsid w:val="001025E7"/>
    <w:rsid w:val="0010275F"/>
    <w:rsid w:val="0010316E"/>
    <w:rsid w:val="001038BB"/>
    <w:rsid w:val="00103F76"/>
    <w:rsid w:val="00105880"/>
    <w:rsid w:val="00107038"/>
    <w:rsid w:val="00107219"/>
    <w:rsid w:val="0010734D"/>
    <w:rsid w:val="001101E1"/>
    <w:rsid w:val="00110379"/>
    <w:rsid w:val="001103CF"/>
    <w:rsid w:val="001106F2"/>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17938"/>
    <w:rsid w:val="00117C0E"/>
    <w:rsid w:val="00120FAC"/>
    <w:rsid w:val="00121311"/>
    <w:rsid w:val="00121A8E"/>
    <w:rsid w:val="00121BF6"/>
    <w:rsid w:val="00124AB9"/>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4BEF"/>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3D2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87990"/>
    <w:rsid w:val="00187B9F"/>
    <w:rsid w:val="00190B9C"/>
    <w:rsid w:val="00190D52"/>
    <w:rsid w:val="0019138B"/>
    <w:rsid w:val="001919D3"/>
    <w:rsid w:val="00192247"/>
    <w:rsid w:val="001925E9"/>
    <w:rsid w:val="00192900"/>
    <w:rsid w:val="00192F90"/>
    <w:rsid w:val="001935DE"/>
    <w:rsid w:val="00193C35"/>
    <w:rsid w:val="0019441C"/>
    <w:rsid w:val="001950D9"/>
    <w:rsid w:val="00195379"/>
    <w:rsid w:val="00196144"/>
    <w:rsid w:val="001971B1"/>
    <w:rsid w:val="001971EA"/>
    <w:rsid w:val="0019742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039"/>
    <w:rsid w:val="001B049D"/>
    <w:rsid w:val="001B04E4"/>
    <w:rsid w:val="001B0553"/>
    <w:rsid w:val="001B1469"/>
    <w:rsid w:val="001B1577"/>
    <w:rsid w:val="001B16C3"/>
    <w:rsid w:val="001B1838"/>
    <w:rsid w:val="001B1C67"/>
    <w:rsid w:val="001B2234"/>
    <w:rsid w:val="001B3984"/>
    <w:rsid w:val="001B3FE9"/>
    <w:rsid w:val="001B4293"/>
    <w:rsid w:val="001B46AE"/>
    <w:rsid w:val="001B4CF5"/>
    <w:rsid w:val="001B54F0"/>
    <w:rsid w:val="001B5950"/>
    <w:rsid w:val="001B6AAD"/>
    <w:rsid w:val="001B71B5"/>
    <w:rsid w:val="001B78E2"/>
    <w:rsid w:val="001B7BF2"/>
    <w:rsid w:val="001B7CAB"/>
    <w:rsid w:val="001B7EED"/>
    <w:rsid w:val="001C0289"/>
    <w:rsid w:val="001C1712"/>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6A0E"/>
    <w:rsid w:val="001E7180"/>
    <w:rsid w:val="001E776D"/>
    <w:rsid w:val="001E77D9"/>
    <w:rsid w:val="001E7A72"/>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330"/>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942"/>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A79"/>
    <w:rsid w:val="00274D0D"/>
    <w:rsid w:val="00274D8B"/>
    <w:rsid w:val="00275318"/>
    <w:rsid w:val="002766B0"/>
    <w:rsid w:val="00276C52"/>
    <w:rsid w:val="0027735C"/>
    <w:rsid w:val="00277572"/>
    <w:rsid w:val="00277812"/>
    <w:rsid w:val="00277BFB"/>
    <w:rsid w:val="002802A1"/>
    <w:rsid w:val="002803B8"/>
    <w:rsid w:val="002808CA"/>
    <w:rsid w:val="00280926"/>
    <w:rsid w:val="00281B0A"/>
    <w:rsid w:val="00282CDE"/>
    <w:rsid w:val="00283073"/>
    <w:rsid w:val="0028348A"/>
    <w:rsid w:val="002837E8"/>
    <w:rsid w:val="00284DEA"/>
    <w:rsid w:val="00285478"/>
    <w:rsid w:val="0028663C"/>
    <w:rsid w:val="002905B5"/>
    <w:rsid w:val="00292129"/>
    <w:rsid w:val="00293203"/>
    <w:rsid w:val="0029329A"/>
    <w:rsid w:val="00293A15"/>
    <w:rsid w:val="00295693"/>
    <w:rsid w:val="002969C0"/>
    <w:rsid w:val="002972D4"/>
    <w:rsid w:val="00297AEF"/>
    <w:rsid w:val="00297F02"/>
    <w:rsid w:val="002A0126"/>
    <w:rsid w:val="002A06E1"/>
    <w:rsid w:val="002A21E8"/>
    <w:rsid w:val="002A3220"/>
    <w:rsid w:val="002A324A"/>
    <w:rsid w:val="002A3596"/>
    <w:rsid w:val="002A37AC"/>
    <w:rsid w:val="002A3A5F"/>
    <w:rsid w:val="002A3AA9"/>
    <w:rsid w:val="002A5AA2"/>
    <w:rsid w:val="002A5C85"/>
    <w:rsid w:val="002A5C87"/>
    <w:rsid w:val="002A5D50"/>
    <w:rsid w:val="002A5DE5"/>
    <w:rsid w:val="002A7542"/>
    <w:rsid w:val="002A7BE8"/>
    <w:rsid w:val="002B042B"/>
    <w:rsid w:val="002B05E2"/>
    <w:rsid w:val="002B09C6"/>
    <w:rsid w:val="002B0F52"/>
    <w:rsid w:val="002B1071"/>
    <w:rsid w:val="002B129B"/>
    <w:rsid w:val="002B29E2"/>
    <w:rsid w:val="002B3708"/>
    <w:rsid w:val="002B5625"/>
    <w:rsid w:val="002B5F9C"/>
    <w:rsid w:val="002B6147"/>
    <w:rsid w:val="002B7C88"/>
    <w:rsid w:val="002C0062"/>
    <w:rsid w:val="002C0170"/>
    <w:rsid w:val="002C080C"/>
    <w:rsid w:val="002C0E18"/>
    <w:rsid w:val="002C2427"/>
    <w:rsid w:val="002C244F"/>
    <w:rsid w:val="002C2773"/>
    <w:rsid w:val="002C2A4F"/>
    <w:rsid w:val="002C3502"/>
    <w:rsid w:val="002C397B"/>
    <w:rsid w:val="002C3B93"/>
    <w:rsid w:val="002C3BA0"/>
    <w:rsid w:val="002C436C"/>
    <w:rsid w:val="002C47C4"/>
    <w:rsid w:val="002C63F2"/>
    <w:rsid w:val="002C6E41"/>
    <w:rsid w:val="002C748E"/>
    <w:rsid w:val="002D031D"/>
    <w:rsid w:val="002D0DDF"/>
    <w:rsid w:val="002D17A5"/>
    <w:rsid w:val="002D1AC7"/>
    <w:rsid w:val="002D2F38"/>
    <w:rsid w:val="002D347E"/>
    <w:rsid w:val="002D35CB"/>
    <w:rsid w:val="002D3771"/>
    <w:rsid w:val="002D3D17"/>
    <w:rsid w:val="002D42A0"/>
    <w:rsid w:val="002D440D"/>
    <w:rsid w:val="002D4C8C"/>
    <w:rsid w:val="002D545A"/>
    <w:rsid w:val="002D59E5"/>
    <w:rsid w:val="002D5C23"/>
    <w:rsid w:val="002D5CBC"/>
    <w:rsid w:val="002D5DC3"/>
    <w:rsid w:val="002D62F6"/>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934"/>
    <w:rsid w:val="002E4DC4"/>
    <w:rsid w:val="002E5281"/>
    <w:rsid w:val="002E5E0E"/>
    <w:rsid w:val="002E5E2F"/>
    <w:rsid w:val="002E5F1C"/>
    <w:rsid w:val="002E5F3E"/>
    <w:rsid w:val="002E7155"/>
    <w:rsid w:val="002E736D"/>
    <w:rsid w:val="002F0875"/>
    <w:rsid w:val="002F0884"/>
    <w:rsid w:val="002F1A5B"/>
    <w:rsid w:val="002F1B87"/>
    <w:rsid w:val="002F1CF8"/>
    <w:rsid w:val="002F1FB6"/>
    <w:rsid w:val="002F3992"/>
    <w:rsid w:val="002F3AD1"/>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1C9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8E9"/>
    <w:rsid w:val="00323C12"/>
    <w:rsid w:val="00323D04"/>
    <w:rsid w:val="003243CB"/>
    <w:rsid w:val="003245FB"/>
    <w:rsid w:val="003250E2"/>
    <w:rsid w:val="0032569E"/>
    <w:rsid w:val="00326522"/>
    <w:rsid w:val="00326943"/>
    <w:rsid w:val="003270BF"/>
    <w:rsid w:val="0032767B"/>
    <w:rsid w:val="00327A0C"/>
    <w:rsid w:val="003301A3"/>
    <w:rsid w:val="0033063D"/>
    <w:rsid w:val="00331277"/>
    <w:rsid w:val="00332129"/>
    <w:rsid w:val="0033322F"/>
    <w:rsid w:val="00334912"/>
    <w:rsid w:val="00336FF2"/>
    <w:rsid w:val="003376B5"/>
    <w:rsid w:val="003376DF"/>
    <w:rsid w:val="003402DF"/>
    <w:rsid w:val="00340AC2"/>
    <w:rsid w:val="00340D16"/>
    <w:rsid w:val="00340EB5"/>
    <w:rsid w:val="00340EFB"/>
    <w:rsid w:val="00341361"/>
    <w:rsid w:val="00341EE0"/>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3EBB"/>
    <w:rsid w:val="003541D1"/>
    <w:rsid w:val="003548D7"/>
    <w:rsid w:val="003548F0"/>
    <w:rsid w:val="003549D1"/>
    <w:rsid w:val="00354D94"/>
    <w:rsid w:val="003550C7"/>
    <w:rsid w:val="003557CB"/>
    <w:rsid w:val="003566E9"/>
    <w:rsid w:val="00357214"/>
    <w:rsid w:val="0035791D"/>
    <w:rsid w:val="00357DB9"/>
    <w:rsid w:val="00357FA8"/>
    <w:rsid w:val="00360CBD"/>
    <w:rsid w:val="00361072"/>
    <w:rsid w:val="00362461"/>
    <w:rsid w:val="00362796"/>
    <w:rsid w:val="003628AA"/>
    <w:rsid w:val="00362D37"/>
    <w:rsid w:val="00363C87"/>
    <w:rsid w:val="00363DA3"/>
    <w:rsid w:val="00364D63"/>
    <w:rsid w:val="00365105"/>
    <w:rsid w:val="0036579C"/>
    <w:rsid w:val="003657E7"/>
    <w:rsid w:val="00365E78"/>
    <w:rsid w:val="00366857"/>
    <w:rsid w:val="00366D6E"/>
    <w:rsid w:val="00370449"/>
    <w:rsid w:val="00370ADC"/>
    <w:rsid w:val="00370CFC"/>
    <w:rsid w:val="00370EE0"/>
    <w:rsid w:val="0037120F"/>
    <w:rsid w:val="003713B0"/>
    <w:rsid w:val="00371B3D"/>
    <w:rsid w:val="00372F44"/>
    <w:rsid w:val="00374102"/>
    <w:rsid w:val="00374783"/>
    <w:rsid w:val="003750B5"/>
    <w:rsid w:val="00375135"/>
    <w:rsid w:val="00375F6A"/>
    <w:rsid w:val="00377224"/>
    <w:rsid w:val="003777B8"/>
    <w:rsid w:val="00377BAD"/>
    <w:rsid w:val="00381ACB"/>
    <w:rsid w:val="00381ADB"/>
    <w:rsid w:val="00381DCB"/>
    <w:rsid w:val="00381F87"/>
    <w:rsid w:val="00383FF3"/>
    <w:rsid w:val="00384485"/>
    <w:rsid w:val="00384833"/>
    <w:rsid w:val="00384B1C"/>
    <w:rsid w:val="00384EA5"/>
    <w:rsid w:val="0038505C"/>
    <w:rsid w:val="00385AD7"/>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C55"/>
    <w:rsid w:val="00397572"/>
    <w:rsid w:val="003A074E"/>
    <w:rsid w:val="003A0BC7"/>
    <w:rsid w:val="003A1C27"/>
    <w:rsid w:val="003A1CFF"/>
    <w:rsid w:val="003A23AD"/>
    <w:rsid w:val="003A2BB7"/>
    <w:rsid w:val="003A312D"/>
    <w:rsid w:val="003A42F4"/>
    <w:rsid w:val="003A42FF"/>
    <w:rsid w:val="003A4AB4"/>
    <w:rsid w:val="003A4C61"/>
    <w:rsid w:val="003A4D00"/>
    <w:rsid w:val="003A546F"/>
    <w:rsid w:val="003A565B"/>
    <w:rsid w:val="003A5684"/>
    <w:rsid w:val="003A5C29"/>
    <w:rsid w:val="003A5DEB"/>
    <w:rsid w:val="003A61D4"/>
    <w:rsid w:val="003A6240"/>
    <w:rsid w:val="003A648B"/>
    <w:rsid w:val="003A6A14"/>
    <w:rsid w:val="003A6C33"/>
    <w:rsid w:val="003A6C56"/>
    <w:rsid w:val="003A72E4"/>
    <w:rsid w:val="003A7535"/>
    <w:rsid w:val="003A7616"/>
    <w:rsid w:val="003A799B"/>
    <w:rsid w:val="003A7D18"/>
    <w:rsid w:val="003A7D99"/>
    <w:rsid w:val="003B00C2"/>
    <w:rsid w:val="003B022F"/>
    <w:rsid w:val="003B1AF6"/>
    <w:rsid w:val="003B1B75"/>
    <w:rsid w:val="003B253C"/>
    <w:rsid w:val="003B2FBC"/>
    <w:rsid w:val="003B32CC"/>
    <w:rsid w:val="003B35CB"/>
    <w:rsid w:val="003B4CB4"/>
    <w:rsid w:val="003B4DA2"/>
    <w:rsid w:val="003B4DDF"/>
    <w:rsid w:val="003B545C"/>
    <w:rsid w:val="003B57B7"/>
    <w:rsid w:val="003B5E19"/>
    <w:rsid w:val="003B64D8"/>
    <w:rsid w:val="003B690F"/>
    <w:rsid w:val="003B78AC"/>
    <w:rsid w:val="003C0837"/>
    <w:rsid w:val="003C08BD"/>
    <w:rsid w:val="003C1A62"/>
    <w:rsid w:val="003C1B40"/>
    <w:rsid w:val="003C1FC9"/>
    <w:rsid w:val="003C2F43"/>
    <w:rsid w:val="003C318F"/>
    <w:rsid w:val="003C32FC"/>
    <w:rsid w:val="003C4EBE"/>
    <w:rsid w:val="003C558C"/>
    <w:rsid w:val="003C631A"/>
    <w:rsid w:val="003C66C3"/>
    <w:rsid w:val="003C6C8F"/>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D7E12"/>
    <w:rsid w:val="003E03C3"/>
    <w:rsid w:val="003E067B"/>
    <w:rsid w:val="003E11A4"/>
    <w:rsid w:val="003E1AD1"/>
    <w:rsid w:val="003E236D"/>
    <w:rsid w:val="003E2E8C"/>
    <w:rsid w:val="003E3009"/>
    <w:rsid w:val="003E308A"/>
    <w:rsid w:val="003E3168"/>
    <w:rsid w:val="003E367A"/>
    <w:rsid w:val="003E37A4"/>
    <w:rsid w:val="003E4136"/>
    <w:rsid w:val="003E76BA"/>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631"/>
    <w:rsid w:val="004058B8"/>
    <w:rsid w:val="00405B3F"/>
    <w:rsid w:val="00406113"/>
    <w:rsid w:val="004063C4"/>
    <w:rsid w:val="004072FC"/>
    <w:rsid w:val="004074CB"/>
    <w:rsid w:val="00407C97"/>
    <w:rsid w:val="00407D7D"/>
    <w:rsid w:val="00407ED3"/>
    <w:rsid w:val="00410B00"/>
    <w:rsid w:val="00410B24"/>
    <w:rsid w:val="00410E12"/>
    <w:rsid w:val="00410E3B"/>
    <w:rsid w:val="004115C8"/>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0096"/>
    <w:rsid w:val="00430A13"/>
    <w:rsid w:val="004311FF"/>
    <w:rsid w:val="004314B6"/>
    <w:rsid w:val="00432447"/>
    <w:rsid w:val="00432D97"/>
    <w:rsid w:val="00432F21"/>
    <w:rsid w:val="00433D8D"/>
    <w:rsid w:val="00435431"/>
    <w:rsid w:val="0043544F"/>
    <w:rsid w:val="00435C71"/>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CE"/>
    <w:rsid w:val="00445DFA"/>
    <w:rsid w:val="004462BD"/>
    <w:rsid w:val="004462FA"/>
    <w:rsid w:val="00446828"/>
    <w:rsid w:val="0044692E"/>
    <w:rsid w:val="0044732A"/>
    <w:rsid w:val="00450BC1"/>
    <w:rsid w:val="00451103"/>
    <w:rsid w:val="00451F2C"/>
    <w:rsid w:val="0045203F"/>
    <w:rsid w:val="004520DB"/>
    <w:rsid w:val="00452550"/>
    <w:rsid w:val="004525A5"/>
    <w:rsid w:val="004525C4"/>
    <w:rsid w:val="00452BBE"/>
    <w:rsid w:val="00453228"/>
    <w:rsid w:val="00453DB2"/>
    <w:rsid w:val="00453F45"/>
    <w:rsid w:val="00454D4D"/>
    <w:rsid w:val="00454DFB"/>
    <w:rsid w:val="00454F1D"/>
    <w:rsid w:val="00455653"/>
    <w:rsid w:val="00455817"/>
    <w:rsid w:val="00455AE4"/>
    <w:rsid w:val="0045640C"/>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6CE5"/>
    <w:rsid w:val="00467580"/>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447"/>
    <w:rsid w:val="00482B30"/>
    <w:rsid w:val="00482F51"/>
    <w:rsid w:val="00483166"/>
    <w:rsid w:val="0048365C"/>
    <w:rsid w:val="004837B4"/>
    <w:rsid w:val="00484915"/>
    <w:rsid w:val="004853D8"/>
    <w:rsid w:val="0048589F"/>
    <w:rsid w:val="0048653C"/>
    <w:rsid w:val="00486552"/>
    <w:rsid w:val="00486AEA"/>
    <w:rsid w:val="00486EEE"/>
    <w:rsid w:val="0048735B"/>
    <w:rsid w:val="004875E6"/>
    <w:rsid w:val="00487AD4"/>
    <w:rsid w:val="00490275"/>
    <w:rsid w:val="00490628"/>
    <w:rsid w:val="0049071D"/>
    <w:rsid w:val="0049103F"/>
    <w:rsid w:val="00491083"/>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50"/>
    <w:rsid w:val="004A20DA"/>
    <w:rsid w:val="004A2509"/>
    <w:rsid w:val="004A294E"/>
    <w:rsid w:val="004A2EFB"/>
    <w:rsid w:val="004A3391"/>
    <w:rsid w:val="004A3C39"/>
    <w:rsid w:val="004A3FAE"/>
    <w:rsid w:val="004A4225"/>
    <w:rsid w:val="004A4291"/>
    <w:rsid w:val="004A4D02"/>
    <w:rsid w:val="004A4F2D"/>
    <w:rsid w:val="004A5AFA"/>
    <w:rsid w:val="004A723C"/>
    <w:rsid w:val="004A7A91"/>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3210"/>
    <w:rsid w:val="004D4B61"/>
    <w:rsid w:val="004D606D"/>
    <w:rsid w:val="004D6B20"/>
    <w:rsid w:val="004D6C2F"/>
    <w:rsid w:val="004D6DA2"/>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05C"/>
    <w:rsid w:val="004E5F45"/>
    <w:rsid w:val="004E64DC"/>
    <w:rsid w:val="004E6F86"/>
    <w:rsid w:val="004E706A"/>
    <w:rsid w:val="004F0671"/>
    <w:rsid w:val="004F0C01"/>
    <w:rsid w:val="004F126D"/>
    <w:rsid w:val="004F15F3"/>
    <w:rsid w:val="004F24B5"/>
    <w:rsid w:val="004F2B02"/>
    <w:rsid w:val="004F2D1B"/>
    <w:rsid w:val="004F2E11"/>
    <w:rsid w:val="004F2FA8"/>
    <w:rsid w:val="004F31BD"/>
    <w:rsid w:val="004F3B34"/>
    <w:rsid w:val="004F3E23"/>
    <w:rsid w:val="004F4767"/>
    <w:rsid w:val="004F498A"/>
    <w:rsid w:val="004F4C20"/>
    <w:rsid w:val="004F51B2"/>
    <w:rsid w:val="004F59C4"/>
    <w:rsid w:val="004F5D65"/>
    <w:rsid w:val="004F70F8"/>
    <w:rsid w:val="004F7230"/>
    <w:rsid w:val="004F735A"/>
    <w:rsid w:val="004F77EE"/>
    <w:rsid w:val="004F7D7B"/>
    <w:rsid w:val="00501659"/>
    <w:rsid w:val="00501733"/>
    <w:rsid w:val="00501B75"/>
    <w:rsid w:val="00501C39"/>
    <w:rsid w:val="00502203"/>
    <w:rsid w:val="005027B8"/>
    <w:rsid w:val="00502DE1"/>
    <w:rsid w:val="00503D5D"/>
    <w:rsid w:val="00503F42"/>
    <w:rsid w:val="005054FD"/>
    <w:rsid w:val="00505A66"/>
    <w:rsid w:val="00505EBA"/>
    <w:rsid w:val="00506576"/>
    <w:rsid w:val="00506710"/>
    <w:rsid w:val="00506DC2"/>
    <w:rsid w:val="00506E86"/>
    <w:rsid w:val="0050702C"/>
    <w:rsid w:val="0050723E"/>
    <w:rsid w:val="00507403"/>
    <w:rsid w:val="00507430"/>
    <w:rsid w:val="005101E5"/>
    <w:rsid w:val="005110FB"/>
    <w:rsid w:val="005118C0"/>
    <w:rsid w:val="00511D75"/>
    <w:rsid w:val="00512232"/>
    <w:rsid w:val="00512475"/>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6FD0"/>
    <w:rsid w:val="005278F8"/>
    <w:rsid w:val="005300ED"/>
    <w:rsid w:val="00531706"/>
    <w:rsid w:val="00531A11"/>
    <w:rsid w:val="00532121"/>
    <w:rsid w:val="00532429"/>
    <w:rsid w:val="00532850"/>
    <w:rsid w:val="005328A9"/>
    <w:rsid w:val="00532C36"/>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2E3"/>
    <w:rsid w:val="0054171A"/>
    <w:rsid w:val="005420CF"/>
    <w:rsid w:val="00542C2A"/>
    <w:rsid w:val="00543122"/>
    <w:rsid w:val="0054337D"/>
    <w:rsid w:val="005438E3"/>
    <w:rsid w:val="00543CAC"/>
    <w:rsid w:val="005440E4"/>
    <w:rsid w:val="005441FE"/>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5355"/>
    <w:rsid w:val="00556A43"/>
    <w:rsid w:val="0056087F"/>
    <w:rsid w:val="0056121A"/>
    <w:rsid w:val="005614F5"/>
    <w:rsid w:val="00562195"/>
    <w:rsid w:val="00562575"/>
    <w:rsid w:val="0056261D"/>
    <w:rsid w:val="00562918"/>
    <w:rsid w:val="00563269"/>
    <w:rsid w:val="00564643"/>
    <w:rsid w:val="00564772"/>
    <w:rsid w:val="00566518"/>
    <w:rsid w:val="005669DA"/>
    <w:rsid w:val="00567613"/>
    <w:rsid w:val="00567F38"/>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6CCE"/>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B09"/>
    <w:rsid w:val="00582D45"/>
    <w:rsid w:val="005860BC"/>
    <w:rsid w:val="00587129"/>
    <w:rsid w:val="005879CE"/>
    <w:rsid w:val="00590136"/>
    <w:rsid w:val="00590B24"/>
    <w:rsid w:val="00590B6C"/>
    <w:rsid w:val="00590E74"/>
    <w:rsid w:val="00591392"/>
    <w:rsid w:val="00591429"/>
    <w:rsid w:val="005915E6"/>
    <w:rsid w:val="00591BEC"/>
    <w:rsid w:val="00591C20"/>
    <w:rsid w:val="005921E8"/>
    <w:rsid w:val="005924E3"/>
    <w:rsid w:val="00592DE3"/>
    <w:rsid w:val="00594948"/>
    <w:rsid w:val="00594F59"/>
    <w:rsid w:val="005950B2"/>
    <w:rsid w:val="00595154"/>
    <w:rsid w:val="00595296"/>
    <w:rsid w:val="00595917"/>
    <w:rsid w:val="005969F6"/>
    <w:rsid w:val="00596D7F"/>
    <w:rsid w:val="00596FEB"/>
    <w:rsid w:val="00597084"/>
    <w:rsid w:val="00597A00"/>
    <w:rsid w:val="00597AB3"/>
    <w:rsid w:val="00597DBB"/>
    <w:rsid w:val="005A118A"/>
    <w:rsid w:val="005A1897"/>
    <w:rsid w:val="005A27F3"/>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397"/>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26CC"/>
    <w:rsid w:val="005E3769"/>
    <w:rsid w:val="005E3B68"/>
    <w:rsid w:val="005E4148"/>
    <w:rsid w:val="005E4455"/>
    <w:rsid w:val="005E4674"/>
    <w:rsid w:val="005E4AF5"/>
    <w:rsid w:val="005E4F30"/>
    <w:rsid w:val="005E511D"/>
    <w:rsid w:val="005E55DC"/>
    <w:rsid w:val="005E56C4"/>
    <w:rsid w:val="005E6369"/>
    <w:rsid w:val="005E652A"/>
    <w:rsid w:val="005E68B2"/>
    <w:rsid w:val="005E6C14"/>
    <w:rsid w:val="005E6F87"/>
    <w:rsid w:val="005F043C"/>
    <w:rsid w:val="005F0593"/>
    <w:rsid w:val="005F1BE8"/>
    <w:rsid w:val="005F1C1F"/>
    <w:rsid w:val="005F2ABB"/>
    <w:rsid w:val="005F3375"/>
    <w:rsid w:val="005F354A"/>
    <w:rsid w:val="005F4708"/>
    <w:rsid w:val="005F5B5B"/>
    <w:rsid w:val="005F74BD"/>
    <w:rsid w:val="005F7D2F"/>
    <w:rsid w:val="006003A9"/>
    <w:rsid w:val="00600E8E"/>
    <w:rsid w:val="006018CA"/>
    <w:rsid w:val="006019E6"/>
    <w:rsid w:val="00601AA5"/>
    <w:rsid w:val="006021EE"/>
    <w:rsid w:val="0060270D"/>
    <w:rsid w:val="00602E73"/>
    <w:rsid w:val="006034A7"/>
    <w:rsid w:val="006037CC"/>
    <w:rsid w:val="00603A6B"/>
    <w:rsid w:val="006040F2"/>
    <w:rsid w:val="0060449A"/>
    <w:rsid w:val="00604805"/>
    <w:rsid w:val="0060529E"/>
    <w:rsid w:val="00605384"/>
    <w:rsid w:val="00605C77"/>
    <w:rsid w:val="00607C2D"/>
    <w:rsid w:val="00610087"/>
    <w:rsid w:val="006101D8"/>
    <w:rsid w:val="006103A4"/>
    <w:rsid w:val="00610922"/>
    <w:rsid w:val="00611D8D"/>
    <w:rsid w:val="006122E2"/>
    <w:rsid w:val="006125AA"/>
    <w:rsid w:val="00613E9D"/>
    <w:rsid w:val="00614179"/>
    <w:rsid w:val="0061423C"/>
    <w:rsid w:val="0061427C"/>
    <w:rsid w:val="00615FAB"/>
    <w:rsid w:val="006169BB"/>
    <w:rsid w:val="006169DA"/>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4D3B"/>
    <w:rsid w:val="0062558F"/>
    <w:rsid w:val="00625D3D"/>
    <w:rsid w:val="00625DB6"/>
    <w:rsid w:val="00626CAC"/>
    <w:rsid w:val="00627AD4"/>
    <w:rsid w:val="0063048A"/>
    <w:rsid w:val="00630F33"/>
    <w:rsid w:val="006312A4"/>
    <w:rsid w:val="006312F8"/>
    <w:rsid w:val="006313C9"/>
    <w:rsid w:val="006317D2"/>
    <w:rsid w:val="00631C0F"/>
    <w:rsid w:val="00631DA4"/>
    <w:rsid w:val="006348ED"/>
    <w:rsid w:val="00636A18"/>
    <w:rsid w:val="00636C52"/>
    <w:rsid w:val="0063771E"/>
    <w:rsid w:val="006406A6"/>
    <w:rsid w:val="00640A5A"/>
    <w:rsid w:val="00640E6C"/>
    <w:rsid w:val="00642351"/>
    <w:rsid w:val="006424F7"/>
    <w:rsid w:val="00642B0B"/>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57396"/>
    <w:rsid w:val="006602CF"/>
    <w:rsid w:val="00660FB0"/>
    <w:rsid w:val="00661356"/>
    <w:rsid w:val="00662399"/>
    <w:rsid w:val="006628D0"/>
    <w:rsid w:val="00664B40"/>
    <w:rsid w:val="00664C5E"/>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18B2"/>
    <w:rsid w:val="00671B1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2EE"/>
    <w:rsid w:val="0068436A"/>
    <w:rsid w:val="0068523F"/>
    <w:rsid w:val="006855A0"/>
    <w:rsid w:val="00685D3F"/>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2594"/>
    <w:rsid w:val="006D2BD4"/>
    <w:rsid w:val="006D30C4"/>
    <w:rsid w:val="006D407D"/>
    <w:rsid w:val="006D4750"/>
    <w:rsid w:val="006D477F"/>
    <w:rsid w:val="006D47BC"/>
    <w:rsid w:val="006D4ACA"/>
    <w:rsid w:val="006D4B56"/>
    <w:rsid w:val="006D5843"/>
    <w:rsid w:val="006D59EA"/>
    <w:rsid w:val="006D6871"/>
    <w:rsid w:val="006D6CA2"/>
    <w:rsid w:val="006D71D3"/>
    <w:rsid w:val="006E0124"/>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0E24"/>
    <w:rsid w:val="006F29B4"/>
    <w:rsid w:val="006F3143"/>
    <w:rsid w:val="006F49E2"/>
    <w:rsid w:val="006F5A8D"/>
    <w:rsid w:val="006F6DDA"/>
    <w:rsid w:val="006F7041"/>
    <w:rsid w:val="0070068B"/>
    <w:rsid w:val="00700990"/>
    <w:rsid w:val="00700CF4"/>
    <w:rsid w:val="007016BE"/>
    <w:rsid w:val="007025A3"/>
    <w:rsid w:val="00702669"/>
    <w:rsid w:val="007030B9"/>
    <w:rsid w:val="00703181"/>
    <w:rsid w:val="007042E7"/>
    <w:rsid w:val="007044EC"/>
    <w:rsid w:val="00704571"/>
    <w:rsid w:val="007048F0"/>
    <w:rsid w:val="007048F1"/>
    <w:rsid w:val="00705362"/>
    <w:rsid w:val="0070604E"/>
    <w:rsid w:val="007060C7"/>
    <w:rsid w:val="00706EA7"/>
    <w:rsid w:val="0070718C"/>
    <w:rsid w:val="007102D2"/>
    <w:rsid w:val="00710751"/>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569"/>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20B5"/>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49"/>
    <w:rsid w:val="007829B1"/>
    <w:rsid w:val="00782FDE"/>
    <w:rsid w:val="00783873"/>
    <w:rsid w:val="007847D1"/>
    <w:rsid w:val="00784924"/>
    <w:rsid w:val="00784F58"/>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97800"/>
    <w:rsid w:val="007A02BC"/>
    <w:rsid w:val="007A099F"/>
    <w:rsid w:val="007A0ADA"/>
    <w:rsid w:val="007A0F0F"/>
    <w:rsid w:val="007A16EB"/>
    <w:rsid w:val="007A26C4"/>
    <w:rsid w:val="007A2742"/>
    <w:rsid w:val="007A2F96"/>
    <w:rsid w:val="007A33C4"/>
    <w:rsid w:val="007A49D9"/>
    <w:rsid w:val="007A5620"/>
    <w:rsid w:val="007A742E"/>
    <w:rsid w:val="007B01E7"/>
    <w:rsid w:val="007B0810"/>
    <w:rsid w:val="007B0FBF"/>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5B5"/>
    <w:rsid w:val="007C5B20"/>
    <w:rsid w:val="007C65FA"/>
    <w:rsid w:val="007C79E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E7ED5"/>
    <w:rsid w:val="007F02BF"/>
    <w:rsid w:val="007F1BC2"/>
    <w:rsid w:val="007F1CCC"/>
    <w:rsid w:val="007F25B4"/>
    <w:rsid w:val="007F2C38"/>
    <w:rsid w:val="007F2EFF"/>
    <w:rsid w:val="007F3683"/>
    <w:rsid w:val="007F39D7"/>
    <w:rsid w:val="007F3A04"/>
    <w:rsid w:val="007F3F60"/>
    <w:rsid w:val="007F51FF"/>
    <w:rsid w:val="007F5557"/>
    <w:rsid w:val="007F5CD4"/>
    <w:rsid w:val="007F61E2"/>
    <w:rsid w:val="007F6A0F"/>
    <w:rsid w:val="007F730F"/>
    <w:rsid w:val="007F7563"/>
    <w:rsid w:val="007F7A54"/>
    <w:rsid w:val="007F7AB8"/>
    <w:rsid w:val="00800125"/>
    <w:rsid w:val="0080026A"/>
    <w:rsid w:val="00800EAD"/>
    <w:rsid w:val="00800FCD"/>
    <w:rsid w:val="00801057"/>
    <w:rsid w:val="00801387"/>
    <w:rsid w:val="00801BFF"/>
    <w:rsid w:val="0080250E"/>
    <w:rsid w:val="0080281E"/>
    <w:rsid w:val="0080288E"/>
    <w:rsid w:val="00803DDF"/>
    <w:rsid w:val="00805261"/>
    <w:rsid w:val="0080563D"/>
    <w:rsid w:val="00805F75"/>
    <w:rsid w:val="00806071"/>
    <w:rsid w:val="008078AC"/>
    <w:rsid w:val="00807BFE"/>
    <w:rsid w:val="00807C1B"/>
    <w:rsid w:val="00810489"/>
    <w:rsid w:val="00810B18"/>
    <w:rsid w:val="00811026"/>
    <w:rsid w:val="00811B7A"/>
    <w:rsid w:val="00811E77"/>
    <w:rsid w:val="0081245B"/>
    <w:rsid w:val="00812579"/>
    <w:rsid w:val="00812638"/>
    <w:rsid w:val="00812720"/>
    <w:rsid w:val="00812AE2"/>
    <w:rsid w:val="00812CD4"/>
    <w:rsid w:val="00812D71"/>
    <w:rsid w:val="00814892"/>
    <w:rsid w:val="00814D78"/>
    <w:rsid w:val="00815167"/>
    <w:rsid w:val="008151B0"/>
    <w:rsid w:val="00816744"/>
    <w:rsid w:val="0081696D"/>
    <w:rsid w:val="00816B36"/>
    <w:rsid w:val="00817452"/>
    <w:rsid w:val="0081758D"/>
    <w:rsid w:val="00817C39"/>
    <w:rsid w:val="00817C8A"/>
    <w:rsid w:val="00820136"/>
    <w:rsid w:val="0082098B"/>
    <w:rsid w:val="00821E84"/>
    <w:rsid w:val="00822005"/>
    <w:rsid w:val="0082256B"/>
    <w:rsid w:val="008225BB"/>
    <w:rsid w:val="00822609"/>
    <w:rsid w:val="00822A44"/>
    <w:rsid w:val="00822B0C"/>
    <w:rsid w:val="00822C45"/>
    <w:rsid w:val="00822CA5"/>
    <w:rsid w:val="008231D9"/>
    <w:rsid w:val="00823810"/>
    <w:rsid w:val="0082419C"/>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4FAF"/>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154A"/>
    <w:rsid w:val="008429DB"/>
    <w:rsid w:val="00842BA8"/>
    <w:rsid w:val="0084324E"/>
    <w:rsid w:val="00843326"/>
    <w:rsid w:val="00844B2A"/>
    <w:rsid w:val="00844ED2"/>
    <w:rsid w:val="0084562E"/>
    <w:rsid w:val="00845938"/>
    <w:rsid w:val="00845BC9"/>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BFD"/>
    <w:rsid w:val="00863C1F"/>
    <w:rsid w:val="00863E8B"/>
    <w:rsid w:val="0086436B"/>
    <w:rsid w:val="00870856"/>
    <w:rsid w:val="008708CA"/>
    <w:rsid w:val="008710F3"/>
    <w:rsid w:val="0087157B"/>
    <w:rsid w:val="00873467"/>
    <w:rsid w:val="00873845"/>
    <w:rsid w:val="00874BE8"/>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D85"/>
    <w:rsid w:val="00887227"/>
    <w:rsid w:val="008900AA"/>
    <w:rsid w:val="00890427"/>
    <w:rsid w:val="0089096B"/>
    <w:rsid w:val="008919D4"/>
    <w:rsid w:val="00891F15"/>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8D9"/>
    <w:rsid w:val="008B64DC"/>
    <w:rsid w:val="008B6AFD"/>
    <w:rsid w:val="008B70D9"/>
    <w:rsid w:val="008C07A9"/>
    <w:rsid w:val="008C0A39"/>
    <w:rsid w:val="008C1814"/>
    <w:rsid w:val="008C3AD7"/>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F27"/>
    <w:rsid w:val="008D2F95"/>
    <w:rsid w:val="008D384C"/>
    <w:rsid w:val="008D3D8C"/>
    <w:rsid w:val="008D3EF5"/>
    <w:rsid w:val="008D483E"/>
    <w:rsid w:val="008D4BD7"/>
    <w:rsid w:val="008D56F1"/>
    <w:rsid w:val="008D6375"/>
    <w:rsid w:val="008E02E0"/>
    <w:rsid w:val="008E0670"/>
    <w:rsid w:val="008E114F"/>
    <w:rsid w:val="008E1153"/>
    <w:rsid w:val="008E1495"/>
    <w:rsid w:val="008E1D76"/>
    <w:rsid w:val="008E228B"/>
    <w:rsid w:val="008E2594"/>
    <w:rsid w:val="008E3455"/>
    <w:rsid w:val="008E3BFB"/>
    <w:rsid w:val="008E50BD"/>
    <w:rsid w:val="008E5755"/>
    <w:rsid w:val="008E6356"/>
    <w:rsid w:val="008E6529"/>
    <w:rsid w:val="008E6C51"/>
    <w:rsid w:val="008E6F7A"/>
    <w:rsid w:val="008E7734"/>
    <w:rsid w:val="008F010C"/>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4F24"/>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ECD"/>
    <w:rsid w:val="00925FF9"/>
    <w:rsid w:val="00927B0A"/>
    <w:rsid w:val="00927E94"/>
    <w:rsid w:val="00930743"/>
    <w:rsid w:val="00931282"/>
    <w:rsid w:val="00931457"/>
    <w:rsid w:val="009315B3"/>
    <w:rsid w:val="0093167B"/>
    <w:rsid w:val="0093175E"/>
    <w:rsid w:val="00932333"/>
    <w:rsid w:val="00932567"/>
    <w:rsid w:val="009326C6"/>
    <w:rsid w:val="0093318C"/>
    <w:rsid w:val="00933665"/>
    <w:rsid w:val="00933695"/>
    <w:rsid w:val="00933CF4"/>
    <w:rsid w:val="00933F52"/>
    <w:rsid w:val="0093661E"/>
    <w:rsid w:val="00936789"/>
    <w:rsid w:val="00936B04"/>
    <w:rsid w:val="00936EF5"/>
    <w:rsid w:val="009372E1"/>
    <w:rsid w:val="0093736F"/>
    <w:rsid w:val="00937FBA"/>
    <w:rsid w:val="00940E29"/>
    <w:rsid w:val="0094325C"/>
    <w:rsid w:val="00945766"/>
    <w:rsid w:val="009457AC"/>
    <w:rsid w:val="00945B1E"/>
    <w:rsid w:val="0094609D"/>
    <w:rsid w:val="00946484"/>
    <w:rsid w:val="00946970"/>
    <w:rsid w:val="00946B28"/>
    <w:rsid w:val="00947200"/>
    <w:rsid w:val="00947447"/>
    <w:rsid w:val="00947A17"/>
    <w:rsid w:val="00947AC7"/>
    <w:rsid w:val="009510F9"/>
    <w:rsid w:val="009516DD"/>
    <w:rsid w:val="00951D77"/>
    <w:rsid w:val="00951F1A"/>
    <w:rsid w:val="00953586"/>
    <w:rsid w:val="0095377C"/>
    <w:rsid w:val="00953A0D"/>
    <w:rsid w:val="00954532"/>
    <w:rsid w:val="00954C5C"/>
    <w:rsid w:val="00954D4A"/>
    <w:rsid w:val="009552E3"/>
    <w:rsid w:val="00955666"/>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3787"/>
    <w:rsid w:val="00964583"/>
    <w:rsid w:val="00964775"/>
    <w:rsid w:val="00964ACE"/>
    <w:rsid w:val="009652A3"/>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950"/>
    <w:rsid w:val="00975EF7"/>
    <w:rsid w:val="009774BE"/>
    <w:rsid w:val="009801D6"/>
    <w:rsid w:val="009802D1"/>
    <w:rsid w:val="0098050A"/>
    <w:rsid w:val="00980592"/>
    <w:rsid w:val="009806B0"/>
    <w:rsid w:val="009807B8"/>
    <w:rsid w:val="00980D79"/>
    <w:rsid w:val="00981E56"/>
    <w:rsid w:val="00982142"/>
    <w:rsid w:val="00982639"/>
    <w:rsid w:val="00982EEA"/>
    <w:rsid w:val="00982F82"/>
    <w:rsid w:val="009831E2"/>
    <w:rsid w:val="00983255"/>
    <w:rsid w:val="00983D12"/>
    <w:rsid w:val="00983E5F"/>
    <w:rsid w:val="00984702"/>
    <w:rsid w:val="00985051"/>
    <w:rsid w:val="00985DA2"/>
    <w:rsid w:val="0098660C"/>
    <w:rsid w:val="00986F04"/>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3E52"/>
    <w:rsid w:val="009A4075"/>
    <w:rsid w:val="009A4644"/>
    <w:rsid w:val="009A468E"/>
    <w:rsid w:val="009A480D"/>
    <w:rsid w:val="009A4908"/>
    <w:rsid w:val="009A6258"/>
    <w:rsid w:val="009A6B3A"/>
    <w:rsid w:val="009A76F7"/>
    <w:rsid w:val="009B00E1"/>
    <w:rsid w:val="009B01CF"/>
    <w:rsid w:val="009B02DB"/>
    <w:rsid w:val="009B0703"/>
    <w:rsid w:val="009B0A50"/>
    <w:rsid w:val="009B1DA0"/>
    <w:rsid w:val="009B1F5D"/>
    <w:rsid w:val="009B2407"/>
    <w:rsid w:val="009B3BEA"/>
    <w:rsid w:val="009B41BA"/>
    <w:rsid w:val="009B44F0"/>
    <w:rsid w:val="009B545D"/>
    <w:rsid w:val="009B5957"/>
    <w:rsid w:val="009B5C0B"/>
    <w:rsid w:val="009B7273"/>
    <w:rsid w:val="009B7356"/>
    <w:rsid w:val="009B7FAC"/>
    <w:rsid w:val="009C026B"/>
    <w:rsid w:val="009C0C99"/>
    <w:rsid w:val="009C1122"/>
    <w:rsid w:val="009C1840"/>
    <w:rsid w:val="009C1B99"/>
    <w:rsid w:val="009C1DC2"/>
    <w:rsid w:val="009C30F6"/>
    <w:rsid w:val="009C323A"/>
    <w:rsid w:val="009C3AE8"/>
    <w:rsid w:val="009C4087"/>
    <w:rsid w:val="009C43AD"/>
    <w:rsid w:val="009C4959"/>
    <w:rsid w:val="009C4CFF"/>
    <w:rsid w:val="009C5961"/>
    <w:rsid w:val="009C76A3"/>
    <w:rsid w:val="009C79E5"/>
    <w:rsid w:val="009C7ACB"/>
    <w:rsid w:val="009C7C85"/>
    <w:rsid w:val="009D03F6"/>
    <w:rsid w:val="009D04E7"/>
    <w:rsid w:val="009D14B8"/>
    <w:rsid w:val="009D2363"/>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62C"/>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97A"/>
    <w:rsid w:val="009F6AC9"/>
    <w:rsid w:val="009F6DAC"/>
    <w:rsid w:val="009F7309"/>
    <w:rsid w:val="009F763F"/>
    <w:rsid w:val="009F7748"/>
    <w:rsid w:val="009F7802"/>
    <w:rsid w:val="009F791B"/>
    <w:rsid w:val="009F79D5"/>
    <w:rsid w:val="009F7D96"/>
    <w:rsid w:val="00A007E7"/>
    <w:rsid w:val="00A021E7"/>
    <w:rsid w:val="00A035DE"/>
    <w:rsid w:val="00A035EA"/>
    <w:rsid w:val="00A041ED"/>
    <w:rsid w:val="00A04F59"/>
    <w:rsid w:val="00A05597"/>
    <w:rsid w:val="00A05B20"/>
    <w:rsid w:val="00A070DE"/>
    <w:rsid w:val="00A0718D"/>
    <w:rsid w:val="00A07468"/>
    <w:rsid w:val="00A0797A"/>
    <w:rsid w:val="00A07FED"/>
    <w:rsid w:val="00A105EC"/>
    <w:rsid w:val="00A10896"/>
    <w:rsid w:val="00A10C0A"/>
    <w:rsid w:val="00A10E2A"/>
    <w:rsid w:val="00A11019"/>
    <w:rsid w:val="00A114E5"/>
    <w:rsid w:val="00A115CB"/>
    <w:rsid w:val="00A116B1"/>
    <w:rsid w:val="00A11A73"/>
    <w:rsid w:val="00A11A7E"/>
    <w:rsid w:val="00A11D14"/>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C02"/>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813"/>
    <w:rsid w:val="00A43D47"/>
    <w:rsid w:val="00A440A6"/>
    <w:rsid w:val="00A441C1"/>
    <w:rsid w:val="00A44BF0"/>
    <w:rsid w:val="00A4618D"/>
    <w:rsid w:val="00A46480"/>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A8F"/>
    <w:rsid w:val="00A64389"/>
    <w:rsid w:val="00A64797"/>
    <w:rsid w:val="00A64817"/>
    <w:rsid w:val="00A66B69"/>
    <w:rsid w:val="00A66E5A"/>
    <w:rsid w:val="00A71CDE"/>
    <w:rsid w:val="00A72398"/>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568A"/>
    <w:rsid w:val="00A867C8"/>
    <w:rsid w:val="00A86EB8"/>
    <w:rsid w:val="00A86F87"/>
    <w:rsid w:val="00A87161"/>
    <w:rsid w:val="00A874D6"/>
    <w:rsid w:val="00A87C01"/>
    <w:rsid w:val="00A902A7"/>
    <w:rsid w:val="00A90327"/>
    <w:rsid w:val="00A904AB"/>
    <w:rsid w:val="00A91FE5"/>
    <w:rsid w:val="00A92A16"/>
    <w:rsid w:val="00A93154"/>
    <w:rsid w:val="00A93214"/>
    <w:rsid w:val="00A93552"/>
    <w:rsid w:val="00A93C27"/>
    <w:rsid w:val="00A93C2B"/>
    <w:rsid w:val="00A93DC1"/>
    <w:rsid w:val="00A94D8C"/>
    <w:rsid w:val="00A95EA8"/>
    <w:rsid w:val="00A96FC0"/>
    <w:rsid w:val="00A9731F"/>
    <w:rsid w:val="00A9733A"/>
    <w:rsid w:val="00A97BFA"/>
    <w:rsid w:val="00AA007C"/>
    <w:rsid w:val="00AA0B30"/>
    <w:rsid w:val="00AA25C9"/>
    <w:rsid w:val="00AA3726"/>
    <w:rsid w:val="00AA40AA"/>
    <w:rsid w:val="00AA4F09"/>
    <w:rsid w:val="00AA5C2A"/>
    <w:rsid w:val="00AA5F8C"/>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5EC9"/>
    <w:rsid w:val="00AB65A9"/>
    <w:rsid w:val="00AB6F61"/>
    <w:rsid w:val="00AB7601"/>
    <w:rsid w:val="00AB7957"/>
    <w:rsid w:val="00AB7A15"/>
    <w:rsid w:val="00AB7D9C"/>
    <w:rsid w:val="00AC1506"/>
    <w:rsid w:val="00AC1E53"/>
    <w:rsid w:val="00AC42FA"/>
    <w:rsid w:val="00AC4343"/>
    <w:rsid w:val="00AC455C"/>
    <w:rsid w:val="00AC4D66"/>
    <w:rsid w:val="00AC5C0E"/>
    <w:rsid w:val="00AC5FCE"/>
    <w:rsid w:val="00AC615E"/>
    <w:rsid w:val="00AC62B7"/>
    <w:rsid w:val="00AC6BDA"/>
    <w:rsid w:val="00AC6E20"/>
    <w:rsid w:val="00AC7A38"/>
    <w:rsid w:val="00AD07F1"/>
    <w:rsid w:val="00AD08BD"/>
    <w:rsid w:val="00AD20E0"/>
    <w:rsid w:val="00AD2BE1"/>
    <w:rsid w:val="00AD3C49"/>
    <w:rsid w:val="00AD3D21"/>
    <w:rsid w:val="00AD471B"/>
    <w:rsid w:val="00AD4939"/>
    <w:rsid w:val="00AD5AE4"/>
    <w:rsid w:val="00AD68F8"/>
    <w:rsid w:val="00AE0955"/>
    <w:rsid w:val="00AE0B68"/>
    <w:rsid w:val="00AE10CD"/>
    <w:rsid w:val="00AE1499"/>
    <w:rsid w:val="00AE2D0A"/>
    <w:rsid w:val="00AE3725"/>
    <w:rsid w:val="00AE3FC2"/>
    <w:rsid w:val="00AE4E58"/>
    <w:rsid w:val="00AE5139"/>
    <w:rsid w:val="00AE54FA"/>
    <w:rsid w:val="00AE5C8B"/>
    <w:rsid w:val="00AE653E"/>
    <w:rsid w:val="00AE65CA"/>
    <w:rsid w:val="00AE6800"/>
    <w:rsid w:val="00AE6CDA"/>
    <w:rsid w:val="00AE72FC"/>
    <w:rsid w:val="00AE751E"/>
    <w:rsid w:val="00AF16A0"/>
    <w:rsid w:val="00AF1C14"/>
    <w:rsid w:val="00AF239F"/>
    <w:rsid w:val="00AF23AA"/>
    <w:rsid w:val="00AF23C2"/>
    <w:rsid w:val="00AF3040"/>
    <w:rsid w:val="00AF39BC"/>
    <w:rsid w:val="00AF3CB4"/>
    <w:rsid w:val="00AF4046"/>
    <w:rsid w:val="00AF509D"/>
    <w:rsid w:val="00AF51E5"/>
    <w:rsid w:val="00AF52E7"/>
    <w:rsid w:val="00AF5D55"/>
    <w:rsid w:val="00AF605B"/>
    <w:rsid w:val="00AF741B"/>
    <w:rsid w:val="00AF7453"/>
    <w:rsid w:val="00AF7C3D"/>
    <w:rsid w:val="00AF7E72"/>
    <w:rsid w:val="00B0115C"/>
    <w:rsid w:val="00B01957"/>
    <w:rsid w:val="00B02534"/>
    <w:rsid w:val="00B028CB"/>
    <w:rsid w:val="00B0432F"/>
    <w:rsid w:val="00B043ED"/>
    <w:rsid w:val="00B054FF"/>
    <w:rsid w:val="00B05CB6"/>
    <w:rsid w:val="00B0633F"/>
    <w:rsid w:val="00B06B46"/>
    <w:rsid w:val="00B070A0"/>
    <w:rsid w:val="00B07CC0"/>
    <w:rsid w:val="00B07D53"/>
    <w:rsid w:val="00B102F5"/>
    <w:rsid w:val="00B103BE"/>
    <w:rsid w:val="00B103E9"/>
    <w:rsid w:val="00B10C24"/>
    <w:rsid w:val="00B113BB"/>
    <w:rsid w:val="00B11586"/>
    <w:rsid w:val="00B11C4D"/>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D2D"/>
    <w:rsid w:val="00B24564"/>
    <w:rsid w:val="00B24FEA"/>
    <w:rsid w:val="00B2540B"/>
    <w:rsid w:val="00B25B94"/>
    <w:rsid w:val="00B25FE6"/>
    <w:rsid w:val="00B26407"/>
    <w:rsid w:val="00B26CD6"/>
    <w:rsid w:val="00B26D53"/>
    <w:rsid w:val="00B27255"/>
    <w:rsid w:val="00B2749B"/>
    <w:rsid w:val="00B2763A"/>
    <w:rsid w:val="00B27A0A"/>
    <w:rsid w:val="00B30160"/>
    <w:rsid w:val="00B3068C"/>
    <w:rsid w:val="00B308B8"/>
    <w:rsid w:val="00B3155C"/>
    <w:rsid w:val="00B317DC"/>
    <w:rsid w:val="00B31E48"/>
    <w:rsid w:val="00B327F4"/>
    <w:rsid w:val="00B32A03"/>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0D"/>
    <w:rsid w:val="00B41956"/>
    <w:rsid w:val="00B42A22"/>
    <w:rsid w:val="00B436E9"/>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15D6"/>
    <w:rsid w:val="00B61E64"/>
    <w:rsid w:val="00B62014"/>
    <w:rsid w:val="00B629C9"/>
    <w:rsid w:val="00B63426"/>
    <w:rsid w:val="00B63F21"/>
    <w:rsid w:val="00B63FB6"/>
    <w:rsid w:val="00B64086"/>
    <w:rsid w:val="00B64519"/>
    <w:rsid w:val="00B64541"/>
    <w:rsid w:val="00B6456D"/>
    <w:rsid w:val="00B64BD0"/>
    <w:rsid w:val="00B64FCD"/>
    <w:rsid w:val="00B65575"/>
    <w:rsid w:val="00B65CBD"/>
    <w:rsid w:val="00B66802"/>
    <w:rsid w:val="00B67453"/>
    <w:rsid w:val="00B675F7"/>
    <w:rsid w:val="00B67A78"/>
    <w:rsid w:val="00B7086A"/>
    <w:rsid w:val="00B70A5F"/>
    <w:rsid w:val="00B70C27"/>
    <w:rsid w:val="00B70E97"/>
    <w:rsid w:val="00B715DC"/>
    <w:rsid w:val="00B715DF"/>
    <w:rsid w:val="00B71ACD"/>
    <w:rsid w:val="00B7211A"/>
    <w:rsid w:val="00B722FE"/>
    <w:rsid w:val="00B729F1"/>
    <w:rsid w:val="00B7300C"/>
    <w:rsid w:val="00B7311E"/>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0E93"/>
    <w:rsid w:val="00BA208B"/>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1DD"/>
    <w:rsid w:val="00BB292D"/>
    <w:rsid w:val="00BB300F"/>
    <w:rsid w:val="00BB369B"/>
    <w:rsid w:val="00BB3866"/>
    <w:rsid w:val="00BB3919"/>
    <w:rsid w:val="00BB3A56"/>
    <w:rsid w:val="00BB3E2E"/>
    <w:rsid w:val="00BB49CB"/>
    <w:rsid w:val="00BB4CAE"/>
    <w:rsid w:val="00BB5819"/>
    <w:rsid w:val="00BB6187"/>
    <w:rsid w:val="00BB67F1"/>
    <w:rsid w:val="00BB79C2"/>
    <w:rsid w:val="00BB7F0F"/>
    <w:rsid w:val="00BC0EC7"/>
    <w:rsid w:val="00BC1722"/>
    <w:rsid w:val="00BC194A"/>
    <w:rsid w:val="00BC1D74"/>
    <w:rsid w:val="00BC2214"/>
    <w:rsid w:val="00BC2825"/>
    <w:rsid w:val="00BC2E96"/>
    <w:rsid w:val="00BC365F"/>
    <w:rsid w:val="00BC406F"/>
    <w:rsid w:val="00BC4C88"/>
    <w:rsid w:val="00BC4ED5"/>
    <w:rsid w:val="00BC4F84"/>
    <w:rsid w:val="00BC59CA"/>
    <w:rsid w:val="00BC5BC7"/>
    <w:rsid w:val="00BC639E"/>
    <w:rsid w:val="00BC6970"/>
    <w:rsid w:val="00BC6D81"/>
    <w:rsid w:val="00BC6F87"/>
    <w:rsid w:val="00BC734E"/>
    <w:rsid w:val="00BC7713"/>
    <w:rsid w:val="00BC7C93"/>
    <w:rsid w:val="00BC7F2A"/>
    <w:rsid w:val="00BD0286"/>
    <w:rsid w:val="00BD1377"/>
    <w:rsid w:val="00BD1B3F"/>
    <w:rsid w:val="00BD33A9"/>
    <w:rsid w:val="00BD33BE"/>
    <w:rsid w:val="00BD3792"/>
    <w:rsid w:val="00BD3C72"/>
    <w:rsid w:val="00BD4E12"/>
    <w:rsid w:val="00BD5D4E"/>
    <w:rsid w:val="00BD7991"/>
    <w:rsid w:val="00BD7CEE"/>
    <w:rsid w:val="00BE00ED"/>
    <w:rsid w:val="00BE0BDD"/>
    <w:rsid w:val="00BE21E3"/>
    <w:rsid w:val="00BE305B"/>
    <w:rsid w:val="00BE4436"/>
    <w:rsid w:val="00BE59B4"/>
    <w:rsid w:val="00BE62B2"/>
    <w:rsid w:val="00BE6350"/>
    <w:rsid w:val="00BE6C24"/>
    <w:rsid w:val="00BE7287"/>
    <w:rsid w:val="00BE7C93"/>
    <w:rsid w:val="00BF0362"/>
    <w:rsid w:val="00BF0479"/>
    <w:rsid w:val="00BF0D73"/>
    <w:rsid w:val="00BF1D23"/>
    <w:rsid w:val="00BF1F45"/>
    <w:rsid w:val="00BF1F82"/>
    <w:rsid w:val="00BF2520"/>
    <w:rsid w:val="00BF3470"/>
    <w:rsid w:val="00BF358E"/>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2EB"/>
    <w:rsid w:val="00C11577"/>
    <w:rsid w:val="00C11DC5"/>
    <w:rsid w:val="00C11F13"/>
    <w:rsid w:val="00C11F39"/>
    <w:rsid w:val="00C11F55"/>
    <w:rsid w:val="00C12249"/>
    <w:rsid w:val="00C1250E"/>
    <w:rsid w:val="00C139A1"/>
    <w:rsid w:val="00C142C9"/>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D9A"/>
    <w:rsid w:val="00C23F8A"/>
    <w:rsid w:val="00C24B05"/>
    <w:rsid w:val="00C25D31"/>
    <w:rsid w:val="00C265D0"/>
    <w:rsid w:val="00C26A6C"/>
    <w:rsid w:val="00C26FE5"/>
    <w:rsid w:val="00C27163"/>
    <w:rsid w:val="00C3022B"/>
    <w:rsid w:val="00C30723"/>
    <w:rsid w:val="00C3169D"/>
    <w:rsid w:val="00C31756"/>
    <w:rsid w:val="00C31F7F"/>
    <w:rsid w:val="00C32186"/>
    <w:rsid w:val="00C32A3B"/>
    <w:rsid w:val="00C335AE"/>
    <w:rsid w:val="00C35C70"/>
    <w:rsid w:val="00C35E26"/>
    <w:rsid w:val="00C36684"/>
    <w:rsid w:val="00C36AC3"/>
    <w:rsid w:val="00C36F0A"/>
    <w:rsid w:val="00C36F4F"/>
    <w:rsid w:val="00C372CB"/>
    <w:rsid w:val="00C4067A"/>
    <w:rsid w:val="00C41480"/>
    <w:rsid w:val="00C44052"/>
    <w:rsid w:val="00C44368"/>
    <w:rsid w:val="00C46111"/>
    <w:rsid w:val="00C46822"/>
    <w:rsid w:val="00C46CE5"/>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47"/>
    <w:rsid w:val="00C627C5"/>
    <w:rsid w:val="00C6395F"/>
    <w:rsid w:val="00C63C3D"/>
    <w:rsid w:val="00C63EC9"/>
    <w:rsid w:val="00C644BF"/>
    <w:rsid w:val="00C65163"/>
    <w:rsid w:val="00C65B6B"/>
    <w:rsid w:val="00C66492"/>
    <w:rsid w:val="00C664AB"/>
    <w:rsid w:val="00C66584"/>
    <w:rsid w:val="00C66705"/>
    <w:rsid w:val="00C668D0"/>
    <w:rsid w:val="00C67754"/>
    <w:rsid w:val="00C70254"/>
    <w:rsid w:val="00C703C0"/>
    <w:rsid w:val="00C706D1"/>
    <w:rsid w:val="00C70FAE"/>
    <w:rsid w:val="00C71284"/>
    <w:rsid w:val="00C72DD5"/>
    <w:rsid w:val="00C733A6"/>
    <w:rsid w:val="00C737B0"/>
    <w:rsid w:val="00C73D39"/>
    <w:rsid w:val="00C75B40"/>
    <w:rsid w:val="00C7675A"/>
    <w:rsid w:val="00C76E9D"/>
    <w:rsid w:val="00C773B4"/>
    <w:rsid w:val="00C816DF"/>
    <w:rsid w:val="00C820EE"/>
    <w:rsid w:val="00C84713"/>
    <w:rsid w:val="00C84758"/>
    <w:rsid w:val="00C853AB"/>
    <w:rsid w:val="00C85F72"/>
    <w:rsid w:val="00C86896"/>
    <w:rsid w:val="00C86B1F"/>
    <w:rsid w:val="00C876E1"/>
    <w:rsid w:val="00C87792"/>
    <w:rsid w:val="00C908A9"/>
    <w:rsid w:val="00C908BE"/>
    <w:rsid w:val="00C91507"/>
    <w:rsid w:val="00C92A24"/>
    <w:rsid w:val="00C940C2"/>
    <w:rsid w:val="00C952E9"/>
    <w:rsid w:val="00C95AC8"/>
    <w:rsid w:val="00C9760B"/>
    <w:rsid w:val="00C976E0"/>
    <w:rsid w:val="00C9796B"/>
    <w:rsid w:val="00C97C19"/>
    <w:rsid w:val="00CA0174"/>
    <w:rsid w:val="00CA0C53"/>
    <w:rsid w:val="00CA1AE4"/>
    <w:rsid w:val="00CA1E0C"/>
    <w:rsid w:val="00CA1FA7"/>
    <w:rsid w:val="00CA1FC9"/>
    <w:rsid w:val="00CA20E3"/>
    <w:rsid w:val="00CA245C"/>
    <w:rsid w:val="00CA26EC"/>
    <w:rsid w:val="00CA408C"/>
    <w:rsid w:val="00CA423D"/>
    <w:rsid w:val="00CA47D8"/>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21F"/>
    <w:rsid w:val="00CB26E4"/>
    <w:rsid w:val="00CB277F"/>
    <w:rsid w:val="00CB2D1B"/>
    <w:rsid w:val="00CB310A"/>
    <w:rsid w:val="00CB3318"/>
    <w:rsid w:val="00CB3628"/>
    <w:rsid w:val="00CB407C"/>
    <w:rsid w:val="00CB46B4"/>
    <w:rsid w:val="00CB4940"/>
    <w:rsid w:val="00CB5D5B"/>
    <w:rsid w:val="00CB6D0C"/>
    <w:rsid w:val="00CB6D5D"/>
    <w:rsid w:val="00CB6E94"/>
    <w:rsid w:val="00CB7060"/>
    <w:rsid w:val="00CB77F2"/>
    <w:rsid w:val="00CB7DD6"/>
    <w:rsid w:val="00CC0248"/>
    <w:rsid w:val="00CC0438"/>
    <w:rsid w:val="00CC0563"/>
    <w:rsid w:val="00CC140D"/>
    <w:rsid w:val="00CC1536"/>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6A9C"/>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0A3"/>
    <w:rsid w:val="00CE793F"/>
    <w:rsid w:val="00CF0FA5"/>
    <w:rsid w:val="00CF15DD"/>
    <w:rsid w:val="00CF223D"/>
    <w:rsid w:val="00CF2824"/>
    <w:rsid w:val="00CF3526"/>
    <w:rsid w:val="00CF357F"/>
    <w:rsid w:val="00CF3A33"/>
    <w:rsid w:val="00CF3C7D"/>
    <w:rsid w:val="00CF45BF"/>
    <w:rsid w:val="00CF4755"/>
    <w:rsid w:val="00CF4D0F"/>
    <w:rsid w:val="00CF51C1"/>
    <w:rsid w:val="00CF54CE"/>
    <w:rsid w:val="00CF5B47"/>
    <w:rsid w:val="00CF5B54"/>
    <w:rsid w:val="00CF5EE3"/>
    <w:rsid w:val="00CF6C01"/>
    <w:rsid w:val="00CF7105"/>
    <w:rsid w:val="00CF7305"/>
    <w:rsid w:val="00CF75B0"/>
    <w:rsid w:val="00D000FA"/>
    <w:rsid w:val="00D005E0"/>
    <w:rsid w:val="00D012FF"/>
    <w:rsid w:val="00D0157B"/>
    <w:rsid w:val="00D01CC4"/>
    <w:rsid w:val="00D01E6B"/>
    <w:rsid w:val="00D0354D"/>
    <w:rsid w:val="00D03AC0"/>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79E"/>
    <w:rsid w:val="00D209A4"/>
    <w:rsid w:val="00D21356"/>
    <w:rsid w:val="00D2142F"/>
    <w:rsid w:val="00D216EE"/>
    <w:rsid w:val="00D21C4D"/>
    <w:rsid w:val="00D220B5"/>
    <w:rsid w:val="00D233CD"/>
    <w:rsid w:val="00D23458"/>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D1F"/>
    <w:rsid w:val="00D35470"/>
    <w:rsid w:val="00D35597"/>
    <w:rsid w:val="00D35689"/>
    <w:rsid w:val="00D35843"/>
    <w:rsid w:val="00D35CCA"/>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ACC"/>
    <w:rsid w:val="00D64BEA"/>
    <w:rsid w:val="00D65C02"/>
    <w:rsid w:val="00D661D2"/>
    <w:rsid w:val="00D66410"/>
    <w:rsid w:val="00D66648"/>
    <w:rsid w:val="00D66FDA"/>
    <w:rsid w:val="00D67292"/>
    <w:rsid w:val="00D7055E"/>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4BB"/>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59F"/>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763"/>
    <w:rsid w:val="00DA6868"/>
    <w:rsid w:val="00DB0312"/>
    <w:rsid w:val="00DB115A"/>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3515"/>
    <w:rsid w:val="00DC430F"/>
    <w:rsid w:val="00DC43B0"/>
    <w:rsid w:val="00DC478C"/>
    <w:rsid w:val="00DC47BF"/>
    <w:rsid w:val="00DC4CEC"/>
    <w:rsid w:val="00DC5055"/>
    <w:rsid w:val="00DC5F0A"/>
    <w:rsid w:val="00DC6348"/>
    <w:rsid w:val="00DC6447"/>
    <w:rsid w:val="00DC6F43"/>
    <w:rsid w:val="00DC7AD9"/>
    <w:rsid w:val="00DD0822"/>
    <w:rsid w:val="00DD0C80"/>
    <w:rsid w:val="00DD2409"/>
    <w:rsid w:val="00DD2798"/>
    <w:rsid w:val="00DD2A6B"/>
    <w:rsid w:val="00DD3A79"/>
    <w:rsid w:val="00DD4174"/>
    <w:rsid w:val="00DD418A"/>
    <w:rsid w:val="00DD452E"/>
    <w:rsid w:val="00DD4929"/>
    <w:rsid w:val="00DD4B3B"/>
    <w:rsid w:val="00DD6998"/>
    <w:rsid w:val="00DD7111"/>
    <w:rsid w:val="00DD7C1F"/>
    <w:rsid w:val="00DD7C32"/>
    <w:rsid w:val="00DE00A7"/>
    <w:rsid w:val="00DE0A7D"/>
    <w:rsid w:val="00DE0DC9"/>
    <w:rsid w:val="00DE12EF"/>
    <w:rsid w:val="00DE19AA"/>
    <w:rsid w:val="00DE1FFD"/>
    <w:rsid w:val="00DE367F"/>
    <w:rsid w:val="00DE3E2A"/>
    <w:rsid w:val="00DE5469"/>
    <w:rsid w:val="00DE5D83"/>
    <w:rsid w:val="00DE7DBA"/>
    <w:rsid w:val="00DE7FB5"/>
    <w:rsid w:val="00DF0953"/>
    <w:rsid w:val="00DF33E8"/>
    <w:rsid w:val="00DF354D"/>
    <w:rsid w:val="00DF3B05"/>
    <w:rsid w:val="00DF44BC"/>
    <w:rsid w:val="00DF46D2"/>
    <w:rsid w:val="00DF47DA"/>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BE1"/>
    <w:rsid w:val="00E05C05"/>
    <w:rsid w:val="00E06510"/>
    <w:rsid w:val="00E066EF"/>
    <w:rsid w:val="00E072B0"/>
    <w:rsid w:val="00E07C90"/>
    <w:rsid w:val="00E10A96"/>
    <w:rsid w:val="00E111E7"/>
    <w:rsid w:val="00E111F8"/>
    <w:rsid w:val="00E11C10"/>
    <w:rsid w:val="00E12618"/>
    <w:rsid w:val="00E129DF"/>
    <w:rsid w:val="00E12B35"/>
    <w:rsid w:val="00E12B5D"/>
    <w:rsid w:val="00E13435"/>
    <w:rsid w:val="00E13F23"/>
    <w:rsid w:val="00E143D4"/>
    <w:rsid w:val="00E14773"/>
    <w:rsid w:val="00E1521D"/>
    <w:rsid w:val="00E155E5"/>
    <w:rsid w:val="00E16E19"/>
    <w:rsid w:val="00E1769F"/>
    <w:rsid w:val="00E17930"/>
    <w:rsid w:val="00E20164"/>
    <w:rsid w:val="00E210E8"/>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A4E"/>
    <w:rsid w:val="00E32D36"/>
    <w:rsid w:val="00E334B8"/>
    <w:rsid w:val="00E33C3F"/>
    <w:rsid w:val="00E3511E"/>
    <w:rsid w:val="00E36F8A"/>
    <w:rsid w:val="00E37A6A"/>
    <w:rsid w:val="00E37CC3"/>
    <w:rsid w:val="00E40479"/>
    <w:rsid w:val="00E40FB5"/>
    <w:rsid w:val="00E4192C"/>
    <w:rsid w:val="00E41DF6"/>
    <w:rsid w:val="00E420CB"/>
    <w:rsid w:val="00E436CF"/>
    <w:rsid w:val="00E44877"/>
    <w:rsid w:val="00E44A44"/>
    <w:rsid w:val="00E451B6"/>
    <w:rsid w:val="00E454AD"/>
    <w:rsid w:val="00E466DF"/>
    <w:rsid w:val="00E4671A"/>
    <w:rsid w:val="00E474DE"/>
    <w:rsid w:val="00E47920"/>
    <w:rsid w:val="00E47ED6"/>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57001"/>
    <w:rsid w:val="00E603AF"/>
    <w:rsid w:val="00E604FA"/>
    <w:rsid w:val="00E60FAB"/>
    <w:rsid w:val="00E615BD"/>
    <w:rsid w:val="00E61F48"/>
    <w:rsid w:val="00E624CC"/>
    <w:rsid w:val="00E62B98"/>
    <w:rsid w:val="00E62F16"/>
    <w:rsid w:val="00E631E5"/>
    <w:rsid w:val="00E6329E"/>
    <w:rsid w:val="00E6390E"/>
    <w:rsid w:val="00E65018"/>
    <w:rsid w:val="00E6694C"/>
    <w:rsid w:val="00E66EAB"/>
    <w:rsid w:val="00E67339"/>
    <w:rsid w:val="00E6734C"/>
    <w:rsid w:val="00E67560"/>
    <w:rsid w:val="00E67B4D"/>
    <w:rsid w:val="00E67B50"/>
    <w:rsid w:val="00E67EF0"/>
    <w:rsid w:val="00E705EE"/>
    <w:rsid w:val="00E70B72"/>
    <w:rsid w:val="00E70FDA"/>
    <w:rsid w:val="00E722A2"/>
    <w:rsid w:val="00E729B9"/>
    <w:rsid w:val="00E742E4"/>
    <w:rsid w:val="00E74DCC"/>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3F39"/>
    <w:rsid w:val="00E94584"/>
    <w:rsid w:val="00E95058"/>
    <w:rsid w:val="00E95C26"/>
    <w:rsid w:val="00E95CEA"/>
    <w:rsid w:val="00E95E3D"/>
    <w:rsid w:val="00E967F1"/>
    <w:rsid w:val="00E97D20"/>
    <w:rsid w:val="00E97FE2"/>
    <w:rsid w:val="00E97FE6"/>
    <w:rsid w:val="00EA08E8"/>
    <w:rsid w:val="00EA1903"/>
    <w:rsid w:val="00EA1A5A"/>
    <w:rsid w:val="00EA2FC0"/>
    <w:rsid w:val="00EA3F5C"/>
    <w:rsid w:val="00EA4397"/>
    <w:rsid w:val="00EA499D"/>
    <w:rsid w:val="00EA4FFF"/>
    <w:rsid w:val="00EA52B4"/>
    <w:rsid w:val="00EA54A1"/>
    <w:rsid w:val="00EA54AD"/>
    <w:rsid w:val="00EA58A0"/>
    <w:rsid w:val="00EA5AE3"/>
    <w:rsid w:val="00EA5C8C"/>
    <w:rsid w:val="00EA5ECB"/>
    <w:rsid w:val="00EA62F8"/>
    <w:rsid w:val="00EA64B9"/>
    <w:rsid w:val="00EA64FC"/>
    <w:rsid w:val="00EA6B56"/>
    <w:rsid w:val="00EA6D49"/>
    <w:rsid w:val="00EA7144"/>
    <w:rsid w:val="00EA7BD0"/>
    <w:rsid w:val="00EA7D0C"/>
    <w:rsid w:val="00EA7F0B"/>
    <w:rsid w:val="00EB01FF"/>
    <w:rsid w:val="00EB09C2"/>
    <w:rsid w:val="00EB0CCF"/>
    <w:rsid w:val="00EB114C"/>
    <w:rsid w:val="00EB18C0"/>
    <w:rsid w:val="00EB20F4"/>
    <w:rsid w:val="00EB2490"/>
    <w:rsid w:val="00EB2C92"/>
    <w:rsid w:val="00EB3F05"/>
    <w:rsid w:val="00EB43BA"/>
    <w:rsid w:val="00EB4B57"/>
    <w:rsid w:val="00EB56C4"/>
    <w:rsid w:val="00EB5955"/>
    <w:rsid w:val="00EB63FA"/>
    <w:rsid w:val="00EB662B"/>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473"/>
    <w:rsid w:val="00ED3503"/>
    <w:rsid w:val="00ED35D8"/>
    <w:rsid w:val="00ED3FDF"/>
    <w:rsid w:val="00ED4DFC"/>
    <w:rsid w:val="00ED4E42"/>
    <w:rsid w:val="00ED5E54"/>
    <w:rsid w:val="00ED7786"/>
    <w:rsid w:val="00ED7EA9"/>
    <w:rsid w:val="00EE00E5"/>
    <w:rsid w:val="00EE0B31"/>
    <w:rsid w:val="00EE1E9C"/>
    <w:rsid w:val="00EE1F6E"/>
    <w:rsid w:val="00EE200B"/>
    <w:rsid w:val="00EE2083"/>
    <w:rsid w:val="00EE20A8"/>
    <w:rsid w:val="00EE23BC"/>
    <w:rsid w:val="00EE25D9"/>
    <w:rsid w:val="00EE433B"/>
    <w:rsid w:val="00EE46D0"/>
    <w:rsid w:val="00EE476D"/>
    <w:rsid w:val="00EE49A6"/>
    <w:rsid w:val="00EE49B5"/>
    <w:rsid w:val="00EE4C73"/>
    <w:rsid w:val="00EE5C23"/>
    <w:rsid w:val="00EE6547"/>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7F9"/>
    <w:rsid w:val="00F03E24"/>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18A0"/>
    <w:rsid w:val="00F2210C"/>
    <w:rsid w:val="00F231FB"/>
    <w:rsid w:val="00F243C4"/>
    <w:rsid w:val="00F243FF"/>
    <w:rsid w:val="00F25199"/>
    <w:rsid w:val="00F254D8"/>
    <w:rsid w:val="00F25D20"/>
    <w:rsid w:val="00F26955"/>
    <w:rsid w:val="00F26A46"/>
    <w:rsid w:val="00F26F86"/>
    <w:rsid w:val="00F271AB"/>
    <w:rsid w:val="00F2780A"/>
    <w:rsid w:val="00F311C3"/>
    <w:rsid w:val="00F314EF"/>
    <w:rsid w:val="00F3167E"/>
    <w:rsid w:val="00F31D61"/>
    <w:rsid w:val="00F332B2"/>
    <w:rsid w:val="00F33DD2"/>
    <w:rsid w:val="00F33E94"/>
    <w:rsid w:val="00F33F0D"/>
    <w:rsid w:val="00F352BD"/>
    <w:rsid w:val="00F3589E"/>
    <w:rsid w:val="00F35DAE"/>
    <w:rsid w:val="00F36723"/>
    <w:rsid w:val="00F368F2"/>
    <w:rsid w:val="00F370B2"/>
    <w:rsid w:val="00F3715D"/>
    <w:rsid w:val="00F37A09"/>
    <w:rsid w:val="00F404BF"/>
    <w:rsid w:val="00F40EB5"/>
    <w:rsid w:val="00F40F31"/>
    <w:rsid w:val="00F41380"/>
    <w:rsid w:val="00F41421"/>
    <w:rsid w:val="00F41886"/>
    <w:rsid w:val="00F419C3"/>
    <w:rsid w:val="00F41A80"/>
    <w:rsid w:val="00F41C4B"/>
    <w:rsid w:val="00F43206"/>
    <w:rsid w:val="00F435B6"/>
    <w:rsid w:val="00F4386B"/>
    <w:rsid w:val="00F4392C"/>
    <w:rsid w:val="00F448F9"/>
    <w:rsid w:val="00F44EC7"/>
    <w:rsid w:val="00F44EC8"/>
    <w:rsid w:val="00F452E7"/>
    <w:rsid w:val="00F4670C"/>
    <w:rsid w:val="00F467C0"/>
    <w:rsid w:val="00F47C6B"/>
    <w:rsid w:val="00F503D2"/>
    <w:rsid w:val="00F505AC"/>
    <w:rsid w:val="00F50603"/>
    <w:rsid w:val="00F50C03"/>
    <w:rsid w:val="00F50F47"/>
    <w:rsid w:val="00F5107B"/>
    <w:rsid w:val="00F51899"/>
    <w:rsid w:val="00F51E43"/>
    <w:rsid w:val="00F51E44"/>
    <w:rsid w:val="00F5253A"/>
    <w:rsid w:val="00F5325B"/>
    <w:rsid w:val="00F53AF0"/>
    <w:rsid w:val="00F5442C"/>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776D1"/>
    <w:rsid w:val="00F805CA"/>
    <w:rsid w:val="00F807A4"/>
    <w:rsid w:val="00F809ED"/>
    <w:rsid w:val="00F80DD8"/>
    <w:rsid w:val="00F81914"/>
    <w:rsid w:val="00F81B7D"/>
    <w:rsid w:val="00F82079"/>
    <w:rsid w:val="00F824D5"/>
    <w:rsid w:val="00F82628"/>
    <w:rsid w:val="00F82D8E"/>
    <w:rsid w:val="00F82E01"/>
    <w:rsid w:val="00F8321D"/>
    <w:rsid w:val="00F83461"/>
    <w:rsid w:val="00F83585"/>
    <w:rsid w:val="00F83883"/>
    <w:rsid w:val="00F83ACF"/>
    <w:rsid w:val="00F8517B"/>
    <w:rsid w:val="00F853BE"/>
    <w:rsid w:val="00F869F3"/>
    <w:rsid w:val="00F87971"/>
    <w:rsid w:val="00F879AD"/>
    <w:rsid w:val="00F87B71"/>
    <w:rsid w:val="00F87EB0"/>
    <w:rsid w:val="00F9052C"/>
    <w:rsid w:val="00F9135D"/>
    <w:rsid w:val="00F91B71"/>
    <w:rsid w:val="00F91BA8"/>
    <w:rsid w:val="00F9260F"/>
    <w:rsid w:val="00F92700"/>
    <w:rsid w:val="00F9308E"/>
    <w:rsid w:val="00F95E64"/>
    <w:rsid w:val="00F960B8"/>
    <w:rsid w:val="00F9649D"/>
    <w:rsid w:val="00F96A46"/>
    <w:rsid w:val="00F96BB8"/>
    <w:rsid w:val="00F97A19"/>
    <w:rsid w:val="00FA068B"/>
    <w:rsid w:val="00FA0B65"/>
    <w:rsid w:val="00FA1665"/>
    <w:rsid w:val="00FA1B1B"/>
    <w:rsid w:val="00FA2534"/>
    <w:rsid w:val="00FA2BC2"/>
    <w:rsid w:val="00FA319F"/>
    <w:rsid w:val="00FA37EA"/>
    <w:rsid w:val="00FA381E"/>
    <w:rsid w:val="00FA3927"/>
    <w:rsid w:val="00FA520A"/>
    <w:rsid w:val="00FA52C8"/>
    <w:rsid w:val="00FA54B2"/>
    <w:rsid w:val="00FA5812"/>
    <w:rsid w:val="00FA59CD"/>
    <w:rsid w:val="00FA7990"/>
    <w:rsid w:val="00FB07FC"/>
    <w:rsid w:val="00FB1180"/>
    <w:rsid w:val="00FB174F"/>
    <w:rsid w:val="00FB1FEB"/>
    <w:rsid w:val="00FB28DA"/>
    <w:rsid w:val="00FB2F6C"/>
    <w:rsid w:val="00FB35B5"/>
    <w:rsid w:val="00FB4250"/>
    <w:rsid w:val="00FB42B4"/>
    <w:rsid w:val="00FB5638"/>
    <w:rsid w:val="00FB59AB"/>
    <w:rsid w:val="00FB5A8D"/>
    <w:rsid w:val="00FB6627"/>
    <w:rsid w:val="00FB6721"/>
    <w:rsid w:val="00FB7318"/>
    <w:rsid w:val="00FB77DE"/>
    <w:rsid w:val="00FC0251"/>
    <w:rsid w:val="00FC07F8"/>
    <w:rsid w:val="00FC1102"/>
    <w:rsid w:val="00FC16AD"/>
    <w:rsid w:val="00FC1F94"/>
    <w:rsid w:val="00FC2E23"/>
    <w:rsid w:val="00FC3241"/>
    <w:rsid w:val="00FC3649"/>
    <w:rsid w:val="00FC3BB3"/>
    <w:rsid w:val="00FC3ED9"/>
    <w:rsid w:val="00FC54D5"/>
    <w:rsid w:val="00FC5D1F"/>
    <w:rsid w:val="00FC664D"/>
    <w:rsid w:val="00FC737A"/>
    <w:rsid w:val="00FC7844"/>
    <w:rsid w:val="00FD0A8B"/>
    <w:rsid w:val="00FD1227"/>
    <w:rsid w:val="00FD1512"/>
    <w:rsid w:val="00FD163B"/>
    <w:rsid w:val="00FD1AB4"/>
    <w:rsid w:val="00FD1DDF"/>
    <w:rsid w:val="00FD2068"/>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E728B"/>
    <w:rsid w:val="00FF0644"/>
    <w:rsid w:val="00FF094E"/>
    <w:rsid w:val="00FF0A66"/>
    <w:rsid w:val="00FF1632"/>
    <w:rsid w:val="00FF1E94"/>
    <w:rsid w:val="00FF1FCE"/>
    <w:rsid w:val="00FF2234"/>
    <w:rsid w:val="00FF290B"/>
    <w:rsid w:val="00FF320D"/>
    <w:rsid w:val="00FF33BD"/>
    <w:rsid w:val="00FF3C13"/>
    <w:rsid w:val="00FF4169"/>
    <w:rsid w:val="00FF4FD5"/>
    <w:rsid w:val="00FF582B"/>
    <w:rsid w:val="00FF6702"/>
    <w:rsid w:val="00FF7188"/>
    <w:rsid w:val="00FF72DC"/>
    <w:rsid w:val="00FF76DE"/>
    <w:rsid w:val="00FF7785"/>
    <w:rsid w:val="00FF7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o:shapelayout v:ext="edit">
      <o:idmap v:ext="edit" data="1"/>
    </o:shapelayout>
  </w:shapeDefaults>
  <w:decimalSymbol w:val="."/>
  <w:listSeparator w:val=","/>
  <w14:docId w14:val="3893A78D"/>
  <w15:docId w15:val="{17D171E9-48C6-4BD4-BC95-C091A42C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D7"/>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qFormat/>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 w:type="paragraph" w:styleId="Title">
    <w:name w:val="Title"/>
    <w:basedOn w:val="Normal"/>
    <w:next w:val="Normal"/>
    <w:link w:val="TitleChar"/>
    <w:qFormat/>
    <w:rsid w:val="00430096"/>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430096"/>
    <w:rPr>
      <w:rFonts w:ascii="Arial Bold" w:eastAsiaTheme="majorEastAsia" w:hAnsi="Arial Bold" w:cstheme="majorBidi"/>
      <w:b/>
      <w:spacing w:val="5"/>
      <w:kern w:val="28"/>
      <w:sz w:val="2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224">
      <w:bodyDiv w:val="1"/>
      <w:marLeft w:val="0"/>
      <w:marRight w:val="0"/>
      <w:marTop w:val="0"/>
      <w:marBottom w:val="0"/>
      <w:divBdr>
        <w:top w:val="none" w:sz="0" w:space="0" w:color="auto"/>
        <w:left w:val="none" w:sz="0" w:space="0" w:color="auto"/>
        <w:bottom w:val="none" w:sz="0" w:space="0" w:color="auto"/>
        <w:right w:val="none" w:sz="0" w:space="0" w:color="auto"/>
      </w:divBdr>
    </w:div>
    <w:div w:id="4750136">
      <w:bodyDiv w:val="1"/>
      <w:marLeft w:val="0"/>
      <w:marRight w:val="0"/>
      <w:marTop w:val="0"/>
      <w:marBottom w:val="0"/>
      <w:divBdr>
        <w:top w:val="none" w:sz="0" w:space="0" w:color="auto"/>
        <w:left w:val="none" w:sz="0" w:space="0" w:color="auto"/>
        <w:bottom w:val="none" w:sz="0" w:space="0" w:color="auto"/>
        <w:right w:val="none" w:sz="0" w:space="0" w:color="auto"/>
      </w:divBdr>
    </w:div>
    <w:div w:id="12658647">
      <w:bodyDiv w:val="1"/>
      <w:marLeft w:val="0"/>
      <w:marRight w:val="0"/>
      <w:marTop w:val="0"/>
      <w:marBottom w:val="0"/>
      <w:divBdr>
        <w:top w:val="none" w:sz="0" w:space="0" w:color="auto"/>
        <w:left w:val="none" w:sz="0" w:space="0" w:color="auto"/>
        <w:bottom w:val="none" w:sz="0" w:space="0" w:color="auto"/>
        <w:right w:val="none" w:sz="0" w:space="0" w:color="auto"/>
      </w:divBdr>
    </w:div>
    <w:div w:id="49768479">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9155432">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6454250">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2946">
      <w:bodyDiv w:val="1"/>
      <w:marLeft w:val="0"/>
      <w:marRight w:val="0"/>
      <w:marTop w:val="0"/>
      <w:marBottom w:val="0"/>
      <w:divBdr>
        <w:top w:val="none" w:sz="0" w:space="0" w:color="auto"/>
        <w:left w:val="none" w:sz="0" w:space="0" w:color="auto"/>
        <w:bottom w:val="none" w:sz="0" w:space="0" w:color="auto"/>
        <w:right w:val="none" w:sz="0" w:space="0" w:color="auto"/>
      </w:divBdr>
    </w:div>
    <w:div w:id="153183234">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623813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1502230">
      <w:bodyDiv w:val="1"/>
      <w:marLeft w:val="0"/>
      <w:marRight w:val="0"/>
      <w:marTop w:val="0"/>
      <w:marBottom w:val="0"/>
      <w:divBdr>
        <w:top w:val="none" w:sz="0" w:space="0" w:color="auto"/>
        <w:left w:val="none" w:sz="0" w:space="0" w:color="auto"/>
        <w:bottom w:val="none" w:sz="0" w:space="0" w:color="auto"/>
        <w:right w:val="none" w:sz="0" w:space="0" w:color="auto"/>
      </w:divBdr>
    </w:div>
    <w:div w:id="231549346">
      <w:bodyDiv w:val="1"/>
      <w:marLeft w:val="0"/>
      <w:marRight w:val="0"/>
      <w:marTop w:val="0"/>
      <w:marBottom w:val="0"/>
      <w:divBdr>
        <w:top w:val="none" w:sz="0" w:space="0" w:color="auto"/>
        <w:left w:val="none" w:sz="0" w:space="0" w:color="auto"/>
        <w:bottom w:val="none" w:sz="0" w:space="0" w:color="auto"/>
        <w:right w:val="none" w:sz="0" w:space="0" w:color="auto"/>
      </w:divBdr>
    </w:div>
    <w:div w:id="248000744">
      <w:bodyDiv w:val="1"/>
      <w:marLeft w:val="0"/>
      <w:marRight w:val="0"/>
      <w:marTop w:val="0"/>
      <w:marBottom w:val="0"/>
      <w:divBdr>
        <w:top w:val="none" w:sz="0" w:space="0" w:color="auto"/>
        <w:left w:val="none" w:sz="0" w:space="0" w:color="auto"/>
        <w:bottom w:val="none" w:sz="0" w:space="0" w:color="auto"/>
        <w:right w:val="none" w:sz="0" w:space="0" w:color="auto"/>
      </w:divBdr>
    </w:div>
    <w:div w:id="262035836">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8900236">
      <w:bodyDiv w:val="1"/>
      <w:marLeft w:val="0"/>
      <w:marRight w:val="0"/>
      <w:marTop w:val="0"/>
      <w:marBottom w:val="0"/>
      <w:divBdr>
        <w:top w:val="none" w:sz="0" w:space="0" w:color="auto"/>
        <w:left w:val="none" w:sz="0" w:space="0" w:color="auto"/>
        <w:bottom w:val="none" w:sz="0" w:space="0" w:color="auto"/>
        <w:right w:val="none" w:sz="0" w:space="0" w:color="auto"/>
      </w:divBdr>
    </w:div>
    <w:div w:id="320158244">
      <w:bodyDiv w:val="1"/>
      <w:marLeft w:val="0"/>
      <w:marRight w:val="0"/>
      <w:marTop w:val="0"/>
      <w:marBottom w:val="0"/>
      <w:divBdr>
        <w:top w:val="none" w:sz="0" w:space="0" w:color="auto"/>
        <w:left w:val="none" w:sz="0" w:space="0" w:color="auto"/>
        <w:bottom w:val="none" w:sz="0" w:space="0" w:color="auto"/>
        <w:right w:val="none" w:sz="0" w:space="0" w:color="auto"/>
      </w:divBdr>
    </w:div>
    <w:div w:id="333076228">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6179966">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02022573">
      <w:bodyDiv w:val="1"/>
      <w:marLeft w:val="0"/>
      <w:marRight w:val="0"/>
      <w:marTop w:val="0"/>
      <w:marBottom w:val="0"/>
      <w:divBdr>
        <w:top w:val="none" w:sz="0" w:space="0" w:color="auto"/>
        <w:left w:val="none" w:sz="0" w:space="0" w:color="auto"/>
        <w:bottom w:val="none" w:sz="0" w:space="0" w:color="auto"/>
        <w:right w:val="none" w:sz="0" w:space="0" w:color="auto"/>
      </w:divBdr>
    </w:div>
    <w:div w:id="407920793">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506">
      <w:bodyDiv w:val="1"/>
      <w:marLeft w:val="0"/>
      <w:marRight w:val="0"/>
      <w:marTop w:val="0"/>
      <w:marBottom w:val="0"/>
      <w:divBdr>
        <w:top w:val="none" w:sz="0" w:space="0" w:color="auto"/>
        <w:left w:val="none" w:sz="0" w:space="0" w:color="auto"/>
        <w:bottom w:val="none" w:sz="0" w:space="0" w:color="auto"/>
        <w:right w:val="none" w:sz="0" w:space="0" w:color="auto"/>
      </w:divBdr>
    </w:div>
    <w:div w:id="425880370">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0265103">
      <w:bodyDiv w:val="1"/>
      <w:marLeft w:val="0"/>
      <w:marRight w:val="0"/>
      <w:marTop w:val="0"/>
      <w:marBottom w:val="0"/>
      <w:divBdr>
        <w:top w:val="none" w:sz="0" w:space="0" w:color="auto"/>
        <w:left w:val="none" w:sz="0" w:space="0" w:color="auto"/>
        <w:bottom w:val="none" w:sz="0" w:space="0" w:color="auto"/>
        <w:right w:val="none" w:sz="0" w:space="0" w:color="auto"/>
      </w:divBdr>
    </w:div>
    <w:div w:id="477721488">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0079571">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4196624">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5872449">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3852565">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45863599">
      <w:bodyDiv w:val="1"/>
      <w:marLeft w:val="0"/>
      <w:marRight w:val="0"/>
      <w:marTop w:val="0"/>
      <w:marBottom w:val="0"/>
      <w:divBdr>
        <w:top w:val="none" w:sz="0" w:space="0" w:color="auto"/>
        <w:left w:val="none" w:sz="0" w:space="0" w:color="auto"/>
        <w:bottom w:val="none" w:sz="0" w:space="0" w:color="auto"/>
        <w:right w:val="none" w:sz="0" w:space="0" w:color="auto"/>
      </w:divBdr>
    </w:div>
    <w:div w:id="709187963">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5936840">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54546178">
      <w:bodyDiv w:val="1"/>
      <w:marLeft w:val="0"/>
      <w:marRight w:val="0"/>
      <w:marTop w:val="0"/>
      <w:marBottom w:val="0"/>
      <w:divBdr>
        <w:top w:val="none" w:sz="0" w:space="0" w:color="auto"/>
        <w:left w:val="none" w:sz="0" w:space="0" w:color="auto"/>
        <w:bottom w:val="none" w:sz="0" w:space="0" w:color="auto"/>
        <w:right w:val="none" w:sz="0" w:space="0" w:color="auto"/>
      </w:divBdr>
    </w:div>
    <w:div w:id="773674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4663914">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7286130">
      <w:bodyDiv w:val="1"/>
      <w:marLeft w:val="0"/>
      <w:marRight w:val="0"/>
      <w:marTop w:val="0"/>
      <w:marBottom w:val="0"/>
      <w:divBdr>
        <w:top w:val="none" w:sz="0" w:space="0" w:color="auto"/>
        <w:left w:val="none" w:sz="0" w:space="0" w:color="auto"/>
        <w:bottom w:val="none" w:sz="0" w:space="0" w:color="auto"/>
        <w:right w:val="none" w:sz="0" w:space="0" w:color="auto"/>
      </w:divBdr>
    </w:div>
    <w:div w:id="8357303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3509756">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1106275">
      <w:bodyDiv w:val="1"/>
      <w:marLeft w:val="0"/>
      <w:marRight w:val="0"/>
      <w:marTop w:val="0"/>
      <w:marBottom w:val="0"/>
      <w:divBdr>
        <w:top w:val="none" w:sz="0" w:space="0" w:color="auto"/>
        <w:left w:val="none" w:sz="0" w:space="0" w:color="auto"/>
        <w:bottom w:val="none" w:sz="0" w:space="0" w:color="auto"/>
        <w:right w:val="none" w:sz="0" w:space="0" w:color="auto"/>
      </w:divBdr>
    </w:div>
    <w:div w:id="94577104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58336483">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991493">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8095504">
      <w:bodyDiv w:val="1"/>
      <w:marLeft w:val="0"/>
      <w:marRight w:val="0"/>
      <w:marTop w:val="0"/>
      <w:marBottom w:val="0"/>
      <w:divBdr>
        <w:top w:val="none" w:sz="0" w:space="0" w:color="auto"/>
        <w:left w:val="none" w:sz="0" w:space="0" w:color="auto"/>
        <w:bottom w:val="none" w:sz="0" w:space="0" w:color="auto"/>
        <w:right w:val="none" w:sz="0" w:space="0" w:color="auto"/>
      </w:divBdr>
    </w:div>
    <w:div w:id="1013342660">
      <w:bodyDiv w:val="1"/>
      <w:marLeft w:val="0"/>
      <w:marRight w:val="0"/>
      <w:marTop w:val="0"/>
      <w:marBottom w:val="0"/>
      <w:divBdr>
        <w:top w:val="none" w:sz="0" w:space="0" w:color="auto"/>
        <w:left w:val="none" w:sz="0" w:space="0" w:color="auto"/>
        <w:bottom w:val="none" w:sz="0" w:space="0" w:color="auto"/>
        <w:right w:val="none" w:sz="0" w:space="0" w:color="auto"/>
      </w:divBdr>
    </w:div>
    <w:div w:id="1036538850">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186522">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01993864">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5969913">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427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99590442">
      <w:bodyDiv w:val="1"/>
      <w:marLeft w:val="0"/>
      <w:marRight w:val="0"/>
      <w:marTop w:val="0"/>
      <w:marBottom w:val="0"/>
      <w:divBdr>
        <w:top w:val="none" w:sz="0" w:space="0" w:color="auto"/>
        <w:left w:val="none" w:sz="0" w:space="0" w:color="auto"/>
        <w:bottom w:val="none" w:sz="0" w:space="0" w:color="auto"/>
        <w:right w:val="none" w:sz="0" w:space="0" w:color="auto"/>
      </w:divBdr>
    </w:div>
    <w:div w:id="1203908391">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50129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5454030">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5361685">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8507318">
      <w:bodyDiv w:val="1"/>
      <w:marLeft w:val="0"/>
      <w:marRight w:val="0"/>
      <w:marTop w:val="0"/>
      <w:marBottom w:val="0"/>
      <w:divBdr>
        <w:top w:val="none" w:sz="0" w:space="0" w:color="auto"/>
        <w:left w:val="none" w:sz="0" w:space="0" w:color="auto"/>
        <w:bottom w:val="none" w:sz="0" w:space="0" w:color="auto"/>
        <w:right w:val="none" w:sz="0" w:space="0" w:color="auto"/>
      </w:divBdr>
    </w:div>
    <w:div w:id="128870618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0938706">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0069393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386311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5286808">
      <w:bodyDiv w:val="1"/>
      <w:marLeft w:val="0"/>
      <w:marRight w:val="0"/>
      <w:marTop w:val="0"/>
      <w:marBottom w:val="0"/>
      <w:divBdr>
        <w:top w:val="none" w:sz="0" w:space="0" w:color="auto"/>
        <w:left w:val="none" w:sz="0" w:space="0" w:color="auto"/>
        <w:bottom w:val="none" w:sz="0" w:space="0" w:color="auto"/>
        <w:right w:val="none" w:sz="0" w:space="0" w:color="auto"/>
      </w:divBdr>
    </w:div>
    <w:div w:id="1529445004">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37698105">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7230479">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820172">
      <w:bodyDiv w:val="1"/>
      <w:marLeft w:val="0"/>
      <w:marRight w:val="0"/>
      <w:marTop w:val="0"/>
      <w:marBottom w:val="0"/>
      <w:divBdr>
        <w:top w:val="none" w:sz="0" w:space="0" w:color="auto"/>
        <w:left w:val="none" w:sz="0" w:space="0" w:color="auto"/>
        <w:bottom w:val="none" w:sz="0" w:space="0" w:color="auto"/>
        <w:right w:val="none" w:sz="0" w:space="0" w:color="auto"/>
      </w:divBdr>
    </w:div>
    <w:div w:id="1596669708">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9268151">
      <w:bodyDiv w:val="1"/>
      <w:marLeft w:val="0"/>
      <w:marRight w:val="0"/>
      <w:marTop w:val="0"/>
      <w:marBottom w:val="0"/>
      <w:divBdr>
        <w:top w:val="none" w:sz="0" w:space="0" w:color="auto"/>
        <w:left w:val="none" w:sz="0" w:space="0" w:color="auto"/>
        <w:bottom w:val="none" w:sz="0" w:space="0" w:color="auto"/>
        <w:right w:val="none" w:sz="0" w:space="0" w:color="auto"/>
      </w:divBdr>
    </w:div>
    <w:div w:id="1623537855">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7394241">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9406452">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42483298">
      <w:bodyDiv w:val="1"/>
      <w:marLeft w:val="0"/>
      <w:marRight w:val="0"/>
      <w:marTop w:val="0"/>
      <w:marBottom w:val="0"/>
      <w:divBdr>
        <w:top w:val="none" w:sz="0" w:space="0" w:color="auto"/>
        <w:left w:val="none" w:sz="0" w:space="0" w:color="auto"/>
        <w:bottom w:val="none" w:sz="0" w:space="0" w:color="auto"/>
        <w:right w:val="none" w:sz="0" w:space="0" w:color="auto"/>
      </w:divBdr>
    </w:div>
    <w:div w:id="1759255167">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9959496">
      <w:bodyDiv w:val="1"/>
      <w:marLeft w:val="0"/>
      <w:marRight w:val="0"/>
      <w:marTop w:val="0"/>
      <w:marBottom w:val="0"/>
      <w:divBdr>
        <w:top w:val="none" w:sz="0" w:space="0" w:color="auto"/>
        <w:left w:val="none" w:sz="0" w:space="0" w:color="auto"/>
        <w:bottom w:val="none" w:sz="0" w:space="0" w:color="auto"/>
        <w:right w:val="none" w:sz="0" w:space="0" w:color="auto"/>
      </w:divBdr>
    </w:div>
    <w:div w:id="1820535823">
      <w:bodyDiv w:val="1"/>
      <w:marLeft w:val="0"/>
      <w:marRight w:val="0"/>
      <w:marTop w:val="0"/>
      <w:marBottom w:val="0"/>
      <w:divBdr>
        <w:top w:val="none" w:sz="0" w:space="0" w:color="auto"/>
        <w:left w:val="none" w:sz="0" w:space="0" w:color="auto"/>
        <w:bottom w:val="none" w:sz="0" w:space="0" w:color="auto"/>
        <w:right w:val="none" w:sz="0" w:space="0" w:color="auto"/>
      </w:divBdr>
    </w:div>
    <w:div w:id="183175322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317568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4172039">
      <w:bodyDiv w:val="1"/>
      <w:marLeft w:val="0"/>
      <w:marRight w:val="0"/>
      <w:marTop w:val="0"/>
      <w:marBottom w:val="0"/>
      <w:divBdr>
        <w:top w:val="none" w:sz="0" w:space="0" w:color="auto"/>
        <w:left w:val="none" w:sz="0" w:space="0" w:color="auto"/>
        <w:bottom w:val="none" w:sz="0" w:space="0" w:color="auto"/>
        <w:right w:val="none" w:sz="0" w:space="0" w:color="auto"/>
      </w:divBdr>
    </w:div>
    <w:div w:id="1990789240">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0201642">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5484253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044E4-139A-469B-A866-AE3A5DD1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19</Pages>
  <Words>5956</Words>
  <Characters>33953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ZHONG, Yun</cp:lastModifiedBy>
  <cp:revision>142</cp:revision>
  <cp:lastPrinted>2018-12-06T03:02:00Z</cp:lastPrinted>
  <dcterms:created xsi:type="dcterms:W3CDTF">2017-04-11T02:19:00Z</dcterms:created>
  <dcterms:modified xsi:type="dcterms:W3CDTF">2019-04-26T03:16:00Z</dcterms:modified>
</cp:coreProperties>
</file>