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3261"/>
        <w:gridCol w:w="6947"/>
      </w:tblGrid>
      <w:tr w:rsidR="00987FDA" w:rsidRPr="00D3523D" w14:paraId="2F780D8A" w14:textId="77777777" w:rsidTr="00257615">
        <w:trPr>
          <w:tblHeader/>
        </w:trPr>
        <w:tc>
          <w:tcPr>
            <w:tcW w:w="2694" w:type="dxa"/>
            <w:tcMar>
              <w:top w:w="28" w:type="dxa"/>
              <w:bottom w:w="28" w:type="dxa"/>
            </w:tcMar>
          </w:tcPr>
          <w:p w14:paraId="00CD22C3" w14:textId="77777777" w:rsidR="0065234B" w:rsidRPr="00D3523D" w:rsidRDefault="002960C3" w:rsidP="002960C3">
            <w:pPr>
              <w:widowControl w:val="0"/>
              <w:jc w:val="center"/>
              <w:rPr>
                <w:rFonts w:ascii="Arial" w:hAnsi="Arial" w:cs="Arial"/>
                <w:b/>
              </w:rPr>
            </w:pPr>
            <w:r w:rsidRPr="00D3523D">
              <w:rPr>
                <w:rFonts w:ascii="Arial" w:hAnsi="Arial" w:cs="Arial"/>
                <w:b/>
              </w:rPr>
              <w:t>DRUG NAME, FORM(S), STRENGTH(S), SPONSOR, TYPE OF SUBMISSION</w:t>
            </w:r>
          </w:p>
          <w:p w14:paraId="58BB41E5" w14:textId="77777777" w:rsidR="00257615" w:rsidRPr="00D3523D" w:rsidRDefault="00257615" w:rsidP="002960C3">
            <w:pPr>
              <w:widowControl w:val="0"/>
              <w:jc w:val="center"/>
              <w:rPr>
                <w:rFonts w:ascii="Arial" w:hAnsi="Arial" w:cs="Arial"/>
                <w:b/>
              </w:rPr>
            </w:pPr>
          </w:p>
        </w:tc>
        <w:tc>
          <w:tcPr>
            <w:tcW w:w="2409" w:type="dxa"/>
            <w:tcMar>
              <w:top w:w="28" w:type="dxa"/>
              <w:bottom w:w="28" w:type="dxa"/>
            </w:tcMar>
          </w:tcPr>
          <w:p w14:paraId="22DBCABB" w14:textId="77777777" w:rsidR="00987FDA" w:rsidRPr="00D3523D" w:rsidRDefault="002960C3" w:rsidP="002960C3">
            <w:pPr>
              <w:widowControl w:val="0"/>
              <w:jc w:val="center"/>
              <w:rPr>
                <w:rFonts w:ascii="Arial" w:hAnsi="Arial" w:cs="Arial"/>
                <w:b/>
                <w:snapToGrid w:val="0"/>
                <w:lang w:eastAsia="en-US"/>
              </w:rPr>
            </w:pPr>
            <w:r w:rsidRPr="00D3523D">
              <w:rPr>
                <w:rFonts w:ascii="Arial" w:hAnsi="Arial" w:cs="Arial"/>
                <w:b/>
                <w:snapToGrid w:val="0"/>
                <w:lang w:eastAsia="en-US"/>
              </w:rPr>
              <w:t>DRUG TYPE AND USE</w:t>
            </w:r>
          </w:p>
          <w:p w14:paraId="64FD3362" w14:textId="77777777" w:rsidR="00987FDA" w:rsidRPr="00D3523D" w:rsidRDefault="00987FDA" w:rsidP="002960C3">
            <w:pPr>
              <w:widowControl w:val="0"/>
              <w:jc w:val="center"/>
              <w:rPr>
                <w:rFonts w:ascii="Arial" w:hAnsi="Arial" w:cs="Arial"/>
                <w:b/>
                <w:snapToGrid w:val="0"/>
                <w:lang w:eastAsia="en-US"/>
              </w:rPr>
            </w:pPr>
          </w:p>
        </w:tc>
        <w:tc>
          <w:tcPr>
            <w:tcW w:w="3261" w:type="dxa"/>
            <w:tcMar>
              <w:top w:w="28" w:type="dxa"/>
              <w:bottom w:w="28" w:type="dxa"/>
            </w:tcMar>
          </w:tcPr>
          <w:p w14:paraId="60A9336E" w14:textId="77777777" w:rsidR="00987FDA" w:rsidRPr="00D3523D" w:rsidRDefault="002960C3" w:rsidP="002960C3">
            <w:pPr>
              <w:widowControl w:val="0"/>
              <w:jc w:val="center"/>
              <w:rPr>
                <w:rFonts w:ascii="Arial" w:hAnsi="Arial" w:cs="Arial"/>
                <w:b/>
                <w:snapToGrid w:val="0"/>
                <w:lang w:eastAsia="en-US"/>
              </w:rPr>
            </w:pPr>
            <w:r w:rsidRPr="00D3523D">
              <w:rPr>
                <w:rFonts w:ascii="Arial" w:hAnsi="Arial" w:cs="Arial"/>
                <w:b/>
                <w:snapToGrid w:val="0"/>
                <w:lang w:eastAsia="en-US"/>
              </w:rPr>
              <w:t>LISTING REQUESTED BY SPONSOR / PURPOSE OF SUBMISSION</w:t>
            </w:r>
          </w:p>
        </w:tc>
        <w:tc>
          <w:tcPr>
            <w:tcW w:w="6947" w:type="dxa"/>
          </w:tcPr>
          <w:p w14:paraId="5626F454" w14:textId="77777777" w:rsidR="00987FDA" w:rsidRPr="00D3523D" w:rsidRDefault="00987FDA" w:rsidP="00D167D0">
            <w:pPr>
              <w:pStyle w:val="Header"/>
              <w:jc w:val="center"/>
              <w:rPr>
                <w:rFonts w:ascii="Arial" w:hAnsi="Arial" w:cs="Arial"/>
                <w:b/>
                <w:snapToGrid w:val="0"/>
                <w:lang w:eastAsia="en-US"/>
              </w:rPr>
            </w:pPr>
            <w:r w:rsidRPr="00D3523D">
              <w:rPr>
                <w:rFonts w:ascii="Arial" w:hAnsi="Arial" w:cs="Arial"/>
                <w:b/>
                <w:snapToGrid w:val="0"/>
                <w:lang w:eastAsia="en-US"/>
              </w:rPr>
              <w:t xml:space="preserve">PBAC </w:t>
            </w:r>
            <w:r w:rsidR="002960C3" w:rsidRPr="00D3523D">
              <w:rPr>
                <w:rFonts w:ascii="Arial" w:hAnsi="Arial" w:cs="Arial"/>
                <w:b/>
                <w:snapToGrid w:val="0"/>
                <w:lang w:eastAsia="en-US"/>
              </w:rPr>
              <w:t>OUTCOME</w:t>
            </w:r>
          </w:p>
        </w:tc>
      </w:tr>
      <w:tr w:rsidR="004D72CE" w:rsidRPr="00D3523D" w14:paraId="61A413D1" w14:textId="77777777" w:rsidTr="00257615">
        <w:trPr>
          <w:cantSplit/>
          <w:trHeight w:val="896"/>
        </w:trPr>
        <w:tc>
          <w:tcPr>
            <w:tcW w:w="2694" w:type="dxa"/>
            <w:vMerge w:val="restart"/>
            <w:tcMar>
              <w:top w:w="28" w:type="dxa"/>
              <w:bottom w:w="28" w:type="dxa"/>
            </w:tcMar>
          </w:tcPr>
          <w:p w14:paraId="2BAC2480" w14:textId="77777777" w:rsidR="00AE4F14" w:rsidRPr="00D3523D" w:rsidRDefault="00AE4F14" w:rsidP="00AE4F14">
            <w:pPr>
              <w:rPr>
                <w:rFonts w:ascii="Arial" w:hAnsi="Arial" w:cs="Arial"/>
              </w:rPr>
            </w:pPr>
            <w:r w:rsidRPr="00D3523D">
              <w:rPr>
                <w:rFonts w:ascii="Arial" w:hAnsi="Arial" w:cs="Arial"/>
              </w:rPr>
              <w:t>ATEZOLIZUMAB</w:t>
            </w:r>
          </w:p>
          <w:p w14:paraId="06011347" w14:textId="77777777" w:rsidR="00AE4F14" w:rsidRPr="00D3523D" w:rsidRDefault="00AE4F14" w:rsidP="00AE4F14">
            <w:pPr>
              <w:rPr>
                <w:rFonts w:ascii="Arial" w:hAnsi="Arial" w:cs="Arial"/>
              </w:rPr>
            </w:pPr>
          </w:p>
          <w:p w14:paraId="724D36EC" w14:textId="77777777" w:rsidR="00AE4F14" w:rsidRPr="00D3523D" w:rsidRDefault="00AE4F14" w:rsidP="00AE4F14">
            <w:pPr>
              <w:rPr>
                <w:rFonts w:ascii="Arial" w:hAnsi="Arial" w:cs="Arial"/>
              </w:rPr>
            </w:pPr>
            <w:r w:rsidRPr="00D3523D">
              <w:rPr>
                <w:rFonts w:ascii="Arial" w:hAnsi="Arial" w:cs="Arial"/>
              </w:rPr>
              <w:t>Solution concentrate for I.V. infusion 1200 mg in 20 mL</w:t>
            </w:r>
          </w:p>
          <w:p w14:paraId="1740FB6A" w14:textId="77777777" w:rsidR="00AE4F14" w:rsidRPr="00D3523D" w:rsidRDefault="00AE4F14" w:rsidP="00AE4F14">
            <w:pPr>
              <w:rPr>
                <w:rFonts w:ascii="Arial" w:hAnsi="Arial" w:cs="Arial"/>
              </w:rPr>
            </w:pPr>
          </w:p>
          <w:p w14:paraId="32F9D8C4" w14:textId="77777777" w:rsidR="00AE4F14" w:rsidRPr="00D3523D" w:rsidRDefault="00AE4F14" w:rsidP="00AE4F14">
            <w:pPr>
              <w:rPr>
                <w:rFonts w:ascii="Arial" w:hAnsi="Arial" w:cs="Arial"/>
              </w:rPr>
            </w:pPr>
            <w:r w:rsidRPr="00D3523D">
              <w:rPr>
                <w:rFonts w:ascii="Arial" w:hAnsi="Arial" w:cs="Arial"/>
              </w:rPr>
              <w:t>Tecentriq®</w:t>
            </w:r>
          </w:p>
          <w:p w14:paraId="35FDA714" w14:textId="77777777" w:rsidR="00AE4F14" w:rsidRPr="00D3523D" w:rsidRDefault="00AE4F14" w:rsidP="00AE4F14">
            <w:pPr>
              <w:rPr>
                <w:rFonts w:ascii="Arial" w:hAnsi="Arial" w:cs="Arial"/>
              </w:rPr>
            </w:pPr>
          </w:p>
          <w:p w14:paraId="5EFF75DE" w14:textId="77777777" w:rsidR="00AE4F14" w:rsidRPr="00D3523D" w:rsidRDefault="00AE4F14" w:rsidP="00AE4F14">
            <w:pPr>
              <w:rPr>
                <w:rFonts w:ascii="Arial" w:hAnsi="Arial" w:cs="Arial"/>
              </w:rPr>
            </w:pPr>
            <w:r w:rsidRPr="00D3523D">
              <w:rPr>
                <w:rFonts w:ascii="Arial" w:hAnsi="Arial" w:cs="Arial"/>
              </w:rPr>
              <w:t>Roche Products Pty Ltd</w:t>
            </w:r>
          </w:p>
          <w:p w14:paraId="0959AA0E" w14:textId="77777777" w:rsidR="00AE4F14" w:rsidRPr="00D3523D" w:rsidRDefault="00AE4F14" w:rsidP="00AE4F14">
            <w:pPr>
              <w:rPr>
                <w:rFonts w:ascii="Arial" w:hAnsi="Arial" w:cs="Arial"/>
              </w:rPr>
            </w:pPr>
          </w:p>
          <w:p w14:paraId="4FDD9DD9" w14:textId="77777777" w:rsidR="00AE4F14" w:rsidRPr="00D3523D" w:rsidRDefault="00AE4F14" w:rsidP="00AE4F14">
            <w:pPr>
              <w:rPr>
                <w:rFonts w:ascii="Arial" w:hAnsi="Arial" w:cs="Arial"/>
              </w:rPr>
            </w:pPr>
            <w:r w:rsidRPr="00D3523D">
              <w:rPr>
                <w:rFonts w:ascii="Arial" w:hAnsi="Arial" w:cs="Arial"/>
              </w:rPr>
              <w:t>Change to listing (Major Submission)</w:t>
            </w:r>
          </w:p>
        </w:tc>
        <w:tc>
          <w:tcPr>
            <w:tcW w:w="2409" w:type="dxa"/>
            <w:vMerge w:val="restart"/>
          </w:tcPr>
          <w:p w14:paraId="03FD619B" w14:textId="77777777" w:rsidR="004D72CE" w:rsidRPr="00D3523D" w:rsidRDefault="00555C08" w:rsidP="00335779">
            <w:pPr>
              <w:rPr>
                <w:rFonts w:ascii="Arial" w:hAnsi="Arial" w:cs="Arial"/>
              </w:rPr>
            </w:pPr>
            <w:r w:rsidRPr="00D3523D">
              <w:rPr>
                <w:rFonts w:ascii="Arial" w:hAnsi="Arial" w:cs="Arial"/>
              </w:rPr>
              <w:t>Small cell lung cancer</w:t>
            </w:r>
            <w:r w:rsidR="00B31A2F" w:rsidRPr="00D3523D">
              <w:rPr>
                <w:rFonts w:ascii="Arial" w:hAnsi="Arial" w:cs="Arial"/>
              </w:rPr>
              <w:t xml:space="preserve"> (SCLC)</w:t>
            </w:r>
          </w:p>
        </w:tc>
        <w:tc>
          <w:tcPr>
            <w:tcW w:w="3261" w:type="dxa"/>
            <w:tcMar>
              <w:top w:w="28" w:type="dxa"/>
              <w:bottom w:w="28" w:type="dxa"/>
            </w:tcMar>
          </w:tcPr>
          <w:p w14:paraId="2A962DA2" w14:textId="77777777" w:rsidR="004D72CE" w:rsidRPr="00D3523D" w:rsidRDefault="00555C08" w:rsidP="00555C08">
            <w:pPr>
              <w:rPr>
                <w:rFonts w:ascii="Arial" w:hAnsi="Arial" w:cs="Arial"/>
              </w:rPr>
            </w:pPr>
            <w:r w:rsidRPr="00D3523D">
              <w:rPr>
                <w:rFonts w:ascii="Arial" w:hAnsi="Arial" w:cs="Arial"/>
              </w:rPr>
              <w:t>To request a Section 100 (Efficient Funding of Chemotherapy Program) Authority Required (STREAMLINED) listing for the first-line treatment of patients with extensive-stage small cell lung cancer</w:t>
            </w:r>
            <w:r w:rsidR="000F26BE" w:rsidRPr="00D3523D">
              <w:rPr>
                <w:rFonts w:ascii="Arial" w:hAnsi="Arial" w:cs="Arial"/>
              </w:rPr>
              <w:t xml:space="preserve"> (SCLC)</w:t>
            </w:r>
            <w:r w:rsidRPr="00D3523D">
              <w:rPr>
                <w:rFonts w:ascii="Arial" w:hAnsi="Arial" w:cs="Arial"/>
              </w:rPr>
              <w:t>.</w:t>
            </w:r>
          </w:p>
        </w:tc>
        <w:tc>
          <w:tcPr>
            <w:tcW w:w="6947" w:type="dxa"/>
          </w:tcPr>
          <w:p w14:paraId="5E616DC7" w14:textId="5339DFDD" w:rsidR="00B31A2F" w:rsidRPr="00D3523D" w:rsidRDefault="0037737B" w:rsidP="007E2BA4">
            <w:pPr>
              <w:spacing w:after="120"/>
              <w:rPr>
                <w:rFonts w:ascii="Arial" w:hAnsi="Arial" w:cs="Arial"/>
                <w:iCs/>
              </w:rPr>
            </w:pPr>
            <w:r w:rsidRPr="00D3523D">
              <w:rPr>
                <w:rFonts w:ascii="Arial" w:hAnsi="Arial" w:cs="Arial"/>
                <w:iCs/>
              </w:rPr>
              <w:t>The PBAC did not recommend atezolizumab for the treatment of previously untreated extensive</w:t>
            </w:r>
            <w:r w:rsidR="000F26BE" w:rsidRPr="00D3523D">
              <w:rPr>
                <w:rFonts w:ascii="Arial" w:hAnsi="Arial" w:cs="Arial"/>
                <w:iCs/>
              </w:rPr>
              <w:t>-</w:t>
            </w:r>
            <w:r w:rsidRPr="00D3523D">
              <w:rPr>
                <w:rFonts w:ascii="Arial" w:hAnsi="Arial" w:cs="Arial"/>
                <w:iCs/>
              </w:rPr>
              <w:t>sta</w:t>
            </w:r>
            <w:r w:rsidR="000F26BE" w:rsidRPr="00D3523D">
              <w:rPr>
                <w:rFonts w:ascii="Arial" w:hAnsi="Arial" w:cs="Arial"/>
                <w:iCs/>
              </w:rPr>
              <w:t>g</w:t>
            </w:r>
            <w:r w:rsidRPr="00D3523D">
              <w:rPr>
                <w:rFonts w:ascii="Arial" w:hAnsi="Arial" w:cs="Arial"/>
                <w:iCs/>
              </w:rPr>
              <w:t>e SCLC. The PBAC noted the high clinical need for effective treatments in this therapeutic area.</w:t>
            </w:r>
          </w:p>
          <w:p w14:paraId="5ABD4189" w14:textId="6E4E0C6E" w:rsidR="007E2BA4" w:rsidRPr="00D3523D" w:rsidRDefault="0037737B" w:rsidP="007E2BA4">
            <w:pPr>
              <w:spacing w:after="120"/>
              <w:rPr>
                <w:rFonts w:ascii="Arial" w:hAnsi="Arial" w:cs="Arial"/>
                <w:iCs/>
              </w:rPr>
            </w:pPr>
            <w:r w:rsidRPr="00D3523D">
              <w:rPr>
                <w:rFonts w:ascii="Arial" w:hAnsi="Arial" w:cs="Arial"/>
                <w:iCs/>
              </w:rPr>
              <w:t xml:space="preserve">The PBAC considered the evidence presented demonstrated there was a modest improvement in overall survival with atezolizumab. Although the PBAC considered this change to be clinically meaningful, the PBAC noted the magnitude and durability of this benefit was uncertain and the impact on patient quality of life was unclear. </w:t>
            </w:r>
          </w:p>
          <w:p w14:paraId="2988013C" w14:textId="674BB839" w:rsidR="00AE0CA2" w:rsidRPr="00D3523D" w:rsidRDefault="0037737B" w:rsidP="000F26BE">
            <w:pPr>
              <w:spacing w:after="120"/>
              <w:rPr>
                <w:rFonts w:ascii="Arial" w:hAnsi="Arial" w:cs="Arial"/>
                <w:iCs/>
              </w:rPr>
            </w:pPr>
            <w:r w:rsidRPr="00D3523D">
              <w:rPr>
                <w:rFonts w:ascii="Arial" w:hAnsi="Arial" w:cs="Arial"/>
                <w:iCs/>
              </w:rPr>
              <w:t xml:space="preserve">The PBAC also considered the </w:t>
            </w:r>
            <w:r w:rsidR="000F26BE" w:rsidRPr="00D3523D">
              <w:rPr>
                <w:rFonts w:ascii="Arial" w:hAnsi="Arial" w:cs="Arial"/>
                <w:iCs/>
              </w:rPr>
              <w:t>i</w:t>
            </w:r>
            <w:r w:rsidR="00B31A2F" w:rsidRPr="00D3523D">
              <w:rPr>
                <w:rFonts w:ascii="Arial" w:hAnsi="Arial" w:cs="Arial"/>
                <w:iCs/>
              </w:rPr>
              <w:t xml:space="preserve">ncremental </w:t>
            </w:r>
            <w:r w:rsidR="000F26BE" w:rsidRPr="00D3523D">
              <w:rPr>
                <w:rFonts w:ascii="Arial" w:hAnsi="Arial" w:cs="Arial"/>
                <w:iCs/>
              </w:rPr>
              <w:t>c</w:t>
            </w:r>
            <w:r w:rsidR="00B31A2F" w:rsidRPr="00D3523D">
              <w:rPr>
                <w:rFonts w:ascii="Arial" w:hAnsi="Arial" w:cs="Arial"/>
                <w:iCs/>
              </w:rPr>
              <w:t>ost</w:t>
            </w:r>
            <w:r w:rsidR="000F26BE" w:rsidRPr="00D3523D">
              <w:rPr>
                <w:rFonts w:ascii="Arial" w:hAnsi="Arial" w:cs="Arial"/>
                <w:iCs/>
              </w:rPr>
              <w:t xml:space="preserve"> e</w:t>
            </w:r>
            <w:r w:rsidR="00B31A2F" w:rsidRPr="00D3523D">
              <w:rPr>
                <w:rFonts w:ascii="Arial" w:hAnsi="Arial" w:cs="Arial"/>
                <w:iCs/>
              </w:rPr>
              <w:t xml:space="preserve">ffectiveness </w:t>
            </w:r>
            <w:r w:rsidR="000F26BE" w:rsidRPr="00D3523D">
              <w:rPr>
                <w:rFonts w:ascii="Arial" w:hAnsi="Arial" w:cs="Arial"/>
                <w:iCs/>
              </w:rPr>
              <w:t>r</w:t>
            </w:r>
            <w:r w:rsidR="00B31A2F" w:rsidRPr="00D3523D">
              <w:rPr>
                <w:rFonts w:ascii="Arial" w:hAnsi="Arial" w:cs="Arial"/>
                <w:iCs/>
              </w:rPr>
              <w:t>atio</w:t>
            </w:r>
            <w:r w:rsidRPr="00D3523D">
              <w:rPr>
                <w:rFonts w:ascii="Arial" w:hAnsi="Arial" w:cs="Arial"/>
                <w:iCs/>
              </w:rPr>
              <w:t xml:space="preserve"> in this setting was uncertain and unacceptably high at the proposed price.</w:t>
            </w:r>
          </w:p>
        </w:tc>
      </w:tr>
      <w:tr w:rsidR="004D72CE" w:rsidRPr="00D3523D" w14:paraId="12226BC8" w14:textId="77777777" w:rsidTr="00257615">
        <w:trPr>
          <w:cantSplit/>
          <w:trHeight w:val="465"/>
        </w:trPr>
        <w:tc>
          <w:tcPr>
            <w:tcW w:w="2694" w:type="dxa"/>
            <w:vMerge/>
            <w:tcMar>
              <w:top w:w="28" w:type="dxa"/>
              <w:bottom w:w="28" w:type="dxa"/>
            </w:tcMar>
          </w:tcPr>
          <w:p w14:paraId="6E991B87" w14:textId="77777777" w:rsidR="004D72CE" w:rsidRPr="00D3523D" w:rsidRDefault="004D72CE" w:rsidP="00335779">
            <w:pPr>
              <w:rPr>
                <w:rFonts w:ascii="Arial" w:hAnsi="Arial" w:cs="Arial"/>
              </w:rPr>
            </w:pPr>
          </w:p>
        </w:tc>
        <w:tc>
          <w:tcPr>
            <w:tcW w:w="2409" w:type="dxa"/>
            <w:vMerge/>
          </w:tcPr>
          <w:p w14:paraId="02C20BBF" w14:textId="77777777" w:rsidR="004D72CE" w:rsidRPr="00D3523D" w:rsidRDefault="004D72CE" w:rsidP="00335779">
            <w:pPr>
              <w:widowControl w:val="0"/>
              <w:rPr>
                <w:rFonts w:ascii="Arial" w:hAnsi="Arial" w:cs="Arial"/>
                <w:snapToGrid w:val="0"/>
                <w:lang w:eastAsia="en-US"/>
              </w:rPr>
            </w:pPr>
          </w:p>
        </w:tc>
        <w:tc>
          <w:tcPr>
            <w:tcW w:w="3261" w:type="dxa"/>
            <w:tcMar>
              <w:top w:w="28" w:type="dxa"/>
              <w:bottom w:w="28" w:type="dxa"/>
            </w:tcMar>
          </w:tcPr>
          <w:p w14:paraId="6949620B" w14:textId="77777777" w:rsidR="004D72CE" w:rsidRPr="00D3523D" w:rsidRDefault="004D72CE" w:rsidP="00845DB3">
            <w:pPr>
              <w:pStyle w:val="ListParagraph"/>
              <w:ind w:left="0"/>
              <w:jc w:val="right"/>
              <w:rPr>
                <w:rFonts w:ascii="Arial" w:hAnsi="Arial" w:cs="Arial"/>
                <w:snapToGrid w:val="0"/>
                <w:sz w:val="20"/>
                <w:szCs w:val="20"/>
                <w:lang w:eastAsia="en-US"/>
              </w:rPr>
            </w:pPr>
            <w:r w:rsidRPr="00D3523D">
              <w:rPr>
                <w:rFonts w:ascii="Arial" w:hAnsi="Arial" w:cs="Arial"/>
                <w:snapToGrid w:val="0"/>
                <w:sz w:val="20"/>
                <w:szCs w:val="20"/>
                <w:lang w:eastAsia="en-US"/>
              </w:rPr>
              <w:t>Sponsor</w:t>
            </w:r>
            <w:r w:rsidR="0074771E" w:rsidRPr="00D3523D">
              <w:rPr>
                <w:rFonts w:ascii="Arial" w:hAnsi="Arial" w:cs="Arial"/>
                <w:snapToGrid w:val="0"/>
                <w:sz w:val="20"/>
                <w:szCs w:val="20"/>
                <w:lang w:eastAsia="en-US"/>
              </w:rPr>
              <w:t>’s</w:t>
            </w:r>
            <w:r w:rsidRPr="00D3523D">
              <w:rPr>
                <w:rFonts w:ascii="Arial" w:hAnsi="Arial" w:cs="Arial"/>
                <w:snapToGrid w:val="0"/>
                <w:sz w:val="20"/>
                <w:szCs w:val="20"/>
                <w:lang w:eastAsia="en-US"/>
              </w:rPr>
              <w:t xml:space="preserve"> Comment:</w:t>
            </w:r>
          </w:p>
        </w:tc>
        <w:tc>
          <w:tcPr>
            <w:tcW w:w="6947" w:type="dxa"/>
          </w:tcPr>
          <w:p w14:paraId="3F434106" w14:textId="4816ED45" w:rsidR="00EA19A5" w:rsidRPr="00D3523D" w:rsidRDefault="00F30B28" w:rsidP="000E1E84">
            <w:pPr>
              <w:pStyle w:val="ListParagraph"/>
              <w:ind w:left="0"/>
              <w:jc w:val="both"/>
              <w:rPr>
                <w:rFonts w:ascii="Arial" w:hAnsi="Arial" w:cs="Arial"/>
                <w:iCs/>
                <w:sz w:val="20"/>
                <w:szCs w:val="20"/>
              </w:rPr>
            </w:pPr>
            <w:r w:rsidRPr="00F30B28">
              <w:rPr>
                <w:rFonts w:ascii="Arial" w:hAnsi="Arial" w:cs="Arial"/>
                <w:iCs/>
                <w:sz w:val="20"/>
                <w:szCs w:val="20"/>
              </w:rPr>
              <w:t xml:space="preserve">Roche is disappointed with the outcome given the genuine unmet need for a new treatment option that can prolong survival in patients with extensive-stage small cell lung cancer. Roche is committed to working with the PBAC to ensure that Australian patients with </w:t>
            </w:r>
            <w:r w:rsidR="006F726F">
              <w:rPr>
                <w:rFonts w:ascii="Arial" w:hAnsi="Arial" w:cs="Arial"/>
                <w:iCs/>
                <w:sz w:val="20"/>
                <w:szCs w:val="20"/>
              </w:rPr>
              <w:t xml:space="preserve">extensive-stage </w:t>
            </w:r>
            <w:r w:rsidRPr="00F30B28">
              <w:rPr>
                <w:rFonts w:ascii="Arial" w:hAnsi="Arial" w:cs="Arial"/>
                <w:iCs/>
                <w:sz w:val="20"/>
                <w:szCs w:val="20"/>
              </w:rPr>
              <w:t>SCLC can access atezolizumab at the earliest opportunity.</w:t>
            </w:r>
          </w:p>
        </w:tc>
      </w:tr>
      <w:tr w:rsidR="002B4D46" w:rsidRPr="00D3523D" w14:paraId="32FFE0DE" w14:textId="77777777" w:rsidTr="00257615">
        <w:trPr>
          <w:cantSplit/>
          <w:trHeight w:val="465"/>
        </w:trPr>
        <w:tc>
          <w:tcPr>
            <w:tcW w:w="2694" w:type="dxa"/>
            <w:vMerge w:val="restart"/>
            <w:tcMar>
              <w:top w:w="28" w:type="dxa"/>
              <w:bottom w:w="28" w:type="dxa"/>
            </w:tcMar>
          </w:tcPr>
          <w:p w14:paraId="4D8DA103" w14:textId="77777777" w:rsidR="00AE4F14" w:rsidRPr="00D3523D" w:rsidRDefault="00AE4F14" w:rsidP="00AE4F14">
            <w:pPr>
              <w:rPr>
                <w:rFonts w:ascii="Arial" w:hAnsi="Arial" w:cs="Arial"/>
              </w:rPr>
            </w:pPr>
            <w:r w:rsidRPr="00D3523D">
              <w:rPr>
                <w:rFonts w:ascii="Arial" w:hAnsi="Arial" w:cs="Arial"/>
              </w:rPr>
              <w:t>BUDESONIDE WITH FORMOTEROL</w:t>
            </w:r>
          </w:p>
          <w:p w14:paraId="4D66C342" w14:textId="77777777" w:rsidR="00AE4F14" w:rsidRPr="00D3523D" w:rsidRDefault="00AE4F14" w:rsidP="00AE4F14">
            <w:pPr>
              <w:rPr>
                <w:rFonts w:ascii="Arial" w:hAnsi="Arial" w:cs="Arial"/>
              </w:rPr>
            </w:pPr>
          </w:p>
          <w:p w14:paraId="7A5DACA4" w14:textId="5EE741CA" w:rsidR="00AE4F14" w:rsidRPr="00D3523D" w:rsidRDefault="00AE4F14" w:rsidP="00AE4F14">
            <w:pPr>
              <w:rPr>
                <w:rFonts w:ascii="Arial" w:hAnsi="Arial" w:cs="Arial"/>
              </w:rPr>
            </w:pPr>
            <w:r w:rsidRPr="00D3523D">
              <w:rPr>
                <w:rFonts w:ascii="Arial" w:hAnsi="Arial" w:cs="Arial"/>
              </w:rPr>
              <w:t>Powder for oral inhalation in breath actuated device containing budesonide 200 micrograms with formoterol fumarate dihydrate 6 micrograms per dose, 120 doses</w:t>
            </w:r>
          </w:p>
          <w:p w14:paraId="18933B35" w14:textId="77777777" w:rsidR="00AE4F14" w:rsidRPr="00D3523D" w:rsidRDefault="00AE4F14" w:rsidP="00AE4F14">
            <w:pPr>
              <w:rPr>
                <w:rFonts w:ascii="Arial" w:hAnsi="Arial" w:cs="Arial"/>
              </w:rPr>
            </w:pPr>
            <w:r w:rsidRPr="00D3523D">
              <w:rPr>
                <w:rFonts w:ascii="Arial" w:hAnsi="Arial" w:cs="Arial"/>
              </w:rPr>
              <w:t>Pressurised inhalation containing budesonide 100 micrograms with formoterol fumarate dihydrate 3 micrograms per dose, 120 doses</w:t>
            </w:r>
          </w:p>
          <w:p w14:paraId="63530C3C" w14:textId="77777777" w:rsidR="00AE4F14" w:rsidRPr="00D3523D" w:rsidRDefault="00AE4F14" w:rsidP="00AE4F14">
            <w:pPr>
              <w:rPr>
                <w:rFonts w:ascii="Arial" w:hAnsi="Arial" w:cs="Arial"/>
              </w:rPr>
            </w:pPr>
          </w:p>
          <w:p w14:paraId="04094B8B" w14:textId="68D3CF7A" w:rsidR="00AE4F14" w:rsidRPr="00D3523D" w:rsidRDefault="00AE4F14" w:rsidP="00AE4F14">
            <w:pPr>
              <w:rPr>
                <w:rFonts w:ascii="Arial" w:hAnsi="Arial" w:cs="Arial"/>
              </w:rPr>
            </w:pPr>
            <w:r w:rsidRPr="00D3523D">
              <w:rPr>
                <w:rFonts w:ascii="Arial" w:hAnsi="Arial" w:cs="Arial"/>
              </w:rPr>
              <w:lastRenderedPageBreak/>
              <w:t>Symbicort® Turbuhaler® 200/6</w:t>
            </w:r>
          </w:p>
          <w:p w14:paraId="73A3BCA1" w14:textId="77777777" w:rsidR="00AE4F14" w:rsidRPr="00D3523D" w:rsidRDefault="00AE4F14" w:rsidP="00AE4F14">
            <w:pPr>
              <w:rPr>
                <w:rFonts w:ascii="Arial" w:hAnsi="Arial" w:cs="Arial"/>
              </w:rPr>
            </w:pPr>
            <w:r w:rsidRPr="00D3523D">
              <w:rPr>
                <w:rFonts w:ascii="Arial" w:hAnsi="Arial" w:cs="Arial"/>
              </w:rPr>
              <w:t>Symbicort® Rapihaler® 100/3</w:t>
            </w:r>
          </w:p>
          <w:p w14:paraId="6B8861F9" w14:textId="77777777" w:rsidR="00AE4F14" w:rsidRPr="00D3523D" w:rsidRDefault="00AE4F14" w:rsidP="00AE4F14">
            <w:pPr>
              <w:rPr>
                <w:rFonts w:ascii="Arial" w:hAnsi="Arial" w:cs="Arial"/>
              </w:rPr>
            </w:pPr>
          </w:p>
          <w:p w14:paraId="6A238677" w14:textId="77777777" w:rsidR="002B4D46" w:rsidRPr="00D3523D" w:rsidRDefault="00AE4F14" w:rsidP="00AE4F14">
            <w:pPr>
              <w:rPr>
                <w:rFonts w:ascii="Arial" w:hAnsi="Arial" w:cs="Arial"/>
              </w:rPr>
            </w:pPr>
            <w:r w:rsidRPr="00D3523D">
              <w:rPr>
                <w:rFonts w:ascii="Arial" w:hAnsi="Arial" w:cs="Arial"/>
              </w:rPr>
              <w:t>AstraZeneca Pty Ltd</w:t>
            </w:r>
          </w:p>
          <w:p w14:paraId="6FEA6A8E" w14:textId="77777777" w:rsidR="00AE4F14" w:rsidRPr="00D3523D" w:rsidRDefault="00AE4F14" w:rsidP="00AE4F14">
            <w:pPr>
              <w:rPr>
                <w:rFonts w:ascii="Arial" w:hAnsi="Arial" w:cs="Arial"/>
              </w:rPr>
            </w:pPr>
          </w:p>
          <w:p w14:paraId="0F06B5F0" w14:textId="77777777" w:rsidR="00AE4F14" w:rsidRPr="00D3523D" w:rsidRDefault="00AE4F14" w:rsidP="00AE4F14">
            <w:pPr>
              <w:rPr>
                <w:rFonts w:ascii="Arial" w:hAnsi="Arial" w:cs="Arial"/>
              </w:rPr>
            </w:pPr>
            <w:r w:rsidRPr="00D3523D">
              <w:rPr>
                <w:rFonts w:ascii="Arial" w:hAnsi="Arial" w:cs="Arial"/>
              </w:rPr>
              <w:t>Change to listing</w:t>
            </w:r>
          </w:p>
          <w:p w14:paraId="0F7E5E7B" w14:textId="77777777" w:rsidR="00AE4F14" w:rsidRPr="00D3523D" w:rsidRDefault="00AE4F14" w:rsidP="00AE4F14">
            <w:pPr>
              <w:rPr>
                <w:rFonts w:ascii="Arial" w:hAnsi="Arial" w:cs="Arial"/>
              </w:rPr>
            </w:pPr>
            <w:r w:rsidRPr="00D3523D">
              <w:rPr>
                <w:rFonts w:ascii="Arial" w:hAnsi="Arial" w:cs="Arial"/>
              </w:rPr>
              <w:t>(Major Submission)</w:t>
            </w:r>
          </w:p>
        </w:tc>
        <w:tc>
          <w:tcPr>
            <w:tcW w:w="2409" w:type="dxa"/>
            <w:vMerge w:val="restart"/>
          </w:tcPr>
          <w:p w14:paraId="7DFB4130" w14:textId="77777777" w:rsidR="002B4D46" w:rsidRPr="00D3523D" w:rsidRDefault="00555C08" w:rsidP="002B4D46">
            <w:pPr>
              <w:rPr>
                <w:rFonts w:ascii="Arial" w:hAnsi="Arial" w:cs="Arial"/>
              </w:rPr>
            </w:pPr>
            <w:r w:rsidRPr="00D3523D">
              <w:rPr>
                <w:rFonts w:ascii="Arial" w:hAnsi="Arial" w:cs="Arial"/>
              </w:rPr>
              <w:lastRenderedPageBreak/>
              <w:t>Asthma</w:t>
            </w:r>
          </w:p>
        </w:tc>
        <w:tc>
          <w:tcPr>
            <w:tcW w:w="3261" w:type="dxa"/>
            <w:tcMar>
              <w:top w:w="28" w:type="dxa"/>
              <w:bottom w:w="28" w:type="dxa"/>
            </w:tcMar>
          </w:tcPr>
          <w:p w14:paraId="2B00CA98" w14:textId="77777777" w:rsidR="002B4D46" w:rsidRPr="00D3523D" w:rsidRDefault="00555C08" w:rsidP="007E2BA4">
            <w:pPr>
              <w:rPr>
                <w:rFonts w:ascii="Arial" w:hAnsi="Arial" w:cs="Arial"/>
              </w:rPr>
            </w:pPr>
            <w:r w:rsidRPr="00D3523D">
              <w:rPr>
                <w:rFonts w:ascii="Arial" w:hAnsi="Arial" w:cs="Arial"/>
              </w:rPr>
              <w:t>To request an Authority Required (STREAMLINED) listing for use as first-line treatment of mild asthma.</w:t>
            </w:r>
          </w:p>
        </w:tc>
        <w:tc>
          <w:tcPr>
            <w:tcW w:w="6947" w:type="dxa"/>
          </w:tcPr>
          <w:p w14:paraId="5869024F" w14:textId="77777777" w:rsidR="0037737B" w:rsidRPr="00D3523D" w:rsidRDefault="0037737B" w:rsidP="007E2BA4">
            <w:pPr>
              <w:spacing w:after="120"/>
              <w:rPr>
                <w:rFonts w:ascii="Arial" w:hAnsi="Arial" w:cs="Arial"/>
                <w:iCs/>
              </w:rPr>
            </w:pPr>
            <w:r w:rsidRPr="00D3523D">
              <w:rPr>
                <w:rFonts w:ascii="Arial" w:hAnsi="Arial" w:cs="Arial"/>
                <w:iCs/>
              </w:rPr>
              <w:t xml:space="preserve">The PBAC did not recommend an extension of the current Authority Required (STREAMLINED) listing for budesonide with formoterol fixed dose combination (Symbicort) for asthma to include use as an anti-inflammatory reliever therapy administered as needed for adolescent and adult patients with mild asthma. </w:t>
            </w:r>
          </w:p>
          <w:p w14:paraId="4F8A696A" w14:textId="34BE32DE" w:rsidR="0037737B" w:rsidRPr="00D3523D" w:rsidRDefault="0037737B" w:rsidP="007E2BA4">
            <w:pPr>
              <w:spacing w:after="120"/>
              <w:rPr>
                <w:rFonts w:ascii="Arial" w:hAnsi="Arial" w:cs="Arial"/>
                <w:iCs/>
              </w:rPr>
            </w:pPr>
            <w:r w:rsidRPr="00D3523D">
              <w:rPr>
                <w:rFonts w:ascii="Arial" w:hAnsi="Arial" w:cs="Arial"/>
                <w:iCs/>
              </w:rPr>
              <w:t>The PBAC considered that inhaled corticosteroid (ICS) maintenance plus short-acting beta2-agonist (SABA) as needed was the appropriate main comparator. However, the PBAC considered the results reported for severe asthma exacerbations and well-controlled asthma weeks meant the claim of non-inferior compa</w:t>
            </w:r>
            <w:r w:rsidR="004C16F5" w:rsidRPr="00D3523D">
              <w:rPr>
                <w:rFonts w:ascii="Arial" w:hAnsi="Arial" w:cs="Arial"/>
                <w:iCs/>
              </w:rPr>
              <w:t xml:space="preserve">rative effectiveness versus ICS plus </w:t>
            </w:r>
            <w:r w:rsidRPr="00D3523D">
              <w:rPr>
                <w:rFonts w:ascii="Arial" w:hAnsi="Arial" w:cs="Arial"/>
                <w:iCs/>
              </w:rPr>
              <w:t>SABA was uncertain.</w:t>
            </w:r>
          </w:p>
          <w:p w14:paraId="0BFAE3BF" w14:textId="3A45D870" w:rsidR="002B4D46" w:rsidRPr="00D3523D" w:rsidRDefault="0037737B" w:rsidP="009660FF">
            <w:pPr>
              <w:spacing w:after="120"/>
              <w:rPr>
                <w:rFonts w:ascii="Arial" w:hAnsi="Arial" w:cs="Arial"/>
                <w:iCs/>
              </w:rPr>
            </w:pPr>
            <w:r w:rsidRPr="00D3523D">
              <w:rPr>
                <w:rFonts w:ascii="Arial" w:hAnsi="Arial" w:cs="Arial"/>
                <w:iCs/>
              </w:rPr>
              <w:t>The PBAC considered that the cost-minimisation analysis presented did not support the claim that, at the price requested, the cost of Symbicort to the health system</w:t>
            </w:r>
            <w:r w:rsidR="004C16F5" w:rsidRPr="00D3523D">
              <w:rPr>
                <w:rFonts w:ascii="Arial" w:hAnsi="Arial" w:cs="Arial"/>
                <w:iCs/>
              </w:rPr>
              <w:t xml:space="preserve"> is, at most, equivalent to ICS plus </w:t>
            </w:r>
            <w:r w:rsidRPr="00D3523D">
              <w:rPr>
                <w:rFonts w:ascii="Arial" w:hAnsi="Arial" w:cs="Arial"/>
                <w:iCs/>
              </w:rPr>
              <w:t xml:space="preserve">SABA. In addition, the PBAC considered the financial estimates </w:t>
            </w:r>
            <w:r w:rsidR="00C82CD4" w:rsidRPr="00D3523D">
              <w:rPr>
                <w:rFonts w:ascii="Arial" w:hAnsi="Arial" w:cs="Arial"/>
                <w:iCs/>
              </w:rPr>
              <w:t>provided in the submission to be uncertain</w:t>
            </w:r>
            <w:r w:rsidRPr="00D3523D">
              <w:rPr>
                <w:rFonts w:ascii="Arial" w:hAnsi="Arial" w:cs="Arial"/>
                <w:iCs/>
              </w:rPr>
              <w:t>, with use likely to be high and beyond the proposed estimates.</w:t>
            </w:r>
          </w:p>
        </w:tc>
      </w:tr>
      <w:tr w:rsidR="002B4D46" w:rsidRPr="00D3523D" w14:paraId="10405EE2" w14:textId="77777777" w:rsidTr="00257615">
        <w:trPr>
          <w:cantSplit/>
          <w:trHeight w:val="465"/>
        </w:trPr>
        <w:tc>
          <w:tcPr>
            <w:tcW w:w="2694" w:type="dxa"/>
            <w:vMerge/>
            <w:tcMar>
              <w:top w:w="28" w:type="dxa"/>
              <w:bottom w:w="28" w:type="dxa"/>
            </w:tcMar>
          </w:tcPr>
          <w:p w14:paraId="1D626D42" w14:textId="77777777" w:rsidR="002B4D46" w:rsidRPr="00D3523D" w:rsidRDefault="002B4D46" w:rsidP="002B4D46">
            <w:pPr>
              <w:rPr>
                <w:rFonts w:ascii="Arial" w:hAnsi="Arial" w:cs="Arial"/>
              </w:rPr>
            </w:pPr>
          </w:p>
        </w:tc>
        <w:tc>
          <w:tcPr>
            <w:tcW w:w="2409" w:type="dxa"/>
            <w:vMerge/>
          </w:tcPr>
          <w:p w14:paraId="640630D3" w14:textId="77777777" w:rsidR="002B4D46" w:rsidRPr="00D3523D" w:rsidRDefault="002B4D46" w:rsidP="002B4D46">
            <w:pPr>
              <w:widowControl w:val="0"/>
              <w:rPr>
                <w:rFonts w:ascii="Arial" w:hAnsi="Arial" w:cs="Arial"/>
                <w:snapToGrid w:val="0"/>
                <w:lang w:eastAsia="en-US"/>
              </w:rPr>
            </w:pPr>
          </w:p>
        </w:tc>
        <w:tc>
          <w:tcPr>
            <w:tcW w:w="3261" w:type="dxa"/>
            <w:tcMar>
              <w:top w:w="28" w:type="dxa"/>
              <w:bottom w:w="28" w:type="dxa"/>
            </w:tcMar>
          </w:tcPr>
          <w:p w14:paraId="5C8C032A" w14:textId="77777777" w:rsidR="002B4D46" w:rsidRPr="00D3523D" w:rsidRDefault="002B4D46" w:rsidP="002B4D46">
            <w:pPr>
              <w:pStyle w:val="ListParagraph"/>
              <w:ind w:left="0"/>
              <w:jc w:val="right"/>
              <w:rPr>
                <w:rFonts w:ascii="Arial" w:hAnsi="Arial" w:cs="Arial"/>
                <w:snapToGrid w:val="0"/>
                <w:sz w:val="20"/>
                <w:szCs w:val="20"/>
                <w:lang w:eastAsia="en-US"/>
              </w:rPr>
            </w:pPr>
            <w:r w:rsidRPr="00D3523D">
              <w:rPr>
                <w:rFonts w:ascii="Arial" w:hAnsi="Arial" w:cs="Arial"/>
                <w:snapToGrid w:val="0"/>
                <w:sz w:val="20"/>
                <w:szCs w:val="20"/>
                <w:lang w:eastAsia="en-US"/>
              </w:rPr>
              <w:t>Sponsor’s Comment:</w:t>
            </w:r>
          </w:p>
        </w:tc>
        <w:tc>
          <w:tcPr>
            <w:tcW w:w="6947" w:type="dxa"/>
          </w:tcPr>
          <w:p w14:paraId="02624D69" w14:textId="684FD99C" w:rsidR="002B4D46" w:rsidRPr="00D3523D" w:rsidRDefault="00E0606D" w:rsidP="002B4D46">
            <w:pPr>
              <w:pStyle w:val="ListParagraph"/>
              <w:ind w:left="0"/>
              <w:jc w:val="both"/>
              <w:rPr>
                <w:rFonts w:ascii="Arial" w:hAnsi="Arial" w:cs="Arial"/>
                <w:iCs/>
                <w:sz w:val="20"/>
                <w:szCs w:val="20"/>
              </w:rPr>
            </w:pPr>
            <w:r>
              <w:rPr>
                <w:rFonts w:ascii="Arial" w:hAnsi="Arial" w:cs="Arial"/>
                <w:iCs/>
                <w:sz w:val="20"/>
                <w:szCs w:val="20"/>
              </w:rPr>
              <w:t>No comment</w:t>
            </w:r>
          </w:p>
        </w:tc>
      </w:tr>
      <w:tr w:rsidR="002B4D46" w:rsidRPr="00D3523D" w14:paraId="7EC53611" w14:textId="77777777" w:rsidTr="00257615">
        <w:trPr>
          <w:cantSplit/>
          <w:trHeight w:val="465"/>
        </w:trPr>
        <w:tc>
          <w:tcPr>
            <w:tcW w:w="2694" w:type="dxa"/>
            <w:vMerge w:val="restart"/>
            <w:tcMar>
              <w:top w:w="28" w:type="dxa"/>
              <w:bottom w:w="28" w:type="dxa"/>
            </w:tcMar>
          </w:tcPr>
          <w:p w14:paraId="1084BE40" w14:textId="77777777" w:rsidR="00AE4F14" w:rsidRPr="00D3523D" w:rsidRDefault="00AE4F14" w:rsidP="00AE4F14">
            <w:pPr>
              <w:rPr>
                <w:rFonts w:ascii="Arial" w:hAnsi="Arial" w:cs="Arial"/>
              </w:rPr>
            </w:pPr>
            <w:r w:rsidRPr="00D3523D">
              <w:rPr>
                <w:rFonts w:ascii="Arial" w:hAnsi="Arial" w:cs="Arial"/>
              </w:rPr>
              <w:t>CABOZANTINIB</w:t>
            </w:r>
          </w:p>
          <w:p w14:paraId="4F8365EE" w14:textId="77777777" w:rsidR="00AE4F14" w:rsidRPr="00D3523D" w:rsidRDefault="00AE4F14" w:rsidP="00AE4F14">
            <w:pPr>
              <w:rPr>
                <w:rFonts w:ascii="Arial" w:hAnsi="Arial" w:cs="Arial"/>
              </w:rPr>
            </w:pPr>
          </w:p>
          <w:p w14:paraId="7EEA3CA4" w14:textId="77777777" w:rsidR="00AE4F14" w:rsidRPr="00D3523D" w:rsidRDefault="00AE4F14" w:rsidP="00AE4F14">
            <w:pPr>
              <w:rPr>
                <w:rFonts w:ascii="Arial" w:hAnsi="Arial" w:cs="Arial"/>
              </w:rPr>
            </w:pPr>
            <w:r w:rsidRPr="00D3523D">
              <w:rPr>
                <w:rFonts w:ascii="Arial" w:hAnsi="Arial" w:cs="Arial"/>
              </w:rPr>
              <w:t>Tablet 20 mg</w:t>
            </w:r>
          </w:p>
          <w:p w14:paraId="7B254FF8" w14:textId="77777777" w:rsidR="00AE4F14" w:rsidRPr="00D3523D" w:rsidRDefault="00AE4F14" w:rsidP="00AE4F14">
            <w:pPr>
              <w:rPr>
                <w:rFonts w:ascii="Arial" w:hAnsi="Arial" w:cs="Arial"/>
              </w:rPr>
            </w:pPr>
            <w:r w:rsidRPr="00D3523D">
              <w:rPr>
                <w:rFonts w:ascii="Arial" w:hAnsi="Arial" w:cs="Arial"/>
              </w:rPr>
              <w:t>Tablet 40 mg</w:t>
            </w:r>
          </w:p>
          <w:p w14:paraId="6179C89D" w14:textId="77777777" w:rsidR="00AE4F14" w:rsidRPr="00D3523D" w:rsidRDefault="00AE4F14" w:rsidP="00AE4F14">
            <w:pPr>
              <w:rPr>
                <w:rFonts w:ascii="Arial" w:hAnsi="Arial" w:cs="Arial"/>
              </w:rPr>
            </w:pPr>
            <w:r w:rsidRPr="00D3523D">
              <w:rPr>
                <w:rFonts w:ascii="Arial" w:hAnsi="Arial" w:cs="Arial"/>
              </w:rPr>
              <w:t>Tablet 60 mg</w:t>
            </w:r>
          </w:p>
          <w:p w14:paraId="1812220E" w14:textId="77777777" w:rsidR="00AE4F14" w:rsidRPr="00D3523D" w:rsidRDefault="00AE4F14" w:rsidP="00AE4F14">
            <w:pPr>
              <w:rPr>
                <w:rFonts w:ascii="Arial" w:hAnsi="Arial" w:cs="Arial"/>
              </w:rPr>
            </w:pPr>
          </w:p>
          <w:p w14:paraId="0AB11F99" w14:textId="77777777" w:rsidR="00AE4F14" w:rsidRPr="00D3523D" w:rsidRDefault="00AE4F14" w:rsidP="00AE4F14">
            <w:pPr>
              <w:rPr>
                <w:rFonts w:ascii="Arial" w:hAnsi="Arial" w:cs="Arial"/>
              </w:rPr>
            </w:pPr>
            <w:r w:rsidRPr="00D3523D">
              <w:rPr>
                <w:rFonts w:ascii="Arial" w:hAnsi="Arial" w:cs="Arial"/>
              </w:rPr>
              <w:t>Cabometyx®</w:t>
            </w:r>
          </w:p>
          <w:p w14:paraId="4815E003" w14:textId="77777777" w:rsidR="00AE4F14" w:rsidRPr="00D3523D" w:rsidRDefault="00AE4F14" w:rsidP="00AE4F14">
            <w:pPr>
              <w:rPr>
                <w:rFonts w:ascii="Arial" w:hAnsi="Arial" w:cs="Arial"/>
              </w:rPr>
            </w:pPr>
          </w:p>
          <w:p w14:paraId="0A3FAC1C" w14:textId="77777777" w:rsidR="002B4D46" w:rsidRPr="00D3523D" w:rsidRDefault="00AE4F14" w:rsidP="00AE4F14">
            <w:pPr>
              <w:rPr>
                <w:rFonts w:ascii="Arial" w:hAnsi="Arial" w:cs="Arial"/>
              </w:rPr>
            </w:pPr>
            <w:r w:rsidRPr="00D3523D">
              <w:rPr>
                <w:rFonts w:ascii="Arial" w:hAnsi="Arial" w:cs="Arial"/>
              </w:rPr>
              <w:t>Ipsen Pty Ltd</w:t>
            </w:r>
          </w:p>
          <w:p w14:paraId="47BA598E" w14:textId="77777777" w:rsidR="00AE4F14" w:rsidRPr="00D3523D" w:rsidRDefault="00AE4F14" w:rsidP="00AE4F14">
            <w:pPr>
              <w:rPr>
                <w:rFonts w:ascii="Arial" w:hAnsi="Arial" w:cs="Arial"/>
              </w:rPr>
            </w:pPr>
          </w:p>
          <w:p w14:paraId="530A7CF1" w14:textId="77777777" w:rsidR="00AE4F14" w:rsidRPr="00D3523D" w:rsidRDefault="00AE4F14" w:rsidP="00AE4F14">
            <w:pPr>
              <w:rPr>
                <w:rFonts w:ascii="Arial" w:hAnsi="Arial" w:cs="Arial"/>
              </w:rPr>
            </w:pPr>
            <w:r w:rsidRPr="00D3523D">
              <w:rPr>
                <w:rFonts w:ascii="Arial" w:hAnsi="Arial" w:cs="Arial"/>
              </w:rPr>
              <w:t>Change to listing</w:t>
            </w:r>
          </w:p>
          <w:p w14:paraId="54681A04" w14:textId="77777777" w:rsidR="00AE4F14" w:rsidRPr="00D3523D" w:rsidRDefault="00AE4F14" w:rsidP="00AE4F14">
            <w:pPr>
              <w:rPr>
                <w:rFonts w:ascii="Arial" w:hAnsi="Arial" w:cs="Arial"/>
              </w:rPr>
            </w:pPr>
            <w:r w:rsidRPr="00D3523D">
              <w:rPr>
                <w:rFonts w:ascii="Arial" w:hAnsi="Arial" w:cs="Arial"/>
              </w:rPr>
              <w:t>(Major Submission)</w:t>
            </w:r>
          </w:p>
        </w:tc>
        <w:tc>
          <w:tcPr>
            <w:tcW w:w="2409" w:type="dxa"/>
            <w:vMerge w:val="restart"/>
          </w:tcPr>
          <w:p w14:paraId="38BAFDF2" w14:textId="77777777" w:rsidR="002B4D46" w:rsidRPr="00D3523D" w:rsidRDefault="00555C08" w:rsidP="002B4D46">
            <w:pPr>
              <w:rPr>
                <w:rFonts w:ascii="Arial" w:hAnsi="Arial" w:cs="Arial"/>
              </w:rPr>
            </w:pPr>
            <w:r w:rsidRPr="00D3523D">
              <w:rPr>
                <w:rFonts w:ascii="Arial" w:hAnsi="Arial" w:cs="Arial"/>
              </w:rPr>
              <w:t>Hepatocellular carcinoma</w:t>
            </w:r>
          </w:p>
        </w:tc>
        <w:tc>
          <w:tcPr>
            <w:tcW w:w="3261" w:type="dxa"/>
            <w:tcMar>
              <w:top w:w="28" w:type="dxa"/>
              <w:bottom w:w="28" w:type="dxa"/>
            </w:tcMar>
          </w:tcPr>
          <w:p w14:paraId="78ACF55E" w14:textId="77777777" w:rsidR="002B4D46" w:rsidRPr="00D3523D" w:rsidRDefault="00555C08" w:rsidP="00555C08">
            <w:pPr>
              <w:rPr>
                <w:rFonts w:ascii="Arial" w:hAnsi="Arial" w:cs="Arial"/>
              </w:rPr>
            </w:pPr>
            <w:r w:rsidRPr="00D3523D">
              <w:rPr>
                <w:rFonts w:ascii="Arial" w:hAnsi="Arial" w:cs="Arial"/>
              </w:rPr>
              <w:t>To request an Authority Required (STREAMLINED) listing for the treatment of patients with hepatocellular carcinoma who have previously been treated with sorafenib for this condition.</w:t>
            </w:r>
          </w:p>
        </w:tc>
        <w:tc>
          <w:tcPr>
            <w:tcW w:w="6947" w:type="dxa"/>
          </w:tcPr>
          <w:p w14:paraId="1E4E09CB" w14:textId="77777777" w:rsidR="00B31A2F" w:rsidRPr="00D3523D" w:rsidRDefault="0037737B" w:rsidP="00830B5F">
            <w:pPr>
              <w:widowControl w:val="0"/>
              <w:spacing w:after="120"/>
              <w:rPr>
                <w:rFonts w:ascii="Arial" w:hAnsi="Arial" w:cs="Arial"/>
                <w:snapToGrid w:val="0"/>
                <w:lang w:eastAsia="en-US"/>
              </w:rPr>
            </w:pPr>
            <w:r w:rsidRPr="00D3523D">
              <w:rPr>
                <w:rFonts w:ascii="Arial" w:hAnsi="Arial" w:cs="Arial"/>
                <w:snapToGrid w:val="0"/>
                <w:lang w:eastAsia="en-US"/>
              </w:rPr>
              <w:t>The PBAC did not recommend cabozantinib for the treatment of</w:t>
            </w:r>
            <w:r w:rsidR="00F04555" w:rsidRPr="00D3523D">
              <w:rPr>
                <w:rFonts w:ascii="Arial" w:hAnsi="Arial" w:cs="Arial"/>
                <w:snapToGrid w:val="0"/>
                <w:lang w:eastAsia="en-US"/>
              </w:rPr>
              <w:t xml:space="preserve"> patients with</w:t>
            </w:r>
            <w:r w:rsidRPr="00D3523D">
              <w:rPr>
                <w:rFonts w:ascii="Arial" w:hAnsi="Arial" w:cs="Arial"/>
                <w:snapToGrid w:val="0"/>
                <w:lang w:eastAsia="en-US"/>
              </w:rPr>
              <w:t xml:space="preserve"> Barcelona-Clinic Liver Cancer</w:t>
            </w:r>
            <w:r w:rsidRPr="00D3523D" w:rsidDel="00CA6B3F">
              <w:rPr>
                <w:rFonts w:ascii="Arial" w:hAnsi="Arial" w:cs="Arial"/>
                <w:snapToGrid w:val="0"/>
                <w:lang w:eastAsia="en-US"/>
              </w:rPr>
              <w:t xml:space="preserve"> </w:t>
            </w:r>
            <w:r w:rsidRPr="00D3523D">
              <w:rPr>
                <w:rFonts w:ascii="Arial" w:hAnsi="Arial" w:cs="Arial"/>
                <w:snapToGrid w:val="0"/>
                <w:lang w:eastAsia="en-US"/>
              </w:rPr>
              <w:t xml:space="preserve">B or C advanced hepatocellular carcinoma who have been previously treated with sorafenib. The PBAC considered the clinical benefits of cabozantinib were modest with considerable toxicity. </w:t>
            </w:r>
          </w:p>
          <w:p w14:paraId="32DA60ED" w14:textId="4055BCB1" w:rsidR="002B4D46" w:rsidRPr="00D3523D" w:rsidRDefault="0037737B" w:rsidP="00830B5F">
            <w:pPr>
              <w:widowControl w:val="0"/>
              <w:spacing w:after="120"/>
              <w:rPr>
                <w:rFonts w:ascii="Arial" w:hAnsi="Arial" w:cs="Arial"/>
                <w:bCs/>
                <w:snapToGrid w:val="0"/>
                <w:lang w:eastAsia="en-US"/>
              </w:rPr>
            </w:pPr>
            <w:r w:rsidRPr="00D3523D">
              <w:rPr>
                <w:rFonts w:ascii="Arial" w:hAnsi="Arial" w:cs="Arial"/>
                <w:snapToGrid w:val="0"/>
                <w:lang w:eastAsia="en-US"/>
              </w:rPr>
              <w:t>The PBAC considered at the proposed price the I</w:t>
            </w:r>
            <w:r w:rsidR="00B31A2F" w:rsidRPr="00D3523D">
              <w:rPr>
                <w:rFonts w:ascii="Arial" w:hAnsi="Arial" w:cs="Arial"/>
                <w:snapToGrid w:val="0"/>
                <w:lang w:eastAsia="en-US"/>
              </w:rPr>
              <w:t xml:space="preserve">ncremental </w:t>
            </w:r>
            <w:r w:rsidRPr="00D3523D">
              <w:rPr>
                <w:rFonts w:ascii="Arial" w:hAnsi="Arial" w:cs="Arial"/>
                <w:snapToGrid w:val="0"/>
                <w:lang w:eastAsia="en-US"/>
              </w:rPr>
              <w:t>C</w:t>
            </w:r>
            <w:r w:rsidR="00B31A2F" w:rsidRPr="00D3523D">
              <w:rPr>
                <w:rFonts w:ascii="Arial" w:hAnsi="Arial" w:cs="Arial"/>
                <w:snapToGrid w:val="0"/>
                <w:lang w:eastAsia="en-US"/>
              </w:rPr>
              <w:t>ost-</w:t>
            </w:r>
            <w:r w:rsidRPr="00D3523D">
              <w:rPr>
                <w:rFonts w:ascii="Arial" w:hAnsi="Arial" w:cs="Arial"/>
                <w:snapToGrid w:val="0"/>
                <w:lang w:eastAsia="en-US"/>
              </w:rPr>
              <w:t>E</w:t>
            </w:r>
            <w:r w:rsidR="00B31A2F" w:rsidRPr="00D3523D">
              <w:rPr>
                <w:rFonts w:ascii="Arial" w:hAnsi="Arial" w:cs="Arial"/>
                <w:snapToGrid w:val="0"/>
                <w:lang w:eastAsia="en-US"/>
              </w:rPr>
              <w:t xml:space="preserve">ffectiveness </w:t>
            </w:r>
            <w:r w:rsidRPr="00D3523D">
              <w:rPr>
                <w:rFonts w:ascii="Arial" w:hAnsi="Arial" w:cs="Arial"/>
                <w:snapToGrid w:val="0"/>
                <w:lang w:eastAsia="en-US"/>
              </w:rPr>
              <w:t>R</w:t>
            </w:r>
            <w:r w:rsidR="00B31A2F" w:rsidRPr="00D3523D">
              <w:rPr>
                <w:rFonts w:ascii="Arial" w:hAnsi="Arial" w:cs="Arial"/>
                <w:snapToGrid w:val="0"/>
                <w:lang w:eastAsia="en-US"/>
              </w:rPr>
              <w:t>atio (ICER)</w:t>
            </w:r>
            <w:r w:rsidRPr="00D3523D">
              <w:rPr>
                <w:rFonts w:ascii="Arial" w:hAnsi="Arial" w:cs="Arial"/>
                <w:snapToGrid w:val="0"/>
                <w:lang w:eastAsia="en-US"/>
              </w:rPr>
              <w:t xml:space="preserve"> </w:t>
            </w:r>
            <w:r w:rsidR="006F726F">
              <w:rPr>
                <w:rFonts w:ascii="Arial" w:hAnsi="Arial" w:cs="Arial"/>
                <w:snapToGrid w:val="0"/>
                <w:lang w:eastAsia="en-US"/>
              </w:rPr>
              <w:t xml:space="preserve">per quality adjusted life year </w:t>
            </w:r>
            <w:r w:rsidRPr="00D3523D">
              <w:rPr>
                <w:rFonts w:ascii="Arial" w:hAnsi="Arial" w:cs="Arial"/>
                <w:snapToGrid w:val="0"/>
                <w:lang w:eastAsia="en-US"/>
              </w:rPr>
              <w:t>was unacceptably high for the level of potential benefit in this setting and substantial cost reductions would be required to bring the ICER into an acceptable range. The PBAC was also concerned that the financial impact of listing cabozantinib is uncertain.</w:t>
            </w:r>
          </w:p>
        </w:tc>
      </w:tr>
      <w:tr w:rsidR="002B4D46" w:rsidRPr="00D3523D" w14:paraId="5C33D51C" w14:textId="77777777" w:rsidTr="00257615">
        <w:trPr>
          <w:cantSplit/>
          <w:trHeight w:val="465"/>
        </w:trPr>
        <w:tc>
          <w:tcPr>
            <w:tcW w:w="2694" w:type="dxa"/>
            <w:vMerge/>
            <w:tcMar>
              <w:top w:w="28" w:type="dxa"/>
              <w:bottom w:w="28" w:type="dxa"/>
            </w:tcMar>
          </w:tcPr>
          <w:p w14:paraId="6EB81F70" w14:textId="77777777" w:rsidR="002B4D46" w:rsidRPr="00D3523D" w:rsidRDefault="002B4D46" w:rsidP="002B4D46">
            <w:pPr>
              <w:rPr>
                <w:rFonts w:ascii="Arial" w:hAnsi="Arial" w:cs="Arial"/>
              </w:rPr>
            </w:pPr>
          </w:p>
        </w:tc>
        <w:tc>
          <w:tcPr>
            <w:tcW w:w="2409" w:type="dxa"/>
            <w:vMerge/>
          </w:tcPr>
          <w:p w14:paraId="289AEFDE" w14:textId="77777777" w:rsidR="002B4D46" w:rsidRPr="00D3523D" w:rsidRDefault="002B4D46" w:rsidP="002B4D46">
            <w:pPr>
              <w:widowControl w:val="0"/>
              <w:rPr>
                <w:rFonts w:ascii="Arial" w:hAnsi="Arial" w:cs="Arial"/>
                <w:snapToGrid w:val="0"/>
                <w:lang w:eastAsia="en-US"/>
              </w:rPr>
            </w:pPr>
          </w:p>
        </w:tc>
        <w:tc>
          <w:tcPr>
            <w:tcW w:w="3261" w:type="dxa"/>
            <w:tcMar>
              <w:top w:w="28" w:type="dxa"/>
              <w:bottom w:w="28" w:type="dxa"/>
            </w:tcMar>
          </w:tcPr>
          <w:p w14:paraId="5AF0EBF1" w14:textId="77777777" w:rsidR="002B4D46" w:rsidRPr="00D3523D" w:rsidRDefault="002B4D46" w:rsidP="002B4D46">
            <w:pPr>
              <w:pStyle w:val="ListParagraph"/>
              <w:ind w:left="0"/>
              <w:jc w:val="right"/>
              <w:rPr>
                <w:rFonts w:ascii="Arial" w:hAnsi="Arial" w:cs="Arial"/>
                <w:snapToGrid w:val="0"/>
                <w:sz w:val="20"/>
                <w:szCs w:val="20"/>
                <w:lang w:eastAsia="en-US"/>
              </w:rPr>
            </w:pPr>
            <w:r w:rsidRPr="00D3523D">
              <w:rPr>
                <w:rFonts w:ascii="Arial" w:hAnsi="Arial" w:cs="Arial"/>
                <w:snapToGrid w:val="0"/>
                <w:sz w:val="20"/>
                <w:szCs w:val="20"/>
                <w:lang w:eastAsia="en-US"/>
              </w:rPr>
              <w:t>Sponsor’s Comment:</w:t>
            </w:r>
          </w:p>
        </w:tc>
        <w:tc>
          <w:tcPr>
            <w:tcW w:w="6947" w:type="dxa"/>
          </w:tcPr>
          <w:p w14:paraId="679863A6" w14:textId="242B544E" w:rsidR="002B4D46" w:rsidRPr="00D3523D" w:rsidRDefault="00E0606D" w:rsidP="002B4D46">
            <w:pPr>
              <w:pStyle w:val="ListParagraph"/>
              <w:ind w:left="0"/>
              <w:jc w:val="both"/>
              <w:rPr>
                <w:rFonts w:ascii="Arial" w:hAnsi="Arial" w:cs="Arial"/>
                <w:iCs/>
                <w:sz w:val="20"/>
                <w:szCs w:val="20"/>
              </w:rPr>
            </w:pPr>
            <w:r>
              <w:rPr>
                <w:rFonts w:ascii="Arial" w:hAnsi="Arial" w:cs="Arial"/>
                <w:iCs/>
                <w:sz w:val="20"/>
                <w:szCs w:val="20"/>
              </w:rPr>
              <w:t>No comment</w:t>
            </w:r>
          </w:p>
        </w:tc>
      </w:tr>
      <w:tr w:rsidR="002B4D46" w:rsidRPr="00D3523D" w14:paraId="7B638FCA" w14:textId="77777777" w:rsidTr="00257615">
        <w:trPr>
          <w:cantSplit/>
          <w:trHeight w:val="465"/>
        </w:trPr>
        <w:tc>
          <w:tcPr>
            <w:tcW w:w="2694" w:type="dxa"/>
            <w:vMerge w:val="restart"/>
            <w:tcMar>
              <w:top w:w="28" w:type="dxa"/>
              <w:bottom w:w="28" w:type="dxa"/>
            </w:tcMar>
          </w:tcPr>
          <w:p w14:paraId="4B836C09" w14:textId="77777777" w:rsidR="00AE4F14" w:rsidRPr="00D3523D" w:rsidRDefault="00AE4F14" w:rsidP="007E2BA4">
            <w:pPr>
              <w:jc w:val="both"/>
              <w:rPr>
                <w:rFonts w:ascii="Arial" w:hAnsi="Arial" w:cs="Arial"/>
              </w:rPr>
            </w:pPr>
            <w:r w:rsidRPr="00D3523D">
              <w:rPr>
                <w:rFonts w:ascii="Arial" w:hAnsi="Arial" w:cs="Arial"/>
              </w:rPr>
              <w:t>DURVALUMAB</w:t>
            </w:r>
          </w:p>
          <w:p w14:paraId="0BD47F72" w14:textId="77777777" w:rsidR="00AE4F14" w:rsidRPr="00D3523D" w:rsidRDefault="00AE4F14" w:rsidP="007E2BA4">
            <w:pPr>
              <w:jc w:val="both"/>
              <w:rPr>
                <w:rFonts w:ascii="Arial" w:hAnsi="Arial" w:cs="Arial"/>
              </w:rPr>
            </w:pPr>
          </w:p>
          <w:p w14:paraId="7229FAA6" w14:textId="77777777" w:rsidR="00AE4F14" w:rsidRPr="00D3523D" w:rsidRDefault="00AE4F14" w:rsidP="007E2BA4">
            <w:pPr>
              <w:jc w:val="both"/>
              <w:rPr>
                <w:rFonts w:ascii="Arial" w:hAnsi="Arial" w:cs="Arial"/>
              </w:rPr>
            </w:pPr>
            <w:r w:rsidRPr="00D3523D">
              <w:rPr>
                <w:rFonts w:ascii="Arial" w:hAnsi="Arial" w:cs="Arial"/>
              </w:rPr>
              <w:t>Solution concentrate for I.V. infusion 120 mg</w:t>
            </w:r>
          </w:p>
          <w:p w14:paraId="4F81A206" w14:textId="77777777" w:rsidR="00AE4F14" w:rsidRPr="00D3523D" w:rsidRDefault="00AE4F14" w:rsidP="007E2BA4">
            <w:pPr>
              <w:jc w:val="both"/>
              <w:rPr>
                <w:rFonts w:ascii="Arial" w:hAnsi="Arial" w:cs="Arial"/>
              </w:rPr>
            </w:pPr>
            <w:r w:rsidRPr="00D3523D">
              <w:rPr>
                <w:rFonts w:ascii="Arial" w:hAnsi="Arial" w:cs="Arial"/>
              </w:rPr>
              <w:t>in 2.4 mL</w:t>
            </w:r>
          </w:p>
          <w:p w14:paraId="3B31936D" w14:textId="77777777" w:rsidR="00AE4F14" w:rsidRPr="00D3523D" w:rsidRDefault="00AE4F14" w:rsidP="007E2BA4">
            <w:pPr>
              <w:jc w:val="both"/>
              <w:rPr>
                <w:rFonts w:ascii="Arial" w:hAnsi="Arial" w:cs="Arial"/>
              </w:rPr>
            </w:pPr>
            <w:r w:rsidRPr="00D3523D">
              <w:rPr>
                <w:rFonts w:ascii="Arial" w:hAnsi="Arial" w:cs="Arial"/>
              </w:rPr>
              <w:t>Solution concentrate for I.V. infusion 500 mg</w:t>
            </w:r>
          </w:p>
          <w:p w14:paraId="77F18EDE" w14:textId="77777777" w:rsidR="00AE4F14" w:rsidRPr="00D3523D" w:rsidRDefault="00AE4F14" w:rsidP="007E2BA4">
            <w:pPr>
              <w:jc w:val="both"/>
              <w:rPr>
                <w:rFonts w:ascii="Arial" w:hAnsi="Arial" w:cs="Arial"/>
              </w:rPr>
            </w:pPr>
            <w:r w:rsidRPr="00D3523D">
              <w:rPr>
                <w:rFonts w:ascii="Arial" w:hAnsi="Arial" w:cs="Arial"/>
              </w:rPr>
              <w:t>in 10 mL</w:t>
            </w:r>
          </w:p>
          <w:p w14:paraId="0902C56D" w14:textId="77777777" w:rsidR="00AE4F14" w:rsidRPr="00D3523D" w:rsidRDefault="00AE4F14" w:rsidP="007E2BA4">
            <w:pPr>
              <w:jc w:val="both"/>
              <w:rPr>
                <w:rFonts w:ascii="Arial" w:hAnsi="Arial" w:cs="Arial"/>
              </w:rPr>
            </w:pPr>
          </w:p>
          <w:p w14:paraId="4A5C93EE" w14:textId="77777777" w:rsidR="00AE4F14" w:rsidRPr="00D3523D" w:rsidRDefault="00AE4F14" w:rsidP="007E2BA4">
            <w:pPr>
              <w:jc w:val="both"/>
              <w:rPr>
                <w:rFonts w:ascii="Arial" w:hAnsi="Arial" w:cs="Arial"/>
              </w:rPr>
            </w:pPr>
            <w:r w:rsidRPr="00D3523D">
              <w:rPr>
                <w:rFonts w:ascii="Arial" w:hAnsi="Arial" w:cs="Arial"/>
              </w:rPr>
              <w:lastRenderedPageBreak/>
              <w:t>Imfinzi</w:t>
            </w:r>
            <w:r w:rsidRPr="00D3523D">
              <w:rPr>
                <w:rFonts w:ascii="Arial" w:hAnsi="Arial" w:cs="Arial"/>
                <w:vertAlign w:val="superscript"/>
              </w:rPr>
              <w:t>TM</w:t>
            </w:r>
          </w:p>
          <w:p w14:paraId="5CA3E72D" w14:textId="77777777" w:rsidR="00AE4F14" w:rsidRPr="00D3523D" w:rsidRDefault="00AE4F14" w:rsidP="007E2BA4">
            <w:pPr>
              <w:jc w:val="both"/>
              <w:rPr>
                <w:rFonts w:ascii="Arial" w:hAnsi="Arial" w:cs="Arial"/>
              </w:rPr>
            </w:pPr>
          </w:p>
          <w:p w14:paraId="16E8A1C3" w14:textId="77777777" w:rsidR="002B4D46" w:rsidRPr="00D3523D" w:rsidRDefault="00AE4F14" w:rsidP="007E2BA4">
            <w:pPr>
              <w:jc w:val="both"/>
              <w:rPr>
                <w:rFonts w:ascii="Arial" w:hAnsi="Arial" w:cs="Arial"/>
              </w:rPr>
            </w:pPr>
            <w:r w:rsidRPr="00D3523D">
              <w:rPr>
                <w:rFonts w:ascii="Arial" w:hAnsi="Arial" w:cs="Arial"/>
              </w:rPr>
              <w:t>AstraZeneca Pty Ltd</w:t>
            </w:r>
          </w:p>
          <w:p w14:paraId="75926557" w14:textId="77777777" w:rsidR="00AE4F14" w:rsidRPr="00D3523D" w:rsidRDefault="00AE4F14" w:rsidP="007E2BA4">
            <w:pPr>
              <w:jc w:val="both"/>
              <w:rPr>
                <w:rFonts w:ascii="Arial" w:hAnsi="Arial" w:cs="Arial"/>
              </w:rPr>
            </w:pPr>
          </w:p>
          <w:p w14:paraId="0C46C0F5" w14:textId="77777777" w:rsidR="00AE4F14" w:rsidRPr="00D3523D" w:rsidRDefault="00AE4F14" w:rsidP="007E2BA4">
            <w:pPr>
              <w:jc w:val="both"/>
              <w:rPr>
                <w:rFonts w:ascii="Arial" w:hAnsi="Arial" w:cs="Arial"/>
              </w:rPr>
            </w:pPr>
            <w:r w:rsidRPr="00D3523D">
              <w:rPr>
                <w:rFonts w:ascii="Arial" w:hAnsi="Arial" w:cs="Arial"/>
              </w:rPr>
              <w:t>New listing</w:t>
            </w:r>
          </w:p>
          <w:p w14:paraId="11651E58" w14:textId="77777777" w:rsidR="00AE4F14" w:rsidRPr="00D3523D" w:rsidRDefault="00AE4F14" w:rsidP="007E2BA4">
            <w:pPr>
              <w:jc w:val="both"/>
              <w:rPr>
                <w:rFonts w:ascii="Arial" w:hAnsi="Arial" w:cs="Arial"/>
              </w:rPr>
            </w:pPr>
            <w:r w:rsidRPr="00D3523D">
              <w:rPr>
                <w:rFonts w:ascii="Arial" w:hAnsi="Arial" w:cs="Arial"/>
              </w:rPr>
              <w:t>(Major Submission)</w:t>
            </w:r>
          </w:p>
        </w:tc>
        <w:tc>
          <w:tcPr>
            <w:tcW w:w="2409" w:type="dxa"/>
            <w:vMerge w:val="restart"/>
          </w:tcPr>
          <w:p w14:paraId="6F49D74E" w14:textId="77777777" w:rsidR="002B4D46" w:rsidRPr="00D3523D" w:rsidRDefault="00555C08" w:rsidP="002B4D46">
            <w:pPr>
              <w:rPr>
                <w:rFonts w:ascii="Arial" w:hAnsi="Arial" w:cs="Arial"/>
              </w:rPr>
            </w:pPr>
            <w:r w:rsidRPr="00D3523D">
              <w:rPr>
                <w:rFonts w:ascii="Arial" w:hAnsi="Arial" w:cs="Arial"/>
              </w:rPr>
              <w:lastRenderedPageBreak/>
              <w:t>Urothelial cancer</w:t>
            </w:r>
          </w:p>
        </w:tc>
        <w:tc>
          <w:tcPr>
            <w:tcW w:w="3261" w:type="dxa"/>
            <w:tcMar>
              <w:top w:w="28" w:type="dxa"/>
              <w:bottom w:w="28" w:type="dxa"/>
            </w:tcMar>
          </w:tcPr>
          <w:p w14:paraId="7ED5B428" w14:textId="77777777" w:rsidR="002B4D46" w:rsidRPr="00D3523D" w:rsidRDefault="00555C08" w:rsidP="00555C08">
            <w:pPr>
              <w:rPr>
                <w:rFonts w:ascii="Arial" w:hAnsi="Arial" w:cs="Arial"/>
              </w:rPr>
            </w:pPr>
            <w:r w:rsidRPr="00D3523D">
              <w:rPr>
                <w:rFonts w:ascii="Arial" w:hAnsi="Arial" w:cs="Arial"/>
              </w:rPr>
              <w:t>To request a Section 100 (Efficient Funding of Chemotherapy Program) Authority Required (STREAMLINED) listing for the treatment of locally advanced or metastatic urothelial cancer after the failure of a prior platinum-based chemotherapy.</w:t>
            </w:r>
          </w:p>
        </w:tc>
        <w:tc>
          <w:tcPr>
            <w:tcW w:w="6947" w:type="dxa"/>
          </w:tcPr>
          <w:p w14:paraId="676D673A" w14:textId="77777777" w:rsidR="00B31A2F" w:rsidRPr="00D3523D" w:rsidRDefault="0037737B" w:rsidP="007E2BA4">
            <w:pPr>
              <w:spacing w:after="120"/>
              <w:rPr>
                <w:rFonts w:ascii="Arial" w:hAnsi="Arial" w:cs="Arial"/>
                <w:iCs/>
              </w:rPr>
            </w:pPr>
            <w:r w:rsidRPr="00D3523D">
              <w:rPr>
                <w:rFonts w:ascii="Arial" w:hAnsi="Arial" w:cs="Arial"/>
                <w:iCs/>
              </w:rPr>
              <w:t xml:space="preserve">The PBAC did not recommend durvalumab for the treatment of patients with locally advanced or metastatic urothelial cancer who have disease progression during or following platinum-based chemotherapy. </w:t>
            </w:r>
          </w:p>
          <w:p w14:paraId="6B1E1048" w14:textId="77777777" w:rsidR="002B4D46" w:rsidRPr="00D3523D" w:rsidRDefault="0037737B" w:rsidP="007E2BA4">
            <w:pPr>
              <w:spacing w:after="120"/>
              <w:rPr>
                <w:rFonts w:ascii="Arial" w:hAnsi="Arial" w:cs="Arial"/>
                <w:iCs/>
              </w:rPr>
            </w:pPr>
            <w:r w:rsidRPr="00D3523D">
              <w:rPr>
                <w:rFonts w:ascii="Arial" w:hAnsi="Arial" w:cs="Arial"/>
                <w:iCs/>
              </w:rPr>
              <w:t>The PBAC considered that the clinical need for durvalumab was limited, given the availability of pembrolizumab, which has a more robust evidence base. The PBAC considered the data presented did not adequately establish non-inferiority between durvalumab and the nominated comparator, pembrolizumab.</w:t>
            </w:r>
          </w:p>
        </w:tc>
      </w:tr>
      <w:tr w:rsidR="002B4D46" w:rsidRPr="00D3523D" w14:paraId="34B6510D" w14:textId="77777777" w:rsidTr="00257615">
        <w:trPr>
          <w:cantSplit/>
          <w:trHeight w:val="465"/>
        </w:trPr>
        <w:tc>
          <w:tcPr>
            <w:tcW w:w="2694" w:type="dxa"/>
            <w:vMerge/>
            <w:tcMar>
              <w:top w:w="28" w:type="dxa"/>
              <w:bottom w:w="28" w:type="dxa"/>
            </w:tcMar>
          </w:tcPr>
          <w:p w14:paraId="35903F7B" w14:textId="77777777" w:rsidR="002B4D46" w:rsidRPr="00D3523D" w:rsidRDefault="002B4D46" w:rsidP="002B4D46">
            <w:pPr>
              <w:rPr>
                <w:rFonts w:ascii="Arial" w:hAnsi="Arial" w:cs="Arial"/>
              </w:rPr>
            </w:pPr>
          </w:p>
        </w:tc>
        <w:tc>
          <w:tcPr>
            <w:tcW w:w="2409" w:type="dxa"/>
            <w:vMerge/>
          </w:tcPr>
          <w:p w14:paraId="79E01856" w14:textId="77777777" w:rsidR="002B4D46" w:rsidRPr="00D3523D" w:rsidRDefault="002B4D46" w:rsidP="002B4D46">
            <w:pPr>
              <w:widowControl w:val="0"/>
              <w:rPr>
                <w:rFonts w:ascii="Arial" w:hAnsi="Arial" w:cs="Arial"/>
                <w:snapToGrid w:val="0"/>
                <w:lang w:eastAsia="en-US"/>
              </w:rPr>
            </w:pPr>
          </w:p>
        </w:tc>
        <w:tc>
          <w:tcPr>
            <w:tcW w:w="3261" w:type="dxa"/>
            <w:tcMar>
              <w:top w:w="28" w:type="dxa"/>
              <w:bottom w:w="28" w:type="dxa"/>
            </w:tcMar>
          </w:tcPr>
          <w:p w14:paraId="2512A676" w14:textId="77777777" w:rsidR="002B4D46" w:rsidRPr="00D3523D" w:rsidRDefault="002B4D46" w:rsidP="002B4D46">
            <w:pPr>
              <w:pStyle w:val="ListParagraph"/>
              <w:ind w:left="0"/>
              <w:jc w:val="right"/>
              <w:rPr>
                <w:rFonts w:ascii="Arial" w:hAnsi="Arial" w:cs="Arial"/>
                <w:snapToGrid w:val="0"/>
                <w:sz w:val="20"/>
                <w:szCs w:val="20"/>
                <w:lang w:eastAsia="en-US"/>
              </w:rPr>
            </w:pPr>
            <w:r w:rsidRPr="00D3523D">
              <w:rPr>
                <w:rFonts w:ascii="Arial" w:hAnsi="Arial" w:cs="Arial"/>
                <w:snapToGrid w:val="0"/>
                <w:sz w:val="20"/>
                <w:szCs w:val="20"/>
                <w:lang w:eastAsia="en-US"/>
              </w:rPr>
              <w:t>Sponsor’s Comment:</w:t>
            </w:r>
          </w:p>
        </w:tc>
        <w:tc>
          <w:tcPr>
            <w:tcW w:w="6947" w:type="dxa"/>
          </w:tcPr>
          <w:p w14:paraId="5788C339" w14:textId="70662F12" w:rsidR="002B4D46" w:rsidRPr="00D3523D" w:rsidRDefault="00E0606D" w:rsidP="002B4D46">
            <w:pPr>
              <w:pStyle w:val="ListParagraph"/>
              <w:ind w:left="0"/>
              <w:jc w:val="both"/>
              <w:rPr>
                <w:rFonts w:ascii="Arial" w:hAnsi="Arial" w:cs="Arial"/>
                <w:iCs/>
                <w:sz w:val="20"/>
                <w:szCs w:val="20"/>
              </w:rPr>
            </w:pPr>
            <w:r>
              <w:rPr>
                <w:rFonts w:ascii="Arial" w:hAnsi="Arial" w:cs="Arial"/>
                <w:iCs/>
                <w:sz w:val="20"/>
                <w:szCs w:val="20"/>
              </w:rPr>
              <w:t>No comment</w:t>
            </w:r>
          </w:p>
        </w:tc>
      </w:tr>
      <w:tr w:rsidR="002B4D46" w:rsidRPr="00D3523D" w14:paraId="61009ED3" w14:textId="77777777" w:rsidTr="00257615">
        <w:trPr>
          <w:cantSplit/>
          <w:trHeight w:val="465"/>
        </w:trPr>
        <w:tc>
          <w:tcPr>
            <w:tcW w:w="2694" w:type="dxa"/>
            <w:vMerge w:val="restart"/>
            <w:tcMar>
              <w:top w:w="28" w:type="dxa"/>
              <w:bottom w:w="28" w:type="dxa"/>
            </w:tcMar>
          </w:tcPr>
          <w:p w14:paraId="5150366A" w14:textId="77777777" w:rsidR="005536D5" w:rsidRPr="00D3523D" w:rsidRDefault="005536D5" w:rsidP="005536D5">
            <w:pPr>
              <w:rPr>
                <w:rFonts w:ascii="Arial" w:hAnsi="Arial" w:cs="Arial"/>
              </w:rPr>
            </w:pPr>
            <w:r w:rsidRPr="00D3523D">
              <w:rPr>
                <w:rFonts w:ascii="Arial" w:hAnsi="Arial" w:cs="Arial"/>
              </w:rPr>
              <w:t>LANADELUMAB</w:t>
            </w:r>
          </w:p>
          <w:p w14:paraId="0D44606B" w14:textId="77777777" w:rsidR="005536D5" w:rsidRPr="00D3523D" w:rsidRDefault="005536D5" w:rsidP="005536D5">
            <w:pPr>
              <w:rPr>
                <w:rFonts w:ascii="Arial" w:hAnsi="Arial" w:cs="Arial"/>
              </w:rPr>
            </w:pPr>
          </w:p>
          <w:p w14:paraId="1333AF88" w14:textId="77777777" w:rsidR="005536D5" w:rsidRPr="00D3523D" w:rsidRDefault="005536D5" w:rsidP="005536D5">
            <w:pPr>
              <w:rPr>
                <w:rFonts w:ascii="Arial" w:hAnsi="Arial" w:cs="Arial"/>
              </w:rPr>
            </w:pPr>
            <w:r w:rsidRPr="00D3523D">
              <w:rPr>
                <w:rFonts w:ascii="Arial" w:hAnsi="Arial" w:cs="Arial"/>
              </w:rPr>
              <w:t>Solution for injection 300 mg in 2 mL</w:t>
            </w:r>
          </w:p>
          <w:p w14:paraId="40E1B2E6" w14:textId="77777777" w:rsidR="005536D5" w:rsidRPr="00D3523D" w:rsidRDefault="005536D5" w:rsidP="005536D5">
            <w:pPr>
              <w:rPr>
                <w:rFonts w:ascii="Arial" w:hAnsi="Arial" w:cs="Arial"/>
              </w:rPr>
            </w:pPr>
          </w:p>
          <w:p w14:paraId="2D98E7C4" w14:textId="77777777" w:rsidR="005536D5" w:rsidRPr="00D3523D" w:rsidRDefault="005536D5" w:rsidP="005536D5">
            <w:pPr>
              <w:rPr>
                <w:rFonts w:ascii="Arial" w:hAnsi="Arial" w:cs="Arial"/>
              </w:rPr>
            </w:pPr>
            <w:r w:rsidRPr="00D3523D">
              <w:rPr>
                <w:rFonts w:ascii="Arial" w:hAnsi="Arial" w:cs="Arial"/>
              </w:rPr>
              <w:t>Takhzyro®</w:t>
            </w:r>
          </w:p>
          <w:p w14:paraId="5E00053F" w14:textId="77777777" w:rsidR="005536D5" w:rsidRPr="00D3523D" w:rsidRDefault="005536D5" w:rsidP="005536D5">
            <w:pPr>
              <w:rPr>
                <w:rFonts w:ascii="Arial" w:hAnsi="Arial" w:cs="Arial"/>
              </w:rPr>
            </w:pPr>
          </w:p>
          <w:p w14:paraId="41D620D2" w14:textId="77777777" w:rsidR="002B4D46" w:rsidRPr="00D3523D" w:rsidRDefault="005536D5" w:rsidP="005536D5">
            <w:pPr>
              <w:rPr>
                <w:rFonts w:ascii="Arial" w:hAnsi="Arial" w:cs="Arial"/>
              </w:rPr>
            </w:pPr>
            <w:r w:rsidRPr="00D3523D">
              <w:rPr>
                <w:rFonts w:ascii="Arial" w:hAnsi="Arial" w:cs="Arial"/>
              </w:rPr>
              <w:t>Shire Australia Pty Ltd</w:t>
            </w:r>
          </w:p>
          <w:p w14:paraId="4EB5F773" w14:textId="77777777" w:rsidR="005536D5" w:rsidRPr="00D3523D" w:rsidRDefault="005536D5" w:rsidP="005536D5">
            <w:pPr>
              <w:rPr>
                <w:rFonts w:ascii="Arial" w:hAnsi="Arial" w:cs="Arial"/>
              </w:rPr>
            </w:pPr>
          </w:p>
          <w:p w14:paraId="35E2C47B" w14:textId="77777777" w:rsidR="005536D5" w:rsidRPr="00D3523D" w:rsidRDefault="005536D5" w:rsidP="005536D5">
            <w:pPr>
              <w:rPr>
                <w:rFonts w:ascii="Arial" w:hAnsi="Arial" w:cs="Arial"/>
              </w:rPr>
            </w:pPr>
            <w:r w:rsidRPr="00D3523D">
              <w:rPr>
                <w:rFonts w:ascii="Arial" w:hAnsi="Arial" w:cs="Arial"/>
              </w:rPr>
              <w:t>New listing</w:t>
            </w:r>
          </w:p>
          <w:p w14:paraId="57986405" w14:textId="77777777" w:rsidR="005536D5" w:rsidRPr="00D3523D" w:rsidRDefault="005536D5" w:rsidP="005536D5">
            <w:pPr>
              <w:rPr>
                <w:rFonts w:ascii="Arial" w:hAnsi="Arial" w:cs="Arial"/>
              </w:rPr>
            </w:pPr>
            <w:r w:rsidRPr="00D3523D">
              <w:rPr>
                <w:rFonts w:ascii="Arial" w:hAnsi="Arial" w:cs="Arial"/>
              </w:rPr>
              <w:t>(Major Submission)</w:t>
            </w:r>
          </w:p>
        </w:tc>
        <w:tc>
          <w:tcPr>
            <w:tcW w:w="2409" w:type="dxa"/>
            <w:vMerge w:val="restart"/>
          </w:tcPr>
          <w:p w14:paraId="0C41FCA5" w14:textId="77777777" w:rsidR="002B4D46" w:rsidRPr="00D3523D" w:rsidRDefault="00555C08" w:rsidP="002B4D46">
            <w:pPr>
              <w:rPr>
                <w:rFonts w:ascii="Arial" w:hAnsi="Arial" w:cs="Arial"/>
              </w:rPr>
            </w:pPr>
            <w:r w:rsidRPr="00D3523D">
              <w:rPr>
                <w:rFonts w:ascii="Arial" w:hAnsi="Arial" w:cs="Arial"/>
              </w:rPr>
              <w:t>Hereditary angioedema</w:t>
            </w:r>
            <w:r w:rsidR="00B31A2F" w:rsidRPr="00D3523D">
              <w:rPr>
                <w:rFonts w:ascii="Arial" w:hAnsi="Arial" w:cs="Arial"/>
              </w:rPr>
              <w:t xml:space="preserve"> (HAE)</w:t>
            </w:r>
          </w:p>
        </w:tc>
        <w:tc>
          <w:tcPr>
            <w:tcW w:w="3261" w:type="dxa"/>
            <w:tcMar>
              <w:top w:w="28" w:type="dxa"/>
              <w:bottom w:w="28" w:type="dxa"/>
            </w:tcMar>
          </w:tcPr>
          <w:p w14:paraId="5A85FDD6" w14:textId="09041E12" w:rsidR="002B4D46" w:rsidRPr="00D3523D" w:rsidRDefault="00555C08" w:rsidP="00476F8F">
            <w:pPr>
              <w:rPr>
                <w:rFonts w:ascii="Arial" w:hAnsi="Arial" w:cs="Arial"/>
              </w:rPr>
            </w:pPr>
            <w:r w:rsidRPr="00D3523D">
              <w:rPr>
                <w:rFonts w:ascii="Arial" w:hAnsi="Arial" w:cs="Arial"/>
              </w:rPr>
              <w:t xml:space="preserve">To request an Authority Required listing for the prevention of recurrent attacks of </w:t>
            </w:r>
            <w:r w:rsidR="00842584" w:rsidRPr="00D3523D">
              <w:rPr>
                <w:rFonts w:ascii="Arial" w:hAnsi="Arial" w:cs="Arial"/>
              </w:rPr>
              <w:t xml:space="preserve">HAE </w:t>
            </w:r>
            <w:r w:rsidRPr="00D3523D">
              <w:rPr>
                <w:rFonts w:ascii="Arial" w:hAnsi="Arial" w:cs="Arial"/>
              </w:rPr>
              <w:t>(C1-esterase-inhibitor deficiency or dysfunction) in patients aged 12 years and older for whom the use of danazol is not clinically appropriate or not effective.</w:t>
            </w:r>
          </w:p>
        </w:tc>
        <w:tc>
          <w:tcPr>
            <w:tcW w:w="6947" w:type="dxa"/>
          </w:tcPr>
          <w:p w14:paraId="6A38C86F" w14:textId="00A65BF5" w:rsidR="003E230A" w:rsidRPr="00D3523D" w:rsidRDefault="003E230A" w:rsidP="00D3523D">
            <w:pPr>
              <w:spacing w:after="120"/>
              <w:rPr>
                <w:rFonts w:ascii="Arial" w:hAnsi="Arial" w:cs="Arial"/>
                <w:iCs/>
              </w:rPr>
            </w:pPr>
            <w:r w:rsidRPr="00D3523D">
              <w:rPr>
                <w:rFonts w:ascii="Arial" w:hAnsi="Arial" w:cs="Arial"/>
                <w:iCs/>
              </w:rPr>
              <w:t xml:space="preserve">The PBAC did not recommend the listing of lanadelumab as routine prophylaxis of recurrent attacks of HAE. The PBAC noted the debilitating nature of HAE attacks and also acknowledged the consumer comments outlining that there is a clinical need for effective and tolerable prophylactic therapies in patients who experience fewer than eight attacks per year (i.e. patients who do not meet the current </w:t>
            </w:r>
            <w:r w:rsidR="00C82CD4" w:rsidRPr="00D3523D">
              <w:rPr>
                <w:rFonts w:ascii="Arial" w:hAnsi="Arial" w:cs="Arial"/>
                <w:iCs/>
              </w:rPr>
              <w:t xml:space="preserve">National Blood Authority </w:t>
            </w:r>
            <w:r w:rsidRPr="00D3523D">
              <w:rPr>
                <w:rFonts w:ascii="Arial" w:hAnsi="Arial" w:cs="Arial"/>
                <w:iCs/>
              </w:rPr>
              <w:t>criteria for</w:t>
            </w:r>
            <w:r w:rsidR="007E2BA4" w:rsidRPr="00D3523D">
              <w:rPr>
                <w:rFonts w:ascii="Arial" w:hAnsi="Arial" w:cs="Arial"/>
                <w:iCs/>
              </w:rPr>
              <w:t xml:space="preserve"> intravenous (</w:t>
            </w:r>
            <w:r w:rsidRPr="00D3523D">
              <w:rPr>
                <w:rFonts w:ascii="Arial" w:hAnsi="Arial" w:cs="Arial"/>
                <w:iCs/>
              </w:rPr>
              <w:t>IV</w:t>
            </w:r>
            <w:r w:rsidR="007E2BA4" w:rsidRPr="00D3523D">
              <w:rPr>
                <w:rFonts w:ascii="Arial" w:hAnsi="Arial" w:cs="Arial"/>
                <w:iCs/>
              </w:rPr>
              <w:t>)</w:t>
            </w:r>
            <w:r w:rsidRPr="00D3523D">
              <w:rPr>
                <w:rFonts w:ascii="Arial" w:hAnsi="Arial" w:cs="Arial"/>
                <w:iCs/>
              </w:rPr>
              <w:t xml:space="preserve"> </w:t>
            </w:r>
            <w:r w:rsidR="00B31A2F" w:rsidRPr="00D3523D">
              <w:rPr>
                <w:rFonts w:ascii="Arial" w:hAnsi="Arial" w:cs="Arial"/>
                <w:iCs/>
              </w:rPr>
              <w:t>C1-esterase-inhibitor (</w:t>
            </w:r>
            <w:r w:rsidRPr="00D3523D">
              <w:rPr>
                <w:rFonts w:ascii="Arial" w:hAnsi="Arial" w:cs="Arial"/>
                <w:iCs/>
              </w:rPr>
              <w:t>C1-INH</w:t>
            </w:r>
            <w:r w:rsidR="00B31A2F" w:rsidRPr="00D3523D">
              <w:rPr>
                <w:rFonts w:ascii="Arial" w:hAnsi="Arial" w:cs="Arial"/>
                <w:iCs/>
              </w:rPr>
              <w:t>)</w:t>
            </w:r>
            <w:r w:rsidRPr="00D3523D">
              <w:rPr>
                <w:rFonts w:ascii="Arial" w:hAnsi="Arial" w:cs="Arial"/>
                <w:iCs/>
              </w:rPr>
              <w:t>).</w:t>
            </w:r>
          </w:p>
          <w:p w14:paraId="1F6E2EA8" w14:textId="62A0CE78" w:rsidR="002B4D46" w:rsidRPr="00D3523D" w:rsidRDefault="003E230A" w:rsidP="00D3523D">
            <w:pPr>
              <w:spacing w:after="120"/>
              <w:rPr>
                <w:rFonts w:ascii="Arial" w:hAnsi="Arial" w:cs="Arial"/>
                <w:iCs/>
              </w:rPr>
            </w:pPr>
            <w:r w:rsidRPr="00D3523D">
              <w:rPr>
                <w:rFonts w:ascii="Arial" w:hAnsi="Arial" w:cs="Arial"/>
                <w:iCs/>
              </w:rPr>
              <w:t xml:space="preserve">Thus, the PBAC considered the clinical need, and appropriate clinical role of lanadelumab, to be broader than that for IV C1-IHN, and as such, the cost-minimisation analysis versus C1-INH presented in the submission was uninformative. The PBAC further considered the number of patients meeting the </w:t>
            </w:r>
            <w:r w:rsidR="00C82CD4" w:rsidRPr="00D3523D">
              <w:rPr>
                <w:rFonts w:ascii="Arial" w:hAnsi="Arial" w:cs="Arial"/>
                <w:iCs/>
              </w:rPr>
              <w:t xml:space="preserve">National Blood Authority </w:t>
            </w:r>
            <w:r w:rsidRPr="00D3523D">
              <w:rPr>
                <w:rFonts w:ascii="Arial" w:hAnsi="Arial" w:cs="Arial"/>
                <w:iCs/>
              </w:rPr>
              <w:t>criteria for prophylactic treatment with C1-INH, as well as the size of the broader population, to be uncertain.</w:t>
            </w:r>
          </w:p>
        </w:tc>
      </w:tr>
      <w:tr w:rsidR="002B4D46" w:rsidRPr="00D3523D" w14:paraId="4C21C5F8" w14:textId="77777777" w:rsidTr="00257615">
        <w:trPr>
          <w:cantSplit/>
          <w:trHeight w:val="465"/>
        </w:trPr>
        <w:tc>
          <w:tcPr>
            <w:tcW w:w="2694" w:type="dxa"/>
            <w:vMerge/>
            <w:tcMar>
              <w:top w:w="28" w:type="dxa"/>
              <w:bottom w:w="28" w:type="dxa"/>
            </w:tcMar>
          </w:tcPr>
          <w:p w14:paraId="6FD9DC8A" w14:textId="77777777" w:rsidR="002B4D46" w:rsidRPr="00D3523D" w:rsidRDefault="002B4D46" w:rsidP="002B4D46">
            <w:pPr>
              <w:rPr>
                <w:rFonts w:ascii="Arial" w:hAnsi="Arial" w:cs="Arial"/>
              </w:rPr>
            </w:pPr>
          </w:p>
        </w:tc>
        <w:tc>
          <w:tcPr>
            <w:tcW w:w="2409" w:type="dxa"/>
            <w:vMerge/>
          </w:tcPr>
          <w:p w14:paraId="13EE9CD0" w14:textId="77777777" w:rsidR="002B4D46" w:rsidRPr="00D3523D" w:rsidRDefault="002B4D46" w:rsidP="002B4D46">
            <w:pPr>
              <w:widowControl w:val="0"/>
              <w:rPr>
                <w:rFonts w:ascii="Arial" w:hAnsi="Arial" w:cs="Arial"/>
                <w:snapToGrid w:val="0"/>
                <w:lang w:eastAsia="en-US"/>
              </w:rPr>
            </w:pPr>
          </w:p>
        </w:tc>
        <w:tc>
          <w:tcPr>
            <w:tcW w:w="3261" w:type="dxa"/>
            <w:tcMar>
              <w:top w:w="28" w:type="dxa"/>
              <w:bottom w:w="28" w:type="dxa"/>
            </w:tcMar>
          </w:tcPr>
          <w:p w14:paraId="440282A5" w14:textId="77777777" w:rsidR="002B4D46" w:rsidRPr="00C95E95" w:rsidRDefault="002B4D46" w:rsidP="002B4D46">
            <w:pPr>
              <w:pStyle w:val="ListParagraph"/>
              <w:ind w:left="0"/>
              <w:jc w:val="right"/>
              <w:rPr>
                <w:rFonts w:ascii="Arial" w:hAnsi="Arial" w:cs="Arial"/>
                <w:snapToGrid w:val="0"/>
                <w:sz w:val="20"/>
                <w:szCs w:val="20"/>
                <w:lang w:eastAsia="en-US"/>
              </w:rPr>
            </w:pPr>
            <w:r w:rsidRPr="00C95E95">
              <w:rPr>
                <w:rFonts w:ascii="Arial" w:hAnsi="Arial" w:cs="Arial"/>
                <w:snapToGrid w:val="0"/>
                <w:sz w:val="20"/>
                <w:szCs w:val="20"/>
                <w:lang w:eastAsia="en-US"/>
              </w:rPr>
              <w:t>Sponsor’s Comment:</w:t>
            </w:r>
          </w:p>
        </w:tc>
        <w:tc>
          <w:tcPr>
            <w:tcW w:w="6947" w:type="dxa"/>
          </w:tcPr>
          <w:p w14:paraId="2F5ADECA" w14:textId="39E8A400" w:rsidR="002B4D46" w:rsidRPr="00C95E95" w:rsidRDefault="005506E5" w:rsidP="002B4D46">
            <w:pPr>
              <w:pStyle w:val="ListParagraph"/>
              <w:ind w:left="0"/>
              <w:jc w:val="both"/>
              <w:rPr>
                <w:rFonts w:ascii="Arial" w:hAnsi="Arial" w:cs="Arial"/>
                <w:iCs/>
                <w:sz w:val="20"/>
                <w:szCs w:val="20"/>
              </w:rPr>
            </w:pPr>
            <w:r w:rsidRPr="00C95E95">
              <w:rPr>
                <w:rFonts w:ascii="Arial" w:hAnsi="Arial" w:cs="Arial"/>
                <w:iCs/>
                <w:sz w:val="20"/>
                <w:szCs w:val="20"/>
              </w:rPr>
              <w:t>Shire (now part of Takeda) will work with the Department of Health and the PBAC so that patients with this rare disease are able to access lanadelumab prophylaxis in Australia.</w:t>
            </w:r>
          </w:p>
        </w:tc>
      </w:tr>
      <w:tr w:rsidR="002B4D46" w:rsidRPr="00D3523D" w14:paraId="4489E03C" w14:textId="77777777" w:rsidTr="00257615">
        <w:trPr>
          <w:cantSplit/>
          <w:trHeight w:val="465"/>
        </w:trPr>
        <w:tc>
          <w:tcPr>
            <w:tcW w:w="2694" w:type="dxa"/>
            <w:vMerge w:val="restart"/>
            <w:tcMar>
              <w:top w:w="28" w:type="dxa"/>
              <w:bottom w:w="28" w:type="dxa"/>
            </w:tcMar>
          </w:tcPr>
          <w:p w14:paraId="46B4AC16" w14:textId="77777777" w:rsidR="005536D5" w:rsidRPr="00D3523D" w:rsidRDefault="005536D5" w:rsidP="005536D5">
            <w:pPr>
              <w:rPr>
                <w:rFonts w:ascii="Arial" w:hAnsi="Arial" w:cs="Arial"/>
              </w:rPr>
            </w:pPr>
            <w:r w:rsidRPr="00D3523D">
              <w:rPr>
                <w:rFonts w:ascii="Arial" w:hAnsi="Arial" w:cs="Arial"/>
              </w:rPr>
              <w:t>LEUPRORELIN</w:t>
            </w:r>
          </w:p>
          <w:p w14:paraId="1C3A9E89" w14:textId="77777777" w:rsidR="005536D5" w:rsidRPr="00D3523D" w:rsidRDefault="005536D5" w:rsidP="005536D5">
            <w:pPr>
              <w:rPr>
                <w:rFonts w:ascii="Arial" w:hAnsi="Arial" w:cs="Arial"/>
              </w:rPr>
            </w:pPr>
          </w:p>
          <w:p w14:paraId="0FE0BFBF" w14:textId="77777777" w:rsidR="005536D5" w:rsidRPr="00D3523D" w:rsidRDefault="005536D5" w:rsidP="005536D5">
            <w:pPr>
              <w:rPr>
                <w:rFonts w:ascii="Arial" w:hAnsi="Arial" w:cs="Arial"/>
              </w:rPr>
            </w:pPr>
            <w:r w:rsidRPr="00D3523D">
              <w:rPr>
                <w:rFonts w:ascii="Arial" w:hAnsi="Arial" w:cs="Arial"/>
              </w:rPr>
              <w:t>Subcutaneous implant 3.6 mg (as acetate) in</w:t>
            </w:r>
          </w:p>
          <w:p w14:paraId="3C28AAEC" w14:textId="77777777" w:rsidR="005536D5" w:rsidRPr="00D3523D" w:rsidRDefault="005536D5" w:rsidP="005536D5">
            <w:pPr>
              <w:rPr>
                <w:rFonts w:ascii="Arial" w:hAnsi="Arial" w:cs="Arial"/>
              </w:rPr>
            </w:pPr>
            <w:r w:rsidRPr="00D3523D">
              <w:rPr>
                <w:rFonts w:ascii="Arial" w:hAnsi="Arial" w:cs="Arial"/>
              </w:rPr>
              <w:t>pre-filled syringe</w:t>
            </w:r>
          </w:p>
          <w:p w14:paraId="7F3203D6" w14:textId="77777777" w:rsidR="005536D5" w:rsidRPr="00D3523D" w:rsidRDefault="005536D5" w:rsidP="005536D5">
            <w:pPr>
              <w:rPr>
                <w:rFonts w:ascii="Arial" w:hAnsi="Arial" w:cs="Arial"/>
              </w:rPr>
            </w:pPr>
            <w:r w:rsidRPr="00D3523D">
              <w:rPr>
                <w:rFonts w:ascii="Arial" w:hAnsi="Arial" w:cs="Arial"/>
              </w:rPr>
              <w:t>Subcutaneous implant 5 mg (as acetate) in</w:t>
            </w:r>
          </w:p>
          <w:p w14:paraId="3CCA1C5B" w14:textId="77777777" w:rsidR="005536D5" w:rsidRPr="00D3523D" w:rsidRDefault="005536D5" w:rsidP="005536D5">
            <w:pPr>
              <w:rPr>
                <w:rFonts w:ascii="Arial" w:hAnsi="Arial" w:cs="Arial"/>
              </w:rPr>
            </w:pPr>
            <w:r w:rsidRPr="00D3523D">
              <w:rPr>
                <w:rFonts w:ascii="Arial" w:hAnsi="Arial" w:cs="Arial"/>
              </w:rPr>
              <w:t>pre-filled syringe</w:t>
            </w:r>
          </w:p>
          <w:p w14:paraId="30AEB364" w14:textId="77777777" w:rsidR="005536D5" w:rsidRPr="00D3523D" w:rsidRDefault="005536D5" w:rsidP="005536D5">
            <w:pPr>
              <w:rPr>
                <w:rFonts w:ascii="Arial" w:hAnsi="Arial" w:cs="Arial"/>
              </w:rPr>
            </w:pPr>
          </w:p>
          <w:p w14:paraId="3924BF1F" w14:textId="77777777" w:rsidR="005536D5" w:rsidRPr="00D3523D" w:rsidRDefault="005536D5" w:rsidP="005536D5">
            <w:pPr>
              <w:rPr>
                <w:rFonts w:ascii="Arial" w:hAnsi="Arial" w:cs="Arial"/>
              </w:rPr>
            </w:pPr>
            <w:r w:rsidRPr="00D3523D">
              <w:rPr>
                <w:rFonts w:ascii="Arial" w:hAnsi="Arial" w:cs="Arial"/>
              </w:rPr>
              <w:lastRenderedPageBreak/>
              <w:t>Lerin®</w:t>
            </w:r>
          </w:p>
          <w:p w14:paraId="51C4E027" w14:textId="77777777" w:rsidR="005536D5" w:rsidRPr="00D3523D" w:rsidRDefault="005536D5" w:rsidP="005536D5">
            <w:pPr>
              <w:rPr>
                <w:rFonts w:ascii="Arial" w:hAnsi="Arial" w:cs="Arial"/>
              </w:rPr>
            </w:pPr>
          </w:p>
          <w:p w14:paraId="08D8147C" w14:textId="77777777" w:rsidR="002B4D46" w:rsidRPr="00D3523D" w:rsidRDefault="005536D5" w:rsidP="005536D5">
            <w:pPr>
              <w:rPr>
                <w:rFonts w:ascii="Arial" w:hAnsi="Arial" w:cs="Arial"/>
              </w:rPr>
            </w:pPr>
            <w:r w:rsidRPr="00D3523D">
              <w:rPr>
                <w:rFonts w:ascii="Arial" w:hAnsi="Arial" w:cs="Arial"/>
              </w:rPr>
              <w:t>Sandoz Pty Ltd</w:t>
            </w:r>
          </w:p>
          <w:p w14:paraId="64968421" w14:textId="77777777" w:rsidR="005536D5" w:rsidRPr="00D3523D" w:rsidRDefault="005536D5" w:rsidP="005536D5">
            <w:pPr>
              <w:rPr>
                <w:rFonts w:ascii="Arial" w:hAnsi="Arial" w:cs="Arial"/>
              </w:rPr>
            </w:pPr>
          </w:p>
          <w:p w14:paraId="7D57D0D5" w14:textId="77777777" w:rsidR="005536D5" w:rsidRPr="00D3523D" w:rsidRDefault="005536D5" w:rsidP="005536D5">
            <w:pPr>
              <w:rPr>
                <w:rFonts w:ascii="Arial" w:hAnsi="Arial" w:cs="Arial"/>
              </w:rPr>
            </w:pPr>
            <w:r w:rsidRPr="00D3523D">
              <w:rPr>
                <w:rFonts w:ascii="Arial" w:hAnsi="Arial" w:cs="Arial"/>
              </w:rPr>
              <w:t>New listing</w:t>
            </w:r>
          </w:p>
          <w:p w14:paraId="2CF37C55" w14:textId="77777777" w:rsidR="005536D5" w:rsidRPr="00D3523D" w:rsidRDefault="005536D5" w:rsidP="005536D5">
            <w:pPr>
              <w:rPr>
                <w:rFonts w:ascii="Arial" w:hAnsi="Arial" w:cs="Arial"/>
              </w:rPr>
            </w:pPr>
            <w:r w:rsidRPr="00D3523D">
              <w:rPr>
                <w:rFonts w:ascii="Arial" w:hAnsi="Arial" w:cs="Arial"/>
              </w:rPr>
              <w:t>(Major Submission)</w:t>
            </w:r>
          </w:p>
        </w:tc>
        <w:tc>
          <w:tcPr>
            <w:tcW w:w="2409" w:type="dxa"/>
            <w:vMerge w:val="restart"/>
          </w:tcPr>
          <w:p w14:paraId="13F59396" w14:textId="77777777" w:rsidR="002B4D46" w:rsidRPr="00D3523D" w:rsidRDefault="00555C08" w:rsidP="002B4D46">
            <w:pPr>
              <w:rPr>
                <w:rFonts w:ascii="Arial" w:hAnsi="Arial" w:cs="Arial"/>
              </w:rPr>
            </w:pPr>
            <w:r w:rsidRPr="00D3523D">
              <w:rPr>
                <w:rFonts w:ascii="Arial" w:hAnsi="Arial" w:cs="Arial"/>
              </w:rPr>
              <w:lastRenderedPageBreak/>
              <w:t>Prostate cancer</w:t>
            </w:r>
          </w:p>
        </w:tc>
        <w:tc>
          <w:tcPr>
            <w:tcW w:w="3261" w:type="dxa"/>
            <w:tcMar>
              <w:top w:w="28" w:type="dxa"/>
              <w:bottom w:w="28" w:type="dxa"/>
            </w:tcMar>
          </w:tcPr>
          <w:p w14:paraId="4F2B98A4" w14:textId="63AB2E78" w:rsidR="002B4D46" w:rsidRPr="00D3523D" w:rsidRDefault="00555C08" w:rsidP="00476F8F">
            <w:pPr>
              <w:rPr>
                <w:rFonts w:ascii="Arial" w:hAnsi="Arial" w:cs="Arial"/>
              </w:rPr>
            </w:pPr>
            <w:r w:rsidRPr="00D3523D">
              <w:rPr>
                <w:rFonts w:ascii="Arial" w:hAnsi="Arial" w:cs="Arial"/>
              </w:rPr>
              <w:t>To request a Restricted Benefit listing for the treatment of patients with locally advanced and metastatic prostate cancer.</w:t>
            </w:r>
          </w:p>
        </w:tc>
        <w:tc>
          <w:tcPr>
            <w:tcW w:w="6947" w:type="dxa"/>
          </w:tcPr>
          <w:p w14:paraId="568B996D" w14:textId="4089FB3C" w:rsidR="002B4D46" w:rsidRPr="00D3523D" w:rsidRDefault="0037737B" w:rsidP="00C82CD4">
            <w:pPr>
              <w:rPr>
                <w:rFonts w:ascii="Arial" w:hAnsi="Arial" w:cs="Arial"/>
                <w:iCs/>
              </w:rPr>
            </w:pPr>
            <w:r w:rsidRPr="00D3523D">
              <w:rPr>
                <w:rFonts w:ascii="Arial" w:hAnsi="Arial" w:cs="Arial"/>
                <w:iCs/>
              </w:rPr>
              <w:t xml:space="preserve">The PBAC did not recommend the Section 85, Restricted Benefit listing of the low dose </w:t>
            </w:r>
            <w:r w:rsidR="00E31699" w:rsidRPr="00D3523D">
              <w:rPr>
                <w:rFonts w:ascii="Arial" w:hAnsi="Arial" w:cs="Arial"/>
                <w:iCs/>
              </w:rPr>
              <w:t>g</w:t>
            </w:r>
            <w:r w:rsidR="00C82CD4" w:rsidRPr="00D3523D">
              <w:rPr>
                <w:rFonts w:ascii="Arial" w:hAnsi="Arial" w:cs="Arial"/>
                <w:iCs/>
              </w:rPr>
              <w:t>onadotropin-releasing hormone (</w:t>
            </w:r>
            <w:r w:rsidRPr="00D3523D">
              <w:rPr>
                <w:rFonts w:ascii="Arial" w:hAnsi="Arial" w:cs="Arial"/>
                <w:iCs/>
              </w:rPr>
              <w:t>GnRH</w:t>
            </w:r>
            <w:r w:rsidR="00C82CD4" w:rsidRPr="00D3523D">
              <w:rPr>
                <w:rFonts w:ascii="Arial" w:hAnsi="Arial" w:cs="Arial"/>
                <w:iCs/>
              </w:rPr>
              <w:t>)</w:t>
            </w:r>
            <w:r w:rsidRPr="00D3523D">
              <w:rPr>
                <w:rFonts w:ascii="Arial" w:hAnsi="Arial" w:cs="Arial"/>
                <w:iCs/>
              </w:rPr>
              <w:t xml:space="preserve"> analogue leuprorelin subcutaneous implant (LERIN) for the treatment of locally advanced and metastatic prostate cancer on the basis of an uncertain clinical need and an uncertain effectiveness compared with PBS-listed high dose GnRH analogues</w:t>
            </w:r>
            <w:r w:rsidR="00682434" w:rsidRPr="00D3523D">
              <w:rPr>
                <w:rFonts w:ascii="Arial" w:hAnsi="Arial" w:cs="Arial"/>
                <w:iCs/>
              </w:rPr>
              <w:t>. The PBAC considered that the different dosing and treatment durations of LERIN compared with the comparator and other PBS-listed alternatives could be confusing to prescribers and constitute a</w:t>
            </w:r>
            <w:r w:rsidRPr="00D3523D">
              <w:rPr>
                <w:rFonts w:ascii="Arial" w:hAnsi="Arial" w:cs="Arial"/>
                <w:iCs/>
              </w:rPr>
              <w:t xml:space="preserve"> potential quality use of medicines issue.</w:t>
            </w:r>
          </w:p>
        </w:tc>
      </w:tr>
      <w:tr w:rsidR="002B4D46" w:rsidRPr="00D3523D" w14:paraId="5D7EE6DA" w14:textId="77777777" w:rsidTr="00257615">
        <w:trPr>
          <w:cantSplit/>
          <w:trHeight w:val="465"/>
        </w:trPr>
        <w:tc>
          <w:tcPr>
            <w:tcW w:w="2694" w:type="dxa"/>
            <w:vMerge/>
            <w:tcMar>
              <w:top w:w="28" w:type="dxa"/>
              <w:bottom w:w="28" w:type="dxa"/>
            </w:tcMar>
          </w:tcPr>
          <w:p w14:paraId="786C3E60" w14:textId="77777777" w:rsidR="002B4D46" w:rsidRPr="00D3523D" w:rsidRDefault="002B4D46" w:rsidP="002B4D46">
            <w:pPr>
              <w:rPr>
                <w:rFonts w:ascii="Arial" w:hAnsi="Arial" w:cs="Arial"/>
              </w:rPr>
            </w:pPr>
          </w:p>
        </w:tc>
        <w:tc>
          <w:tcPr>
            <w:tcW w:w="2409" w:type="dxa"/>
            <w:vMerge/>
          </w:tcPr>
          <w:p w14:paraId="6BA1EE3F" w14:textId="77777777" w:rsidR="002B4D46" w:rsidRPr="00D3523D" w:rsidRDefault="002B4D46" w:rsidP="002B4D46">
            <w:pPr>
              <w:widowControl w:val="0"/>
              <w:rPr>
                <w:rFonts w:ascii="Arial" w:hAnsi="Arial" w:cs="Arial"/>
                <w:snapToGrid w:val="0"/>
                <w:lang w:eastAsia="en-US"/>
              </w:rPr>
            </w:pPr>
          </w:p>
        </w:tc>
        <w:tc>
          <w:tcPr>
            <w:tcW w:w="3261" w:type="dxa"/>
            <w:tcMar>
              <w:top w:w="28" w:type="dxa"/>
              <w:bottom w:w="28" w:type="dxa"/>
            </w:tcMar>
          </w:tcPr>
          <w:p w14:paraId="3E3DCD04" w14:textId="77777777" w:rsidR="002B4D46" w:rsidRPr="00D3523D" w:rsidRDefault="002B4D46" w:rsidP="002B4D46">
            <w:pPr>
              <w:pStyle w:val="ListParagraph"/>
              <w:ind w:left="0"/>
              <w:jc w:val="right"/>
              <w:rPr>
                <w:rFonts w:ascii="Arial" w:hAnsi="Arial" w:cs="Arial"/>
                <w:snapToGrid w:val="0"/>
                <w:sz w:val="20"/>
                <w:szCs w:val="20"/>
                <w:lang w:eastAsia="en-US"/>
              </w:rPr>
            </w:pPr>
            <w:r w:rsidRPr="00D3523D">
              <w:rPr>
                <w:rFonts w:ascii="Arial" w:hAnsi="Arial" w:cs="Arial"/>
                <w:snapToGrid w:val="0"/>
                <w:sz w:val="20"/>
                <w:szCs w:val="20"/>
                <w:lang w:eastAsia="en-US"/>
              </w:rPr>
              <w:t>Sponsor’s Comment:</w:t>
            </w:r>
          </w:p>
        </w:tc>
        <w:tc>
          <w:tcPr>
            <w:tcW w:w="6947" w:type="dxa"/>
          </w:tcPr>
          <w:p w14:paraId="63EEDC1B" w14:textId="7554CCB4" w:rsidR="002B4D46" w:rsidRPr="00D3523D" w:rsidRDefault="00E0606D" w:rsidP="002B4D46">
            <w:pPr>
              <w:pStyle w:val="ListParagraph"/>
              <w:ind w:left="0"/>
              <w:jc w:val="both"/>
              <w:rPr>
                <w:rFonts w:ascii="Arial" w:hAnsi="Arial" w:cs="Arial"/>
                <w:iCs/>
                <w:sz w:val="20"/>
                <w:szCs w:val="20"/>
              </w:rPr>
            </w:pPr>
            <w:r>
              <w:rPr>
                <w:rFonts w:ascii="Arial" w:hAnsi="Arial" w:cs="Arial"/>
                <w:iCs/>
                <w:sz w:val="20"/>
                <w:szCs w:val="20"/>
              </w:rPr>
              <w:t>No comment</w:t>
            </w:r>
          </w:p>
        </w:tc>
      </w:tr>
      <w:tr w:rsidR="002B4D46" w:rsidRPr="00D3523D" w14:paraId="3475C0E3" w14:textId="77777777" w:rsidTr="00257615">
        <w:trPr>
          <w:cantSplit/>
          <w:trHeight w:val="465"/>
        </w:trPr>
        <w:tc>
          <w:tcPr>
            <w:tcW w:w="2694" w:type="dxa"/>
            <w:vMerge w:val="restart"/>
            <w:tcMar>
              <w:top w:w="28" w:type="dxa"/>
              <w:bottom w:w="28" w:type="dxa"/>
            </w:tcMar>
          </w:tcPr>
          <w:p w14:paraId="686B1A60" w14:textId="77777777" w:rsidR="005536D5" w:rsidRPr="00D3523D" w:rsidRDefault="005536D5" w:rsidP="005536D5">
            <w:pPr>
              <w:rPr>
                <w:rFonts w:ascii="Arial" w:hAnsi="Arial" w:cs="Arial"/>
              </w:rPr>
            </w:pPr>
            <w:r w:rsidRPr="00D3523D">
              <w:rPr>
                <w:rFonts w:ascii="Arial" w:hAnsi="Arial" w:cs="Arial"/>
              </w:rPr>
              <w:t>OSIMERTINIB</w:t>
            </w:r>
          </w:p>
          <w:p w14:paraId="6FDFC544" w14:textId="77777777" w:rsidR="005536D5" w:rsidRPr="00D3523D" w:rsidRDefault="005536D5" w:rsidP="005536D5">
            <w:pPr>
              <w:rPr>
                <w:rFonts w:ascii="Arial" w:hAnsi="Arial" w:cs="Arial"/>
              </w:rPr>
            </w:pPr>
          </w:p>
          <w:p w14:paraId="769FAD39" w14:textId="77777777" w:rsidR="005536D5" w:rsidRPr="00D3523D" w:rsidRDefault="005536D5" w:rsidP="005536D5">
            <w:pPr>
              <w:rPr>
                <w:rFonts w:ascii="Arial" w:hAnsi="Arial" w:cs="Arial"/>
              </w:rPr>
            </w:pPr>
            <w:r w:rsidRPr="00D3523D">
              <w:rPr>
                <w:rFonts w:ascii="Arial" w:hAnsi="Arial" w:cs="Arial"/>
              </w:rPr>
              <w:t>Tablet 40 mg</w:t>
            </w:r>
          </w:p>
          <w:p w14:paraId="66C556B8" w14:textId="77777777" w:rsidR="005536D5" w:rsidRPr="00D3523D" w:rsidRDefault="005536D5" w:rsidP="005536D5">
            <w:pPr>
              <w:rPr>
                <w:rFonts w:ascii="Arial" w:hAnsi="Arial" w:cs="Arial"/>
              </w:rPr>
            </w:pPr>
            <w:r w:rsidRPr="00D3523D">
              <w:rPr>
                <w:rFonts w:ascii="Arial" w:hAnsi="Arial" w:cs="Arial"/>
              </w:rPr>
              <w:t>Tablet 80 mg</w:t>
            </w:r>
          </w:p>
          <w:p w14:paraId="3B9CCA27" w14:textId="77777777" w:rsidR="005536D5" w:rsidRPr="00D3523D" w:rsidRDefault="005536D5" w:rsidP="005536D5">
            <w:pPr>
              <w:rPr>
                <w:rFonts w:ascii="Arial" w:hAnsi="Arial" w:cs="Arial"/>
              </w:rPr>
            </w:pPr>
          </w:p>
          <w:p w14:paraId="090416EF" w14:textId="77777777" w:rsidR="005536D5" w:rsidRPr="00D3523D" w:rsidRDefault="005536D5" w:rsidP="005536D5">
            <w:pPr>
              <w:rPr>
                <w:rFonts w:ascii="Arial" w:hAnsi="Arial" w:cs="Arial"/>
              </w:rPr>
            </w:pPr>
            <w:r w:rsidRPr="00D3523D">
              <w:rPr>
                <w:rFonts w:ascii="Arial" w:hAnsi="Arial" w:cs="Arial"/>
              </w:rPr>
              <w:t>Tagrisso®</w:t>
            </w:r>
          </w:p>
          <w:p w14:paraId="7CF07D5A" w14:textId="77777777" w:rsidR="005536D5" w:rsidRPr="00D3523D" w:rsidRDefault="005536D5" w:rsidP="005536D5">
            <w:pPr>
              <w:rPr>
                <w:rFonts w:ascii="Arial" w:hAnsi="Arial" w:cs="Arial"/>
              </w:rPr>
            </w:pPr>
          </w:p>
          <w:p w14:paraId="3105DE2E" w14:textId="77777777" w:rsidR="002B4D46" w:rsidRPr="00D3523D" w:rsidRDefault="005536D5" w:rsidP="005536D5">
            <w:pPr>
              <w:rPr>
                <w:rFonts w:ascii="Arial" w:hAnsi="Arial" w:cs="Arial"/>
              </w:rPr>
            </w:pPr>
            <w:r w:rsidRPr="00D3523D">
              <w:rPr>
                <w:rFonts w:ascii="Arial" w:hAnsi="Arial" w:cs="Arial"/>
              </w:rPr>
              <w:t>AstraZeneca Pty Ltd</w:t>
            </w:r>
          </w:p>
          <w:p w14:paraId="4929678C" w14:textId="77777777" w:rsidR="005536D5" w:rsidRPr="00D3523D" w:rsidRDefault="005536D5" w:rsidP="005536D5">
            <w:pPr>
              <w:rPr>
                <w:rFonts w:ascii="Arial" w:hAnsi="Arial" w:cs="Arial"/>
              </w:rPr>
            </w:pPr>
          </w:p>
          <w:p w14:paraId="547641B8" w14:textId="77777777" w:rsidR="005536D5" w:rsidRPr="00D3523D" w:rsidRDefault="005536D5" w:rsidP="005536D5">
            <w:pPr>
              <w:rPr>
                <w:rFonts w:ascii="Arial" w:hAnsi="Arial" w:cs="Arial"/>
              </w:rPr>
            </w:pPr>
            <w:r w:rsidRPr="00D3523D">
              <w:rPr>
                <w:rFonts w:ascii="Arial" w:hAnsi="Arial" w:cs="Arial"/>
              </w:rPr>
              <w:t>Change to listing</w:t>
            </w:r>
          </w:p>
          <w:p w14:paraId="57C42435" w14:textId="77777777" w:rsidR="005536D5" w:rsidRPr="00D3523D" w:rsidRDefault="005536D5" w:rsidP="005536D5">
            <w:pPr>
              <w:rPr>
                <w:rFonts w:ascii="Arial" w:hAnsi="Arial" w:cs="Arial"/>
              </w:rPr>
            </w:pPr>
            <w:r w:rsidRPr="00D3523D">
              <w:rPr>
                <w:rFonts w:ascii="Arial" w:hAnsi="Arial" w:cs="Arial"/>
              </w:rPr>
              <w:t>(Major Submission)</w:t>
            </w:r>
          </w:p>
        </w:tc>
        <w:tc>
          <w:tcPr>
            <w:tcW w:w="2409" w:type="dxa"/>
            <w:vMerge w:val="restart"/>
          </w:tcPr>
          <w:p w14:paraId="1AADE278" w14:textId="77777777" w:rsidR="002B4D46" w:rsidRPr="00D3523D" w:rsidRDefault="00555C08" w:rsidP="002B4D46">
            <w:pPr>
              <w:rPr>
                <w:rFonts w:ascii="Arial" w:hAnsi="Arial" w:cs="Arial"/>
              </w:rPr>
            </w:pPr>
            <w:r w:rsidRPr="00D3523D">
              <w:rPr>
                <w:rFonts w:ascii="Arial" w:hAnsi="Arial" w:cs="Arial"/>
              </w:rPr>
              <w:t>Non-small cell lung cancer (NSCLC)</w:t>
            </w:r>
          </w:p>
        </w:tc>
        <w:tc>
          <w:tcPr>
            <w:tcW w:w="3261" w:type="dxa"/>
            <w:tcMar>
              <w:top w:w="28" w:type="dxa"/>
              <w:bottom w:w="28" w:type="dxa"/>
            </w:tcMar>
          </w:tcPr>
          <w:p w14:paraId="1BD5C793" w14:textId="77777777" w:rsidR="002B4D46" w:rsidRPr="00D3523D" w:rsidRDefault="00555C08" w:rsidP="00555C08">
            <w:pPr>
              <w:rPr>
                <w:rFonts w:ascii="Arial" w:hAnsi="Arial" w:cs="Arial"/>
              </w:rPr>
            </w:pPr>
            <w:r w:rsidRPr="00D3523D">
              <w:rPr>
                <w:rFonts w:ascii="Arial" w:hAnsi="Arial" w:cs="Arial"/>
              </w:rPr>
              <w:t>To request an Authority Required listing for the first-line treatment of patients with Stage IIIB (locally advanced) or Stage IV (metastatic), epidermal growth factor receptor</w:t>
            </w:r>
            <w:r w:rsidR="00635EFB" w:rsidRPr="00D3523D">
              <w:rPr>
                <w:rFonts w:ascii="Arial" w:hAnsi="Arial" w:cs="Arial"/>
              </w:rPr>
              <w:t xml:space="preserve"> (EGFR)</w:t>
            </w:r>
            <w:r w:rsidRPr="00D3523D">
              <w:rPr>
                <w:rFonts w:ascii="Arial" w:hAnsi="Arial" w:cs="Arial"/>
              </w:rPr>
              <w:t xml:space="preserve"> mutation positive </w:t>
            </w:r>
            <w:r w:rsidR="00635EFB" w:rsidRPr="00D3523D">
              <w:rPr>
                <w:rFonts w:ascii="Arial" w:hAnsi="Arial" w:cs="Arial"/>
              </w:rPr>
              <w:t xml:space="preserve">(M+) </w:t>
            </w:r>
            <w:r w:rsidRPr="00D3523D">
              <w:rPr>
                <w:rFonts w:ascii="Arial" w:hAnsi="Arial" w:cs="Arial"/>
              </w:rPr>
              <w:t>NSCLC.</w:t>
            </w:r>
          </w:p>
        </w:tc>
        <w:tc>
          <w:tcPr>
            <w:tcW w:w="6947" w:type="dxa"/>
          </w:tcPr>
          <w:p w14:paraId="0B4CD9DC" w14:textId="5603599D" w:rsidR="00830B5F" w:rsidRPr="00D3523D" w:rsidRDefault="00830B5F" w:rsidP="00DA5000">
            <w:pPr>
              <w:pStyle w:val="ListParagraph"/>
              <w:spacing w:after="120"/>
              <w:ind w:left="0"/>
              <w:contextualSpacing w:val="0"/>
              <w:rPr>
                <w:rFonts w:ascii="Arial" w:hAnsi="Arial" w:cs="Arial"/>
                <w:iCs/>
                <w:sz w:val="20"/>
                <w:szCs w:val="20"/>
              </w:rPr>
            </w:pPr>
            <w:r w:rsidRPr="00D3523D">
              <w:rPr>
                <w:rFonts w:ascii="Arial" w:hAnsi="Arial" w:cs="Arial"/>
                <w:iCs/>
                <w:sz w:val="20"/>
                <w:szCs w:val="20"/>
              </w:rPr>
              <w:t xml:space="preserve">The PBAC did not recommend osimertinib for the first-line treatment of locally advanced or metastatic EGFR M+ NSCLC. The PBAC noted the improvement in progression free survival associated with treatment with osimertinib compared with treatment with erlotinib or gefitinib. However, the magnitude of benefit in overall survival was uncertain, as the data provided were still immature. </w:t>
            </w:r>
          </w:p>
          <w:p w14:paraId="364FF4F9" w14:textId="17E042E1" w:rsidR="00635EFB" w:rsidRPr="00D3523D" w:rsidRDefault="00830B5F" w:rsidP="00DA5000">
            <w:pPr>
              <w:pStyle w:val="ListParagraph"/>
              <w:spacing w:after="120"/>
              <w:ind w:left="0"/>
              <w:contextualSpacing w:val="0"/>
              <w:rPr>
                <w:rFonts w:ascii="Arial" w:hAnsi="Arial" w:cs="Arial"/>
                <w:iCs/>
                <w:sz w:val="20"/>
                <w:szCs w:val="20"/>
              </w:rPr>
            </w:pPr>
            <w:r w:rsidRPr="00D3523D">
              <w:rPr>
                <w:rFonts w:ascii="Arial" w:hAnsi="Arial" w:cs="Arial"/>
                <w:iCs/>
                <w:sz w:val="20"/>
                <w:szCs w:val="20"/>
              </w:rPr>
              <w:t>The PBAC considered the incremental cost effectiveness ratio</w:t>
            </w:r>
            <w:r w:rsidR="006F726F">
              <w:rPr>
                <w:rFonts w:ascii="Arial" w:hAnsi="Arial" w:cs="Arial"/>
                <w:iCs/>
                <w:sz w:val="20"/>
                <w:szCs w:val="20"/>
              </w:rPr>
              <w:t xml:space="preserve"> per quality adjusted life years</w:t>
            </w:r>
            <w:r w:rsidRPr="00D3523D">
              <w:rPr>
                <w:rFonts w:ascii="Arial" w:hAnsi="Arial" w:cs="Arial"/>
                <w:iCs/>
                <w:sz w:val="20"/>
                <w:szCs w:val="20"/>
              </w:rPr>
              <w:t xml:space="preserve"> was unacceptably high and uncertain at the proposed price. The PBAC also considered that the estimated PBS population for first-line use was likely to be overestimated and the length of treatment was uncertain, resulting in a high overall financial opportunity cost.</w:t>
            </w:r>
            <w:bookmarkStart w:id="0" w:name="_GoBack"/>
            <w:bookmarkEnd w:id="0"/>
          </w:p>
        </w:tc>
      </w:tr>
      <w:tr w:rsidR="000B3688" w:rsidRPr="00D3523D" w14:paraId="5612F91C" w14:textId="77777777" w:rsidTr="007147DF">
        <w:trPr>
          <w:cantSplit/>
          <w:trHeight w:val="996"/>
        </w:trPr>
        <w:tc>
          <w:tcPr>
            <w:tcW w:w="2694" w:type="dxa"/>
            <w:vMerge/>
            <w:tcMar>
              <w:top w:w="28" w:type="dxa"/>
              <w:bottom w:w="28" w:type="dxa"/>
            </w:tcMar>
          </w:tcPr>
          <w:p w14:paraId="2475826F" w14:textId="77777777" w:rsidR="000B3688" w:rsidRPr="00D3523D" w:rsidRDefault="000B3688" w:rsidP="002B4D46">
            <w:pPr>
              <w:rPr>
                <w:rFonts w:ascii="Arial" w:hAnsi="Arial" w:cs="Arial"/>
              </w:rPr>
            </w:pPr>
          </w:p>
        </w:tc>
        <w:tc>
          <w:tcPr>
            <w:tcW w:w="2409" w:type="dxa"/>
            <w:vMerge/>
          </w:tcPr>
          <w:p w14:paraId="4B19981E" w14:textId="77777777" w:rsidR="000B3688" w:rsidRPr="00D3523D" w:rsidRDefault="000B3688" w:rsidP="002B4D46">
            <w:pPr>
              <w:widowControl w:val="0"/>
              <w:rPr>
                <w:rFonts w:ascii="Arial" w:hAnsi="Arial" w:cs="Arial"/>
                <w:snapToGrid w:val="0"/>
                <w:lang w:eastAsia="en-US"/>
              </w:rPr>
            </w:pPr>
          </w:p>
        </w:tc>
        <w:tc>
          <w:tcPr>
            <w:tcW w:w="3261" w:type="dxa"/>
            <w:tcMar>
              <w:top w:w="28" w:type="dxa"/>
              <w:bottom w:w="28" w:type="dxa"/>
            </w:tcMar>
          </w:tcPr>
          <w:p w14:paraId="2FED8ECA" w14:textId="77777777" w:rsidR="000B3688" w:rsidRPr="00E0606D" w:rsidRDefault="000B3688" w:rsidP="002B4D46">
            <w:pPr>
              <w:pStyle w:val="ListParagraph"/>
              <w:ind w:left="0"/>
              <w:jc w:val="right"/>
              <w:rPr>
                <w:rFonts w:ascii="Arial" w:hAnsi="Arial" w:cs="Arial"/>
                <w:snapToGrid w:val="0"/>
                <w:sz w:val="20"/>
                <w:szCs w:val="20"/>
                <w:lang w:eastAsia="en-US"/>
              </w:rPr>
            </w:pPr>
            <w:r w:rsidRPr="00E0606D">
              <w:rPr>
                <w:rFonts w:ascii="Arial" w:hAnsi="Arial" w:cs="Arial"/>
                <w:snapToGrid w:val="0"/>
                <w:sz w:val="20"/>
                <w:szCs w:val="20"/>
                <w:lang w:eastAsia="en-US"/>
              </w:rPr>
              <w:t>Sponsor’s Comment:</w:t>
            </w:r>
          </w:p>
        </w:tc>
        <w:tc>
          <w:tcPr>
            <w:tcW w:w="6947" w:type="dxa"/>
          </w:tcPr>
          <w:p w14:paraId="478BB7B2" w14:textId="1406BA1C" w:rsidR="000B3688" w:rsidRPr="00E0606D" w:rsidRDefault="00D45A14" w:rsidP="002B4D46">
            <w:pPr>
              <w:pStyle w:val="ListParagraph"/>
              <w:ind w:left="0"/>
              <w:jc w:val="both"/>
              <w:rPr>
                <w:rFonts w:ascii="Arial" w:hAnsi="Arial" w:cs="Arial"/>
                <w:iCs/>
                <w:sz w:val="20"/>
                <w:szCs w:val="20"/>
              </w:rPr>
            </w:pPr>
            <w:r w:rsidRPr="00E0606D">
              <w:rPr>
                <w:rFonts w:ascii="Arial" w:hAnsi="Arial" w:cs="Arial"/>
                <w:iCs/>
                <w:sz w:val="20"/>
                <w:szCs w:val="20"/>
              </w:rPr>
              <w:t>No comment</w:t>
            </w:r>
          </w:p>
        </w:tc>
      </w:tr>
      <w:tr w:rsidR="00377360" w:rsidRPr="00D3523D" w14:paraId="26D81561" w14:textId="77777777" w:rsidTr="00257615">
        <w:trPr>
          <w:cantSplit/>
          <w:trHeight w:val="465"/>
        </w:trPr>
        <w:tc>
          <w:tcPr>
            <w:tcW w:w="2694" w:type="dxa"/>
            <w:vMerge w:val="restart"/>
            <w:tcMar>
              <w:top w:w="28" w:type="dxa"/>
              <w:bottom w:w="28" w:type="dxa"/>
            </w:tcMar>
          </w:tcPr>
          <w:p w14:paraId="1DCAC947" w14:textId="77777777" w:rsidR="00377360" w:rsidRPr="00AA3676" w:rsidRDefault="00377360" w:rsidP="00377360">
            <w:pPr>
              <w:rPr>
                <w:rFonts w:ascii="Arial" w:hAnsi="Arial" w:cs="Arial"/>
              </w:rPr>
            </w:pPr>
            <w:r w:rsidRPr="00AA3676">
              <w:rPr>
                <w:rFonts w:ascii="Arial" w:hAnsi="Arial" w:cs="Arial"/>
              </w:rPr>
              <w:lastRenderedPageBreak/>
              <w:t xml:space="preserve">OXYCODONE </w:t>
            </w:r>
          </w:p>
          <w:p w14:paraId="079868DC" w14:textId="77777777" w:rsidR="00377360" w:rsidRPr="00AA3676" w:rsidRDefault="00377360" w:rsidP="00377360">
            <w:pPr>
              <w:rPr>
                <w:rFonts w:ascii="Arial" w:hAnsi="Arial" w:cs="Arial"/>
              </w:rPr>
            </w:pPr>
          </w:p>
          <w:p w14:paraId="7CFB7F02" w14:textId="77777777" w:rsidR="00377360" w:rsidRPr="00AA3676" w:rsidRDefault="00377360" w:rsidP="00377360">
            <w:pPr>
              <w:rPr>
                <w:rFonts w:ascii="Arial" w:hAnsi="Arial" w:cs="Arial"/>
              </w:rPr>
            </w:pPr>
            <w:r w:rsidRPr="00AA3676">
              <w:rPr>
                <w:rFonts w:ascii="Arial" w:hAnsi="Arial" w:cs="Arial"/>
              </w:rPr>
              <w:t xml:space="preserve">Tablet containing oxycodone hydrochloride 10 mg (controlled release) </w:t>
            </w:r>
          </w:p>
          <w:p w14:paraId="57446DAE" w14:textId="77777777" w:rsidR="00377360" w:rsidRPr="00AA3676" w:rsidRDefault="00377360" w:rsidP="00377360">
            <w:pPr>
              <w:rPr>
                <w:rFonts w:ascii="Arial" w:hAnsi="Arial" w:cs="Arial"/>
              </w:rPr>
            </w:pPr>
            <w:r w:rsidRPr="00AA3676">
              <w:rPr>
                <w:rFonts w:ascii="Arial" w:hAnsi="Arial" w:cs="Arial"/>
              </w:rPr>
              <w:t xml:space="preserve">Tablet containing oxycodone hydrochloride 15 mg (controlled release) </w:t>
            </w:r>
          </w:p>
          <w:p w14:paraId="77309316" w14:textId="77777777" w:rsidR="00377360" w:rsidRPr="00AA3676" w:rsidRDefault="00377360" w:rsidP="00377360">
            <w:pPr>
              <w:rPr>
                <w:rFonts w:ascii="Arial" w:hAnsi="Arial" w:cs="Arial"/>
              </w:rPr>
            </w:pPr>
            <w:r w:rsidRPr="00AA3676">
              <w:rPr>
                <w:rFonts w:ascii="Arial" w:hAnsi="Arial" w:cs="Arial"/>
              </w:rPr>
              <w:t xml:space="preserve">Tablet containing oxycodone hydrochloride 20 mg (controlled release) </w:t>
            </w:r>
          </w:p>
          <w:p w14:paraId="1D879BE5" w14:textId="77777777" w:rsidR="00377360" w:rsidRPr="00AA3676" w:rsidRDefault="00377360" w:rsidP="00377360">
            <w:pPr>
              <w:rPr>
                <w:rFonts w:ascii="Arial" w:hAnsi="Arial" w:cs="Arial"/>
              </w:rPr>
            </w:pPr>
            <w:r w:rsidRPr="00AA3676">
              <w:rPr>
                <w:rFonts w:ascii="Arial" w:hAnsi="Arial" w:cs="Arial"/>
              </w:rPr>
              <w:t xml:space="preserve">Tablet containing oxycodone hydrochloride 30 mg (controlled release) </w:t>
            </w:r>
          </w:p>
          <w:p w14:paraId="76745F0E" w14:textId="77777777" w:rsidR="00377360" w:rsidRPr="00AA3676" w:rsidRDefault="00377360" w:rsidP="00377360">
            <w:pPr>
              <w:rPr>
                <w:rFonts w:ascii="Arial" w:hAnsi="Arial" w:cs="Arial"/>
              </w:rPr>
            </w:pPr>
            <w:r w:rsidRPr="00AA3676">
              <w:rPr>
                <w:rFonts w:ascii="Arial" w:hAnsi="Arial" w:cs="Arial"/>
              </w:rPr>
              <w:t xml:space="preserve">Tablet containing oxycodone hydrochloride 40 mg (controlled release) </w:t>
            </w:r>
          </w:p>
          <w:p w14:paraId="696F8522" w14:textId="77777777" w:rsidR="00377360" w:rsidRPr="00AA3676" w:rsidRDefault="00377360" w:rsidP="00377360">
            <w:pPr>
              <w:rPr>
                <w:rFonts w:ascii="Arial" w:hAnsi="Arial" w:cs="Arial"/>
              </w:rPr>
            </w:pPr>
            <w:r w:rsidRPr="00AA3676">
              <w:rPr>
                <w:rFonts w:ascii="Arial" w:hAnsi="Arial" w:cs="Arial"/>
              </w:rPr>
              <w:t>Tablet containing oxycodone hydrochloride 80 mg (controlled release)</w:t>
            </w:r>
          </w:p>
          <w:p w14:paraId="76535CAA" w14:textId="77777777" w:rsidR="00377360" w:rsidRPr="00AA3676" w:rsidRDefault="00377360" w:rsidP="00377360">
            <w:pPr>
              <w:rPr>
                <w:rFonts w:ascii="Arial" w:hAnsi="Arial" w:cs="Arial"/>
              </w:rPr>
            </w:pPr>
          </w:p>
          <w:p w14:paraId="7716D480" w14:textId="77777777" w:rsidR="00377360" w:rsidRPr="00AA3676" w:rsidRDefault="00377360" w:rsidP="00377360">
            <w:pPr>
              <w:rPr>
                <w:rFonts w:ascii="Arial" w:hAnsi="Arial" w:cs="Arial"/>
              </w:rPr>
            </w:pPr>
            <w:r w:rsidRPr="00AA3676">
              <w:rPr>
                <w:rFonts w:ascii="Arial" w:hAnsi="Arial" w:cs="Arial"/>
              </w:rPr>
              <w:t>OxyContin</w:t>
            </w:r>
            <w:r w:rsidRPr="00AA3676">
              <w:rPr>
                <w:rFonts w:ascii="Arial" w:hAnsi="Arial" w:cs="Arial"/>
                <w:vertAlign w:val="superscript"/>
              </w:rPr>
              <w:t>®</w:t>
            </w:r>
          </w:p>
          <w:p w14:paraId="41E31E52" w14:textId="77777777" w:rsidR="00377360" w:rsidRPr="00AA3676" w:rsidRDefault="00377360" w:rsidP="00377360">
            <w:pPr>
              <w:rPr>
                <w:rFonts w:ascii="Arial" w:hAnsi="Arial" w:cs="Arial"/>
              </w:rPr>
            </w:pPr>
          </w:p>
          <w:p w14:paraId="410F1850" w14:textId="77777777" w:rsidR="00377360" w:rsidRPr="00AA3676" w:rsidRDefault="00377360" w:rsidP="00377360">
            <w:pPr>
              <w:rPr>
                <w:rFonts w:ascii="Arial" w:hAnsi="Arial" w:cs="Arial"/>
              </w:rPr>
            </w:pPr>
            <w:r w:rsidRPr="00AA3676">
              <w:rPr>
                <w:rFonts w:ascii="Arial" w:hAnsi="Arial" w:cs="Arial"/>
              </w:rPr>
              <w:t>Mundipharma Pty Limited</w:t>
            </w:r>
          </w:p>
          <w:p w14:paraId="7B249DCF" w14:textId="77777777" w:rsidR="00377360" w:rsidRPr="00AA3676" w:rsidRDefault="00377360" w:rsidP="00377360">
            <w:pPr>
              <w:rPr>
                <w:rFonts w:ascii="Arial" w:hAnsi="Arial" w:cs="Arial"/>
              </w:rPr>
            </w:pPr>
          </w:p>
          <w:p w14:paraId="46C70BDB" w14:textId="77777777" w:rsidR="00377360" w:rsidRPr="00AA3676" w:rsidRDefault="00377360" w:rsidP="00377360">
            <w:pPr>
              <w:rPr>
                <w:rFonts w:ascii="Arial" w:hAnsi="Arial" w:cs="Arial"/>
              </w:rPr>
            </w:pPr>
            <w:r w:rsidRPr="00AA3676">
              <w:rPr>
                <w:rFonts w:ascii="Arial" w:hAnsi="Arial" w:cs="Arial"/>
              </w:rPr>
              <w:t>Change to listing</w:t>
            </w:r>
          </w:p>
          <w:p w14:paraId="2759E8FA" w14:textId="5D1E9B8F" w:rsidR="00377360" w:rsidRPr="00AA3676" w:rsidRDefault="00377360" w:rsidP="00377360">
            <w:pPr>
              <w:rPr>
                <w:rFonts w:ascii="Arial" w:hAnsi="Arial" w:cs="Arial"/>
              </w:rPr>
            </w:pPr>
            <w:r w:rsidRPr="00AA3676">
              <w:rPr>
                <w:rFonts w:ascii="Arial" w:hAnsi="Arial" w:cs="Arial"/>
              </w:rPr>
              <w:t>(Major Submission)</w:t>
            </w:r>
          </w:p>
        </w:tc>
        <w:tc>
          <w:tcPr>
            <w:tcW w:w="2409" w:type="dxa"/>
            <w:vMerge w:val="restart"/>
          </w:tcPr>
          <w:p w14:paraId="3F4B78C0" w14:textId="47DA1CE1" w:rsidR="00377360" w:rsidRPr="00AA3676" w:rsidRDefault="00377360" w:rsidP="00377360">
            <w:pPr>
              <w:rPr>
                <w:rFonts w:ascii="Arial" w:hAnsi="Arial" w:cs="Arial"/>
              </w:rPr>
            </w:pPr>
            <w:r w:rsidRPr="00AA3676">
              <w:rPr>
                <w:rFonts w:ascii="Arial" w:hAnsi="Arial" w:cs="Arial"/>
              </w:rPr>
              <w:t>The management of moderate to severe chronic pain unresponsive to non-narcotic analgesia.</w:t>
            </w:r>
          </w:p>
        </w:tc>
        <w:tc>
          <w:tcPr>
            <w:tcW w:w="3261" w:type="dxa"/>
            <w:tcMar>
              <w:top w:w="28" w:type="dxa"/>
              <w:bottom w:w="28" w:type="dxa"/>
            </w:tcMar>
          </w:tcPr>
          <w:p w14:paraId="4D643022" w14:textId="79DE3BE3" w:rsidR="00377360" w:rsidRPr="00AA3676" w:rsidRDefault="00030A49" w:rsidP="00377360">
            <w:pPr>
              <w:rPr>
                <w:rFonts w:ascii="Arial" w:hAnsi="Arial" w:cs="Arial"/>
              </w:rPr>
            </w:pPr>
            <w:r w:rsidRPr="00AA3676">
              <w:rPr>
                <w:rFonts w:ascii="Arial" w:hAnsi="Arial" w:cs="Arial"/>
              </w:rPr>
              <w:t>T</w:t>
            </w:r>
            <w:r w:rsidR="00377360" w:rsidRPr="00AA3676">
              <w:rPr>
                <w:rFonts w:ascii="Arial" w:hAnsi="Arial" w:cs="Arial"/>
              </w:rPr>
              <w:t>o request changes to the authority level and restriction for the existing a-flagged listings for controlled release oxycodone for chronic severe disabling pain to differentiate the brands that are intended to be crush-deterrent.</w:t>
            </w:r>
          </w:p>
        </w:tc>
        <w:tc>
          <w:tcPr>
            <w:tcW w:w="6947" w:type="dxa"/>
          </w:tcPr>
          <w:p w14:paraId="41DFDCC6" w14:textId="78024802" w:rsidR="008E2DD0" w:rsidRPr="008E2DD0" w:rsidRDefault="008E2DD0" w:rsidP="008E2DD0">
            <w:pPr>
              <w:widowControl w:val="0"/>
              <w:tabs>
                <w:tab w:val="center" w:pos="4513"/>
                <w:tab w:val="right" w:pos="9026"/>
              </w:tabs>
              <w:spacing w:after="120"/>
              <w:rPr>
                <w:rFonts w:ascii="Arial" w:hAnsi="Arial" w:cs="Arial"/>
                <w:snapToGrid w:val="0"/>
                <w:lang w:eastAsia="en-US"/>
              </w:rPr>
            </w:pPr>
            <w:r w:rsidRPr="008E2DD0">
              <w:rPr>
                <w:rFonts w:ascii="Arial" w:hAnsi="Arial" w:cs="Arial"/>
                <w:snapToGrid w:val="0"/>
                <w:lang w:eastAsia="en-US"/>
              </w:rPr>
              <w:t>The PBAC did not recommend the request for changes to the authority level and restriction for the existing a-flagged listings for controlled release oxycodone for chronic severe disabling pain to differentiate the brands that are intended to be crush-deterrent.</w:t>
            </w:r>
          </w:p>
          <w:p w14:paraId="6C989814" w14:textId="05F32B38" w:rsidR="008E2DD0" w:rsidRPr="008E2DD0" w:rsidRDefault="008E2DD0" w:rsidP="008E2DD0">
            <w:pPr>
              <w:widowControl w:val="0"/>
              <w:tabs>
                <w:tab w:val="center" w:pos="4513"/>
                <w:tab w:val="right" w:pos="9026"/>
              </w:tabs>
              <w:spacing w:after="120"/>
              <w:rPr>
                <w:rFonts w:ascii="Arial" w:hAnsi="Arial" w:cs="Arial"/>
                <w:snapToGrid w:val="0"/>
                <w:lang w:eastAsia="en-US"/>
              </w:rPr>
            </w:pPr>
            <w:r w:rsidRPr="008E2DD0">
              <w:rPr>
                <w:rFonts w:ascii="Arial" w:hAnsi="Arial" w:cs="Arial"/>
                <w:snapToGrid w:val="0"/>
                <w:lang w:eastAsia="en-US"/>
              </w:rPr>
              <w:t xml:space="preserve">The PBAC welcomes proposals for strategies to combat opioid misuse in Australia in the context of the Pharmaceutical Benefits Scheme subsidy arrangements. However, the PBAC considered the proposal put forward in the current submission would be highly unlikely </w:t>
            </w:r>
            <w:r w:rsidR="004C0BAC">
              <w:rPr>
                <w:rFonts w:ascii="Arial" w:hAnsi="Arial" w:cs="Arial"/>
                <w:snapToGrid w:val="0"/>
                <w:lang w:eastAsia="en-US"/>
              </w:rPr>
              <w:t xml:space="preserve">to </w:t>
            </w:r>
            <w:r w:rsidRPr="008E2DD0">
              <w:rPr>
                <w:rFonts w:ascii="Arial" w:hAnsi="Arial" w:cs="Arial"/>
                <w:snapToGrid w:val="0"/>
                <w:lang w:eastAsia="en-US"/>
              </w:rPr>
              <w:t>achieve this result; particularly as the PBAC was not satisfied the evidence presented in the submission supported the claim that crush-deterrent oxycodone has superior safety to other forms of oxycodone.</w:t>
            </w:r>
          </w:p>
          <w:p w14:paraId="232ECF96" w14:textId="0BEDE417" w:rsidR="008E2DD0" w:rsidRPr="008E2DD0" w:rsidRDefault="008E2DD0" w:rsidP="008E2DD0">
            <w:pPr>
              <w:widowControl w:val="0"/>
              <w:tabs>
                <w:tab w:val="center" w:pos="4513"/>
                <w:tab w:val="right" w:pos="9026"/>
              </w:tabs>
              <w:spacing w:after="120"/>
              <w:rPr>
                <w:rFonts w:ascii="Arial" w:hAnsi="Arial" w:cs="Arial"/>
                <w:snapToGrid w:val="0"/>
                <w:lang w:eastAsia="en-US"/>
              </w:rPr>
            </w:pPr>
            <w:r w:rsidRPr="008E2DD0">
              <w:rPr>
                <w:rFonts w:ascii="Arial" w:hAnsi="Arial" w:cs="Arial"/>
                <w:snapToGrid w:val="0"/>
                <w:lang w:eastAsia="en-US"/>
              </w:rPr>
              <w:t xml:space="preserve">In making its decision, the PBAC considered evidence from Australian epidemiological studies and surveys including the National Drug Strategy Household Survey and NOMAD studies, which did not indicate changes in overall population-level harms such as hospitalisation or ambulance attendances following the introduction of crush-deterrent oxycodone. Data in other Australian literature indicated there might have been changes to prescribing of some forms of oxycodone; however, the PBAC was concerned that patients may be switching to alternative forms of oxycodone or other opioids. </w:t>
            </w:r>
          </w:p>
          <w:p w14:paraId="504BEF7B" w14:textId="2527D8D4" w:rsidR="008E2DD0" w:rsidRPr="008E2DD0" w:rsidRDefault="008E2DD0" w:rsidP="008E2DD0">
            <w:pPr>
              <w:widowControl w:val="0"/>
              <w:tabs>
                <w:tab w:val="center" w:pos="4513"/>
                <w:tab w:val="right" w:pos="9026"/>
              </w:tabs>
              <w:spacing w:after="120"/>
              <w:rPr>
                <w:rFonts w:ascii="Arial" w:hAnsi="Arial" w:cs="Arial"/>
                <w:snapToGrid w:val="0"/>
                <w:lang w:eastAsia="en-US"/>
              </w:rPr>
            </w:pPr>
            <w:r w:rsidRPr="008E2DD0">
              <w:rPr>
                <w:rFonts w:ascii="Arial" w:hAnsi="Arial" w:cs="Arial"/>
                <w:snapToGrid w:val="0"/>
                <w:lang w:eastAsia="en-US"/>
              </w:rPr>
              <w:t>The Committee noted the evidence presented may indicate injected oxycodone misuse has declined; however also considered much of the tampering of oxycodone was likely to be for misuse by means other than injection (such as by mouth). The PBAC noted there was limited evidence as to whether crush-deterrent forms of oxycodone had been effective in reducing misuse by means other than injection.</w:t>
            </w:r>
          </w:p>
          <w:p w14:paraId="17976A5C" w14:textId="0C2F1336" w:rsidR="00377360" w:rsidRPr="00AA3676" w:rsidRDefault="008E2DD0" w:rsidP="008E2DD0">
            <w:pPr>
              <w:widowControl w:val="0"/>
              <w:tabs>
                <w:tab w:val="center" w:pos="4513"/>
                <w:tab w:val="right" w:pos="9026"/>
              </w:tabs>
              <w:spacing w:after="120"/>
              <w:rPr>
                <w:rFonts w:ascii="Arial" w:hAnsi="Arial" w:cs="Arial"/>
                <w:snapToGrid w:val="0"/>
                <w:lang w:eastAsia="en-US"/>
              </w:rPr>
            </w:pPr>
            <w:r w:rsidRPr="008E2DD0">
              <w:rPr>
                <w:rFonts w:ascii="Arial" w:hAnsi="Arial" w:cs="Arial"/>
                <w:snapToGrid w:val="0"/>
                <w:lang w:eastAsia="en-US"/>
              </w:rPr>
              <w:t>The PBAC noted the submission did not attempt to quantify potential harms associated with attempting to inject crush-deterrent oxycodone, such as increased risk of thrombotic microangiopathy, or potential harms associated with oral misuse, including, in rare cases, intestinal obstruction.</w:t>
            </w:r>
          </w:p>
        </w:tc>
      </w:tr>
      <w:tr w:rsidR="00377360" w:rsidRPr="00D3523D" w14:paraId="1475635E" w14:textId="77777777" w:rsidTr="00257615">
        <w:trPr>
          <w:cantSplit/>
          <w:trHeight w:val="465"/>
        </w:trPr>
        <w:tc>
          <w:tcPr>
            <w:tcW w:w="2694" w:type="dxa"/>
            <w:vMerge/>
            <w:tcMar>
              <w:top w:w="28" w:type="dxa"/>
              <w:bottom w:w="28" w:type="dxa"/>
            </w:tcMar>
          </w:tcPr>
          <w:p w14:paraId="2B23CA5C" w14:textId="77777777" w:rsidR="00377360" w:rsidRPr="00AA3676" w:rsidRDefault="00377360" w:rsidP="00377360">
            <w:pPr>
              <w:rPr>
                <w:rFonts w:ascii="Arial" w:hAnsi="Arial" w:cs="Arial"/>
              </w:rPr>
            </w:pPr>
          </w:p>
        </w:tc>
        <w:tc>
          <w:tcPr>
            <w:tcW w:w="2409" w:type="dxa"/>
            <w:vMerge/>
          </w:tcPr>
          <w:p w14:paraId="1717015E" w14:textId="77777777" w:rsidR="00377360" w:rsidRPr="00AA3676" w:rsidRDefault="00377360" w:rsidP="00377360">
            <w:pPr>
              <w:rPr>
                <w:rFonts w:ascii="Arial" w:hAnsi="Arial" w:cs="Arial"/>
              </w:rPr>
            </w:pPr>
          </w:p>
        </w:tc>
        <w:tc>
          <w:tcPr>
            <w:tcW w:w="3261" w:type="dxa"/>
            <w:tcMar>
              <w:top w:w="28" w:type="dxa"/>
              <w:bottom w:w="28" w:type="dxa"/>
            </w:tcMar>
          </w:tcPr>
          <w:p w14:paraId="689C33BC" w14:textId="1360B92A" w:rsidR="00377360" w:rsidRPr="00AA3676" w:rsidRDefault="00377360" w:rsidP="00377360">
            <w:pPr>
              <w:jc w:val="right"/>
              <w:rPr>
                <w:rFonts w:ascii="Arial" w:hAnsi="Arial" w:cs="Arial"/>
              </w:rPr>
            </w:pPr>
            <w:r w:rsidRPr="00AA3676">
              <w:rPr>
                <w:rFonts w:ascii="Arial" w:hAnsi="Arial" w:cs="Arial"/>
              </w:rPr>
              <w:t>Sponsor’s Comment:</w:t>
            </w:r>
          </w:p>
        </w:tc>
        <w:tc>
          <w:tcPr>
            <w:tcW w:w="6947" w:type="dxa"/>
          </w:tcPr>
          <w:p w14:paraId="4B79A32A" w14:textId="554DDE5B" w:rsidR="00377360" w:rsidRPr="00AA3676" w:rsidRDefault="00E0606D" w:rsidP="00377360">
            <w:pPr>
              <w:widowControl w:val="0"/>
              <w:tabs>
                <w:tab w:val="center" w:pos="4513"/>
                <w:tab w:val="right" w:pos="9026"/>
              </w:tabs>
              <w:spacing w:after="240"/>
              <w:contextualSpacing/>
              <w:rPr>
                <w:rFonts w:ascii="Arial" w:hAnsi="Arial" w:cs="Arial"/>
                <w:snapToGrid w:val="0"/>
                <w:lang w:eastAsia="en-US"/>
              </w:rPr>
            </w:pPr>
            <w:r>
              <w:rPr>
                <w:rFonts w:ascii="Arial" w:hAnsi="Arial" w:cs="Arial"/>
                <w:snapToGrid w:val="0"/>
                <w:lang w:eastAsia="en-US"/>
              </w:rPr>
              <w:t>No comment</w:t>
            </w:r>
          </w:p>
        </w:tc>
      </w:tr>
      <w:tr w:rsidR="00377360" w:rsidRPr="00D3523D" w14:paraId="5F1984EA" w14:textId="77777777" w:rsidTr="00257615">
        <w:trPr>
          <w:cantSplit/>
          <w:trHeight w:val="465"/>
        </w:trPr>
        <w:tc>
          <w:tcPr>
            <w:tcW w:w="2694" w:type="dxa"/>
            <w:vMerge w:val="restart"/>
            <w:tcMar>
              <w:top w:w="28" w:type="dxa"/>
              <w:bottom w:w="28" w:type="dxa"/>
            </w:tcMar>
          </w:tcPr>
          <w:p w14:paraId="30EB9205" w14:textId="77777777" w:rsidR="00377360" w:rsidRPr="00D3523D" w:rsidRDefault="00377360" w:rsidP="00377360">
            <w:pPr>
              <w:rPr>
                <w:rFonts w:ascii="Arial" w:hAnsi="Arial" w:cs="Arial"/>
              </w:rPr>
            </w:pPr>
            <w:r w:rsidRPr="00D3523D">
              <w:rPr>
                <w:rFonts w:ascii="Arial" w:hAnsi="Arial" w:cs="Arial"/>
              </w:rPr>
              <w:lastRenderedPageBreak/>
              <w:t>PLITIDEPSIN</w:t>
            </w:r>
          </w:p>
          <w:p w14:paraId="584DA467" w14:textId="77777777" w:rsidR="00377360" w:rsidRPr="00D3523D" w:rsidRDefault="00377360" w:rsidP="00377360">
            <w:pPr>
              <w:rPr>
                <w:rFonts w:ascii="Arial" w:hAnsi="Arial" w:cs="Arial"/>
              </w:rPr>
            </w:pPr>
          </w:p>
          <w:p w14:paraId="35A8F469" w14:textId="77777777" w:rsidR="00377360" w:rsidRPr="00D3523D" w:rsidRDefault="00377360" w:rsidP="00377360">
            <w:pPr>
              <w:rPr>
                <w:rFonts w:ascii="Arial" w:hAnsi="Arial" w:cs="Arial"/>
              </w:rPr>
            </w:pPr>
            <w:r w:rsidRPr="00D3523D">
              <w:rPr>
                <w:rFonts w:ascii="Arial" w:hAnsi="Arial" w:cs="Arial"/>
              </w:rPr>
              <w:t>Powder for I.V. infusion 2 mg with 4 mL solvent</w:t>
            </w:r>
          </w:p>
          <w:p w14:paraId="2DB536B0" w14:textId="77777777" w:rsidR="00377360" w:rsidRPr="00D3523D" w:rsidRDefault="00377360" w:rsidP="00377360">
            <w:pPr>
              <w:rPr>
                <w:rFonts w:ascii="Arial" w:hAnsi="Arial" w:cs="Arial"/>
              </w:rPr>
            </w:pPr>
          </w:p>
          <w:p w14:paraId="1BFFCFE9" w14:textId="77777777" w:rsidR="00377360" w:rsidRPr="00D3523D" w:rsidRDefault="00377360" w:rsidP="00377360">
            <w:pPr>
              <w:rPr>
                <w:rFonts w:ascii="Arial" w:hAnsi="Arial" w:cs="Arial"/>
              </w:rPr>
            </w:pPr>
            <w:r w:rsidRPr="00D3523D">
              <w:rPr>
                <w:rFonts w:ascii="Arial" w:hAnsi="Arial" w:cs="Arial"/>
              </w:rPr>
              <w:t>Aplidin®</w:t>
            </w:r>
          </w:p>
          <w:p w14:paraId="3FD7EC8B" w14:textId="77777777" w:rsidR="00377360" w:rsidRPr="00D3523D" w:rsidRDefault="00377360" w:rsidP="00377360">
            <w:pPr>
              <w:rPr>
                <w:rFonts w:ascii="Arial" w:hAnsi="Arial" w:cs="Arial"/>
              </w:rPr>
            </w:pPr>
          </w:p>
          <w:p w14:paraId="599A7499" w14:textId="77777777" w:rsidR="00377360" w:rsidRPr="00D3523D" w:rsidRDefault="00377360" w:rsidP="00377360">
            <w:pPr>
              <w:rPr>
                <w:rFonts w:ascii="Arial" w:hAnsi="Arial" w:cs="Arial"/>
              </w:rPr>
            </w:pPr>
            <w:r w:rsidRPr="00D3523D">
              <w:rPr>
                <w:rFonts w:ascii="Arial" w:hAnsi="Arial" w:cs="Arial"/>
              </w:rPr>
              <w:t>Specialised Therapeutics Pharma Pty Ltd</w:t>
            </w:r>
          </w:p>
          <w:p w14:paraId="15780533" w14:textId="77777777" w:rsidR="00377360" w:rsidRPr="00D3523D" w:rsidRDefault="00377360" w:rsidP="00377360">
            <w:pPr>
              <w:rPr>
                <w:rFonts w:ascii="Arial" w:hAnsi="Arial" w:cs="Arial"/>
              </w:rPr>
            </w:pPr>
          </w:p>
          <w:p w14:paraId="386C336B" w14:textId="77777777" w:rsidR="00377360" w:rsidRPr="00D3523D" w:rsidRDefault="00377360" w:rsidP="00377360">
            <w:pPr>
              <w:rPr>
                <w:rFonts w:ascii="Arial" w:hAnsi="Arial" w:cs="Arial"/>
              </w:rPr>
            </w:pPr>
            <w:r w:rsidRPr="00D3523D">
              <w:rPr>
                <w:rFonts w:ascii="Arial" w:hAnsi="Arial" w:cs="Arial"/>
              </w:rPr>
              <w:t>New listing</w:t>
            </w:r>
          </w:p>
          <w:p w14:paraId="29FD6B0F" w14:textId="77777777" w:rsidR="00377360" w:rsidRPr="00D3523D" w:rsidRDefault="00377360" w:rsidP="00377360">
            <w:pPr>
              <w:rPr>
                <w:rFonts w:ascii="Arial" w:hAnsi="Arial" w:cs="Arial"/>
              </w:rPr>
            </w:pPr>
            <w:r w:rsidRPr="00D3523D">
              <w:rPr>
                <w:rFonts w:ascii="Arial" w:hAnsi="Arial" w:cs="Arial"/>
              </w:rPr>
              <w:t>(Major Submission)</w:t>
            </w:r>
          </w:p>
        </w:tc>
        <w:tc>
          <w:tcPr>
            <w:tcW w:w="2409" w:type="dxa"/>
            <w:vMerge w:val="restart"/>
          </w:tcPr>
          <w:p w14:paraId="7A00FA75" w14:textId="77777777" w:rsidR="00377360" w:rsidRPr="00D3523D" w:rsidRDefault="00377360" w:rsidP="00377360">
            <w:pPr>
              <w:rPr>
                <w:rFonts w:ascii="Arial" w:hAnsi="Arial" w:cs="Arial"/>
              </w:rPr>
            </w:pPr>
            <w:r w:rsidRPr="00D3523D">
              <w:rPr>
                <w:rFonts w:ascii="Arial" w:hAnsi="Arial" w:cs="Arial"/>
              </w:rPr>
              <w:t>Multiple myeloma</w:t>
            </w:r>
          </w:p>
        </w:tc>
        <w:tc>
          <w:tcPr>
            <w:tcW w:w="3261" w:type="dxa"/>
            <w:tcMar>
              <w:top w:w="28" w:type="dxa"/>
              <w:bottom w:w="28" w:type="dxa"/>
            </w:tcMar>
          </w:tcPr>
          <w:p w14:paraId="12955CCF" w14:textId="332D96E8" w:rsidR="00377360" w:rsidRPr="00D3523D" w:rsidRDefault="00377360" w:rsidP="00377360">
            <w:pPr>
              <w:rPr>
                <w:rFonts w:ascii="Arial" w:hAnsi="Arial" w:cs="Arial"/>
              </w:rPr>
            </w:pPr>
            <w:r w:rsidRPr="00D3523D">
              <w:rPr>
                <w:rFonts w:ascii="Arial" w:hAnsi="Arial" w:cs="Arial"/>
              </w:rPr>
              <w:t>To request a Section 100 (Efficient Funding of Chemotherapy Program) Authority Required listing in combination with dexamethasone for the treatment of patients with relapsed or refractory multiple myeloma (RRMM) who meet certain conditions.</w:t>
            </w:r>
          </w:p>
        </w:tc>
        <w:tc>
          <w:tcPr>
            <w:tcW w:w="6947" w:type="dxa"/>
          </w:tcPr>
          <w:p w14:paraId="76D1DACB" w14:textId="766F3EF3" w:rsidR="00377360" w:rsidRPr="00D3523D" w:rsidRDefault="00377360" w:rsidP="00D3523D">
            <w:pPr>
              <w:widowControl w:val="0"/>
              <w:tabs>
                <w:tab w:val="center" w:pos="4513"/>
                <w:tab w:val="right" w:pos="9026"/>
              </w:tabs>
              <w:spacing w:after="120"/>
              <w:rPr>
                <w:rFonts w:ascii="Arial" w:hAnsi="Arial" w:cs="Arial"/>
                <w:snapToGrid w:val="0"/>
                <w:lang w:eastAsia="en-US"/>
              </w:rPr>
            </w:pPr>
            <w:r w:rsidRPr="00D3523D">
              <w:rPr>
                <w:rFonts w:ascii="Arial" w:hAnsi="Arial" w:cs="Arial"/>
                <w:snapToGrid w:val="0"/>
                <w:lang w:eastAsia="en-US"/>
              </w:rPr>
              <w:t>The PBAC decided not to recommend plitidepsin in combination with dexamethasone for the treatment of patients with RRMM on the basis that the treatment comparison presented in the submission, plitidepsin plus dexamethasone versus dexamethasone alone, demonstrated only a marginal benefit in terms of progression free survival, and the overall survival gain was uncertain given it was statistically significant only when adjusted for cross-over.</w:t>
            </w:r>
          </w:p>
          <w:p w14:paraId="49C60E14" w14:textId="4DB03B49" w:rsidR="00377360" w:rsidRPr="00D3523D" w:rsidRDefault="00377360" w:rsidP="00D3523D">
            <w:pPr>
              <w:widowControl w:val="0"/>
              <w:tabs>
                <w:tab w:val="center" w:pos="4513"/>
                <w:tab w:val="right" w:pos="9026"/>
              </w:tabs>
              <w:spacing w:after="120"/>
              <w:rPr>
                <w:rFonts w:ascii="Arial" w:hAnsi="Arial" w:cs="Arial"/>
                <w:snapToGrid w:val="0"/>
                <w:lang w:eastAsia="en-US"/>
              </w:rPr>
            </w:pPr>
            <w:r w:rsidRPr="00D3523D">
              <w:rPr>
                <w:rFonts w:ascii="Arial" w:hAnsi="Arial" w:cs="Arial"/>
                <w:lang w:eastAsia="en-US"/>
              </w:rPr>
              <w:t>The PBAC</w:t>
            </w:r>
            <w:r w:rsidRPr="00D3523D">
              <w:rPr>
                <w:rFonts w:ascii="Arial" w:hAnsi="Arial" w:cs="Arial"/>
                <w:snapToGrid w:val="0"/>
                <w:lang w:eastAsia="en-US"/>
              </w:rPr>
              <w:t xml:space="preserve"> </w:t>
            </w:r>
            <w:r w:rsidRPr="00D3523D">
              <w:rPr>
                <w:rFonts w:ascii="Arial" w:hAnsi="Arial" w:cs="Arial"/>
                <w:lang w:eastAsia="en-US"/>
              </w:rPr>
              <w:t>considered that for the</w:t>
            </w:r>
            <w:r w:rsidRPr="00D3523D">
              <w:rPr>
                <w:rFonts w:ascii="Arial" w:hAnsi="Arial" w:cs="Arial"/>
                <w:snapToGrid w:val="0"/>
                <w:lang w:eastAsia="en-US"/>
              </w:rPr>
              <w:t xml:space="preserve"> indirect</w:t>
            </w:r>
            <w:r w:rsidRPr="00D3523D">
              <w:rPr>
                <w:rFonts w:ascii="Arial" w:hAnsi="Arial" w:cs="Arial"/>
                <w:lang w:eastAsia="en-US"/>
              </w:rPr>
              <w:t xml:space="preserve"> comparison </w:t>
            </w:r>
            <w:r w:rsidRPr="00D3523D">
              <w:rPr>
                <w:rFonts w:ascii="Arial" w:hAnsi="Arial" w:cs="Arial"/>
                <w:snapToGrid w:val="0"/>
                <w:lang w:eastAsia="en-US"/>
              </w:rPr>
              <w:t xml:space="preserve">presented in the submission </w:t>
            </w:r>
            <w:r w:rsidRPr="00D3523D">
              <w:rPr>
                <w:rFonts w:ascii="Arial" w:hAnsi="Arial" w:cs="Arial"/>
                <w:lang w:eastAsia="en-US"/>
              </w:rPr>
              <w:t xml:space="preserve">against pomalidomide plus </w:t>
            </w:r>
            <w:r w:rsidRPr="00D3523D">
              <w:rPr>
                <w:rFonts w:ascii="Arial" w:hAnsi="Arial" w:cs="Arial"/>
                <w:snapToGrid w:val="0"/>
                <w:lang w:eastAsia="en-US"/>
              </w:rPr>
              <w:t>dexamethasone</w:t>
            </w:r>
            <w:r w:rsidRPr="00D3523D">
              <w:rPr>
                <w:rFonts w:ascii="Arial" w:hAnsi="Arial" w:cs="Arial"/>
                <w:lang w:eastAsia="en-US"/>
              </w:rPr>
              <w:t xml:space="preserve">, the claim of non-inferior efficacy was </w:t>
            </w:r>
            <w:r w:rsidR="001B5009">
              <w:rPr>
                <w:rFonts w:ascii="Arial" w:hAnsi="Arial" w:cs="Arial"/>
                <w:lang w:eastAsia="en-US"/>
              </w:rPr>
              <w:t>uncertain</w:t>
            </w:r>
            <w:r w:rsidRPr="00D3523D">
              <w:rPr>
                <w:rFonts w:ascii="Arial" w:hAnsi="Arial" w:cs="Arial"/>
                <w:lang w:eastAsia="en-US"/>
              </w:rPr>
              <w:t xml:space="preserve">; </w:t>
            </w:r>
            <w:r w:rsidR="001B5009">
              <w:rPr>
                <w:rFonts w:ascii="Arial" w:hAnsi="Arial" w:cs="Arial"/>
                <w:lang w:eastAsia="en-US"/>
              </w:rPr>
              <w:t>and</w:t>
            </w:r>
            <w:r w:rsidRPr="00D3523D">
              <w:rPr>
                <w:rFonts w:ascii="Arial" w:hAnsi="Arial" w:cs="Arial"/>
                <w:lang w:eastAsia="en-US"/>
              </w:rPr>
              <w:t xml:space="preserve"> the claim of non-inferior safety could not be supported.</w:t>
            </w:r>
          </w:p>
          <w:p w14:paraId="4E16E344" w14:textId="77777777" w:rsidR="00377360" w:rsidRPr="00D3523D" w:rsidRDefault="00377360" w:rsidP="00D3523D">
            <w:pPr>
              <w:spacing w:after="120"/>
              <w:rPr>
                <w:rFonts w:ascii="Arial" w:hAnsi="Arial" w:cs="Arial"/>
                <w:iCs/>
              </w:rPr>
            </w:pPr>
            <w:r w:rsidRPr="00D3523D">
              <w:rPr>
                <w:rFonts w:ascii="Arial" w:hAnsi="Arial" w:cs="Arial"/>
                <w:lang w:eastAsia="en-US"/>
              </w:rPr>
              <w:t>The PBAC considered there may be a clinical place for plitidepsin as last-line treatment in RRMM, however its use offers a clinically meaningful effect in only a small and undefinable subgroup of patients, with a significant toxicity profile.</w:t>
            </w:r>
          </w:p>
        </w:tc>
      </w:tr>
      <w:tr w:rsidR="00377360" w:rsidRPr="00D3523D" w14:paraId="111B8D6A" w14:textId="77777777" w:rsidTr="00257615">
        <w:trPr>
          <w:cantSplit/>
          <w:trHeight w:val="465"/>
        </w:trPr>
        <w:tc>
          <w:tcPr>
            <w:tcW w:w="2694" w:type="dxa"/>
            <w:vMerge/>
            <w:tcMar>
              <w:top w:w="28" w:type="dxa"/>
              <w:bottom w:w="28" w:type="dxa"/>
            </w:tcMar>
          </w:tcPr>
          <w:p w14:paraId="710CDD58" w14:textId="77777777" w:rsidR="00377360" w:rsidRPr="00D3523D" w:rsidRDefault="00377360" w:rsidP="00377360">
            <w:pPr>
              <w:rPr>
                <w:rFonts w:ascii="Arial" w:hAnsi="Arial" w:cs="Arial"/>
              </w:rPr>
            </w:pPr>
          </w:p>
        </w:tc>
        <w:tc>
          <w:tcPr>
            <w:tcW w:w="2409" w:type="dxa"/>
            <w:vMerge/>
          </w:tcPr>
          <w:p w14:paraId="15947F18" w14:textId="77777777" w:rsidR="00377360" w:rsidRPr="00D3523D" w:rsidRDefault="00377360" w:rsidP="00377360">
            <w:pPr>
              <w:widowControl w:val="0"/>
              <w:rPr>
                <w:rFonts w:ascii="Arial" w:hAnsi="Arial" w:cs="Arial"/>
                <w:snapToGrid w:val="0"/>
                <w:lang w:eastAsia="en-US"/>
              </w:rPr>
            </w:pPr>
          </w:p>
        </w:tc>
        <w:tc>
          <w:tcPr>
            <w:tcW w:w="3261" w:type="dxa"/>
            <w:tcMar>
              <w:top w:w="28" w:type="dxa"/>
              <w:bottom w:w="28" w:type="dxa"/>
            </w:tcMar>
          </w:tcPr>
          <w:p w14:paraId="7CDC7496" w14:textId="77777777" w:rsidR="00377360" w:rsidRPr="00D3523D" w:rsidRDefault="00377360" w:rsidP="00377360">
            <w:pPr>
              <w:pStyle w:val="ListParagraph"/>
              <w:ind w:left="0"/>
              <w:jc w:val="right"/>
              <w:rPr>
                <w:rFonts w:ascii="Arial" w:hAnsi="Arial" w:cs="Arial"/>
                <w:snapToGrid w:val="0"/>
                <w:sz w:val="20"/>
                <w:szCs w:val="20"/>
                <w:lang w:eastAsia="en-US"/>
              </w:rPr>
            </w:pPr>
            <w:r w:rsidRPr="00D3523D">
              <w:rPr>
                <w:rFonts w:ascii="Arial" w:hAnsi="Arial" w:cs="Arial"/>
                <w:snapToGrid w:val="0"/>
                <w:sz w:val="20"/>
                <w:szCs w:val="20"/>
                <w:lang w:eastAsia="en-US"/>
              </w:rPr>
              <w:t>Sponsor’s Comment:</w:t>
            </w:r>
          </w:p>
        </w:tc>
        <w:tc>
          <w:tcPr>
            <w:tcW w:w="6947" w:type="dxa"/>
          </w:tcPr>
          <w:p w14:paraId="30719987" w14:textId="28B75971" w:rsidR="00377360" w:rsidRPr="00D3523D" w:rsidRDefault="00E0606D" w:rsidP="00377360">
            <w:pPr>
              <w:pStyle w:val="ListParagraph"/>
              <w:ind w:left="0"/>
              <w:jc w:val="both"/>
              <w:rPr>
                <w:rFonts w:ascii="Arial" w:hAnsi="Arial" w:cs="Arial"/>
                <w:iCs/>
                <w:sz w:val="20"/>
                <w:szCs w:val="20"/>
              </w:rPr>
            </w:pPr>
            <w:r>
              <w:rPr>
                <w:rFonts w:ascii="Arial" w:hAnsi="Arial" w:cs="Arial"/>
                <w:iCs/>
                <w:sz w:val="20"/>
                <w:szCs w:val="20"/>
              </w:rPr>
              <w:t>No comment</w:t>
            </w:r>
          </w:p>
        </w:tc>
      </w:tr>
      <w:tr w:rsidR="00377360" w:rsidRPr="00D3523D" w14:paraId="56C5E3A4" w14:textId="77777777" w:rsidTr="00257615">
        <w:trPr>
          <w:cantSplit/>
          <w:trHeight w:val="465"/>
        </w:trPr>
        <w:tc>
          <w:tcPr>
            <w:tcW w:w="2694" w:type="dxa"/>
            <w:vMerge w:val="restart"/>
            <w:tcMar>
              <w:top w:w="28" w:type="dxa"/>
              <w:bottom w:w="28" w:type="dxa"/>
            </w:tcMar>
          </w:tcPr>
          <w:p w14:paraId="690CC5EA" w14:textId="77777777" w:rsidR="00377360" w:rsidRPr="00D3523D" w:rsidRDefault="00377360" w:rsidP="00377360">
            <w:pPr>
              <w:rPr>
                <w:rFonts w:ascii="Arial" w:hAnsi="Arial" w:cs="Arial"/>
              </w:rPr>
            </w:pPr>
            <w:r w:rsidRPr="00D3523D">
              <w:rPr>
                <w:rFonts w:ascii="Arial" w:hAnsi="Arial" w:cs="Arial"/>
              </w:rPr>
              <w:t>POMALIDOMIDE</w:t>
            </w:r>
          </w:p>
          <w:p w14:paraId="2A119ADE" w14:textId="77777777" w:rsidR="00377360" w:rsidRPr="00D3523D" w:rsidRDefault="00377360" w:rsidP="00377360">
            <w:pPr>
              <w:rPr>
                <w:rFonts w:ascii="Arial" w:hAnsi="Arial" w:cs="Arial"/>
              </w:rPr>
            </w:pPr>
          </w:p>
          <w:p w14:paraId="006F0FF8" w14:textId="77777777" w:rsidR="00377360" w:rsidRPr="00D3523D" w:rsidRDefault="00377360" w:rsidP="00377360">
            <w:pPr>
              <w:rPr>
                <w:rFonts w:ascii="Arial" w:hAnsi="Arial" w:cs="Arial"/>
              </w:rPr>
            </w:pPr>
            <w:r w:rsidRPr="00D3523D">
              <w:rPr>
                <w:rFonts w:ascii="Arial" w:hAnsi="Arial" w:cs="Arial"/>
              </w:rPr>
              <w:t>Capsule 3 mg</w:t>
            </w:r>
          </w:p>
          <w:p w14:paraId="3FC43DFD" w14:textId="77777777" w:rsidR="00377360" w:rsidRPr="00D3523D" w:rsidRDefault="00377360" w:rsidP="00377360">
            <w:pPr>
              <w:rPr>
                <w:rFonts w:ascii="Arial" w:hAnsi="Arial" w:cs="Arial"/>
              </w:rPr>
            </w:pPr>
            <w:r w:rsidRPr="00D3523D">
              <w:rPr>
                <w:rFonts w:ascii="Arial" w:hAnsi="Arial" w:cs="Arial"/>
              </w:rPr>
              <w:t>Capsule 4 mg</w:t>
            </w:r>
          </w:p>
          <w:p w14:paraId="668AE2C8" w14:textId="77777777" w:rsidR="00377360" w:rsidRPr="00D3523D" w:rsidRDefault="00377360" w:rsidP="00377360">
            <w:pPr>
              <w:rPr>
                <w:rFonts w:ascii="Arial" w:hAnsi="Arial" w:cs="Arial"/>
              </w:rPr>
            </w:pPr>
          </w:p>
          <w:p w14:paraId="792B1015" w14:textId="77777777" w:rsidR="00377360" w:rsidRPr="00D3523D" w:rsidRDefault="00377360" w:rsidP="00377360">
            <w:pPr>
              <w:rPr>
                <w:rFonts w:ascii="Arial" w:hAnsi="Arial" w:cs="Arial"/>
              </w:rPr>
            </w:pPr>
            <w:r w:rsidRPr="00D3523D">
              <w:rPr>
                <w:rFonts w:ascii="Arial" w:hAnsi="Arial" w:cs="Arial"/>
              </w:rPr>
              <w:t>Pomalyst®</w:t>
            </w:r>
          </w:p>
          <w:p w14:paraId="0414F862" w14:textId="77777777" w:rsidR="00377360" w:rsidRPr="00D3523D" w:rsidRDefault="00377360" w:rsidP="00377360">
            <w:pPr>
              <w:rPr>
                <w:rFonts w:ascii="Arial" w:hAnsi="Arial" w:cs="Arial"/>
              </w:rPr>
            </w:pPr>
          </w:p>
          <w:p w14:paraId="338979BB" w14:textId="77777777" w:rsidR="00377360" w:rsidRPr="00D3523D" w:rsidRDefault="00377360" w:rsidP="00377360">
            <w:pPr>
              <w:rPr>
                <w:rFonts w:ascii="Arial" w:hAnsi="Arial" w:cs="Arial"/>
              </w:rPr>
            </w:pPr>
            <w:r w:rsidRPr="00D3523D">
              <w:rPr>
                <w:rFonts w:ascii="Arial" w:hAnsi="Arial" w:cs="Arial"/>
              </w:rPr>
              <w:t>Celgene Pty Ltd</w:t>
            </w:r>
          </w:p>
          <w:p w14:paraId="3C0FC244" w14:textId="77777777" w:rsidR="00377360" w:rsidRPr="00D3523D" w:rsidRDefault="00377360" w:rsidP="00377360">
            <w:pPr>
              <w:rPr>
                <w:rFonts w:ascii="Arial" w:hAnsi="Arial" w:cs="Arial"/>
              </w:rPr>
            </w:pPr>
          </w:p>
          <w:p w14:paraId="439C818C" w14:textId="77777777" w:rsidR="00377360" w:rsidRPr="00D3523D" w:rsidRDefault="00377360" w:rsidP="00377360">
            <w:pPr>
              <w:rPr>
                <w:rFonts w:ascii="Arial" w:hAnsi="Arial" w:cs="Arial"/>
              </w:rPr>
            </w:pPr>
            <w:r w:rsidRPr="00D3523D">
              <w:rPr>
                <w:rFonts w:ascii="Arial" w:hAnsi="Arial" w:cs="Arial"/>
              </w:rPr>
              <w:t>Change to listing</w:t>
            </w:r>
          </w:p>
          <w:p w14:paraId="66229F57" w14:textId="77777777" w:rsidR="00377360" w:rsidRPr="00D3523D" w:rsidRDefault="00377360" w:rsidP="00377360">
            <w:pPr>
              <w:rPr>
                <w:rFonts w:ascii="Arial" w:hAnsi="Arial" w:cs="Arial"/>
              </w:rPr>
            </w:pPr>
            <w:r w:rsidRPr="00D3523D">
              <w:rPr>
                <w:rFonts w:ascii="Arial" w:hAnsi="Arial" w:cs="Arial"/>
              </w:rPr>
              <w:t>(Major Submission)</w:t>
            </w:r>
          </w:p>
        </w:tc>
        <w:tc>
          <w:tcPr>
            <w:tcW w:w="2409" w:type="dxa"/>
            <w:vMerge w:val="restart"/>
          </w:tcPr>
          <w:p w14:paraId="5947B162" w14:textId="77777777" w:rsidR="00377360" w:rsidRPr="00D3523D" w:rsidRDefault="00377360" w:rsidP="00377360">
            <w:pPr>
              <w:rPr>
                <w:rFonts w:ascii="Arial" w:hAnsi="Arial" w:cs="Arial"/>
              </w:rPr>
            </w:pPr>
            <w:r w:rsidRPr="00D3523D">
              <w:rPr>
                <w:rFonts w:ascii="Arial" w:hAnsi="Arial" w:cs="Arial"/>
              </w:rPr>
              <w:t>Multiple myeloma</w:t>
            </w:r>
          </w:p>
        </w:tc>
        <w:tc>
          <w:tcPr>
            <w:tcW w:w="3261" w:type="dxa"/>
            <w:tcMar>
              <w:top w:w="28" w:type="dxa"/>
              <w:bottom w:w="28" w:type="dxa"/>
            </w:tcMar>
          </w:tcPr>
          <w:p w14:paraId="2E6CE235" w14:textId="56851CBF" w:rsidR="00377360" w:rsidRPr="00D3523D" w:rsidRDefault="00377360" w:rsidP="00377360">
            <w:pPr>
              <w:rPr>
                <w:rFonts w:ascii="Arial" w:hAnsi="Arial" w:cs="Arial"/>
              </w:rPr>
            </w:pPr>
            <w:r w:rsidRPr="00D3523D">
              <w:rPr>
                <w:rFonts w:ascii="Arial" w:hAnsi="Arial" w:cs="Arial"/>
              </w:rPr>
              <w:t>To request a Section 100 (Highly Specialised Drugs Program) Authority Required listing in combination with bortezomib and dexamethasone for the treatment of patients with relapsed or refractory multiple myeloma (RRMM) who have received at least one prior treatment regimen (including lenalidomide).</w:t>
            </w:r>
          </w:p>
        </w:tc>
        <w:tc>
          <w:tcPr>
            <w:tcW w:w="6947" w:type="dxa"/>
          </w:tcPr>
          <w:p w14:paraId="222ECA6C" w14:textId="2C1DDE65" w:rsidR="00377360" w:rsidRPr="00D3523D" w:rsidRDefault="00377360" w:rsidP="00377360">
            <w:pPr>
              <w:spacing w:after="120"/>
              <w:rPr>
                <w:rFonts w:ascii="Arial" w:hAnsi="Arial" w:cs="Arial"/>
                <w:iCs/>
              </w:rPr>
            </w:pPr>
            <w:r w:rsidRPr="00D3523D">
              <w:rPr>
                <w:rFonts w:ascii="Arial" w:hAnsi="Arial" w:cs="Arial"/>
                <w:iCs/>
              </w:rPr>
              <w:t>The PBAC did not recommend listing pomalidomide Pomalyst® (pomalidomide) in combination with bortezomib and dexamethasone (PBd) for the treatment of patients with RRMM who have undergone or are ineligible for a st</w:t>
            </w:r>
            <w:r w:rsidR="00030A49" w:rsidRPr="00D3523D">
              <w:rPr>
                <w:rFonts w:ascii="Arial" w:hAnsi="Arial" w:cs="Arial"/>
                <w:iCs/>
              </w:rPr>
              <w:t xml:space="preserve">em cell transplant </w:t>
            </w:r>
            <w:r w:rsidRPr="00D3523D">
              <w:rPr>
                <w:rFonts w:ascii="Arial" w:hAnsi="Arial" w:cs="Arial"/>
                <w:iCs/>
              </w:rPr>
              <w:t xml:space="preserve">and who have been previously treated with lenalidomide. </w:t>
            </w:r>
          </w:p>
          <w:p w14:paraId="7818496D" w14:textId="3434A672" w:rsidR="00377360" w:rsidRPr="00D3523D" w:rsidRDefault="00377360" w:rsidP="00377360">
            <w:pPr>
              <w:spacing w:after="120"/>
              <w:rPr>
                <w:rFonts w:ascii="Arial" w:hAnsi="Arial" w:cs="Arial"/>
                <w:iCs/>
              </w:rPr>
            </w:pPr>
            <w:r w:rsidRPr="00D3523D">
              <w:rPr>
                <w:rFonts w:ascii="Arial" w:hAnsi="Arial" w:cs="Arial"/>
                <w:iCs/>
              </w:rPr>
              <w:t>The PBAC considered, due to differences between the trials, that the indirect comparison with carfilzomib plus dexamethasone (Cd) was difficult to interpret and did not adequately demonstrate non-inferiority between the treatments. The PBAC w</w:t>
            </w:r>
            <w:r w:rsidR="004C0BAC">
              <w:rPr>
                <w:rFonts w:ascii="Arial" w:hAnsi="Arial" w:cs="Arial"/>
                <w:iCs/>
              </w:rPr>
              <w:t>as</w:t>
            </w:r>
            <w:r w:rsidRPr="00D3523D">
              <w:rPr>
                <w:rFonts w:ascii="Arial" w:hAnsi="Arial" w:cs="Arial"/>
                <w:iCs/>
              </w:rPr>
              <w:t xml:space="preserve"> also concerned that, in contrast to Cd, PBd did not demonstrate an improvement in overall survival compared with bortezomib and dexamethasone treatment alone.</w:t>
            </w:r>
          </w:p>
        </w:tc>
      </w:tr>
      <w:tr w:rsidR="00377360" w:rsidRPr="00D3523D" w14:paraId="2B08FB45" w14:textId="77777777" w:rsidTr="00C06C42">
        <w:trPr>
          <w:cantSplit/>
          <w:trHeight w:val="465"/>
        </w:trPr>
        <w:tc>
          <w:tcPr>
            <w:tcW w:w="2694" w:type="dxa"/>
            <w:vMerge/>
            <w:tcMar>
              <w:top w:w="28" w:type="dxa"/>
              <w:bottom w:w="28" w:type="dxa"/>
            </w:tcMar>
          </w:tcPr>
          <w:p w14:paraId="00BAECF7" w14:textId="77777777" w:rsidR="00377360" w:rsidRPr="00D3523D" w:rsidRDefault="00377360" w:rsidP="00377360">
            <w:pPr>
              <w:rPr>
                <w:rFonts w:ascii="Arial" w:hAnsi="Arial" w:cs="Arial"/>
              </w:rPr>
            </w:pPr>
          </w:p>
        </w:tc>
        <w:tc>
          <w:tcPr>
            <w:tcW w:w="2409" w:type="dxa"/>
            <w:vMerge/>
          </w:tcPr>
          <w:p w14:paraId="1E215FCD" w14:textId="77777777" w:rsidR="00377360" w:rsidRPr="00D3523D" w:rsidRDefault="00377360" w:rsidP="00377360">
            <w:pPr>
              <w:widowControl w:val="0"/>
              <w:rPr>
                <w:rFonts w:ascii="Arial" w:hAnsi="Arial" w:cs="Arial"/>
                <w:snapToGrid w:val="0"/>
                <w:lang w:eastAsia="en-US"/>
              </w:rPr>
            </w:pPr>
          </w:p>
        </w:tc>
        <w:tc>
          <w:tcPr>
            <w:tcW w:w="3261" w:type="dxa"/>
            <w:shd w:val="clear" w:color="auto" w:fill="auto"/>
            <w:tcMar>
              <w:top w:w="28" w:type="dxa"/>
              <w:bottom w:w="28" w:type="dxa"/>
            </w:tcMar>
          </w:tcPr>
          <w:p w14:paraId="01650B6D" w14:textId="77777777" w:rsidR="00377360" w:rsidRPr="00C95E95" w:rsidRDefault="00377360" w:rsidP="00377360">
            <w:pPr>
              <w:pStyle w:val="ListParagraph"/>
              <w:ind w:left="0"/>
              <w:jc w:val="right"/>
              <w:rPr>
                <w:rFonts w:ascii="Arial" w:hAnsi="Arial" w:cs="Arial"/>
                <w:snapToGrid w:val="0"/>
                <w:sz w:val="20"/>
                <w:szCs w:val="20"/>
                <w:lang w:eastAsia="en-US"/>
              </w:rPr>
            </w:pPr>
            <w:r w:rsidRPr="00C95E95">
              <w:rPr>
                <w:rFonts w:ascii="Arial" w:hAnsi="Arial" w:cs="Arial"/>
                <w:snapToGrid w:val="0"/>
                <w:sz w:val="20"/>
                <w:szCs w:val="20"/>
                <w:lang w:eastAsia="en-US"/>
              </w:rPr>
              <w:t>Sponsor’s Comment:</w:t>
            </w:r>
          </w:p>
        </w:tc>
        <w:tc>
          <w:tcPr>
            <w:tcW w:w="6947" w:type="dxa"/>
            <w:shd w:val="clear" w:color="auto" w:fill="auto"/>
          </w:tcPr>
          <w:p w14:paraId="1C740C4F" w14:textId="62E23C94" w:rsidR="00377360" w:rsidRPr="00C95E95" w:rsidRDefault="005506E5" w:rsidP="00377360">
            <w:pPr>
              <w:pStyle w:val="ListParagraph"/>
              <w:ind w:left="0"/>
              <w:jc w:val="both"/>
              <w:rPr>
                <w:rFonts w:ascii="Arial" w:hAnsi="Arial" w:cs="Arial"/>
                <w:iCs/>
                <w:sz w:val="20"/>
                <w:szCs w:val="20"/>
              </w:rPr>
            </w:pPr>
            <w:r w:rsidRPr="00C95E95">
              <w:rPr>
                <w:rFonts w:ascii="Arial" w:hAnsi="Arial" w:cs="Arial"/>
                <w:iCs/>
                <w:sz w:val="20"/>
                <w:szCs w:val="20"/>
              </w:rPr>
              <w:t xml:space="preserve">Celgene </w:t>
            </w:r>
            <w:r w:rsidR="004C0BAC">
              <w:rPr>
                <w:rFonts w:ascii="Arial" w:hAnsi="Arial" w:cs="Arial"/>
                <w:iCs/>
                <w:sz w:val="20"/>
                <w:szCs w:val="20"/>
              </w:rPr>
              <w:t xml:space="preserve">is </w:t>
            </w:r>
            <w:r w:rsidRPr="00C95E95">
              <w:rPr>
                <w:rFonts w:ascii="Arial" w:hAnsi="Arial" w:cs="Arial"/>
                <w:iCs/>
                <w:sz w:val="20"/>
                <w:szCs w:val="20"/>
              </w:rPr>
              <w:t xml:space="preserve"> disappointed with the outcome but are committed to working with the PBAC in order to achieve a PBS listing for Pomalyst as a triplet regimen in rrMM, so patients with multiple myeloma have more options in the future.</w:t>
            </w:r>
          </w:p>
        </w:tc>
      </w:tr>
      <w:tr w:rsidR="00377360" w:rsidRPr="00D3523D" w14:paraId="4BDF1D97" w14:textId="77777777" w:rsidTr="00257615">
        <w:trPr>
          <w:cantSplit/>
          <w:trHeight w:val="465"/>
        </w:trPr>
        <w:tc>
          <w:tcPr>
            <w:tcW w:w="2694" w:type="dxa"/>
            <w:vMerge w:val="restart"/>
            <w:tcMar>
              <w:top w:w="28" w:type="dxa"/>
              <w:bottom w:w="28" w:type="dxa"/>
            </w:tcMar>
          </w:tcPr>
          <w:p w14:paraId="129C551E" w14:textId="77777777" w:rsidR="00377360" w:rsidRPr="00D3523D" w:rsidRDefault="00377360" w:rsidP="00377360">
            <w:pPr>
              <w:rPr>
                <w:rFonts w:ascii="Arial" w:hAnsi="Arial" w:cs="Arial"/>
              </w:rPr>
            </w:pPr>
            <w:r w:rsidRPr="00D3523D">
              <w:rPr>
                <w:rFonts w:ascii="Arial" w:hAnsi="Arial" w:cs="Arial"/>
              </w:rPr>
              <w:lastRenderedPageBreak/>
              <w:t>RAMUCIRUMAB</w:t>
            </w:r>
          </w:p>
          <w:p w14:paraId="127A2B94" w14:textId="77777777" w:rsidR="00377360" w:rsidRPr="00D3523D" w:rsidRDefault="00377360" w:rsidP="00377360">
            <w:pPr>
              <w:rPr>
                <w:rFonts w:ascii="Arial" w:hAnsi="Arial" w:cs="Arial"/>
              </w:rPr>
            </w:pPr>
          </w:p>
          <w:p w14:paraId="73E691C6" w14:textId="77777777" w:rsidR="00377360" w:rsidRPr="00D3523D" w:rsidRDefault="00377360" w:rsidP="00377360">
            <w:pPr>
              <w:rPr>
                <w:rFonts w:ascii="Arial" w:hAnsi="Arial" w:cs="Arial"/>
              </w:rPr>
            </w:pPr>
            <w:r w:rsidRPr="00D3523D">
              <w:rPr>
                <w:rFonts w:ascii="Arial" w:hAnsi="Arial" w:cs="Arial"/>
              </w:rPr>
              <w:t>100 mg in 10 mL vial, 500 mg in 50 mL vial</w:t>
            </w:r>
          </w:p>
          <w:p w14:paraId="6F733DEE" w14:textId="77777777" w:rsidR="00377360" w:rsidRPr="00D3523D" w:rsidRDefault="00377360" w:rsidP="00377360">
            <w:pPr>
              <w:rPr>
                <w:rFonts w:ascii="Arial" w:hAnsi="Arial" w:cs="Arial"/>
              </w:rPr>
            </w:pPr>
          </w:p>
          <w:p w14:paraId="331BCDF8" w14:textId="77777777" w:rsidR="00377360" w:rsidRPr="00D3523D" w:rsidRDefault="00377360" w:rsidP="00377360">
            <w:pPr>
              <w:rPr>
                <w:rFonts w:ascii="Arial" w:hAnsi="Arial" w:cs="Arial"/>
              </w:rPr>
            </w:pPr>
            <w:r w:rsidRPr="00D3523D">
              <w:rPr>
                <w:rFonts w:ascii="Arial" w:hAnsi="Arial" w:cs="Arial"/>
              </w:rPr>
              <w:t>Cyramza®</w:t>
            </w:r>
          </w:p>
          <w:p w14:paraId="4CB97C55" w14:textId="77777777" w:rsidR="00377360" w:rsidRPr="00D3523D" w:rsidRDefault="00377360" w:rsidP="00377360">
            <w:pPr>
              <w:rPr>
                <w:rFonts w:ascii="Arial" w:hAnsi="Arial" w:cs="Arial"/>
              </w:rPr>
            </w:pPr>
          </w:p>
          <w:p w14:paraId="02E3AF89" w14:textId="77777777" w:rsidR="00377360" w:rsidRPr="00D3523D" w:rsidRDefault="00377360" w:rsidP="00377360">
            <w:pPr>
              <w:rPr>
                <w:rFonts w:ascii="Arial" w:hAnsi="Arial" w:cs="Arial"/>
              </w:rPr>
            </w:pPr>
            <w:r w:rsidRPr="00D3523D">
              <w:rPr>
                <w:rFonts w:ascii="Arial" w:hAnsi="Arial" w:cs="Arial"/>
              </w:rPr>
              <w:t>Eli Lilly Australia Pty Ltd</w:t>
            </w:r>
          </w:p>
          <w:p w14:paraId="73D1C866" w14:textId="77777777" w:rsidR="00377360" w:rsidRPr="00D3523D" w:rsidRDefault="00377360" w:rsidP="00377360">
            <w:pPr>
              <w:rPr>
                <w:rFonts w:ascii="Arial" w:hAnsi="Arial" w:cs="Arial"/>
              </w:rPr>
            </w:pPr>
          </w:p>
          <w:p w14:paraId="5201E2A6" w14:textId="77777777" w:rsidR="00377360" w:rsidRPr="00D3523D" w:rsidRDefault="00377360" w:rsidP="00377360">
            <w:pPr>
              <w:rPr>
                <w:rFonts w:ascii="Arial" w:hAnsi="Arial" w:cs="Arial"/>
              </w:rPr>
            </w:pPr>
            <w:r w:rsidRPr="00D3523D">
              <w:rPr>
                <w:rFonts w:ascii="Arial" w:hAnsi="Arial" w:cs="Arial"/>
              </w:rPr>
              <w:t>Change to</w:t>
            </w:r>
          </w:p>
          <w:p w14:paraId="2D60D2F2" w14:textId="77777777" w:rsidR="00377360" w:rsidRPr="00D3523D" w:rsidRDefault="00377360" w:rsidP="00377360">
            <w:pPr>
              <w:rPr>
                <w:rFonts w:ascii="Arial" w:hAnsi="Arial" w:cs="Arial"/>
              </w:rPr>
            </w:pPr>
            <w:r w:rsidRPr="00D3523D">
              <w:rPr>
                <w:rFonts w:ascii="Arial" w:hAnsi="Arial" w:cs="Arial"/>
              </w:rPr>
              <w:t>recommended listing</w:t>
            </w:r>
          </w:p>
          <w:p w14:paraId="7689632E" w14:textId="77777777" w:rsidR="00377360" w:rsidRPr="00D3523D" w:rsidRDefault="00377360" w:rsidP="00377360">
            <w:pPr>
              <w:rPr>
                <w:rFonts w:ascii="Arial" w:hAnsi="Arial" w:cs="Arial"/>
              </w:rPr>
            </w:pPr>
            <w:r w:rsidRPr="00D3523D">
              <w:rPr>
                <w:rFonts w:ascii="Arial" w:hAnsi="Arial" w:cs="Arial"/>
              </w:rPr>
              <w:t>(Minor Submission)</w:t>
            </w:r>
          </w:p>
        </w:tc>
        <w:tc>
          <w:tcPr>
            <w:tcW w:w="2409" w:type="dxa"/>
            <w:vMerge w:val="restart"/>
          </w:tcPr>
          <w:p w14:paraId="0FAED0AD" w14:textId="77777777" w:rsidR="00377360" w:rsidRPr="00D3523D" w:rsidRDefault="00377360" w:rsidP="00377360">
            <w:pPr>
              <w:rPr>
                <w:rFonts w:ascii="Arial" w:hAnsi="Arial" w:cs="Arial"/>
              </w:rPr>
            </w:pPr>
            <w:r w:rsidRPr="00D3523D">
              <w:rPr>
                <w:rFonts w:ascii="Arial" w:hAnsi="Arial" w:cs="Arial"/>
              </w:rPr>
              <w:t>Advanced metastatic gastric or gastro-oesophageal junction adenocarcinoma</w:t>
            </w:r>
          </w:p>
        </w:tc>
        <w:tc>
          <w:tcPr>
            <w:tcW w:w="3261" w:type="dxa"/>
            <w:tcMar>
              <w:top w:w="28" w:type="dxa"/>
              <w:bottom w:w="28" w:type="dxa"/>
            </w:tcMar>
          </w:tcPr>
          <w:p w14:paraId="40884527" w14:textId="36C5CEC5" w:rsidR="00377360" w:rsidRPr="00D3523D" w:rsidRDefault="00377360" w:rsidP="00377360">
            <w:pPr>
              <w:rPr>
                <w:rFonts w:ascii="Arial" w:hAnsi="Arial" w:cs="Arial"/>
              </w:rPr>
            </w:pPr>
            <w:r w:rsidRPr="00D3523D">
              <w:rPr>
                <w:rFonts w:ascii="Arial" w:hAnsi="Arial" w:cs="Arial"/>
              </w:rPr>
              <w:t xml:space="preserve">Resubmission to request reconsideration of the basis of the PBAC’s March 2018 recommendation for the Authority Required (STREAMLINED) listing in combination with paclitaxel for treament of advanced or metastatic gastric or gastro-oesophageal junction adenocarcinoma. </w:t>
            </w:r>
          </w:p>
        </w:tc>
        <w:tc>
          <w:tcPr>
            <w:tcW w:w="6947" w:type="dxa"/>
          </w:tcPr>
          <w:p w14:paraId="46D1CDDF" w14:textId="77777777" w:rsidR="00377360" w:rsidRPr="00D3523D" w:rsidRDefault="00377360" w:rsidP="00377360">
            <w:pPr>
              <w:spacing w:after="120"/>
              <w:rPr>
                <w:rFonts w:ascii="Arial" w:hAnsi="Arial" w:cs="Arial"/>
                <w:iCs/>
              </w:rPr>
            </w:pPr>
            <w:r w:rsidRPr="00D3523D">
              <w:rPr>
                <w:rFonts w:ascii="Arial" w:hAnsi="Arial" w:cs="Arial"/>
                <w:iCs/>
              </w:rPr>
              <w:t xml:space="preserve">The PBAC did not recommend a change to the basis of its March 2018 recommendation for ramucirumab in combination with paclitaxel for the treatment of patients with gastric or gastro-oesophageal junction adenocarcinoma. </w:t>
            </w:r>
          </w:p>
          <w:p w14:paraId="79D3C2A5" w14:textId="77777777" w:rsidR="00377360" w:rsidRPr="00D3523D" w:rsidRDefault="00377360" w:rsidP="00377360">
            <w:pPr>
              <w:spacing w:after="120"/>
              <w:rPr>
                <w:rFonts w:ascii="Arial" w:hAnsi="Arial" w:cs="Arial"/>
                <w:iCs/>
              </w:rPr>
            </w:pPr>
            <w:r w:rsidRPr="00D3523D">
              <w:rPr>
                <w:rFonts w:ascii="Arial" w:hAnsi="Arial" w:cs="Arial"/>
                <w:iCs/>
              </w:rPr>
              <w:t>The PBAC reiterated its previous recommendation for ramucirumab, noting that a substantial price reduction would be required for it to be cost-effective in the proposed PBS population.</w:t>
            </w:r>
          </w:p>
        </w:tc>
      </w:tr>
      <w:tr w:rsidR="00377360" w:rsidRPr="00D3523D" w14:paraId="48756B28" w14:textId="77777777" w:rsidTr="00257615">
        <w:trPr>
          <w:cantSplit/>
          <w:trHeight w:val="465"/>
        </w:trPr>
        <w:tc>
          <w:tcPr>
            <w:tcW w:w="2694" w:type="dxa"/>
            <w:vMerge/>
            <w:tcMar>
              <w:top w:w="28" w:type="dxa"/>
              <w:bottom w:w="28" w:type="dxa"/>
            </w:tcMar>
          </w:tcPr>
          <w:p w14:paraId="497F0831" w14:textId="77777777" w:rsidR="00377360" w:rsidRPr="00D3523D" w:rsidRDefault="00377360" w:rsidP="00377360">
            <w:pPr>
              <w:rPr>
                <w:rFonts w:ascii="Arial" w:hAnsi="Arial" w:cs="Arial"/>
              </w:rPr>
            </w:pPr>
          </w:p>
        </w:tc>
        <w:tc>
          <w:tcPr>
            <w:tcW w:w="2409" w:type="dxa"/>
            <w:vMerge/>
          </w:tcPr>
          <w:p w14:paraId="296A0D94" w14:textId="77777777" w:rsidR="00377360" w:rsidRPr="00D3523D" w:rsidRDefault="00377360" w:rsidP="00377360">
            <w:pPr>
              <w:widowControl w:val="0"/>
              <w:rPr>
                <w:rFonts w:ascii="Arial" w:hAnsi="Arial" w:cs="Arial"/>
                <w:snapToGrid w:val="0"/>
                <w:lang w:eastAsia="en-US"/>
              </w:rPr>
            </w:pPr>
          </w:p>
        </w:tc>
        <w:tc>
          <w:tcPr>
            <w:tcW w:w="3261" w:type="dxa"/>
            <w:tcMar>
              <w:top w:w="28" w:type="dxa"/>
              <w:bottom w:w="28" w:type="dxa"/>
            </w:tcMar>
          </w:tcPr>
          <w:p w14:paraId="6497AF12" w14:textId="77777777" w:rsidR="00377360" w:rsidRPr="00C95E95" w:rsidRDefault="00377360" w:rsidP="00377360">
            <w:pPr>
              <w:pStyle w:val="ListParagraph"/>
              <w:ind w:left="0"/>
              <w:jc w:val="right"/>
              <w:rPr>
                <w:rFonts w:ascii="Arial" w:hAnsi="Arial" w:cs="Arial"/>
                <w:snapToGrid w:val="0"/>
                <w:sz w:val="20"/>
                <w:szCs w:val="20"/>
                <w:lang w:eastAsia="en-US"/>
              </w:rPr>
            </w:pPr>
            <w:r w:rsidRPr="00C95E95">
              <w:rPr>
                <w:rFonts w:ascii="Arial" w:hAnsi="Arial" w:cs="Arial"/>
                <w:snapToGrid w:val="0"/>
                <w:sz w:val="20"/>
                <w:szCs w:val="20"/>
                <w:lang w:eastAsia="en-US"/>
              </w:rPr>
              <w:t>Sponsor’s Comment:</w:t>
            </w:r>
          </w:p>
        </w:tc>
        <w:tc>
          <w:tcPr>
            <w:tcW w:w="6947" w:type="dxa"/>
          </w:tcPr>
          <w:p w14:paraId="2A242A3F" w14:textId="65C0133C" w:rsidR="00377360" w:rsidRPr="00C95E95" w:rsidRDefault="005506E5" w:rsidP="005506E5">
            <w:pPr>
              <w:pStyle w:val="ListParagraph"/>
              <w:ind w:left="0"/>
              <w:rPr>
                <w:rFonts w:ascii="Arial" w:hAnsi="Arial" w:cs="Arial"/>
                <w:iCs/>
                <w:sz w:val="20"/>
                <w:szCs w:val="20"/>
              </w:rPr>
            </w:pPr>
            <w:r w:rsidRPr="00C95E95">
              <w:rPr>
                <w:rFonts w:ascii="Arial" w:hAnsi="Arial" w:cs="Arial"/>
                <w:iCs/>
                <w:sz w:val="20"/>
                <w:szCs w:val="20"/>
              </w:rPr>
              <w:t>Eli Lilly is disappointed with this PBAC decision given the company’s substantial financial response to the conditions of the original recommendation. However, we will continue to work with PBAC and the Department of Health to ensure that Australian cancer patients get the best possible access to our medicines in the future.</w:t>
            </w:r>
          </w:p>
        </w:tc>
      </w:tr>
      <w:tr w:rsidR="00377360" w:rsidRPr="00D3523D" w14:paraId="51C1A072" w14:textId="77777777" w:rsidTr="00257615">
        <w:trPr>
          <w:cantSplit/>
          <w:trHeight w:val="465"/>
        </w:trPr>
        <w:tc>
          <w:tcPr>
            <w:tcW w:w="2694" w:type="dxa"/>
            <w:vMerge w:val="restart"/>
            <w:tcMar>
              <w:top w:w="28" w:type="dxa"/>
              <w:bottom w:w="28" w:type="dxa"/>
            </w:tcMar>
          </w:tcPr>
          <w:p w14:paraId="5B9CC72E" w14:textId="77777777" w:rsidR="00377360" w:rsidRPr="00D3523D" w:rsidRDefault="00377360" w:rsidP="00377360">
            <w:pPr>
              <w:rPr>
                <w:rFonts w:ascii="Arial" w:hAnsi="Arial" w:cs="Arial"/>
              </w:rPr>
            </w:pPr>
            <w:r w:rsidRPr="00D3523D">
              <w:rPr>
                <w:rFonts w:ascii="Arial" w:hAnsi="Arial" w:cs="Arial"/>
              </w:rPr>
              <w:t>RIFAXIMIN</w:t>
            </w:r>
          </w:p>
          <w:p w14:paraId="28920DE6" w14:textId="77777777" w:rsidR="00377360" w:rsidRPr="00D3523D" w:rsidRDefault="00377360" w:rsidP="00377360">
            <w:pPr>
              <w:rPr>
                <w:rFonts w:ascii="Arial" w:hAnsi="Arial" w:cs="Arial"/>
              </w:rPr>
            </w:pPr>
          </w:p>
          <w:p w14:paraId="062BF066" w14:textId="77777777" w:rsidR="00377360" w:rsidRPr="00D3523D" w:rsidRDefault="00377360" w:rsidP="00377360">
            <w:pPr>
              <w:rPr>
                <w:rFonts w:ascii="Arial" w:hAnsi="Arial" w:cs="Arial"/>
              </w:rPr>
            </w:pPr>
            <w:r w:rsidRPr="00D3523D">
              <w:rPr>
                <w:rFonts w:ascii="Arial" w:hAnsi="Arial" w:cs="Arial"/>
              </w:rPr>
              <w:t>Tablet 550 mg</w:t>
            </w:r>
          </w:p>
          <w:p w14:paraId="5EB2233D" w14:textId="77777777" w:rsidR="00377360" w:rsidRPr="00D3523D" w:rsidRDefault="00377360" w:rsidP="00377360">
            <w:pPr>
              <w:rPr>
                <w:rFonts w:ascii="Arial" w:hAnsi="Arial" w:cs="Arial"/>
              </w:rPr>
            </w:pPr>
          </w:p>
          <w:p w14:paraId="72FEBF1D" w14:textId="77777777" w:rsidR="00377360" w:rsidRPr="00D3523D" w:rsidRDefault="00377360" w:rsidP="00377360">
            <w:pPr>
              <w:rPr>
                <w:rFonts w:ascii="Arial" w:hAnsi="Arial" w:cs="Arial"/>
              </w:rPr>
            </w:pPr>
            <w:r w:rsidRPr="00D3523D">
              <w:rPr>
                <w:rFonts w:ascii="Arial" w:hAnsi="Arial" w:cs="Arial"/>
              </w:rPr>
              <w:t>Xifaxan®</w:t>
            </w:r>
          </w:p>
          <w:p w14:paraId="31F6A137" w14:textId="77777777" w:rsidR="00377360" w:rsidRPr="00D3523D" w:rsidRDefault="00377360" w:rsidP="00377360">
            <w:pPr>
              <w:rPr>
                <w:rFonts w:ascii="Arial" w:hAnsi="Arial" w:cs="Arial"/>
              </w:rPr>
            </w:pPr>
          </w:p>
          <w:p w14:paraId="5D938130" w14:textId="77777777" w:rsidR="00377360" w:rsidRPr="00D3523D" w:rsidRDefault="00377360" w:rsidP="00377360">
            <w:pPr>
              <w:rPr>
                <w:rFonts w:ascii="Arial" w:hAnsi="Arial" w:cs="Arial"/>
              </w:rPr>
            </w:pPr>
            <w:r w:rsidRPr="00D3523D">
              <w:rPr>
                <w:rFonts w:ascii="Arial" w:hAnsi="Arial" w:cs="Arial"/>
              </w:rPr>
              <w:t>Norgine Pty Ltd</w:t>
            </w:r>
          </w:p>
          <w:p w14:paraId="7ECFEFD7" w14:textId="77777777" w:rsidR="00377360" w:rsidRPr="00D3523D" w:rsidRDefault="00377360" w:rsidP="00377360">
            <w:pPr>
              <w:rPr>
                <w:rFonts w:ascii="Arial" w:hAnsi="Arial" w:cs="Arial"/>
              </w:rPr>
            </w:pPr>
          </w:p>
          <w:p w14:paraId="0A311068" w14:textId="77777777" w:rsidR="00377360" w:rsidRPr="00D3523D" w:rsidRDefault="00377360" w:rsidP="00377360">
            <w:pPr>
              <w:rPr>
                <w:rFonts w:ascii="Arial" w:hAnsi="Arial" w:cs="Arial"/>
              </w:rPr>
            </w:pPr>
            <w:r w:rsidRPr="00D3523D">
              <w:rPr>
                <w:rFonts w:ascii="Arial" w:hAnsi="Arial" w:cs="Arial"/>
              </w:rPr>
              <w:t>Change to listing</w:t>
            </w:r>
          </w:p>
          <w:p w14:paraId="174F1EA8" w14:textId="77777777" w:rsidR="00377360" w:rsidRPr="00D3523D" w:rsidRDefault="00377360" w:rsidP="00377360">
            <w:pPr>
              <w:rPr>
                <w:rFonts w:ascii="Arial" w:hAnsi="Arial" w:cs="Arial"/>
              </w:rPr>
            </w:pPr>
            <w:r w:rsidRPr="00D3523D">
              <w:rPr>
                <w:rFonts w:ascii="Arial" w:hAnsi="Arial" w:cs="Arial"/>
              </w:rPr>
              <w:t>(Minor Submission)</w:t>
            </w:r>
          </w:p>
        </w:tc>
        <w:tc>
          <w:tcPr>
            <w:tcW w:w="2409" w:type="dxa"/>
            <w:vMerge w:val="restart"/>
          </w:tcPr>
          <w:p w14:paraId="5157C156" w14:textId="77777777" w:rsidR="00377360" w:rsidRPr="00D3523D" w:rsidRDefault="00377360" w:rsidP="00377360">
            <w:pPr>
              <w:rPr>
                <w:rFonts w:ascii="Arial" w:hAnsi="Arial" w:cs="Arial"/>
              </w:rPr>
            </w:pPr>
            <w:r w:rsidRPr="00D3523D">
              <w:rPr>
                <w:rFonts w:ascii="Arial" w:hAnsi="Arial" w:cs="Arial"/>
              </w:rPr>
              <w:t>Prevention of hepatic encephalopathy</w:t>
            </w:r>
          </w:p>
        </w:tc>
        <w:tc>
          <w:tcPr>
            <w:tcW w:w="3261" w:type="dxa"/>
            <w:tcMar>
              <w:top w:w="28" w:type="dxa"/>
              <w:bottom w:w="28" w:type="dxa"/>
            </w:tcMar>
          </w:tcPr>
          <w:p w14:paraId="2EA0E3D3" w14:textId="77777777" w:rsidR="00377360" w:rsidRPr="00D3523D" w:rsidRDefault="00377360" w:rsidP="00377360">
            <w:pPr>
              <w:rPr>
                <w:rFonts w:ascii="Arial" w:hAnsi="Arial" w:cs="Arial"/>
              </w:rPr>
            </w:pPr>
            <w:r w:rsidRPr="00D3523D">
              <w:rPr>
                <w:rFonts w:ascii="Arial" w:hAnsi="Arial" w:cs="Arial"/>
              </w:rPr>
              <w:t>To request a change to the existing listing from Authority Required (Telephone) to Authority Required (STREAMLINED).</w:t>
            </w:r>
          </w:p>
        </w:tc>
        <w:tc>
          <w:tcPr>
            <w:tcW w:w="6947" w:type="dxa"/>
          </w:tcPr>
          <w:p w14:paraId="6D50D87C" w14:textId="1C3AD974" w:rsidR="00377360" w:rsidRPr="00D3523D" w:rsidRDefault="00377360" w:rsidP="00377360">
            <w:pPr>
              <w:spacing w:after="120"/>
              <w:rPr>
                <w:rFonts w:ascii="Arial" w:hAnsi="Arial" w:cs="Arial"/>
                <w:iCs/>
              </w:rPr>
            </w:pPr>
            <w:r w:rsidRPr="00D3523D">
              <w:rPr>
                <w:rFonts w:ascii="Arial" w:hAnsi="Arial" w:cs="Arial"/>
                <w:iCs/>
              </w:rPr>
              <w:t xml:space="preserve">The PBAC did not recommend changing the current Authority Required listing of rifaximin to Authority Required (STREAMLINED) for prevention of the recurrence of hepatic encephalopathy. The PBAC advised the current authority should remain unchanged to assist in managing the risks of </w:t>
            </w:r>
            <w:r w:rsidR="004C0BAC">
              <w:rPr>
                <w:rFonts w:ascii="Arial" w:hAnsi="Arial" w:cs="Arial"/>
                <w:iCs/>
              </w:rPr>
              <w:t xml:space="preserve"> use outside the restriction</w:t>
            </w:r>
            <w:r w:rsidRPr="00D3523D">
              <w:rPr>
                <w:rFonts w:ascii="Arial" w:hAnsi="Arial" w:cs="Arial"/>
                <w:iCs/>
              </w:rPr>
              <w:t xml:space="preserve"> and the potential for the development of antimicrobial resistance in the community associated with rifaximin use. </w:t>
            </w:r>
          </w:p>
          <w:p w14:paraId="518E0E26" w14:textId="18B4E8E5" w:rsidR="00377360" w:rsidRPr="00D3523D" w:rsidRDefault="00377360" w:rsidP="00377360">
            <w:pPr>
              <w:spacing w:after="120"/>
              <w:rPr>
                <w:rFonts w:ascii="Arial" w:hAnsi="Arial" w:cs="Arial"/>
                <w:iCs/>
              </w:rPr>
            </w:pPr>
            <w:r w:rsidRPr="00D3523D">
              <w:rPr>
                <w:rFonts w:ascii="Arial" w:hAnsi="Arial" w:cs="Arial"/>
                <w:iCs/>
              </w:rPr>
              <w:t>The PBAC considered it was unlikely that the requirement for a telephone authority would prevent clinically appropriate prescribing of rifaximin to eligible patients.</w:t>
            </w:r>
          </w:p>
        </w:tc>
      </w:tr>
      <w:tr w:rsidR="00377360" w:rsidRPr="00D3523D" w14:paraId="7D159854" w14:textId="77777777" w:rsidTr="00257615">
        <w:trPr>
          <w:cantSplit/>
          <w:trHeight w:val="465"/>
        </w:trPr>
        <w:tc>
          <w:tcPr>
            <w:tcW w:w="2694" w:type="dxa"/>
            <w:vMerge/>
            <w:tcMar>
              <w:top w:w="28" w:type="dxa"/>
              <w:bottom w:w="28" w:type="dxa"/>
            </w:tcMar>
          </w:tcPr>
          <w:p w14:paraId="0C350AB0" w14:textId="77777777" w:rsidR="00377360" w:rsidRPr="00D3523D" w:rsidRDefault="00377360" w:rsidP="00377360">
            <w:pPr>
              <w:rPr>
                <w:rFonts w:ascii="Arial" w:hAnsi="Arial" w:cs="Arial"/>
              </w:rPr>
            </w:pPr>
          </w:p>
        </w:tc>
        <w:tc>
          <w:tcPr>
            <w:tcW w:w="2409" w:type="dxa"/>
            <w:vMerge/>
          </w:tcPr>
          <w:p w14:paraId="69E7AA2C" w14:textId="77777777" w:rsidR="00377360" w:rsidRPr="00D3523D" w:rsidRDefault="00377360" w:rsidP="00377360">
            <w:pPr>
              <w:widowControl w:val="0"/>
              <w:rPr>
                <w:rFonts w:ascii="Arial" w:hAnsi="Arial" w:cs="Arial"/>
                <w:snapToGrid w:val="0"/>
                <w:lang w:eastAsia="en-US"/>
              </w:rPr>
            </w:pPr>
          </w:p>
        </w:tc>
        <w:tc>
          <w:tcPr>
            <w:tcW w:w="3261" w:type="dxa"/>
            <w:tcMar>
              <w:top w:w="28" w:type="dxa"/>
              <w:bottom w:w="28" w:type="dxa"/>
            </w:tcMar>
          </w:tcPr>
          <w:p w14:paraId="77784893" w14:textId="77777777" w:rsidR="00377360" w:rsidRPr="00D3523D" w:rsidRDefault="00377360" w:rsidP="00377360">
            <w:pPr>
              <w:pStyle w:val="ListParagraph"/>
              <w:ind w:left="0"/>
              <w:jc w:val="right"/>
              <w:rPr>
                <w:rFonts w:ascii="Arial" w:hAnsi="Arial" w:cs="Arial"/>
                <w:snapToGrid w:val="0"/>
                <w:sz w:val="20"/>
                <w:szCs w:val="20"/>
                <w:lang w:eastAsia="en-US"/>
              </w:rPr>
            </w:pPr>
            <w:r w:rsidRPr="00D3523D">
              <w:rPr>
                <w:rFonts w:ascii="Arial" w:hAnsi="Arial" w:cs="Arial"/>
                <w:snapToGrid w:val="0"/>
                <w:sz w:val="20"/>
                <w:szCs w:val="20"/>
                <w:lang w:eastAsia="en-US"/>
              </w:rPr>
              <w:t>Sponsor’s Comment:</w:t>
            </w:r>
          </w:p>
        </w:tc>
        <w:tc>
          <w:tcPr>
            <w:tcW w:w="6947" w:type="dxa"/>
          </w:tcPr>
          <w:p w14:paraId="5C853380" w14:textId="422C9D2A" w:rsidR="00377360" w:rsidRPr="00D3523D" w:rsidRDefault="00E0606D" w:rsidP="00377360">
            <w:pPr>
              <w:pStyle w:val="ListParagraph"/>
              <w:ind w:left="0"/>
              <w:jc w:val="both"/>
              <w:rPr>
                <w:rFonts w:ascii="Arial" w:hAnsi="Arial" w:cs="Arial"/>
                <w:iCs/>
                <w:sz w:val="20"/>
                <w:szCs w:val="20"/>
              </w:rPr>
            </w:pPr>
            <w:r>
              <w:rPr>
                <w:rFonts w:ascii="Arial" w:hAnsi="Arial" w:cs="Arial"/>
                <w:iCs/>
                <w:sz w:val="20"/>
                <w:szCs w:val="20"/>
              </w:rPr>
              <w:t>No comment</w:t>
            </w:r>
          </w:p>
        </w:tc>
      </w:tr>
    </w:tbl>
    <w:p w14:paraId="4081BEC2" w14:textId="77777777" w:rsidR="00640C80" w:rsidRDefault="00640C80" w:rsidP="00640C80">
      <w:pPr>
        <w:tabs>
          <w:tab w:val="left" w:pos="5210"/>
        </w:tabs>
        <w:rPr>
          <w:rFonts w:ascii="Arial" w:hAnsi="Arial" w:cs="Arial"/>
          <w:lang w:val="en-US"/>
        </w:rPr>
      </w:pPr>
    </w:p>
    <w:sectPr w:rsidR="00640C8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910F" w14:textId="77777777" w:rsidR="00AD0404" w:rsidRDefault="00AD0404">
      <w:r>
        <w:separator/>
      </w:r>
    </w:p>
  </w:endnote>
  <w:endnote w:type="continuationSeparator" w:id="0">
    <w:p w14:paraId="0B94B43F"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7BCB"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180A" w14:textId="279A11CC"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2E0FD6">
      <w:rPr>
        <w:rStyle w:val="PageNumber"/>
        <w:rFonts w:ascii="Arial" w:hAnsi="Arial" w:cs="Arial"/>
        <w:noProof/>
      </w:rPr>
      <w:t>1</w:t>
    </w:r>
    <w:r w:rsidRPr="00287C89">
      <w:rPr>
        <w:rStyle w:val="PageNumber"/>
        <w:rFonts w:ascii="Arial" w:hAnsi="Arial" w:cs="Arial"/>
      </w:rPr>
      <w:fldChar w:fldCharType="end"/>
    </w:r>
  </w:p>
  <w:p w14:paraId="5DEC0542" w14:textId="77777777" w:rsidR="005E1F3B" w:rsidRDefault="005E1F3B" w:rsidP="00FE2A81">
    <w:pPr>
      <w:pStyle w:val="Footer"/>
      <w:ind w:right="360"/>
    </w:pPr>
  </w:p>
  <w:p w14:paraId="429295B6" w14:textId="77777777" w:rsidR="00257615" w:rsidRDefault="00257615"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8DC25" w14:textId="77777777" w:rsidR="004B4E4F" w:rsidRDefault="004B4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AF80" w14:textId="77777777" w:rsidR="00AD0404" w:rsidRDefault="00AD0404">
      <w:r>
        <w:separator/>
      </w:r>
    </w:p>
  </w:footnote>
  <w:footnote w:type="continuationSeparator" w:id="0">
    <w:p w14:paraId="7F846E8F"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25B5" w14:textId="77777777" w:rsidR="004B4E4F" w:rsidRDefault="004B4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7A53" w14:textId="77777777" w:rsidR="0071356F" w:rsidRDefault="000E1E84" w:rsidP="0071356F">
    <w:pPr>
      <w:pStyle w:val="Header"/>
      <w:jc w:val="center"/>
      <w:rPr>
        <w:rFonts w:ascii="Arial" w:hAnsi="Arial" w:cs="Arial"/>
        <w:b/>
      </w:rPr>
    </w:pPr>
    <w:r>
      <w:rPr>
        <w:rFonts w:ascii="Arial" w:hAnsi="Arial" w:cs="Arial"/>
        <w:b/>
      </w:rPr>
      <w:t xml:space="preserve">MONTH YEAR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14:paraId="0E28AC1B" w14:textId="77777777"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7920B" w14:textId="77777777" w:rsidR="004B4E4F" w:rsidRDefault="004B4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3"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1"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7"/>
  </w:num>
  <w:num w:numId="4">
    <w:abstractNumId w:val="21"/>
  </w:num>
  <w:num w:numId="5">
    <w:abstractNumId w:val="11"/>
  </w:num>
  <w:num w:numId="6">
    <w:abstractNumId w:val="6"/>
  </w:num>
  <w:num w:numId="7">
    <w:abstractNumId w:val="2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2"/>
  </w:num>
  <w:num w:numId="11">
    <w:abstractNumId w:val="23"/>
  </w:num>
  <w:num w:numId="12">
    <w:abstractNumId w:val="25"/>
  </w:num>
  <w:num w:numId="13">
    <w:abstractNumId w:val="7"/>
  </w:num>
  <w:num w:numId="14">
    <w:abstractNumId w:val="24"/>
  </w:num>
  <w:num w:numId="15">
    <w:abstractNumId w:val="26"/>
  </w:num>
  <w:num w:numId="16">
    <w:abstractNumId w:val="22"/>
  </w:num>
  <w:num w:numId="17">
    <w:abstractNumId w:val="36"/>
  </w:num>
  <w:num w:numId="18">
    <w:abstractNumId w:val="38"/>
  </w:num>
  <w:num w:numId="19">
    <w:abstractNumId w:val="5"/>
  </w:num>
  <w:num w:numId="20">
    <w:abstractNumId w:val="12"/>
  </w:num>
  <w:num w:numId="21">
    <w:abstractNumId w:val="14"/>
  </w:num>
  <w:num w:numId="22">
    <w:abstractNumId w:val="34"/>
  </w:num>
  <w:num w:numId="23">
    <w:abstractNumId w:val="4"/>
  </w:num>
  <w:num w:numId="24">
    <w:abstractNumId w:val="17"/>
  </w:num>
  <w:num w:numId="25">
    <w:abstractNumId w:val="10"/>
  </w:num>
  <w:num w:numId="26">
    <w:abstractNumId w:val="8"/>
  </w:num>
  <w:num w:numId="27">
    <w:abstractNumId w:val="19"/>
  </w:num>
  <w:num w:numId="28">
    <w:abstractNumId w:val="20"/>
  </w:num>
  <w:num w:numId="29">
    <w:abstractNumId w:val="18"/>
  </w:num>
  <w:num w:numId="30">
    <w:abstractNumId w:val="37"/>
  </w:num>
  <w:num w:numId="31">
    <w:abstractNumId w:val="15"/>
  </w:num>
  <w:num w:numId="32">
    <w:abstractNumId w:val="30"/>
  </w:num>
  <w:num w:numId="33">
    <w:abstractNumId w:val="35"/>
  </w:num>
  <w:num w:numId="34">
    <w:abstractNumId w:val="33"/>
  </w:num>
  <w:num w:numId="35">
    <w:abstractNumId w:val="3"/>
  </w:num>
  <w:num w:numId="36">
    <w:abstractNumId w:val="31"/>
  </w:num>
  <w:num w:numId="37">
    <w:abstractNumId w:val="2"/>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C7C"/>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D46"/>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6F8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6F5"/>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252B"/>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584"/>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676"/>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C49"/>
    <w:rsid w:val="00AD3D21"/>
    <w:rsid w:val="00AD68F8"/>
    <w:rsid w:val="00AD692B"/>
    <w:rsid w:val="00AE0B68"/>
    <w:rsid w:val="00AE0CA2"/>
    <w:rsid w:val="00AE10CD"/>
    <w:rsid w:val="00AE1499"/>
    <w:rsid w:val="00AE2D0A"/>
    <w:rsid w:val="00AE3725"/>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6C42"/>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052"/>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2CD4"/>
    <w:rsid w:val="00C84713"/>
    <w:rsid w:val="00C84758"/>
    <w:rsid w:val="00C853AB"/>
    <w:rsid w:val="00C85F72"/>
    <w:rsid w:val="00C86896"/>
    <w:rsid w:val="00C876E1"/>
    <w:rsid w:val="00C90162"/>
    <w:rsid w:val="00C908A9"/>
    <w:rsid w:val="00C908BE"/>
    <w:rsid w:val="00C91507"/>
    <w:rsid w:val="00C940C2"/>
    <w:rsid w:val="00C952E9"/>
    <w:rsid w:val="00C95AC8"/>
    <w:rsid w:val="00C95E95"/>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6C6A"/>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699"/>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555"/>
    <w:rsid w:val="00F04D9B"/>
    <w:rsid w:val="00F0588E"/>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30"/>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character" w:customStyle="1" w:styleId="CommentTextChar">
    <w:name w:val="Comment Text Char"/>
    <w:basedOn w:val="DefaultParagraphFont"/>
    <w:link w:val="CommentText"/>
    <w:rsid w:val="0037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44E5F-3D4C-4530-A79F-8FFD2E00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2019-08-21T08:03:00Z</dcterms:created>
  <dcterms:modified xsi:type="dcterms:W3CDTF">2019-08-23T01:23:00Z</dcterms:modified>
</cp:coreProperties>
</file>