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108" w:tblpY="1"/>
        <w:tblOverlap w:val="never"/>
        <w:tblW w:w="15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126"/>
        <w:gridCol w:w="3261"/>
        <w:gridCol w:w="6947"/>
      </w:tblGrid>
      <w:tr w:rsidR="00126104" w:rsidRPr="003E19A4" w14:paraId="1AE0EEF6" w14:textId="77777777" w:rsidTr="00EA306F">
        <w:trPr>
          <w:trHeight w:val="813"/>
          <w:tblHeader/>
        </w:trPr>
        <w:tc>
          <w:tcPr>
            <w:tcW w:w="2977" w:type="dxa"/>
            <w:tcMar>
              <w:top w:w="28" w:type="dxa"/>
              <w:bottom w:w="28" w:type="dxa"/>
            </w:tcMar>
          </w:tcPr>
          <w:p w14:paraId="6C22AD41" w14:textId="6905B55D" w:rsidR="00126104" w:rsidRPr="003E19A4" w:rsidRDefault="00126104" w:rsidP="00EA306F">
            <w:pPr>
              <w:widowControl w:val="0"/>
              <w:spacing w:before="120" w:after="120"/>
              <w:jc w:val="center"/>
              <w:rPr>
                <w:rFonts w:ascii="Arial" w:hAnsi="Arial" w:cs="Arial"/>
                <w:b/>
              </w:rPr>
            </w:pPr>
            <w:bookmarkStart w:id="0" w:name="_GoBack"/>
            <w:bookmarkEnd w:id="0"/>
            <w:r w:rsidRPr="003E19A4">
              <w:rPr>
                <w:rFonts w:ascii="Arial" w:hAnsi="Arial" w:cs="Arial"/>
                <w:b/>
              </w:rPr>
              <w:t>DRUG NAME, FORM(S), STRENGTH(S), SPONSOR, TYPE OF SUBMISSION</w:t>
            </w:r>
          </w:p>
        </w:tc>
        <w:tc>
          <w:tcPr>
            <w:tcW w:w="2126" w:type="dxa"/>
            <w:tcMar>
              <w:top w:w="28" w:type="dxa"/>
              <w:bottom w:w="28" w:type="dxa"/>
            </w:tcMar>
          </w:tcPr>
          <w:p w14:paraId="095D97B8" w14:textId="77777777" w:rsidR="00126104" w:rsidRPr="003E19A4" w:rsidRDefault="00126104" w:rsidP="00EA306F">
            <w:pPr>
              <w:widowControl w:val="0"/>
              <w:spacing w:before="120" w:after="120"/>
              <w:jc w:val="center"/>
              <w:rPr>
                <w:rFonts w:ascii="Arial" w:hAnsi="Arial" w:cs="Arial"/>
                <w:b/>
                <w:snapToGrid w:val="0"/>
                <w:lang w:eastAsia="en-US"/>
              </w:rPr>
            </w:pPr>
            <w:r w:rsidRPr="003E19A4">
              <w:rPr>
                <w:rFonts w:ascii="Arial" w:hAnsi="Arial" w:cs="Arial"/>
                <w:b/>
                <w:snapToGrid w:val="0"/>
                <w:lang w:eastAsia="en-US"/>
              </w:rPr>
              <w:t>DRUG TYPE AND USE</w:t>
            </w:r>
          </w:p>
          <w:p w14:paraId="6692201E" w14:textId="77777777" w:rsidR="00126104" w:rsidRPr="003E19A4" w:rsidRDefault="00126104" w:rsidP="00EA306F">
            <w:pPr>
              <w:widowControl w:val="0"/>
              <w:spacing w:before="120" w:after="120"/>
              <w:jc w:val="center"/>
              <w:rPr>
                <w:rFonts w:ascii="Arial" w:hAnsi="Arial" w:cs="Arial"/>
                <w:b/>
                <w:snapToGrid w:val="0"/>
                <w:lang w:eastAsia="en-US"/>
              </w:rPr>
            </w:pPr>
          </w:p>
        </w:tc>
        <w:tc>
          <w:tcPr>
            <w:tcW w:w="3261" w:type="dxa"/>
            <w:tcMar>
              <w:top w:w="28" w:type="dxa"/>
              <w:bottom w:w="28" w:type="dxa"/>
            </w:tcMar>
          </w:tcPr>
          <w:p w14:paraId="0EE71A89" w14:textId="77777777" w:rsidR="00126104" w:rsidRPr="003E19A4" w:rsidRDefault="00126104" w:rsidP="00EA306F">
            <w:pPr>
              <w:widowControl w:val="0"/>
              <w:spacing w:before="120" w:after="120"/>
              <w:jc w:val="center"/>
              <w:rPr>
                <w:rFonts w:ascii="Arial" w:hAnsi="Arial" w:cs="Arial"/>
                <w:b/>
                <w:snapToGrid w:val="0"/>
                <w:lang w:eastAsia="en-US"/>
              </w:rPr>
            </w:pPr>
            <w:r w:rsidRPr="003E19A4">
              <w:rPr>
                <w:rFonts w:ascii="Arial" w:hAnsi="Arial" w:cs="Arial"/>
                <w:b/>
                <w:snapToGrid w:val="0"/>
                <w:lang w:eastAsia="en-US"/>
              </w:rPr>
              <w:t>LISTING REQUESTED BY SPONSOR / PURPOSE OF SUBMISSION</w:t>
            </w:r>
          </w:p>
        </w:tc>
        <w:tc>
          <w:tcPr>
            <w:tcW w:w="6947" w:type="dxa"/>
          </w:tcPr>
          <w:p w14:paraId="52F1A201" w14:textId="77777777" w:rsidR="00126104" w:rsidRPr="003E19A4" w:rsidRDefault="00126104" w:rsidP="00EA306F">
            <w:pPr>
              <w:pStyle w:val="Header"/>
              <w:spacing w:before="120" w:after="120"/>
              <w:jc w:val="center"/>
              <w:rPr>
                <w:rFonts w:ascii="Arial" w:hAnsi="Arial" w:cs="Arial"/>
                <w:b/>
                <w:snapToGrid w:val="0"/>
                <w:lang w:eastAsia="en-US"/>
              </w:rPr>
            </w:pPr>
            <w:r w:rsidRPr="003E19A4">
              <w:rPr>
                <w:rFonts w:ascii="Arial" w:hAnsi="Arial" w:cs="Arial"/>
                <w:b/>
                <w:snapToGrid w:val="0"/>
                <w:lang w:eastAsia="en-US"/>
              </w:rPr>
              <w:t>PBAC OUTCOME</w:t>
            </w:r>
          </w:p>
        </w:tc>
      </w:tr>
      <w:tr w:rsidR="00443C5C" w:rsidRPr="00100294" w14:paraId="0E8F6BF7" w14:textId="77777777" w:rsidTr="001123B7">
        <w:tblPrEx>
          <w:tblLook w:val="04A0" w:firstRow="1" w:lastRow="0" w:firstColumn="1" w:lastColumn="0" w:noHBand="0" w:noVBand="1"/>
        </w:tblPrEx>
        <w:tc>
          <w:tcPr>
            <w:tcW w:w="2977" w:type="dxa"/>
            <w:shd w:val="clear" w:color="auto" w:fill="auto"/>
          </w:tcPr>
          <w:p w14:paraId="45894F3A" w14:textId="132755FA" w:rsidR="00443C5C" w:rsidRPr="00443C5C" w:rsidRDefault="00443C5C" w:rsidP="00EA306F">
            <w:pPr>
              <w:spacing w:before="120" w:after="120"/>
              <w:rPr>
                <w:rFonts w:ascii="Arial" w:hAnsi="Arial" w:cs="Arial"/>
              </w:rPr>
            </w:pPr>
            <w:r w:rsidRPr="00443C5C">
              <w:rPr>
                <w:rFonts w:ascii="Arial" w:hAnsi="Arial" w:cs="Arial"/>
              </w:rPr>
              <w:t>Cost-effectiveness review of pneumococcal vaccines for the National Immunisation Program (NIP).</w:t>
            </w:r>
          </w:p>
          <w:p w14:paraId="0F449270" w14:textId="60FB4201" w:rsidR="00443C5C" w:rsidRPr="00443C5C" w:rsidRDefault="00443C5C" w:rsidP="00EA306F">
            <w:pPr>
              <w:spacing w:before="120" w:after="120"/>
              <w:rPr>
                <w:rFonts w:ascii="Arial" w:hAnsi="Arial" w:cs="Arial"/>
              </w:rPr>
            </w:pPr>
            <w:r w:rsidRPr="00443C5C">
              <w:rPr>
                <w:rFonts w:ascii="Arial" w:hAnsi="Arial" w:cs="Arial"/>
              </w:rPr>
              <w:t>Pneumovax 23</w:t>
            </w:r>
            <w:r w:rsidRPr="00443C5C">
              <w:rPr>
                <w:rFonts w:ascii="Arial" w:hAnsi="Arial" w:cs="Arial"/>
                <w:vertAlign w:val="superscript"/>
              </w:rPr>
              <w:t>®</w:t>
            </w:r>
            <w:r w:rsidRPr="00443C5C">
              <w:rPr>
                <w:rFonts w:ascii="Arial" w:hAnsi="Arial" w:cs="Arial"/>
              </w:rPr>
              <w:t xml:space="preserve"> </w:t>
            </w:r>
          </w:p>
          <w:p w14:paraId="54B291DA" w14:textId="77777777" w:rsidR="00443C5C" w:rsidRPr="00443C5C" w:rsidRDefault="00443C5C" w:rsidP="00EA306F">
            <w:pPr>
              <w:spacing w:before="120" w:after="120"/>
              <w:rPr>
                <w:rFonts w:ascii="Arial" w:hAnsi="Arial" w:cs="Arial"/>
              </w:rPr>
            </w:pPr>
            <w:r w:rsidRPr="00443C5C">
              <w:rPr>
                <w:rFonts w:ascii="Arial" w:hAnsi="Arial" w:cs="Arial"/>
              </w:rPr>
              <w:t xml:space="preserve">Seqirus Australia Pty Ltd </w:t>
            </w:r>
          </w:p>
          <w:p w14:paraId="619236C1" w14:textId="77777777" w:rsidR="00443C5C" w:rsidRPr="00443C5C" w:rsidRDefault="00443C5C" w:rsidP="00EA306F">
            <w:pPr>
              <w:spacing w:before="120" w:after="120"/>
              <w:rPr>
                <w:rFonts w:ascii="Arial" w:hAnsi="Arial" w:cs="Arial"/>
              </w:rPr>
            </w:pPr>
          </w:p>
          <w:p w14:paraId="05998A0E" w14:textId="36B9B1E0" w:rsidR="00443C5C" w:rsidRPr="00EA306F" w:rsidRDefault="00443C5C" w:rsidP="00EA306F">
            <w:pPr>
              <w:spacing w:before="120" w:after="120"/>
              <w:rPr>
                <w:rFonts w:ascii="Arial" w:hAnsi="Arial" w:cs="Arial"/>
                <w:bCs/>
                <w:color w:val="000000"/>
              </w:rPr>
            </w:pPr>
            <w:r w:rsidRPr="00443C5C">
              <w:rPr>
                <w:rFonts w:ascii="Arial" w:hAnsi="Arial" w:cs="Arial"/>
                <w:bCs/>
                <w:color w:val="000000"/>
              </w:rPr>
              <w:t>Prevenar 13</w:t>
            </w:r>
            <w:r w:rsidRPr="00443C5C">
              <w:rPr>
                <w:rFonts w:ascii="Arial" w:hAnsi="Arial" w:cs="Arial"/>
                <w:bCs/>
                <w:color w:val="000000"/>
                <w:vertAlign w:val="superscript"/>
              </w:rPr>
              <w:t>®</w:t>
            </w:r>
          </w:p>
          <w:p w14:paraId="6E51FA8C" w14:textId="77777777" w:rsidR="00443C5C" w:rsidRPr="00443C5C" w:rsidRDefault="00443C5C" w:rsidP="00EA306F">
            <w:pPr>
              <w:spacing w:before="120" w:after="120"/>
              <w:rPr>
                <w:rFonts w:ascii="Arial" w:hAnsi="Arial" w:cs="Arial"/>
              </w:rPr>
            </w:pPr>
            <w:r w:rsidRPr="00443C5C">
              <w:rPr>
                <w:rFonts w:ascii="Arial" w:hAnsi="Arial" w:cs="Arial"/>
              </w:rPr>
              <w:t>Pfizer Australia Pty Ltd</w:t>
            </w:r>
          </w:p>
          <w:p w14:paraId="5A05C74A" w14:textId="77777777" w:rsidR="00443C5C" w:rsidRPr="00443C5C" w:rsidRDefault="00443C5C" w:rsidP="00EA306F">
            <w:pPr>
              <w:spacing w:before="120" w:after="120"/>
              <w:rPr>
                <w:rFonts w:ascii="Arial" w:hAnsi="Arial" w:cs="Arial"/>
              </w:rPr>
            </w:pPr>
          </w:p>
          <w:p w14:paraId="7F7C182B" w14:textId="08B26AF8" w:rsidR="00443C5C" w:rsidRPr="00443C5C" w:rsidRDefault="00443C5C" w:rsidP="00EA306F">
            <w:pPr>
              <w:pStyle w:val="Char2CharCharCharZchnZchnCharCharCharCharCharCharCharCharCharCharCharCharCharCharCharCharCharCharCharCharCharCharCharChar1CharCharCharCharCharCharCharCharCharCharCharChar1Char"/>
              <w:spacing w:before="120" w:after="120"/>
              <w:rPr>
                <w:rFonts w:ascii="Arial" w:hAnsi="Arial" w:cs="Arial"/>
              </w:rPr>
            </w:pPr>
            <w:r w:rsidRPr="00443C5C">
              <w:rPr>
                <w:rFonts w:ascii="Arial" w:hAnsi="Arial" w:cs="Arial"/>
                <w:color w:val="000000"/>
              </w:rPr>
              <w:t>Australian Technical Advisory Group on</w:t>
            </w:r>
            <w:r w:rsidRPr="002E6129">
              <w:rPr>
                <w:rFonts w:ascii="Arial" w:hAnsi="Arial" w:cs="Arial"/>
                <w:color w:val="000000"/>
                <w:lang w:val="en-AU"/>
              </w:rPr>
              <w:t xml:space="preserve"> Immunisation</w:t>
            </w:r>
            <w:r w:rsidR="00492F1A">
              <w:rPr>
                <w:rFonts w:ascii="Arial" w:hAnsi="Arial" w:cs="Arial"/>
                <w:color w:val="000000"/>
                <w:lang w:val="en-AU"/>
              </w:rPr>
              <w:t xml:space="preserve"> (ATAGI)</w:t>
            </w:r>
          </w:p>
        </w:tc>
        <w:tc>
          <w:tcPr>
            <w:tcW w:w="2126" w:type="dxa"/>
            <w:shd w:val="clear" w:color="auto" w:fill="auto"/>
          </w:tcPr>
          <w:p w14:paraId="56B8349D" w14:textId="708F4498" w:rsidR="00443C5C" w:rsidRPr="00443C5C" w:rsidRDefault="00443C5C" w:rsidP="00EA306F">
            <w:pPr>
              <w:autoSpaceDE w:val="0"/>
              <w:autoSpaceDN w:val="0"/>
              <w:adjustRightInd w:val="0"/>
              <w:spacing w:before="120" w:after="120"/>
              <w:rPr>
                <w:rFonts w:ascii="Arial" w:hAnsi="Arial" w:cs="Arial"/>
              </w:rPr>
            </w:pPr>
            <w:r w:rsidRPr="00443C5C">
              <w:rPr>
                <w:rFonts w:ascii="Arial" w:hAnsi="Arial" w:cs="Arial"/>
                <w:bCs/>
                <w:color w:val="000000"/>
              </w:rPr>
              <w:t>Vaccines for the prevention of pneumococcal disease</w:t>
            </w:r>
          </w:p>
        </w:tc>
        <w:tc>
          <w:tcPr>
            <w:tcW w:w="3261" w:type="dxa"/>
            <w:shd w:val="clear" w:color="auto" w:fill="auto"/>
          </w:tcPr>
          <w:p w14:paraId="73C742C6" w14:textId="4BF80097" w:rsidR="00443C5C" w:rsidRPr="00443C5C" w:rsidRDefault="00443C5C" w:rsidP="00EA306F">
            <w:pPr>
              <w:autoSpaceDE w:val="0"/>
              <w:autoSpaceDN w:val="0"/>
              <w:adjustRightInd w:val="0"/>
              <w:spacing w:before="120" w:after="120"/>
              <w:rPr>
                <w:rFonts w:ascii="Arial" w:hAnsi="Arial" w:cs="Arial"/>
              </w:rPr>
            </w:pPr>
            <w:r w:rsidRPr="00443C5C">
              <w:rPr>
                <w:rFonts w:ascii="Arial" w:hAnsi="Arial" w:cs="Arial"/>
                <w:bCs/>
                <w:color w:val="000000"/>
              </w:rPr>
              <w:t xml:space="preserve">To consider the eligible populations for vaccination with </w:t>
            </w:r>
            <w:r w:rsidR="00B7411F" w:rsidRPr="00443C5C">
              <w:rPr>
                <w:rFonts w:ascii="Arial" w:hAnsi="Arial" w:cs="Arial"/>
              </w:rPr>
              <w:t>a 23-valent pneumococcal polysaccharide vaccine (23vPPV)</w:t>
            </w:r>
            <w:r w:rsidRPr="00443C5C">
              <w:rPr>
                <w:rFonts w:ascii="Arial" w:hAnsi="Arial" w:cs="Arial"/>
                <w:bCs/>
                <w:color w:val="000000"/>
              </w:rPr>
              <w:t xml:space="preserve"> or</w:t>
            </w:r>
            <w:r w:rsidR="00B7411F" w:rsidRPr="00443C5C">
              <w:rPr>
                <w:rFonts w:ascii="Arial" w:hAnsi="Arial" w:cs="Arial"/>
              </w:rPr>
              <w:t xml:space="preserve"> a 13-valent pneumococcal conjugate vaccine (13vPCV)</w:t>
            </w:r>
            <w:r w:rsidRPr="00443C5C">
              <w:rPr>
                <w:rFonts w:ascii="Arial" w:hAnsi="Arial" w:cs="Arial"/>
                <w:bCs/>
                <w:color w:val="000000"/>
              </w:rPr>
              <w:t xml:space="preserve"> via the National Immunisation Program (NIP). </w:t>
            </w:r>
          </w:p>
        </w:tc>
        <w:tc>
          <w:tcPr>
            <w:tcW w:w="6947" w:type="dxa"/>
            <w:shd w:val="clear" w:color="auto" w:fill="auto"/>
          </w:tcPr>
          <w:p w14:paraId="2EB4FBA2" w14:textId="7C17CB37" w:rsidR="00443C5C" w:rsidRPr="00443C5C" w:rsidRDefault="00443C5C" w:rsidP="00EA306F">
            <w:pPr>
              <w:spacing w:before="120" w:after="120"/>
              <w:rPr>
                <w:rFonts w:ascii="Arial" w:hAnsi="Arial" w:cs="Arial"/>
              </w:rPr>
            </w:pPr>
            <w:r w:rsidRPr="00443C5C">
              <w:rPr>
                <w:rFonts w:ascii="Arial" w:hAnsi="Arial" w:cs="Arial"/>
              </w:rPr>
              <w:t>In July 2016, the PBAC recommended Prevenar 13</w:t>
            </w:r>
            <w:r w:rsidRPr="00443C5C">
              <w:rPr>
                <w:rFonts w:ascii="Arial" w:hAnsi="Arial" w:cs="Arial"/>
                <w:vertAlign w:val="superscript"/>
              </w:rPr>
              <w:t>®</w:t>
            </w:r>
            <w:r w:rsidRPr="00443C5C">
              <w:rPr>
                <w:rFonts w:ascii="Arial" w:hAnsi="Arial" w:cs="Arial"/>
              </w:rPr>
              <w:t xml:space="preserve"> (13vPCV) to replace the first dose of Pneumovax 23</w:t>
            </w:r>
            <w:r w:rsidRPr="00443C5C">
              <w:rPr>
                <w:rFonts w:ascii="Arial" w:hAnsi="Arial" w:cs="Arial"/>
                <w:vertAlign w:val="superscript"/>
              </w:rPr>
              <w:t>®</w:t>
            </w:r>
            <w:r w:rsidRPr="00443C5C">
              <w:rPr>
                <w:rFonts w:ascii="Arial" w:hAnsi="Arial" w:cs="Arial"/>
              </w:rPr>
              <w:t xml:space="preserve"> (23vPPV) for older adults based on cost effectiveness over the 23vPPV. At that time, the PBAC </w:t>
            </w:r>
            <w:r w:rsidRPr="00443C5C">
              <w:rPr>
                <w:rFonts w:ascii="Arial" w:hAnsi="Arial" w:cs="Arial"/>
                <w:bCs/>
              </w:rPr>
              <w:t>noted that the cost-effectiveness of 23vPPV had not been previously reviewed</w:t>
            </w:r>
            <w:r w:rsidR="0094535B">
              <w:rPr>
                <w:rFonts w:ascii="Arial" w:hAnsi="Arial" w:cs="Arial"/>
                <w:bCs/>
              </w:rPr>
              <w:t>,</w:t>
            </w:r>
            <w:r w:rsidRPr="00443C5C">
              <w:rPr>
                <w:rFonts w:ascii="Arial" w:hAnsi="Arial" w:cs="Arial"/>
              </w:rPr>
              <w:t xml:space="preserve"> and requested advice from the ATAGI </w:t>
            </w:r>
            <w:r w:rsidRPr="00443C5C">
              <w:rPr>
                <w:rFonts w:ascii="Arial" w:hAnsi="Arial" w:cs="Arial"/>
                <w:bCs/>
              </w:rPr>
              <w:t>on the clinical place and effectiveness of 23vPPV on the NIP</w:t>
            </w:r>
            <w:r w:rsidR="0094535B">
              <w:rPr>
                <w:rFonts w:ascii="Arial" w:hAnsi="Arial" w:cs="Arial"/>
                <w:bCs/>
              </w:rPr>
              <w:t>,</w:t>
            </w:r>
            <w:r w:rsidRPr="00443C5C">
              <w:rPr>
                <w:rFonts w:ascii="Arial" w:hAnsi="Arial" w:cs="Arial"/>
                <w:bCs/>
              </w:rPr>
              <w:t xml:space="preserve"> with a view to potentially informing a review of the cost-effectiveness of 23vPPV</w:t>
            </w:r>
            <w:r w:rsidRPr="00443C5C">
              <w:rPr>
                <w:rFonts w:ascii="Arial" w:hAnsi="Arial" w:cs="Arial"/>
              </w:rPr>
              <w:t xml:space="preserve">. The PBAC noted that any outcomes of the review of 23vPPV </w:t>
            </w:r>
            <w:r w:rsidR="002E6129" w:rsidRPr="00443C5C">
              <w:rPr>
                <w:rFonts w:ascii="Arial" w:hAnsi="Arial" w:cs="Arial"/>
              </w:rPr>
              <w:t>might</w:t>
            </w:r>
            <w:r w:rsidRPr="00443C5C">
              <w:rPr>
                <w:rFonts w:ascii="Arial" w:hAnsi="Arial" w:cs="Arial"/>
              </w:rPr>
              <w:t xml:space="preserve"> have implications for the 13vPCV listing.</w:t>
            </w:r>
          </w:p>
          <w:p w14:paraId="7026329E" w14:textId="37DC0341" w:rsidR="00443C5C" w:rsidRPr="00443C5C" w:rsidRDefault="00443C5C" w:rsidP="00EA306F">
            <w:pPr>
              <w:spacing w:before="120" w:after="120"/>
              <w:rPr>
                <w:rFonts w:ascii="Arial" w:hAnsi="Arial" w:cs="Arial"/>
              </w:rPr>
            </w:pPr>
            <w:r w:rsidRPr="00443C5C">
              <w:rPr>
                <w:rFonts w:ascii="Arial" w:hAnsi="Arial" w:cs="Arial"/>
              </w:rPr>
              <w:t xml:space="preserve">In July 2017, the PBAC considered the advice of the ATAGI and recommended a cost effectiveness review (CER) of 23vPPV compared </w:t>
            </w:r>
            <w:r w:rsidR="00A24D83">
              <w:rPr>
                <w:rFonts w:ascii="Arial" w:hAnsi="Arial" w:cs="Arial"/>
              </w:rPr>
              <w:t>with</w:t>
            </w:r>
            <w:r w:rsidR="00A24D83" w:rsidRPr="00443C5C">
              <w:rPr>
                <w:rFonts w:ascii="Arial" w:hAnsi="Arial" w:cs="Arial"/>
              </w:rPr>
              <w:t xml:space="preserve"> </w:t>
            </w:r>
            <w:r w:rsidRPr="00443C5C">
              <w:rPr>
                <w:rFonts w:ascii="Arial" w:hAnsi="Arial" w:cs="Arial"/>
              </w:rPr>
              <w:t>no vaccine in the current NIP-funded indications for:</w:t>
            </w:r>
          </w:p>
          <w:p w14:paraId="0470BD28" w14:textId="0E759B46" w:rsidR="00443C5C" w:rsidRPr="00443C5C" w:rsidRDefault="00443C5C" w:rsidP="00EA306F">
            <w:pPr>
              <w:pStyle w:val="ListParagraph"/>
              <w:numPr>
                <w:ilvl w:val="0"/>
                <w:numId w:val="2"/>
              </w:numPr>
              <w:spacing w:before="120" w:after="120"/>
              <w:ind w:left="714" w:hanging="357"/>
              <w:contextualSpacing w:val="0"/>
              <w:rPr>
                <w:rFonts w:ascii="Arial" w:hAnsi="Arial" w:cs="Arial"/>
                <w:sz w:val="20"/>
                <w:szCs w:val="20"/>
              </w:rPr>
            </w:pPr>
            <w:r w:rsidRPr="00443C5C">
              <w:rPr>
                <w:rFonts w:ascii="Arial" w:hAnsi="Arial" w:cs="Arial"/>
                <w:sz w:val="20"/>
                <w:szCs w:val="20"/>
              </w:rPr>
              <w:t xml:space="preserve">Non-Aboriginal and Torres Strait Islander adults aged ≥65 years, with and without risk factors; and </w:t>
            </w:r>
          </w:p>
          <w:p w14:paraId="706E431F" w14:textId="745AF4AA" w:rsidR="00443C5C" w:rsidRPr="00EA306F" w:rsidRDefault="00443C5C" w:rsidP="00EA306F">
            <w:pPr>
              <w:pStyle w:val="ListParagraph"/>
              <w:numPr>
                <w:ilvl w:val="0"/>
                <w:numId w:val="2"/>
              </w:numPr>
              <w:spacing w:before="120" w:after="120"/>
              <w:ind w:left="714" w:hanging="357"/>
              <w:contextualSpacing w:val="0"/>
              <w:rPr>
                <w:rFonts w:ascii="Arial" w:hAnsi="Arial" w:cs="Arial"/>
                <w:sz w:val="20"/>
                <w:szCs w:val="20"/>
              </w:rPr>
            </w:pPr>
            <w:r w:rsidRPr="00443C5C">
              <w:rPr>
                <w:rFonts w:ascii="Arial" w:hAnsi="Arial" w:cs="Arial"/>
                <w:sz w:val="20"/>
                <w:szCs w:val="20"/>
              </w:rPr>
              <w:t xml:space="preserve">Aboriginal and Torres Strait Islander adults aged ≥50 years, with and without risk factors. </w:t>
            </w:r>
          </w:p>
          <w:p w14:paraId="3A48B064" w14:textId="63C0BA34" w:rsidR="00443C5C" w:rsidRPr="00443C5C" w:rsidRDefault="00443C5C" w:rsidP="00EA306F">
            <w:pPr>
              <w:spacing w:before="120" w:after="120"/>
              <w:rPr>
                <w:rFonts w:ascii="Arial" w:hAnsi="Arial" w:cs="Arial"/>
              </w:rPr>
            </w:pPr>
            <w:r w:rsidRPr="00443C5C">
              <w:rPr>
                <w:rFonts w:ascii="Arial" w:hAnsi="Arial" w:cs="Arial"/>
              </w:rPr>
              <w:t>Given the high and disproportionate burden of inv</w:t>
            </w:r>
            <w:r w:rsidR="00BD09BD">
              <w:rPr>
                <w:rFonts w:ascii="Arial" w:hAnsi="Arial" w:cs="Arial"/>
              </w:rPr>
              <w:t xml:space="preserve">asive pneumococcal disease </w:t>
            </w:r>
            <w:r w:rsidRPr="00443C5C">
              <w:rPr>
                <w:rFonts w:ascii="Arial" w:hAnsi="Arial" w:cs="Arial"/>
              </w:rPr>
              <w:t>in Aboriginal and Torres Strait Islander adults, the PBAC also recommended a review of a stepped economic analysis and financial impact of providing 13vPCV, with or without 1 or 2 doses of 23vPPV, to Aboriginal and Torres Strait Islander people ≥50yrs not previously vaccinated with</w:t>
            </w:r>
            <w:r w:rsidR="00B7411F">
              <w:rPr>
                <w:rFonts w:ascii="Arial" w:hAnsi="Arial" w:cs="Arial"/>
              </w:rPr>
              <w:t xml:space="preserve"> a 7</w:t>
            </w:r>
            <w:r w:rsidR="00B7411F" w:rsidRPr="00443C5C">
              <w:rPr>
                <w:rFonts w:ascii="Arial" w:hAnsi="Arial" w:cs="Arial"/>
              </w:rPr>
              <w:t xml:space="preserve">-valent pneumococcal conjugate vaccine </w:t>
            </w:r>
            <w:r w:rsidRPr="00443C5C">
              <w:rPr>
                <w:rFonts w:ascii="Arial" w:hAnsi="Arial" w:cs="Arial"/>
              </w:rPr>
              <w:t>or 13vPCV.</w:t>
            </w:r>
          </w:p>
          <w:p w14:paraId="5315CFDF" w14:textId="42DA62C5" w:rsidR="00443C5C" w:rsidRPr="00443C5C" w:rsidRDefault="00443C5C" w:rsidP="00EA306F">
            <w:pPr>
              <w:spacing w:before="120" w:after="120"/>
              <w:rPr>
                <w:rFonts w:ascii="Arial" w:hAnsi="Arial" w:cs="Arial"/>
              </w:rPr>
            </w:pPr>
            <w:r w:rsidRPr="00443C5C">
              <w:rPr>
                <w:rFonts w:ascii="Arial" w:hAnsi="Arial" w:cs="Arial"/>
              </w:rPr>
              <w:t>The PBAC first considered the CER report in December 2018 and sought further advice from the ATAGI</w:t>
            </w:r>
            <w:r w:rsidRPr="00443C5C">
              <w:rPr>
                <w:rFonts w:ascii="Arial" w:eastAsiaTheme="minorHAnsi" w:hAnsi="Arial" w:cs="Arial"/>
                <w:lang w:eastAsia="en-US"/>
              </w:rPr>
              <w:t xml:space="preserve"> </w:t>
            </w:r>
            <w:r w:rsidRPr="00443C5C">
              <w:rPr>
                <w:rFonts w:ascii="Arial" w:hAnsi="Arial" w:cs="Arial"/>
              </w:rPr>
              <w:t xml:space="preserve">on a proposed pneumococcal NIP schedule for individuals aged 12 months and older at high-risk of pneumococcal disease, where use of 13vPCV and 23vPPV could be considered cost-effective. </w:t>
            </w:r>
          </w:p>
          <w:p w14:paraId="1EEA24AC" w14:textId="382845F1" w:rsidR="00443C5C" w:rsidRPr="00443C5C" w:rsidRDefault="00443C5C" w:rsidP="00EA306F">
            <w:pPr>
              <w:spacing w:before="120" w:after="120"/>
              <w:rPr>
                <w:rFonts w:ascii="Arial" w:hAnsi="Arial" w:cs="Arial"/>
              </w:rPr>
            </w:pPr>
            <w:r w:rsidRPr="00443C5C">
              <w:rPr>
                <w:rFonts w:ascii="Arial" w:hAnsi="Arial" w:cs="Arial"/>
              </w:rPr>
              <w:t xml:space="preserve">At its March 2019 meeting, the PBAC considered updated ATAGI advice. The PBAC accepted ATAGI’s advice and considered it would be appropriate to fund one dose of 13vPCV and two doses of 23vPPV for those aged 12-59 months with the at-risk conditions ATAGI had identified (which included patients with asplenia, immunocompromised conditions, chronic respiratory or renal disease, cerebrospinal fluid leak, cochlear </w:t>
            </w:r>
            <w:r w:rsidRPr="00443C5C">
              <w:rPr>
                <w:rFonts w:ascii="Arial" w:hAnsi="Arial" w:cs="Arial"/>
              </w:rPr>
              <w:lastRenderedPageBreak/>
              <w:t>implants, intracranial shunts or previous episodes of invasive pneumococcal d</w:t>
            </w:r>
            <w:r w:rsidRPr="00443C5C">
              <w:rPr>
                <w:rFonts w:ascii="Arial" w:hAnsi="Arial" w:cs="Arial"/>
                <w:bCs/>
              </w:rPr>
              <w:t>isease</w:t>
            </w:r>
            <w:r w:rsidRPr="00443C5C">
              <w:rPr>
                <w:rFonts w:ascii="Arial" w:hAnsi="Arial" w:cs="Arial"/>
              </w:rPr>
              <w:t>). The PBAC also revisited its consideration of the CER and affirmed the findings, which supported routine vaccination with 13vPCV in older, healthy adults ≥75 years, based on</w:t>
            </w:r>
            <w:r w:rsidR="002E6129">
              <w:rPr>
                <w:rFonts w:ascii="Arial" w:hAnsi="Arial" w:cs="Arial"/>
              </w:rPr>
              <w:t xml:space="preserve"> </w:t>
            </w:r>
            <w:r w:rsidRPr="00443C5C">
              <w:rPr>
                <w:rFonts w:ascii="Arial" w:hAnsi="Arial" w:cs="Arial"/>
              </w:rPr>
              <w:t xml:space="preserve">acceptable cost-effectiveness. The PBAC also affirmed its view that one dose of the 13vPCV </w:t>
            </w:r>
            <w:r w:rsidR="00BD09BD" w:rsidRPr="00443C5C">
              <w:rPr>
                <w:rFonts w:ascii="Arial" w:hAnsi="Arial" w:cs="Arial"/>
              </w:rPr>
              <w:t>and</w:t>
            </w:r>
            <w:r w:rsidRPr="00443C5C">
              <w:rPr>
                <w:rFonts w:ascii="Arial" w:hAnsi="Arial" w:cs="Arial"/>
              </w:rPr>
              <w:t xml:space="preserve"> two subsequent doses of the 23vPPV in the Aboriginal and Torres Strait Islander population ≥50 years could be included on the NIP, based on high but acceptable cost-effectiveness in this population. </w:t>
            </w:r>
          </w:p>
          <w:p w14:paraId="3020DEC9" w14:textId="7927E215" w:rsidR="00443C5C" w:rsidRPr="00443C5C" w:rsidRDefault="00443C5C" w:rsidP="00EA306F">
            <w:pPr>
              <w:spacing w:before="120" w:after="120"/>
              <w:rPr>
                <w:rFonts w:ascii="Arial" w:eastAsiaTheme="minorHAnsi" w:hAnsi="Arial" w:cs="Arial"/>
                <w:bCs/>
              </w:rPr>
            </w:pPr>
            <w:r w:rsidRPr="00443C5C">
              <w:rPr>
                <w:rFonts w:ascii="Arial" w:hAnsi="Arial" w:cs="Arial"/>
              </w:rPr>
              <w:t xml:space="preserve">In July 2019, the PBAC considered further ATAGI advice on an enhanced pneumococcal immunisation schedule addressing both age based and at-risk eligible populations and the </w:t>
            </w:r>
            <w:r w:rsidRPr="00443C5C">
              <w:rPr>
                <w:rFonts w:ascii="Arial" w:eastAsiaTheme="minorHAnsi" w:hAnsi="Arial" w:cs="Arial"/>
                <w:bCs/>
              </w:rPr>
              <w:t>feedback from stakeholders including sponsors, clinicians and consumer groups.</w:t>
            </w:r>
          </w:p>
          <w:p w14:paraId="780F9424" w14:textId="0F4108F1" w:rsidR="00443C5C" w:rsidRPr="00443C5C" w:rsidRDefault="00443C5C" w:rsidP="00EA306F">
            <w:pPr>
              <w:spacing w:before="120" w:after="120"/>
              <w:rPr>
                <w:rFonts w:ascii="Arial" w:hAnsi="Arial" w:cs="Arial"/>
              </w:rPr>
            </w:pPr>
            <w:r w:rsidRPr="00443C5C">
              <w:rPr>
                <w:rFonts w:ascii="Arial" w:hAnsi="Arial" w:cs="Arial"/>
              </w:rPr>
              <w:t>The PBAC noted the ATAGI advice and agreed to their further advice</w:t>
            </w:r>
            <w:r w:rsidRPr="00443C5C">
              <w:rPr>
                <w:rFonts w:ascii="Arial" w:hAnsi="Arial" w:cs="Arial"/>
                <w:b/>
              </w:rPr>
              <w:t xml:space="preserve"> </w:t>
            </w:r>
            <w:r w:rsidRPr="00443C5C">
              <w:rPr>
                <w:rFonts w:ascii="Arial" w:hAnsi="Arial" w:cs="Arial"/>
              </w:rPr>
              <w:t xml:space="preserve">to revise </w:t>
            </w:r>
            <w:r w:rsidR="0094535B">
              <w:rPr>
                <w:rFonts w:ascii="Arial" w:hAnsi="Arial" w:cs="Arial"/>
              </w:rPr>
              <w:t xml:space="preserve">the </w:t>
            </w:r>
            <w:r w:rsidRPr="00443C5C">
              <w:rPr>
                <w:rFonts w:ascii="Arial" w:hAnsi="Arial" w:cs="Arial"/>
              </w:rPr>
              <w:t xml:space="preserve">age of vaccination for non- Aboriginal and Torres Strait Islander adults with 13vPCV from ≥75 to ≥70 years to align </w:t>
            </w:r>
            <w:r w:rsidR="0094535B">
              <w:rPr>
                <w:rFonts w:ascii="Arial" w:hAnsi="Arial" w:cs="Arial"/>
              </w:rPr>
              <w:t xml:space="preserve">the </w:t>
            </w:r>
            <w:r w:rsidRPr="00443C5C">
              <w:rPr>
                <w:rFonts w:ascii="Arial" w:hAnsi="Arial" w:cs="Arial"/>
              </w:rPr>
              <w:t>vaccination age with the Zostavax schedule</w:t>
            </w:r>
            <w:r w:rsidR="0094535B">
              <w:rPr>
                <w:rFonts w:ascii="Arial" w:hAnsi="Arial" w:cs="Arial"/>
              </w:rPr>
              <w:t>,</w:t>
            </w:r>
            <w:r w:rsidRPr="00443C5C">
              <w:rPr>
                <w:rFonts w:ascii="Arial" w:hAnsi="Arial" w:cs="Arial"/>
              </w:rPr>
              <w:t xml:space="preserve"> and to facilitate </w:t>
            </w:r>
            <w:r w:rsidR="0094535B">
              <w:rPr>
                <w:rFonts w:ascii="Arial" w:hAnsi="Arial" w:cs="Arial"/>
              </w:rPr>
              <w:t xml:space="preserve">the </w:t>
            </w:r>
            <w:r w:rsidRPr="00443C5C">
              <w:rPr>
                <w:rFonts w:ascii="Arial" w:hAnsi="Arial" w:cs="Arial"/>
              </w:rPr>
              <w:t>implementation and uptake of the pneumococcal program. The PBAC therefore recommended the following pneumococcal vaccine schedule, including both the 13vPCV and 23vPP</w:t>
            </w:r>
            <w:r w:rsidR="0094535B">
              <w:rPr>
                <w:rFonts w:ascii="Arial" w:hAnsi="Arial" w:cs="Arial"/>
              </w:rPr>
              <w:t>V</w:t>
            </w:r>
            <w:r w:rsidRPr="00443C5C">
              <w:rPr>
                <w:rFonts w:ascii="Arial" w:hAnsi="Arial" w:cs="Arial"/>
              </w:rPr>
              <w:t xml:space="preserve"> as having acceptable cost-effectiveness for inclusion on the NIP for the following:</w:t>
            </w:r>
          </w:p>
          <w:p w14:paraId="08B32217" w14:textId="309609E8" w:rsidR="00443C5C" w:rsidRPr="00443C5C" w:rsidRDefault="0094535B" w:rsidP="00EA306F">
            <w:pPr>
              <w:pStyle w:val="ListParagraph"/>
              <w:numPr>
                <w:ilvl w:val="0"/>
                <w:numId w:val="4"/>
              </w:numPr>
              <w:spacing w:before="120" w:after="120"/>
              <w:ind w:left="357" w:hanging="357"/>
              <w:contextualSpacing w:val="0"/>
              <w:rPr>
                <w:rFonts w:ascii="Arial" w:hAnsi="Arial" w:cs="Arial"/>
                <w:sz w:val="20"/>
                <w:szCs w:val="20"/>
              </w:rPr>
            </w:pPr>
            <w:r>
              <w:rPr>
                <w:rFonts w:ascii="Arial" w:hAnsi="Arial" w:cs="Arial"/>
                <w:sz w:val="20"/>
                <w:szCs w:val="20"/>
              </w:rPr>
              <w:t>All healthy non</w:t>
            </w:r>
            <w:r w:rsidR="003C0835">
              <w:rPr>
                <w:rFonts w:ascii="Arial" w:hAnsi="Arial" w:cs="Arial"/>
                <w:sz w:val="20"/>
                <w:szCs w:val="20"/>
              </w:rPr>
              <w:t>-</w:t>
            </w:r>
            <w:r w:rsidR="00443C5C" w:rsidRPr="00443C5C">
              <w:rPr>
                <w:rFonts w:ascii="Arial" w:hAnsi="Arial" w:cs="Arial"/>
                <w:sz w:val="20"/>
                <w:szCs w:val="20"/>
              </w:rPr>
              <w:t>Aboriginal and Torres Strait Islander adults ≥ 70 years</w:t>
            </w:r>
            <w:r w:rsidR="003C0835">
              <w:rPr>
                <w:rFonts w:ascii="Arial" w:hAnsi="Arial" w:cs="Arial"/>
                <w:sz w:val="20"/>
                <w:szCs w:val="20"/>
              </w:rPr>
              <w:t>:</w:t>
            </w:r>
            <w:r w:rsidR="00443C5C" w:rsidRPr="00443C5C">
              <w:rPr>
                <w:rFonts w:ascii="Arial" w:hAnsi="Arial" w:cs="Arial"/>
                <w:sz w:val="20"/>
                <w:szCs w:val="20"/>
              </w:rPr>
              <w:t xml:space="preserve"> 13vPCV (single dose);</w:t>
            </w:r>
          </w:p>
          <w:p w14:paraId="5B2F8D51" w14:textId="0706C680" w:rsidR="00443C5C" w:rsidRPr="00443C5C" w:rsidRDefault="00443C5C" w:rsidP="00EA306F">
            <w:pPr>
              <w:pStyle w:val="ListParagraph"/>
              <w:numPr>
                <w:ilvl w:val="0"/>
                <w:numId w:val="4"/>
              </w:numPr>
              <w:spacing w:before="120" w:after="120"/>
              <w:ind w:left="357" w:hanging="357"/>
              <w:contextualSpacing w:val="0"/>
              <w:rPr>
                <w:rFonts w:ascii="Arial" w:hAnsi="Arial" w:cs="Arial"/>
                <w:sz w:val="20"/>
                <w:szCs w:val="20"/>
              </w:rPr>
            </w:pPr>
            <w:r w:rsidRPr="00443C5C">
              <w:rPr>
                <w:rFonts w:ascii="Arial" w:hAnsi="Arial" w:cs="Arial"/>
                <w:sz w:val="20"/>
                <w:szCs w:val="20"/>
              </w:rPr>
              <w:t>All Aboriginal and Torres Strait Islander adults ≥50 years</w:t>
            </w:r>
            <w:r w:rsidR="003C0835">
              <w:rPr>
                <w:rFonts w:ascii="Arial" w:hAnsi="Arial" w:cs="Arial"/>
                <w:sz w:val="20"/>
                <w:szCs w:val="20"/>
              </w:rPr>
              <w:t>:</w:t>
            </w:r>
            <w:r w:rsidR="0094535B">
              <w:rPr>
                <w:rFonts w:ascii="Arial" w:hAnsi="Arial" w:cs="Arial"/>
                <w:sz w:val="20"/>
                <w:szCs w:val="20"/>
              </w:rPr>
              <w:t xml:space="preserve"> </w:t>
            </w:r>
            <w:r w:rsidRPr="00443C5C">
              <w:rPr>
                <w:rFonts w:ascii="Arial" w:hAnsi="Arial" w:cs="Arial"/>
                <w:sz w:val="20"/>
                <w:szCs w:val="20"/>
              </w:rPr>
              <w:t>13vPCV (single dose) and 23vPPV (two subsequent doses approximately five years apart);</w:t>
            </w:r>
          </w:p>
          <w:p w14:paraId="15D7C5E6" w14:textId="156D35C0" w:rsidR="004515D4" w:rsidRPr="00EA306F" w:rsidRDefault="00443C5C" w:rsidP="00EA306F">
            <w:pPr>
              <w:pStyle w:val="ListParagraph"/>
              <w:numPr>
                <w:ilvl w:val="0"/>
                <w:numId w:val="4"/>
              </w:numPr>
              <w:spacing w:before="120" w:after="120"/>
              <w:ind w:left="357" w:hanging="357"/>
              <w:contextualSpacing w:val="0"/>
              <w:rPr>
                <w:rFonts w:ascii="Arial" w:hAnsi="Arial" w:cs="Arial"/>
                <w:sz w:val="20"/>
                <w:szCs w:val="20"/>
              </w:rPr>
            </w:pPr>
            <w:r w:rsidRPr="00443C5C">
              <w:rPr>
                <w:rFonts w:ascii="Arial" w:hAnsi="Arial" w:cs="Arial"/>
                <w:sz w:val="20"/>
                <w:szCs w:val="20"/>
              </w:rPr>
              <w:t>In all persons ≥5 years newly diagnosed with a condition putting them at very high risk of pneumococcal infection</w:t>
            </w:r>
            <w:r w:rsidR="003C0835">
              <w:rPr>
                <w:rFonts w:ascii="Arial" w:hAnsi="Arial" w:cs="Arial"/>
                <w:sz w:val="20"/>
                <w:szCs w:val="20"/>
              </w:rPr>
              <w:t>:</w:t>
            </w:r>
            <w:r w:rsidRPr="00443C5C">
              <w:rPr>
                <w:rFonts w:ascii="Arial" w:hAnsi="Arial" w:cs="Arial"/>
                <w:sz w:val="20"/>
                <w:szCs w:val="20"/>
              </w:rPr>
              <w:t xml:space="preserve"> 13vPCV (single dose) and 23vPPV (two subsequent doses approximately five years apart). </w:t>
            </w:r>
          </w:p>
          <w:p w14:paraId="11EDA06F" w14:textId="2E51DEA9" w:rsidR="00443C5C" w:rsidRPr="00443C5C" w:rsidRDefault="00443C5C" w:rsidP="00EA306F">
            <w:pPr>
              <w:spacing w:before="120" w:after="120"/>
              <w:rPr>
                <w:rFonts w:ascii="Arial" w:hAnsi="Arial" w:cs="Arial"/>
              </w:rPr>
            </w:pPr>
            <w:r w:rsidRPr="00443C5C">
              <w:rPr>
                <w:rFonts w:ascii="Arial" w:hAnsi="Arial" w:cs="Arial"/>
              </w:rPr>
              <w:t>Based on ATAGI advice on the high pneumococcal disease rates in certain high risk infant populations, the following additions were also recommended to the infant pneumococcal program for children under five years of age:</w:t>
            </w:r>
          </w:p>
          <w:p w14:paraId="64308742" w14:textId="3F9A211D" w:rsidR="00443C5C" w:rsidRPr="00443C5C" w:rsidRDefault="00443C5C" w:rsidP="00EA306F">
            <w:pPr>
              <w:numPr>
                <w:ilvl w:val="0"/>
                <w:numId w:val="4"/>
              </w:numPr>
              <w:spacing w:before="120" w:after="120" w:line="252" w:lineRule="auto"/>
              <w:rPr>
                <w:rFonts w:ascii="Arial" w:hAnsi="Arial" w:cs="Arial"/>
              </w:rPr>
            </w:pPr>
            <w:r w:rsidRPr="00443C5C">
              <w:rPr>
                <w:rFonts w:ascii="Arial" w:hAnsi="Arial" w:cs="Arial"/>
              </w:rPr>
              <w:t xml:space="preserve">Non-Aboriginal and Torres Strait Islander children 2-12 months with very high risk of pneumococcal infection: an additional dose of 13vPCV (single dose) at 6 months (already funded for Aboriginal and Torres Strait Islander children at 6 months) and 23vPPV (two subsequent doses approximately five years apart) </w:t>
            </w:r>
          </w:p>
          <w:p w14:paraId="34C1CD03" w14:textId="19B3D534" w:rsidR="00443C5C" w:rsidRPr="00443C5C" w:rsidRDefault="00443C5C" w:rsidP="00EA306F">
            <w:pPr>
              <w:numPr>
                <w:ilvl w:val="0"/>
                <w:numId w:val="4"/>
              </w:numPr>
              <w:spacing w:before="120" w:after="120" w:line="252" w:lineRule="auto"/>
              <w:rPr>
                <w:rFonts w:ascii="Arial" w:hAnsi="Arial" w:cs="Arial"/>
              </w:rPr>
            </w:pPr>
            <w:r w:rsidRPr="00443C5C">
              <w:rPr>
                <w:rFonts w:ascii="Arial" w:hAnsi="Arial" w:cs="Arial"/>
              </w:rPr>
              <w:lastRenderedPageBreak/>
              <w:t>Aboriginal and Torres Strait Islander children &lt;5 years living in Western Australia, Queensland, South Australia and Northern Territory (areas of high incidence): Two additional doses of 23vPPV following the currently funded additional dose of 13vPCV at 6 months</w:t>
            </w:r>
          </w:p>
          <w:p w14:paraId="5B93AFD9" w14:textId="2306E630" w:rsidR="00443C5C" w:rsidRPr="00EA306F" w:rsidRDefault="00443C5C" w:rsidP="00EA306F">
            <w:pPr>
              <w:numPr>
                <w:ilvl w:val="0"/>
                <w:numId w:val="4"/>
              </w:numPr>
              <w:spacing w:before="120" w:after="120" w:line="252" w:lineRule="auto"/>
              <w:rPr>
                <w:rFonts w:ascii="Arial" w:hAnsi="Arial" w:cs="Arial"/>
              </w:rPr>
            </w:pPr>
            <w:r w:rsidRPr="00443C5C">
              <w:rPr>
                <w:rFonts w:ascii="Arial" w:hAnsi="Arial" w:cs="Arial"/>
              </w:rPr>
              <w:t>Children 12</w:t>
            </w:r>
            <w:r w:rsidR="003C0835">
              <w:rPr>
                <w:rFonts w:ascii="Arial" w:hAnsi="Arial" w:cs="Arial"/>
              </w:rPr>
              <w:t>-</w:t>
            </w:r>
            <w:r w:rsidRPr="00443C5C">
              <w:rPr>
                <w:rFonts w:ascii="Arial" w:hAnsi="Arial" w:cs="Arial"/>
              </w:rPr>
              <w:t>59 months newly diagnosed with a condition putting them at very high risk of pneumococcal infection: 13vPCV (single dose) and 23vPPV (two subsequent doses approximately 5 years apart)</w:t>
            </w:r>
          </w:p>
          <w:p w14:paraId="3E599AAB" w14:textId="25CD9439" w:rsidR="00443C5C" w:rsidRPr="00443C5C" w:rsidRDefault="00443C5C" w:rsidP="00EA306F">
            <w:pPr>
              <w:spacing w:before="120" w:after="120"/>
              <w:rPr>
                <w:rFonts w:ascii="Arial" w:hAnsi="Arial" w:cs="Arial"/>
              </w:rPr>
            </w:pPr>
            <w:r w:rsidRPr="00443C5C">
              <w:rPr>
                <w:rFonts w:ascii="Arial" w:hAnsi="Arial" w:cs="Arial"/>
              </w:rPr>
              <w:t>The revised pneumococcal vaccination schedule will ensure that all very high-risk populations are eligible for vaccination with both the 13vPCV and the 23vPPV on the NIP. Therefore, the PBAC considered the PBS listing for 23vPPV for those at high risk of pneumococcal infection was no longer required and recommended delisting the vaccine from the PBS.</w:t>
            </w:r>
          </w:p>
        </w:tc>
      </w:tr>
      <w:tr w:rsidR="00EF2AF1" w:rsidRPr="00100294" w14:paraId="7B0211E8" w14:textId="77777777" w:rsidTr="00EF2AF1">
        <w:tblPrEx>
          <w:tblLook w:val="04A0" w:firstRow="1" w:lastRow="0" w:firstColumn="1" w:lastColumn="0" w:noHBand="0" w:noVBand="1"/>
        </w:tblPrEx>
        <w:tc>
          <w:tcPr>
            <w:tcW w:w="2977" w:type="dxa"/>
            <w:shd w:val="clear" w:color="auto" w:fill="auto"/>
          </w:tcPr>
          <w:p w14:paraId="76946272" w14:textId="6657CE70" w:rsidR="00EF2AF1" w:rsidRDefault="002C6991" w:rsidP="00EA306F">
            <w:pPr>
              <w:spacing w:before="120" w:after="120"/>
              <w:rPr>
                <w:rFonts w:ascii="Arial" w:hAnsi="Arial" w:cs="Arial"/>
              </w:rPr>
            </w:pPr>
            <w:r w:rsidRPr="002C6991">
              <w:rPr>
                <w:rFonts w:ascii="Arial" w:hAnsi="Arial" w:cs="Arial"/>
              </w:rPr>
              <w:lastRenderedPageBreak/>
              <w:t>Asthma - terbutaline on the PBS</w:t>
            </w:r>
          </w:p>
        </w:tc>
        <w:tc>
          <w:tcPr>
            <w:tcW w:w="2126" w:type="dxa"/>
            <w:shd w:val="clear" w:color="auto" w:fill="auto"/>
          </w:tcPr>
          <w:p w14:paraId="3591AB59" w14:textId="21565A73" w:rsidR="00EF2AF1" w:rsidRPr="00494159" w:rsidRDefault="005A6106" w:rsidP="00EA306F">
            <w:pPr>
              <w:spacing w:before="120" w:after="120"/>
              <w:rPr>
                <w:rFonts w:ascii="Arial" w:hAnsi="Arial" w:cs="Arial"/>
                <w:highlight w:val="yellow"/>
              </w:rPr>
            </w:pPr>
            <w:r w:rsidRPr="00494159">
              <w:rPr>
                <w:rFonts w:ascii="Arial" w:hAnsi="Arial" w:cs="Arial"/>
              </w:rPr>
              <w:t>Terbutaline</w:t>
            </w:r>
          </w:p>
        </w:tc>
        <w:tc>
          <w:tcPr>
            <w:tcW w:w="3261" w:type="dxa"/>
            <w:shd w:val="clear" w:color="auto" w:fill="auto"/>
          </w:tcPr>
          <w:p w14:paraId="30673998" w14:textId="53A3378B" w:rsidR="00EF2AF1" w:rsidRPr="00EA306F" w:rsidRDefault="009F0F2A" w:rsidP="00EA306F">
            <w:pPr>
              <w:spacing w:before="120" w:after="120"/>
              <w:rPr>
                <w:rFonts w:ascii="Arial" w:hAnsi="Arial" w:cs="Arial"/>
                <w:color w:val="000000"/>
              </w:rPr>
            </w:pPr>
            <w:r w:rsidRPr="00EA306F">
              <w:rPr>
                <w:rFonts w:ascii="Arial" w:hAnsi="Arial" w:cs="Arial"/>
                <w:color w:val="000000"/>
              </w:rPr>
              <w:t xml:space="preserve">The PBAC was asked to advise </w:t>
            </w:r>
            <w:r w:rsidRPr="00EA306F">
              <w:rPr>
                <w:rFonts w:ascii="Arial" w:hAnsi="Arial" w:cs="Arial"/>
              </w:rPr>
              <w:t>whether terbutaline inhalation should be retained on the PBS on the basis of clinical need, or whether available forms of salbutamol for oral inhalation are suitable alternatives.</w:t>
            </w:r>
          </w:p>
        </w:tc>
        <w:tc>
          <w:tcPr>
            <w:tcW w:w="6947" w:type="dxa"/>
            <w:shd w:val="clear" w:color="auto" w:fill="auto"/>
          </w:tcPr>
          <w:p w14:paraId="68964484" w14:textId="6C187864" w:rsidR="00EA306F" w:rsidRPr="00EA306F" w:rsidRDefault="002C6991" w:rsidP="00EA306F">
            <w:pPr>
              <w:spacing w:before="120" w:after="120"/>
              <w:rPr>
                <w:rFonts w:ascii="Arial" w:hAnsi="Arial" w:cs="Arial"/>
                <w:color w:val="000000"/>
              </w:rPr>
            </w:pPr>
            <w:r w:rsidRPr="00EA306F">
              <w:rPr>
                <w:rFonts w:ascii="Arial" w:hAnsi="Arial" w:cs="Arial"/>
                <w:color w:val="000000"/>
              </w:rPr>
              <w:t xml:space="preserve">The PBAC recommended that terbutaline powder for oral inhalation be retained on the PBS to address an unmet clinical need for patients who are unable to use short-acting beta-2 agonist pressurised metered dose inhalers (pMDI) for the treatment of bronchospasm. </w:t>
            </w:r>
          </w:p>
          <w:p w14:paraId="031941E8" w14:textId="16557C82" w:rsidR="00EF2AF1" w:rsidRPr="002C6991" w:rsidRDefault="002C6991" w:rsidP="00EA306F">
            <w:pPr>
              <w:spacing w:before="120" w:after="120"/>
              <w:rPr>
                <w:rFonts w:ascii="Calibri" w:hAnsi="Calibri" w:cs="Calibri"/>
                <w:color w:val="000000"/>
                <w:sz w:val="22"/>
                <w:szCs w:val="22"/>
              </w:rPr>
            </w:pPr>
            <w:r w:rsidRPr="00EA306F">
              <w:rPr>
                <w:rFonts w:ascii="Arial" w:hAnsi="Arial" w:cs="Arial"/>
                <w:color w:val="000000"/>
              </w:rPr>
              <w:t>The PBAC recommended that the current unrestricted benefit listing of terbutaline powder for oral inhalation be amended to an Authority Required (STREAMLINED) listing and that the clinical criteria should restrict use to patients unable to use a pMDI, or patients who suffer from adverse effects with the use of salbutamol, including patients who experience paradoxical bronchoconstriction with pMDI.</w:t>
            </w:r>
          </w:p>
        </w:tc>
      </w:tr>
    </w:tbl>
    <w:p w14:paraId="0485B351" w14:textId="402F669F" w:rsidR="00640C80" w:rsidRPr="00D3668D" w:rsidRDefault="00EF2AF1" w:rsidP="00D3668D">
      <w:r>
        <w:br w:type="textWrapping" w:clear="all"/>
      </w:r>
    </w:p>
    <w:sectPr w:rsidR="00640C80" w:rsidRPr="00D3668D" w:rsidSect="00257615">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FB6D7" w14:textId="77777777" w:rsidR="00AD0404" w:rsidRDefault="00AD0404">
      <w:r>
        <w:separator/>
      </w:r>
    </w:p>
  </w:endnote>
  <w:endnote w:type="continuationSeparator" w:id="0">
    <w:p w14:paraId="2CC34F0E" w14:textId="77777777" w:rsidR="00AD0404" w:rsidRDefault="00AD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4F81D" w14:textId="77777777" w:rsidR="005E1F3B" w:rsidRDefault="005E1F3B"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1F1CF8" w14:textId="77777777" w:rsidR="005E1F3B" w:rsidRDefault="005E1F3B"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02882" w14:textId="489E57AC" w:rsidR="005E1F3B" w:rsidRPr="00287C89" w:rsidRDefault="005E1F3B"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727F24">
      <w:rPr>
        <w:rStyle w:val="PageNumber"/>
        <w:rFonts w:ascii="Arial" w:hAnsi="Arial" w:cs="Arial"/>
        <w:noProof/>
      </w:rPr>
      <w:t>3</w:t>
    </w:r>
    <w:r w:rsidRPr="00287C89">
      <w:rPr>
        <w:rStyle w:val="PageNumber"/>
        <w:rFonts w:ascii="Arial" w:hAnsi="Arial" w:cs="Arial"/>
      </w:rPr>
      <w:fldChar w:fldCharType="end"/>
    </w:r>
  </w:p>
  <w:p w14:paraId="645ED4AC" w14:textId="77777777" w:rsidR="005E1F3B" w:rsidRDefault="005E1F3B" w:rsidP="00FE2A81">
    <w:pPr>
      <w:pStyle w:val="Footer"/>
      <w:ind w:right="360"/>
    </w:pPr>
  </w:p>
  <w:p w14:paraId="2511B556" w14:textId="77777777" w:rsidR="00257615" w:rsidRDefault="00257615" w:rsidP="00FE2A8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03DF2" w14:textId="77777777" w:rsidR="00993B21" w:rsidRDefault="00993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04E20" w14:textId="77777777" w:rsidR="00AD0404" w:rsidRDefault="00AD0404">
      <w:r>
        <w:separator/>
      </w:r>
    </w:p>
  </w:footnote>
  <w:footnote w:type="continuationSeparator" w:id="0">
    <w:p w14:paraId="29C299C9" w14:textId="77777777" w:rsidR="00AD0404" w:rsidRDefault="00AD0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D2005" w14:textId="77777777" w:rsidR="00993B21" w:rsidRDefault="00993B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3AD5D" w14:textId="743F35FA" w:rsidR="0071356F" w:rsidRDefault="00FF6E74" w:rsidP="0071356F">
    <w:pPr>
      <w:pStyle w:val="Header"/>
      <w:jc w:val="center"/>
      <w:rPr>
        <w:rFonts w:ascii="Arial" w:hAnsi="Arial" w:cs="Arial"/>
        <w:b/>
      </w:rPr>
    </w:pPr>
    <w:r>
      <w:rPr>
        <w:rFonts w:ascii="Arial" w:hAnsi="Arial" w:cs="Arial"/>
        <w:b/>
      </w:rPr>
      <w:t>JULY</w:t>
    </w:r>
    <w:r w:rsidR="00993B21">
      <w:rPr>
        <w:rFonts w:ascii="Arial" w:hAnsi="Arial" w:cs="Arial"/>
        <w:b/>
      </w:rPr>
      <w:t xml:space="preserve"> 2019</w:t>
    </w:r>
    <w:r w:rsidR="000E1E84">
      <w:rPr>
        <w:rFonts w:ascii="Arial" w:hAnsi="Arial" w:cs="Arial"/>
        <w:b/>
      </w:rPr>
      <w:t xml:space="preserve"> </w:t>
    </w:r>
    <w:r w:rsidR="0071356F" w:rsidRPr="0071356F">
      <w:rPr>
        <w:rFonts w:ascii="Arial" w:hAnsi="Arial" w:cs="Arial"/>
        <w:b/>
      </w:rPr>
      <w:t>PBAC OUTCOMES –</w:t>
    </w:r>
    <w:r w:rsidR="007F10B5">
      <w:rPr>
        <w:rFonts w:ascii="Arial" w:hAnsi="Arial" w:cs="Arial"/>
        <w:b/>
      </w:rPr>
      <w:t xml:space="preserve"> </w:t>
    </w:r>
    <w:r w:rsidR="00C44EC5">
      <w:rPr>
        <w:rFonts w:ascii="Arial" w:hAnsi="Arial" w:cs="Arial"/>
        <w:b/>
      </w:rPr>
      <w:t>OTHER MATTERS</w:t>
    </w:r>
  </w:p>
  <w:p w14:paraId="183EB489" w14:textId="77777777" w:rsidR="00257615" w:rsidRPr="0071356F" w:rsidRDefault="00257615" w:rsidP="0071356F">
    <w:pPr>
      <w:pStyle w:val="Header"/>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D9DFB" w14:textId="77777777" w:rsidR="00993B21" w:rsidRDefault="00993B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F02E2"/>
    <w:multiLevelType w:val="hybridMultilevel"/>
    <w:tmpl w:val="8BBE8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4C5D64"/>
    <w:multiLevelType w:val="hybridMultilevel"/>
    <w:tmpl w:val="3F921AE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 w15:restartNumberingAfterBreak="0">
    <w:nsid w:val="32425914"/>
    <w:multiLevelType w:val="hybridMultilevel"/>
    <w:tmpl w:val="58A879C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7CA1FA0"/>
    <w:multiLevelType w:val="hybridMultilevel"/>
    <w:tmpl w:val="00926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70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8A"/>
    <w:rsid w:val="0000091B"/>
    <w:rsid w:val="0000099E"/>
    <w:rsid w:val="00000C2B"/>
    <w:rsid w:val="0000162D"/>
    <w:rsid w:val="00001A07"/>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2AF"/>
    <w:rsid w:val="00010379"/>
    <w:rsid w:val="0001085A"/>
    <w:rsid w:val="00010886"/>
    <w:rsid w:val="00010920"/>
    <w:rsid w:val="0001152D"/>
    <w:rsid w:val="00011849"/>
    <w:rsid w:val="000118E3"/>
    <w:rsid w:val="00011EA7"/>
    <w:rsid w:val="000120D3"/>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17DE3"/>
    <w:rsid w:val="00020745"/>
    <w:rsid w:val="00021827"/>
    <w:rsid w:val="00022361"/>
    <w:rsid w:val="000223D3"/>
    <w:rsid w:val="00022435"/>
    <w:rsid w:val="00022686"/>
    <w:rsid w:val="000228B1"/>
    <w:rsid w:val="00022BF5"/>
    <w:rsid w:val="0002300F"/>
    <w:rsid w:val="0002305C"/>
    <w:rsid w:val="00023228"/>
    <w:rsid w:val="00023817"/>
    <w:rsid w:val="0002401C"/>
    <w:rsid w:val="00024248"/>
    <w:rsid w:val="00024311"/>
    <w:rsid w:val="000245BC"/>
    <w:rsid w:val="0002470A"/>
    <w:rsid w:val="0002564D"/>
    <w:rsid w:val="00025967"/>
    <w:rsid w:val="00025F56"/>
    <w:rsid w:val="0002716D"/>
    <w:rsid w:val="00027346"/>
    <w:rsid w:val="00030320"/>
    <w:rsid w:val="00031946"/>
    <w:rsid w:val="000322EC"/>
    <w:rsid w:val="00032AB9"/>
    <w:rsid w:val="00033D0B"/>
    <w:rsid w:val="00034086"/>
    <w:rsid w:val="00034121"/>
    <w:rsid w:val="000350A9"/>
    <w:rsid w:val="00035472"/>
    <w:rsid w:val="00035FE8"/>
    <w:rsid w:val="00036149"/>
    <w:rsid w:val="000365B0"/>
    <w:rsid w:val="00036CF7"/>
    <w:rsid w:val="00036FA6"/>
    <w:rsid w:val="00037F52"/>
    <w:rsid w:val="0004019D"/>
    <w:rsid w:val="000407E0"/>
    <w:rsid w:val="00041467"/>
    <w:rsid w:val="0004160D"/>
    <w:rsid w:val="00041F3D"/>
    <w:rsid w:val="00042593"/>
    <w:rsid w:val="00042EC6"/>
    <w:rsid w:val="00043C1D"/>
    <w:rsid w:val="00044146"/>
    <w:rsid w:val="00044BB4"/>
    <w:rsid w:val="00046725"/>
    <w:rsid w:val="000468C0"/>
    <w:rsid w:val="00046DA2"/>
    <w:rsid w:val="00050762"/>
    <w:rsid w:val="000507B9"/>
    <w:rsid w:val="00051AF5"/>
    <w:rsid w:val="00053DE7"/>
    <w:rsid w:val="000560E2"/>
    <w:rsid w:val="0005661F"/>
    <w:rsid w:val="00057006"/>
    <w:rsid w:val="000575B4"/>
    <w:rsid w:val="000601EA"/>
    <w:rsid w:val="000603CB"/>
    <w:rsid w:val="0006084C"/>
    <w:rsid w:val="000608FE"/>
    <w:rsid w:val="000615B0"/>
    <w:rsid w:val="00061E01"/>
    <w:rsid w:val="0006239E"/>
    <w:rsid w:val="0006295A"/>
    <w:rsid w:val="000643D0"/>
    <w:rsid w:val="00065195"/>
    <w:rsid w:val="00065E6F"/>
    <w:rsid w:val="000672D3"/>
    <w:rsid w:val="0006744F"/>
    <w:rsid w:val="00067A06"/>
    <w:rsid w:val="00067E91"/>
    <w:rsid w:val="00070204"/>
    <w:rsid w:val="00070612"/>
    <w:rsid w:val="000714CE"/>
    <w:rsid w:val="00071ABC"/>
    <w:rsid w:val="00071D67"/>
    <w:rsid w:val="00072584"/>
    <w:rsid w:val="000728AC"/>
    <w:rsid w:val="00072F02"/>
    <w:rsid w:val="00074126"/>
    <w:rsid w:val="0007567B"/>
    <w:rsid w:val="00075B7E"/>
    <w:rsid w:val="00076287"/>
    <w:rsid w:val="00076297"/>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5E3"/>
    <w:rsid w:val="00084CED"/>
    <w:rsid w:val="00084D37"/>
    <w:rsid w:val="000855C9"/>
    <w:rsid w:val="00085F9C"/>
    <w:rsid w:val="00086013"/>
    <w:rsid w:val="0008687E"/>
    <w:rsid w:val="000868A3"/>
    <w:rsid w:val="00086D66"/>
    <w:rsid w:val="000872FA"/>
    <w:rsid w:val="00090330"/>
    <w:rsid w:val="00090385"/>
    <w:rsid w:val="00090D21"/>
    <w:rsid w:val="00090F42"/>
    <w:rsid w:val="00091262"/>
    <w:rsid w:val="00092276"/>
    <w:rsid w:val="00092523"/>
    <w:rsid w:val="00093960"/>
    <w:rsid w:val="0009470A"/>
    <w:rsid w:val="00095C30"/>
    <w:rsid w:val="00096161"/>
    <w:rsid w:val="00096B9F"/>
    <w:rsid w:val="00096E39"/>
    <w:rsid w:val="000972AC"/>
    <w:rsid w:val="00097C0E"/>
    <w:rsid w:val="00097ED4"/>
    <w:rsid w:val="00097FBD"/>
    <w:rsid w:val="000A0FD7"/>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1170"/>
    <w:rsid w:val="000B1811"/>
    <w:rsid w:val="000B1A6E"/>
    <w:rsid w:val="000B21DD"/>
    <w:rsid w:val="000B2F97"/>
    <w:rsid w:val="000B3043"/>
    <w:rsid w:val="000B34FA"/>
    <w:rsid w:val="000B36FE"/>
    <w:rsid w:val="000B372D"/>
    <w:rsid w:val="000B38D3"/>
    <w:rsid w:val="000B5120"/>
    <w:rsid w:val="000B5B24"/>
    <w:rsid w:val="000B6487"/>
    <w:rsid w:val="000B7A91"/>
    <w:rsid w:val="000B7F45"/>
    <w:rsid w:val="000C040A"/>
    <w:rsid w:val="000C0497"/>
    <w:rsid w:val="000C0E21"/>
    <w:rsid w:val="000C13E3"/>
    <w:rsid w:val="000C1BA1"/>
    <w:rsid w:val="000C219D"/>
    <w:rsid w:val="000C22B0"/>
    <w:rsid w:val="000C2786"/>
    <w:rsid w:val="000C3369"/>
    <w:rsid w:val="000C3CAA"/>
    <w:rsid w:val="000C45E3"/>
    <w:rsid w:val="000C4C04"/>
    <w:rsid w:val="000C56B4"/>
    <w:rsid w:val="000C586F"/>
    <w:rsid w:val="000C5B48"/>
    <w:rsid w:val="000C661A"/>
    <w:rsid w:val="000C77A9"/>
    <w:rsid w:val="000D0D8B"/>
    <w:rsid w:val="000D14F1"/>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176D"/>
    <w:rsid w:val="000E1E84"/>
    <w:rsid w:val="000E21D8"/>
    <w:rsid w:val="000E2C73"/>
    <w:rsid w:val="000E2C8F"/>
    <w:rsid w:val="000E2EA3"/>
    <w:rsid w:val="000E4B3E"/>
    <w:rsid w:val="000E539F"/>
    <w:rsid w:val="000E6CF9"/>
    <w:rsid w:val="000E73BD"/>
    <w:rsid w:val="000F069C"/>
    <w:rsid w:val="000F0B27"/>
    <w:rsid w:val="000F1D4F"/>
    <w:rsid w:val="000F2E82"/>
    <w:rsid w:val="000F305F"/>
    <w:rsid w:val="000F3A4F"/>
    <w:rsid w:val="000F3D50"/>
    <w:rsid w:val="000F5D35"/>
    <w:rsid w:val="000F5DDE"/>
    <w:rsid w:val="000F7390"/>
    <w:rsid w:val="000F7649"/>
    <w:rsid w:val="001000EA"/>
    <w:rsid w:val="00100294"/>
    <w:rsid w:val="00100B0B"/>
    <w:rsid w:val="001025E7"/>
    <w:rsid w:val="0010275F"/>
    <w:rsid w:val="0010316E"/>
    <w:rsid w:val="001038BB"/>
    <w:rsid w:val="00103F76"/>
    <w:rsid w:val="00105880"/>
    <w:rsid w:val="00107038"/>
    <w:rsid w:val="00107219"/>
    <w:rsid w:val="001101E1"/>
    <w:rsid w:val="00110379"/>
    <w:rsid w:val="001103CF"/>
    <w:rsid w:val="00111F4C"/>
    <w:rsid w:val="001123B7"/>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17FBB"/>
    <w:rsid w:val="00120FAC"/>
    <w:rsid w:val="00121311"/>
    <w:rsid w:val="00121A8E"/>
    <w:rsid w:val="00121BF6"/>
    <w:rsid w:val="0012325F"/>
    <w:rsid w:val="00124D80"/>
    <w:rsid w:val="00126104"/>
    <w:rsid w:val="001267DB"/>
    <w:rsid w:val="001276FB"/>
    <w:rsid w:val="00130C57"/>
    <w:rsid w:val="0013141F"/>
    <w:rsid w:val="001317E4"/>
    <w:rsid w:val="00131CB1"/>
    <w:rsid w:val="00132052"/>
    <w:rsid w:val="0013270B"/>
    <w:rsid w:val="001329B7"/>
    <w:rsid w:val="00132A3A"/>
    <w:rsid w:val="00132DAB"/>
    <w:rsid w:val="00132FA5"/>
    <w:rsid w:val="001334F9"/>
    <w:rsid w:val="00133B4C"/>
    <w:rsid w:val="00133D7F"/>
    <w:rsid w:val="00134ECB"/>
    <w:rsid w:val="00134F08"/>
    <w:rsid w:val="001357A1"/>
    <w:rsid w:val="001362A6"/>
    <w:rsid w:val="0013631E"/>
    <w:rsid w:val="00136B3F"/>
    <w:rsid w:val="00136DF8"/>
    <w:rsid w:val="0013745F"/>
    <w:rsid w:val="00137894"/>
    <w:rsid w:val="00137CB8"/>
    <w:rsid w:val="00140035"/>
    <w:rsid w:val="00140465"/>
    <w:rsid w:val="00140E09"/>
    <w:rsid w:val="0014101A"/>
    <w:rsid w:val="0014142D"/>
    <w:rsid w:val="0014148A"/>
    <w:rsid w:val="00141FEB"/>
    <w:rsid w:val="0014274E"/>
    <w:rsid w:val="00142EED"/>
    <w:rsid w:val="00143743"/>
    <w:rsid w:val="001437D5"/>
    <w:rsid w:val="00143E66"/>
    <w:rsid w:val="001440CC"/>
    <w:rsid w:val="00145D66"/>
    <w:rsid w:val="00146F0E"/>
    <w:rsid w:val="0014776D"/>
    <w:rsid w:val="00147845"/>
    <w:rsid w:val="00147FC1"/>
    <w:rsid w:val="001500C8"/>
    <w:rsid w:val="001502B0"/>
    <w:rsid w:val="00150381"/>
    <w:rsid w:val="0015080E"/>
    <w:rsid w:val="00151705"/>
    <w:rsid w:val="00151C88"/>
    <w:rsid w:val="00151D35"/>
    <w:rsid w:val="00152387"/>
    <w:rsid w:val="00152A0C"/>
    <w:rsid w:val="00153424"/>
    <w:rsid w:val="00153EE1"/>
    <w:rsid w:val="0015402E"/>
    <w:rsid w:val="001546E8"/>
    <w:rsid w:val="00154828"/>
    <w:rsid w:val="00155698"/>
    <w:rsid w:val="00155BC9"/>
    <w:rsid w:val="00155C11"/>
    <w:rsid w:val="00157D22"/>
    <w:rsid w:val="00157F62"/>
    <w:rsid w:val="001600EB"/>
    <w:rsid w:val="00160423"/>
    <w:rsid w:val="00161CD7"/>
    <w:rsid w:val="00162E5A"/>
    <w:rsid w:val="0016312E"/>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4067"/>
    <w:rsid w:val="001741B0"/>
    <w:rsid w:val="0017449B"/>
    <w:rsid w:val="00174944"/>
    <w:rsid w:val="00175139"/>
    <w:rsid w:val="00175BA1"/>
    <w:rsid w:val="00175D26"/>
    <w:rsid w:val="00176067"/>
    <w:rsid w:val="00176645"/>
    <w:rsid w:val="001766A8"/>
    <w:rsid w:val="0017687A"/>
    <w:rsid w:val="001772D4"/>
    <w:rsid w:val="0017743E"/>
    <w:rsid w:val="00177845"/>
    <w:rsid w:val="001806A2"/>
    <w:rsid w:val="001810C8"/>
    <w:rsid w:val="00181289"/>
    <w:rsid w:val="001812AE"/>
    <w:rsid w:val="00182666"/>
    <w:rsid w:val="00182E45"/>
    <w:rsid w:val="00183DEE"/>
    <w:rsid w:val="00184E8A"/>
    <w:rsid w:val="0018519A"/>
    <w:rsid w:val="00190B9C"/>
    <w:rsid w:val="00190D52"/>
    <w:rsid w:val="00191157"/>
    <w:rsid w:val="0019138B"/>
    <w:rsid w:val="001919D3"/>
    <w:rsid w:val="001925E9"/>
    <w:rsid w:val="00192900"/>
    <w:rsid w:val="00193C35"/>
    <w:rsid w:val="0019441C"/>
    <w:rsid w:val="001950D9"/>
    <w:rsid w:val="00195379"/>
    <w:rsid w:val="00196144"/>
    <w:rsid w:val="001971B1"/>
    <w:rsid w:val="001971EA"/>
    <w:rsid w:val="00197975"/>
    <w:rsid w:val="001A08BC"/>
    <w:rsid w:val="001A0DC8"/>
    <w:rsid w:val="001A14F5"/>
    <w:rsid w:val="001A1777"/>
    <w:rsid w:val="001A1A8A"/>
    <w:rsid w:val="001A2649"/>
    <w:rsid w:val="001A307D"/>
    <w:rsid w:val="001A3986"/>
    <w:rsid w:val="001A3E19"/>
    <w:rsid w:val="001A4242"/>
    <w:rsid w:val="001A48FD"/>
    <w:rsid w:val="001A51F4"/>
    <w:rsid w:val="001A579F"/>
    <w:rsid w:val="001A6DEF"/>
    <w:rsid w:val="001A7A6A"/>
    <w:rsid w:val="001B049D"/>
    <w:rsid w:val="001B04E4"/>
    <w:rsid w:val="001B0553"/>
    <w:rsid w:val="001B0636"/>
    <w:rsid w:val="001B1577"/>
    <w:rsid w:val="001B16C3"/>
    <w:rsid w:val="001B1838"/>
    <w:rsid w:val="001B1C67"/>
    <w:rsid w:val="001B2234"/>
    <w:rsid w:val="001B229F"/>
    <w:rsid w:val="001B3984"/>
    <w:rsid w:val="001B3FE9"/>
    <w:rsid w:val="001B46AE"/>
    <w:rsid w:val="001B54F0"/>
    <w:rsid w:val="001B5950"/>
    <w:rsid w:val="001B6AAD"/>
    <w:rsid w:val="001B71B5"/>
    <w:rsid w:val="001B78E2"/>
    <w:rsid w:val="001B7BF2"/>
    <w:rsid w:val="001B7EED"/>
    <w:rsid w:val="001C0289"/>
    <w:rsid w:val="001C181C"/>
    <w:rsid w:val="001C27AF"/>
    <w:rsid w:val="001C3033"/>
    <w:rsid w:val="001C30BA"/>
    <w:rsid w:val="001C3403"/>
    <w:rsid w:val="001C3AAA"/>
    <w:rsid w:val="001C43B3"/>
    <w:rsid w:val="001C4834"/>
    <w:rsid w:val="001C4C95"/>
    <w:rsid w:val="001C5BA6"/>
    <w:rsid w:val="001C7569"/>
    <w:rsid w:val="001D0229"/>
    <w:rsid w:val="001D028A"/>
    <w:rsid w:val="001D0868"/>
    <w:rsid w:val="001D1636"/>
    <w:rsid w:val="001D181F"/>
    <w:rsid w:val="001D2755"/>
    <w:rsid w:val="001D2F4D"/>
    <w:rsid w:val="001D39E8"/>
    <w:rsid w:val="001D4075"/>
    <w:rsid w:val="001D5794"/>
    <w:rsid w:val="001D600F"/>
    <w:rsid w:val="001D6843"/>
    <w:rsid w:val="001D79BC"/>
    <w:rsid w:val="001E092F"/>
    <w:rsid w:val="001E0947"/>
    <w:rsid w:val="001E152C"/>
    <w:rsid w:val="001E24EA"/>
    <w:rsid w:val="001E25FF"/>
    <w:rsid w:val="001E35D6"/>
    <w:rsid w:val="001E411C"/>
    <w:rsid w:val="001E5979"/>
    <w:rsid w:val="001E5C38"/>
    <w:rsid w:val="001E70C9"/>
    <w:rsid w:val="001E776D"/>
    <w:rsid w:val="001E77D9"/>
    <w:rsid w:val="001E79E9"/>
    <w:rsid w:val="001F0B5E"/>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885"/>
    <w:rsid w:val="0020322B"/>
    <w:rsid w:val="002032C8"/>
    <w:rsid w:val="00203A75"/>
    <w:rsid w:val="0020409B"/>
    <w:rsid w:val="00205B6C"/>
    <w:rsid w:val="002060A5"/>
    <w:rsid w:val="002068F5"/>
    <w:rsid w:val="002070E4"/>
    <w:rsid w:val="0020721C"/>
    <w:rsid w:val="002072C3"/>
    <w:rsid w:val="00207813"/>
    <w:rsid w:val="0020790A"/>
    <w:rsid w:val="00207A2B"/>
    <w:rsid w:val="00207E86"/>
    <w:rsid w:val="00210594"/>
    <w:rsid w:val="00210F65"/>
    <w:rsid w:val="00212939"/>
    <w:rsid w:val="00212B8B"/>
    <w:rsid w:val="00212F67"/>
    <w:rsid w:val="0021371C"/>
    <w:rsid w:val="002139E7"/>
    <w:rsid w:val="002144A1"/>
    <w:rsid w:val="002147A6"/>
    <w:rsid w:val="00214D4B"/>
    <w:rsid w:val="00215739"/>
    <w:rsid w:val="002157B5"/>
    <w:rsid w:val="00215E55"/>
    <w:rsid w:val="00216869"/>
    <w:rsid w:val="0021720D"/>
    <w:rsid w:val="0022016A"/>
    <w:rsid w:val="002205B8"/>
    <w:rsid w:val="00220F03"/>
    <w:rsid w:val="00221057"/>
    <w:rsid w:val="002212CB"/>
    <w:rsid w:val="00221B4C"/>
    <w:rsid w:val="002226A9"/>
    <w:rsid w:val="0022277E"/>
    <w:rsid w:val="00223034"/>
    <w:rsid w:val="00223614"/>
    <w:rsid w:val="002238E6"/>
    <w:rsid w:val="00225CB8"/>
    <w:rsid w:val="002263B2"/>
    <w:rsid w:val="00226E88"/>
    <w:rsid w:val="00226F8B"/>
    <w:rsid w:val="0022715D"/>
    <w:rsid w:val="00230AF7"/>
    <w:rsid w:val="00230B76"/>
    <w:rsid w:val="00231068"/>
    <w:rsid w:val="00231F8F"/>
    <w:rsid w:val="00232DA4"/>
    <w:rsid w:val="00234FCD"/>
    <w:rsid w:val="00234FD9"/>
    <w:rsid w:val="00236374"/>
    <w:rsid w:val="00237E07"/>
    <w:rsid w:val="00237F8D"/>
    <w:rsid w:val="002400A1"/>
    <w:rsid w:val="00240222"/>
    <w:rsid w:val="002412CC"/>
    <w:rsid w:val="0024218B"/>
    <w:rsid w:val="002425FE"/>
    <w:rsid w:val="00242CD9"/>
    <w:rsid w:val="0024349D"/>
    <w:rsid w:val="002437B3"/>
    <w:rsid w:val="00243967"/>
    <w:rsid w:val="0024424C"/>
    <w:rsid w:val="002444C2"/>
    <w:rsid w:val="00244BE9"/>
    <w:rsid w:val="0024530D"/>
    <w:rsid w:val="00245A74"/>
    <w:rsid w:val="002460B3"/>
    <w:rsid w:val="00246A8F"/>
    <w:rsid w:val="0024727D"/>
    <w:rsid w:val="00250912"/>
    <w:rsid w:val="00250DBA"/>
    <w:rsid w:val="00251087"/>
    <w:rsid w:val="00251294"/>
    <w:rsid w:val="00251AD5"/>
    <w:rsid w:val="002523E5"/>
    <w:rsid w:val="00252C2E"/>
    <w:rsid w:val="00253058"/>
    <w:rsid w:val="00253764"/>
    <w:rsid w:val="002550D8"/>
    <w:rsid w:val="00256078"/>
    <w:rsid w:val="002564FB"/>
    <w:rsid w:val="00257615"/>
    <w:rsid w:val="0026049B"/>
    <w:rsid w:val="00260EFA"/>
    <w:rsid w:val="00261377"/>
    <w:rsid w:val="00261EFF"/>
    <w:rsid w:val="00262160"/>
    <w:rsid w:val="00262814"/>
    <w:rsid w:val="002629E0"/>
    <w:rsid w:val="00262E2E"/>
    <w:rsid w:val="00263457"/>
    <w:rsid w:val="00263EF4"/>
    <w:rsid w:val="00264A64"/>
    <w:rsid w:val="00264B9F"/>
    <w:rsid w:val="00265FE9"/>
    <w:rsid w:val="0026773E"/>
    <w:rsid w:val="00267CAE"/>
    <w:rsid w:val="00270013"/>
    <w:rsid w:val="0027218C"/>
    <w:rsid w:val="002723FD"/>
    <w:rsid w:val="00272E01"/>
    <w:rsid w:val="00273015"/>
    <w:rsid w:val="0027463A"/>
    <w:rsid w:val="0027487A"/>
    <w:rsid w:val="00274D0D"/>
    <w:rsid w:val="00274D8B"/>
    <w:rsid w:val="00275318"/>
    <w:rsid w:val="002766B0"/>
    <w:rsid w:val="00276ECA"/>
    <w:rsid w:val="00277572"/>
    <w:rsid w:val="00277812"/>
    <w:rsid w:val="002802A1"/>
    <w:rsid w:val="002803B8"/>
    <w:rsid w:val="002808CA"/>
    <w:rsid w:val="00280926"/>
    <w:rsid w:val="00281B0A"/>
    <w:rsid w:val="002826D6"/>
    <w:rsid w:val="00282CDE"/>
    <w:rsid w:val="00283073"/>
    <w:rsid w:val="0028348A"/>
    <w:rsid w:val="00285478"/>
    <w:rsid w:val="0028663C"/>
    <w:rsid w:val="00287C89"/>
    <w:rsid w:val="002905B5"/>
    <w:rsid w:val="002911D8"/>
    <w:rsid w:val="002931F6"/>
    <w:rsid w:val="00293203"/>
    <w:rsid w:val="0029329A"/>
    <w:rsid w:val="00293A15"/>
    <w:rsid w:val="00293D54"/>
    <w:rsid w:val="00295693"/>
    <w:rsid w:val="002960C3"/>
    <w:rsid w:val="002969C0"/>
    <w:rsid w:val="002972D4"/>
    <w:rsid w:val="00297AEF"/>
    <w:rsid w:val="00297F02"/>
    <w:rsid w:val="002A06E1"/>
    <w:rsid w:val="002A0B4A"/>
    <w:rsid w:val="002A21E8"/>
    <w:rsid w:val="002A3220"/>
    <w:rsid w:val="002A3596"/>
    <w:rsid w:val="002A3AA9"/>
    <w:rsid w:val="002A3BB3"/>
    <w:rsid w:val="002A58F4"/>
    <w:rsid w:val="002A5AA2"/>
    <w:rsid w:val="002A5C85"/>
    <w:rsid w:val="002A5C87"/>
    <w:rsid w:val="002A5D50"/>
    <w:rsid w:val="002A5DE5"/>
    <w:rsid w:val="002A7542"/>
    <w:rsid w:val="002A7BE8"/>
    <w:rsid w:val="002B09C6"/>
    <w:rsid w:val="002B0F52"/>
    <w:rsid w:val="002B1071"/>
    <w:rsid w:val="002B129B"/>
    <w:rsid w:val="002B29E2"/>
    <w:rsid w:val="002B3708"/>
    <w:rsid w:val="002B45D1"/>
    <w:rsid w:val="002B5625"/>
    <w:rsid w:val="002B5F9C"/>
    <w:rsid w:val="002B6147"/>
    <w:rsid w:val="002B7497"/>
    <w:rsid w:val="002C0170"/>
    <w:rsid w:val="002C0E18"/>
    <w:rsid w:val="002C2427"/>
    <w:rsid w:val="002C269E"/>
    <w:rsid w:val="002C2773"/>
    <w:rsid w:val="002C2A4F"/>
    <w:rsid w:val="002C2BF1"/>
    <w:rsid w:val="002C3502"/>
    <w:rsid w:val="002C397B"/>
    <w:rsid w:val="002C3BA0"/>
    <w:rsid w:val="002C436C"/>
    <w:rsid w:val="002C47C4"/>
    <w:rsid w:val="002C52A2"/>
    <w:rsid w:val="002C6991"/>
    <w:rsid w:val="002C6E41"/>
    <w:rsid w:val="002C748E"/>
    <w:rsid w:val="002C7D3C"/>
    <w:rsid w:val="002D0DDF"/>
    <w:rsid w:val="002D17A5"/>
    <w:rsid w:val="002D1AC7"/>
    <w:rsid w:val="002D347E"/>
    <w:rsid w:val="002D3547"/>
    <w:rsid w:val="002D3D17"/>
    <w:rsid w:val="002D42A0"/>
    <w:rsid w:val="002D440D"/>
    <w:rsid w:val="002D44F4"/>
    <w:rsid w:val="002D4C8C"/>
    <w:rsid w:val="002D545A"/>
    <w:rsid w:val="002D59E5"/>
    <w:rsid w:val="002D5C23"/>
    <w:rsid w:val="002D5CBC"/>
    <w:rsid w:val="002D5DC3"/>
    <w:rsid w:val="002D6B4D"/>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6129"/>
    <w:rsid w:val="002E736D"/>
    <w:rsid w:val="002F00F2"/>
    <w:rsid w:val="002F0461"/>
    <w:rsid w:val="002F0875"/>
    <w:rsid w:val="002F0884"/>
    <w:rsid w:val="002F1A5B"/>
    <w:rsid w:val="002F1B87"/>
    <w:rsid w:val="002F4CA2"/>
    <w:rsid w:val="002F51B3"/>
    <w:rsid w:val="002F527B"/>
    <w:rsid w:val="002F5306"/>
    <w:rsid w:val="002F5570"/>
    <w:rsid w:val="002F5792"/>
    <w:rsid w:val="002F5C9A"/>
    <w:rsid w:val="002F6254"/>
    <w:rsid w:val="002F6432"/>
    <w:rsid w:val="002F64A0"/>
    <w:rsid w:val="002F69EB"/>
    <w:rsid w:val="002F6D11"/>
    <w:rsid w:val="002F6FC4"/>
    <w:rsid w:val="002F7255"/>
    <w:rsid w:val="002F7679"/>
    <w:rsid w:val="00300450"/>
    <w:rsid w:val="003005AA"/>
    <w:rsid w:val="00300EA5"/>
    <w:rsid w:val="00301D68"/>
    <w:rsid w:val="003022B8"/>
    <w:rsid w:val="003023C4"/>
    <w:rsid w:val="003023EB"/>
    <w:rsid w:val="003026B9"/>
    <w:rsid w:val="00302C73"/>
    <w:rsid w:val="003035B2"/>
    <w:rsid w:val="00303733"/>
    <w:rsid w:val="00303A2F"/>
    <w:rsid w:val="00303BEB"/>
    <w:rsid w:val="00303C94"/>
    <w:rsid w:val="00304BF7"/>
    <w:rsid w:val="00304FE8"/>
    <w:rsid w:val="0030527B"/>
    <w:rsid w:val="00305FA4"/>
    <w:rsid w:val="00310992"/>
    <w:rsid w:val="00311387"/>
    <w:rsid w:val="0031153B"/>
    <w:rsid w:val="00311EEA"/>
    <w:rsid w:val="0031351E"/>
    <w:rsid w:val="00313537"/>
    <w:rsid w:val="003135CD"/>
    <w:rsid w:val="0031372F"/>
    <w:rsid w:val="00313C59"/>
    <w:rsid w:val="00314373"/>
    <w:rsid w:val="00314425"/>
    <w:rsid w:val="003146EE"/>
    <w:rsid w:val="003153EA"/>
    <w:rsid w:val="00316745"/>
    <w:rsid w:val="00317E97"/>
    <w:rsid w:val="00320015"/>
    <w:rsid w:val="00320263"/>
    <w:rsid w:val="003209C7"/>
    <w:rsid w:val="00320AB2"/>
    <w:rsid w:val="003225D5"/>
    <w:rsid w:val="0032271E"/>
    <w:rsid w:val="003229A0"/>
    <w:rsid w:val="003232F1"/>
    <w:rsid w:val="0032378E"/>
    <w:rsid w:val="00323C12"/>
    <w:rsid w:val="00323D04"/>
    <w:rsid w:val="003243CB"/>
    <w:rsid w:val="003245FB"/>
    <w:rsid w:val="00324614"/>
    <w:rsid w:val="003250E2"/>
    <w:rsid w:val="0032569E"/>
    <w:rsid w:val="003258F9"/>
    <w:rsid w:val="00326522"/>
    <w:rsid w:val="00326E9B"/>
    <w:rsid w:val="003270BF"/>
    <w:rsid w:val="00327A0C"/>
    <w:rsid w:val="003301A3"/>
    <w:rsid w:val="00330353"/>
    <w:rsid w:val="0033063D"/>
    <w:rsid w:val="00331DCA"/>
    <w:rsid w:val="00332129"/>
    <w:rsid w:val="0033322F"/>
    <w:rsid w:val="00334912"/>
    <w:rsid w:val="00334C52"/>
    <w:rsid w:val="00335779"/>
    <w:rsid w:val="00336FF2"/>
    <w:rsid w:val="003376B5"/>
    <w:rsid w:val="003376DF"/>
    <w:rsid w:val="003402DF"/>
    <w:rsid w:val="00340D16"/>
    <w:rsid w:val="00340EB5"/>
    <w:rsid w:val="00341361"/>
    <w:rsid w:val="00343D26"/>
    <w:rsid w:val="00343D77"/>
    <w:rsid w:val="003444EC"/>
    <w:rsid w:val="00345308"/>
    <w:rsid w:val="003455FE"/>
    <w:rsid w:val="00345652"/>
    <w:rsid w:val="00345B4F"/>
    <w:rsid w:val="00346216"/>
    <w:rsid w:val="0034672E"/>
    <w:rsid w:val="0034782B"/>
    <w:rsid w:val="00347C46"/>
    <w:rsid w:val="00350DDB"/>
    <w:rsid w:val="00351A7F"/>
    <w:rsid w:val="003525C0"/>
    <w:rsid w:val="0035262D"/>
    <w:rsid w:val="00352CFB"/>
    <w:rsid w:val="00352F20"/>
    <w:rsid w:val="003530B9"/>
    <w:rsid w:val="00353798"/>
    <w:rsid w:val="003541D1"/>
    <w:rsid w:val="003545A3"/>
    <w:rsid w:val="003548D7"/>
    <w:rsid w:val="003548F0"/>
    <w:rsid w:val="00354D94"/>
    <w:rsid w:val="003550C7"/>
    <w:rsid w:val="003566E9"/>
    <w:rsid w:val="00357214"/>
    <w:rsid w:val="0035791D"/>
    <w:rsid w:val="00360CBD"/>
    <w:rsid w:val="00361072"/>
    <w:rsid w:val="00362461"/>
    <w:rsid w:val="003628AA"/>
    <w:rsid w:val="00362D37"/>
    <w:rsid w:val="00363DA3"/>
    <w:rsid w:val="00364D63"/>
    <w:rsid w:val="00365105"/>
    <w:rsid w:val="0036579C"/>
    <w:rsid w:val="003657E7"/>
    <w:rsid w:val="00365E78"/>
    <w:rsid w:val="00366857"/>
    <w:rsid w:val="00370449"/>
    <w:rsid w:val="00370EE0"/>
    <w:rsid w:val="003713B0"/>
    <w:rsid w:val="00371B3D"/>
    <w:rsid w:val="00372F44"/>
    <w:rsid w:val="00374783"/>
    <w:rsid w:val="003750B5"/>
    <w:rsid w:val="00375135"/>
    <w:rsid w:val="00377224"/>
    <w:rsid w:val="003777B8"/>
    <w:rsid w:val="00377BAD"/>
    <w:rsid w:val="0038023C"/>
    <w:rsid w:val="00380FA2"/>
    <w:rsid w:val="0038152C"/>
    <w:rsid w:val="00381DCB"/>
    <w:rsid w:val="00381F87"/>
    <w:rsid w:val="00383FF3"/>
    <w:rsid w:val="00384485"/>
    <w:rsid w:val="00384833"/>
    <w:rsid w:val="00384B1C"/>
    <w:rsid w:val="00384EA5"/>
    <w:rsid w:val="0038505C"/>
    <w:rsid w:val="00385BBE"/>
    <w:rsid w:val="00385D5C"/>
    <w:rsid w:val="00386843"/>
    <w:rsid w:val="00386C0B"/>
    <w:rsid w:val="00386C4E"/>
    <w:rsid w:val="00386E5D"/>
    <w:rsid w:val="00387E97"/>
    <w:rsid w:val="003902C1"/>
    <w:rsid w:val="00390919"/>
    <w:rsid w:val="00390A7C"/>
    <w:rsid w:val="00390A91"/>
    <w:rsid w:val="00390AFB"/>
    <w:rsid w:val="0039142B"/>
    <w:rsid w:val="00391A35"/>
    <w:rsid w:val="00391E07"/>
    <w:rsid w:val="00393110"/>
    <w:rsid w:val="00393B9A"/>
    <w:rsid w:val="00393DD4"/>
    <w:rsid w:val="003946AC"/>
    <w:rsid w:val="0039494C"/>
    <w:rsid w:val="00395338"/>
    <w:rsid w:val="00395600"/>
    <w:rsid w:val="00395B97"/>
    <w:rsid w:val="00397572"/>
    <w:rsid w:val="003A074E"/>
    <w:rsid w:val="003A1CFF"/>
    <w:rsid w:val="003A2BB7"/>
    <w:rsid w:val="003A312D"/>
    <w:rsid w:val="003A4AB4"/>
    <w:rsid w:val="003A4C61"/>
    <w:rsid w:val="003A4E02"/>
    <w:rsid w:val="003A546F"/>
    <w:rsid w:val="003A565B"/>
    <w:rsid w:val="003A5C29"/>
    <w:rsid w:val="003A5DEB"/>
    <w:rsid w:val="003A5F75"/>
    <w:rsid w:val="003A61D4"/>
    <w:rsid w:val="003A6240"/>
    <w:rsid w:val="003A648B"/>
    <w:rsid w:val="003A6A14"/>
    <w:rsid w:val="003A6C16"/>
    <w:rsid w:val="003A72E4"/>
    <w:rsid w:val="003A7535"/>
    <w:rsid w:val="003A7616"/>
    <w:rsid w:val="003A799B"/>
    <w:rsid w:val="003A7D18"/>
    <w:rsid w:val="003B00C2"/>
    <w:rsid w:val="003B07D1"/>
    <w:rsid w:val="003B1AF6"/>
    <w:rsid w:val="003B1B75"/>
    <w:rsid w:val="003B2FBC"/>
    <w:rsid w:val="003B32CC"/>
    <w:rsid w:val="003B339A"/>
    <w:rsid w:val="003B35CB"/>
    <w:rsid w:val="003B4999"/>
    <w:rsid w:val="003B4DA2"/>
    <w:rsid w:val="003B4DDF"/>
    <w:rsid w:val="003B545C"/>
    <w:rsid w:val="003B57B7"/>
    <w:rsid w:val="003B5E19"/>
    <w:rsid w:val="003B64D8"/>
    <w:rsid w:val="003B78AC"/>
    <w:rsid w:val="003C0835"/>
    <w:rsid w:val="003C08BD"/>
    <w:rsid w:val="003C1A62"/>
    <w:rsid w:val="003C2F43"/>
    <w:rsid w:val="003C32FC"/>
    <w:rsid w:val="003C49A9"/>
    <w:rsid w:val="003C4EBE"/>
    <w:rsid w:val="003C558C"/>
    <w:rsid w:val="003C5777"/>
    <w:rsid w:val="003C66C3"/>
    <w:rsid w:val="003C6BDE"/>
    <w:rsid w:val="003C6F87"/>
    <w:rsid w:val="003C75BD"/>
    <w:rsid w:val="003C7E0E"/>
    <w:rsid w:val="003D0802"/>
    <w:rsid w:val="003D098A"/>
    <w:rsid w:val="003D0B7A"/>
    <w:rsid w:val="003D17E4"/>
    <w:rsid w:val="003D1A6C"/>
    <w:rsid w:val="003D1AEC"/>
    <w:rsid w:val="003D23D5"/>
    <w:rsid w:val="003D3CD1"/>
    <w:rsid w:val="003D489A"/>
    <w:rsid w:val="003D4EA6"/>
    <w:rsid w:val="003D56EB"/>
    <w:rsid w:val="003D5944"/>
    <w:rsid w:val="003D5D05"/>
    <w:rsid w:val="003D5ECA"/>
    <w:rsid w:val="003D5FB6"/>
    <w:rsid w:val="003D6CBF"/>
    <w:rsid w:val="003D72CC"/>
    <w:rsid w:val="003D7D05"/>
    <w:rsid w:val="003E03C3"/>
    <w:rsid w:val="003E067B"/>
    <w:rsid w:val="003E08D8"/>
    <w:rsid w:val="003E11A4"/>
    <w:rsid w:val="003E19A4"/>
    <w:rsid w:val="003E1AD1"/>
    <w:rsid w:val="003E236D"/>
    <w:rsid w:val="003E2E8C"/>
    <w:rsid w:val="003E3009"/>
    <w:rsid w:val="003E308A"/>
    <w:rsid w:val="003E3094"/>
    <w:rsid w:val="003E367A"/>
    <w:rsid w:val="003E37A4"/>
    <w:rsid w:val="003E4136"/>
    <w:rsid w:val="003E4E45"/>
    <w:rsid w:val="003E5418"/>
    <w:rsid w:val="003E61CB"/>
    <w:rsid w:val="003E63FE"/>
    <w:rsid w:val="003E7AFC"/>
    <w:rsid w:val="003E7C04"/>
    <w:rsid w:val="003E7FDA"/>
    <w:rsid w:val="003F01F7"/>
    <w:rsid w:val="003F0570"/>
    <w:rsid w:val="003F0D15"/>
    <w:rsid w:val="003F1283"/>
    <w:rsid w:val="003F13F6"/>
    <w:rsid w:val="003F174E"/>
    <w:rsid w:val="003F1BB0"/>
    <w:rsid w:val="003F1F13"/>
    <w:rsid w:val="003F2DAF"/>
    <w:rsid w:val="003F2ED2"/>
    <w:rsid w:val="003F3772"/>
    <w:rsid w:val="003F3ED2"/>
    <w:rsid w:val="003F4627"/>
    <w:rsid w:val="003F4ABA"/>
    <w:rsid w:val="003F53B6"/>
    <w:rsid w:val="003F54CA"/>
    <w:rsid w:val="003F6169"/>
    <w:rsid w:val="003F6645"/>
    <w:rsid w:val="003F72D7"/>
    <w:rsid w:val="003F77DA"/>
    <w:rsid w:val="003F7B2D"/>
    <w:rsid w:val="003F7C7A"/>
    <w:rsid w:val="00400D40"/>
    <w:rsid w:val="004014C9"/>
    <w:rsid w:val="00401DDB"/>
    <w:rsid w:val="00402B5F"/>
    <w:rsid w:val="00402C3D"/>
    <w:rsid w:val="00403087"/>
    <w:rsid w:val="00403EDA"/>
    <w:rsid w:val="00403F44"/>
    <w:rsid w:val="0040409C"/>
    <w:rsid w:val="00404A45"/>
    <w:rsid w:val="004058B8"/>
    <w:rsid w:val="00405B3F"/>
    <w:rsid w:val="00406113"/>
    <w:rsid w:val="004063C4"/>
    <w:rsid w:val="004072FC"/>
    <w:rsid w:val="004074CB"/>
    <w:rsid w:val="00407D7D"/>
    <w:rsid w:val="00410B00"/>
    <w:rsid w:val="00410B24"/>
    <w:rsid w:val="00410E12"/>
    <w:rsid w:val="00410E3B"/>
    <w:rsid w:val="004115C8"/>
    <w:rsid w:val="00412760"/>
    <w:rsid w:val="00413BE9"/>
    <w:rsid w:val="00413E03"/>
    <w:rsid w:val="00414E73"/>
    <w:rsid w:val="00415367"/>
    <w:rsid w:val="004161C2"/>
    <w:rsid w:val="00416613"/>
    <w:rsid w:val="004170A6"/>
    <w:rsid w:val="004176BC"/>
    <w:rsid w:val="004177A1"/>
    <w:rsid w:val="00417CB0"/>
    <w:rsid w:val="00417FB8"/>
    <w:rsid w:val="00420584"/>
    <w:rsid w:val="00421048"/>
    <w:rsid w:val="00422A93"/>
    <w:rsid w:val="00422BB1"/>
    <w:rsid w:val="00424210"/>
    <w:rsid w:val="00424D21"/>
    <w:rsid w:val="00424F3C"/>
    <w:rsid w:val="00425C24"/>
    <w:rsid w:val="004273BF"/>
    <w:rsid w:val="004311FF"/>
    <w:rsid w:val="004314B6"/>
    <w:rsid w:val="0043191D"/>
    <w:rsid w:val="00432447"/>
    <w:rsid w:val="00432D97"/>
    <w:rsid w:val="00432F21"/>
    <w:rsid w:val="004349D9"/>
    <w:rsid w:val="0043544F"/>
    <w:rsid w:val="004362C0"/>
    <w:rsid w:val="00436425"/>
    <w:rsid w:val="004364E6"/>
    <w:rsid w:val="0043678B"/>
    <w:rsid w:val="00436B27"/>
    <w:rsid w:val="0043712E"/>
    <w:rsid w:val="004400BC"/>
    <w:rsid w:val="004412E8"/>
    <w:rsid w:val="00441947"/>
    <w:rsid w:val="00443331"/>
    <w:rsid w:val="004433E7"/>
    <w:rsid w:val="00443561"/>
    <w:rsid w:val="00443591"/>
    <w:rsid w:val="00443C5C"/>
    <w:rsid w:val="0044501E"/>
    <w:rsid w:val="00445B35"/>
    <w:rsid w:val="00445DFA"/>
    <w:rsid w:val="004462BD"/>
    <w:rsid w:val="004462FA"/>
    <w:rsid w:val="0044692E"/>
    <w:rsid w:val="0044732A"/>
    <w:rsid w:val="00450BC1"/>
    <w:rsid w:val="00451103"/>
    <w:rsid w:val="004515D4"/>
    <w:rsid w:val="00451F2C"/>
    <w:rsid w:val="0045203F"/>
    <w:rsid w:val="004520DB"/>
    <w:rsid w:val="00452550"/>
    <w:rsid w:val="004525A5"/>
    <w:rsid w:val="00453228"/>
    <w:rsid w:val="00453612"/>
    <w:rsid w:val="00453DB2"/>
    <w:rsid w:val="00453F45"/>
    <w:rsid w:val="00454D4D"/>
    <w:rsid w:val="00454F1D"/>
    <w:rsid w:val="00455817"/>
    <w:rsid w:val="00455982"/>
    <w:rsid w:val="00455AE4"/>
    <w:rsid w:val="00457034"/>
    <w:rsid w:val="00457BAA"/>
    <w:rsid w:val="0046003D"/>
    <w:rsid w:val="00460981"/>
    <w:rsid w:val="004609DE"/>
    <w:rsid w:val="00461DC0"/>
    <w:rsid w:val="004628F0"/>
    <w:rsid w:val="00462D54"/>
    <w:rsid w:val="00462D63"/>
    <w:rsid w:val="00462ED7"/>
    <w:rsid w:val="00463886"/>
    <w:rsid w:val="00463E8A"/>
    <w:rsid w:val="00464947"/>
    <w:rsid w:val="00464F36"/>
    <w:rsid w:val="0046568B"/>
    <w:rsid w:val="00466121"/>
    <w:rsid w:val="00466912"/>
    <w:rsid w:val="00467686"/>
    <w:rsid w:val="00467792"/>
    <w:rsid w:val="004679AB"/>
    <w:rsid w:val="00467F80"/>
    <w:rsid w:val="00471665"/>
    <w:rsid w:val="0047195F"/>
    <w:rsid w:val="00471A9E"/>
    <w:rsid w:val="00471B86"/>
    <w:rsid w:val="00472227"/>
    <w:rsid w:val="00472E9C"/>
    <w:rsid w:val="004732E6"/>
    <w:rsid w:val="00474927"/>
    <w:rsid w:val="00474FBE"/>
    <w:rsid w:val="0047540F"/>
    <w:rsid w:val="004772FF"/>
    <w:rsid w:val="00477F1F"/>
    <w:rsid w:val="0048048A"/>
    <w:rsid w:val="00481705"/>
    <w:rsid w:val="00481966"/>
    <w:rsid w:val="00482254"/>
    <w:rsid w:val="00482313"/>
    <w:rsid w:val="004823C6"/>
    <w:rsid w:val="00482938"/>
    <w:rsid w:val="00482F51"/>
    <w:rsid w:val="00483166"/>
    <w:rsid w:val="0048365C"/>
    <w:rsid w:val="004837B4"/>
    <w:rsid w:val="00484915"/>
    <w:rsid w:val="004853D8"/>
    <w:rsid w:val="0048589F"/>
    <w:rsid w:val="00486552"/>
    <w:rsid w:val="00486AEA"/>
    <w:rsid w:val="00486EEE"/>
    <w:rsid w:val="0048735B"/>
    <w:rsid w:val="004875E6"/>
    <w:rsid w:val="0048793C"/>
    <w:rsid w:val="00487AD4"/>
    <w:rsid w:val="00490275"/>
    <w:rsid w:val="00490628"/>
    <w:rsid w:val="0049071D"/>
    <w:rsid w:val="0049103F"/>
    <w:rsid w:val="00491532"/>
    <w:rsid w:val="0049239D"/>
    <w:rsid w:val="004925C9"/>
    <w:rsid w:val="00492F1A"/>
    <w:rsid w:val="00493577"/>
    <w:rsid w:val="00494159"/>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236"/>
    <w:rsid w:val="004A3391"/>
    <w:rsid w:val="004A3C39"/>
    <w:rsid w:val="004A3FAE"/>
    <w:rsid w:val="004A4291"/>
    <w:rsid w:val="004A4D02"/>
    <w:rsid w:val="004A4F2D"/>
    <w:rsid w:val="004A5AFA"/>
    <w:rsid w:val="004B17CE"/>
    <w:rsid w:val="004B187A"/>
    <w:rsid w:val="004B1903"/>
    <w:rsid w:val="004B1A9C"/>
    <w:rsid w:val="004B1B15"/>
    <w:rsid w:val="004B1CB3"/>
    <w:rsid w:val="004B2241"/>
    <w:rsid w:val="004B25D3"/>
    <w:rsid w:val="004B27D6"/>
    <w:rsid w:val="004B2EBB"/>
    <w:rsid w:val="004B36DF"/>
    <w:rsid w:val="004B3C81"/>
    <w:rsid w:val="004B47F4"/>
    <w:rsid w:val="004B50CC"/>
    <w:rsid w:val="004B5825"/>
    <w:rsid w:val="004B6415"/>
    <w:rsid w:val="004B64FA"/>
    <w:rsid w:val="004B758A"/>
    <w:rsid w:val="004B7A73"/>
    <w:rsid w:val="004B7F9F"/>
    <w:rsid w:val="004C06CE"/>
    <w:rsid w:val="004C099B"/>
    <w:rsid w:val="004C0DB4"/>
    <w:rsid w:val="004C33E8"/>
    <w:rsid w:val="004C4A96"/>
    <w:rsid w:val="004C4E5F"/>
    <w:rsid w:val="004C5875"/>
    <w:rsid w:val="004C5F28"/>
    <w:rsid w:val="004C6997"/>
    <w:rsid w:val="004C6CDB"/>
    <w:rsid w:val="004C723F"/>
    <w:rsid w:val="004C7C36"/>
    <w:rsid w:val="004C7D16"/>
    <w:rsid w:val="004D0132"/>
    <w:rsid w:val="004D080F"/>
    <w:rsid w:val="004D10C5"/>
    <w:rsid w:val="004D1133"/>
    <w:rsid w:val="004D185E"/>
    <w:rsid w:val="004D29F9"/>
    <w:rsid w:val="004D4B61"/>
    <w:rsid w:val="004D606D"/>
    <w:rsid w:val="004D6B20"/>
    <w:rsid w:val="004D6C2F"/>
    <w:rsid w:val="004D71FE"/>
    <w:rsid w:val="004D72CE"/>
    <w:rsid w:val="004D74B2"/>
    <w:rsid w:val="004D7A80"/>
    <w:rsid w:val="004D7CA3"/>
    <w:rsid w:val="004E0388"/>
    <w:rsid w:val="004E0894"/>
    <w:rsid w:val="004E135A"/>
    <w:rsid w:val="004E1C50"/>
    <w:rsid w:val="004E20EE"/>
    <w:rsid w:val="004E251F"/>
    <w:rsid w:val="004E2B23"/>
    <w:rsid w:val="004E3390"/>
    <w:rsid w:val="004E416F"/>
    <w:rsid w:val="004E424D"/>
    <w:rsid w:val="004E5F45"/>
    <w:rsid w:val="004E5F96"/>
    <w:rsid w:val="004E64DC"/>
    <w:rsid w:val="004E6F86"/>
    <w:rsid w:val="004E706A"/>
    <w:rsid w:val="004F0671"/>
    <w:rsid w:val="004F0C01"/>
    <w:rsid w:val="004F126D"/>
    <w:rsid w:val="004F24B5"/>
    <w:rsid w:val="004F2B02"/>
    <w:rsid w:val="004F2D1B"/>
    <w:rsid w:val="004F2E11"/>
    <w:rsid w:val="004F31BD"/>
    <w:rsid w:val="004F3B34"/>
    <w:rsid w:val="004F3D32"/>
    <w:rsid w:val="004F3E23"/>
    <w:rsid w:val="004F4767"/>
    <w:rsid w:val="004F498A"/>
    <w:rsid w:val="004F51B2"/>
    <w:rsid w:val="004F59C4"/>
    <w:rsid w:val="004F5D65"/>
    <w:rsid w:val="004F70F8"/>
    <w:rsid w:val="004F7230"/>
    <w:rsid w:val="004F7D7B"/>
    <w:rsid w:val="0050107A"/>
    <w:rsid w:val="00501659"/>
    <w:rsid w:val="00501733"/>
    <w:rsid w:val="00501B75"/>
    <w:rsid w:val="00501C39"/>
    <w:rsid w:val="00502203"/>
    <w:rsid w:val="005027B8"/>
    <w:rsid w:val="00503286"/>
    <w:rsid w:val="00503F42"/>
    <w:rsid w:val="00505378"/>
    <w:rsid w:val="00505A66"/>
    <w:rsid w:val="00506576"/>
    <w:rsid w:val="00506710"/>
    <w:rsid w:val="00506E86"/>
    <w:rsid w:val="0050702C"/>
    <w:rsid w:val="0050723E"/>
    <w:rsid w:val="00507403"/>
    <w:rsid w:val="00507430"/>
    <w:rsid w:val="005101E5"/>
    <w:rsid w:val="00511D75"/>
    <w:rsid w:val="00511FF2"/>
    <w:rsid w:val="00512232"/>
    <w:rsid w:val="00513B7E"/>
    <w:rsid w:val="00514597"/>
    <w:rsid w:val="005150AB"/>
    <w:rsid w:val="0051769B"/>
    <w:rsid w:val="0052052F"/>
    <w:rsid w:val="00520571"/>
    <w:rsid w:val="00522A63"/>
    <w:rsid w:val="00522C8A"/>
    <w:rsid w:val="00523AF8"/>
    <w:rsid w:val="00523F57"/>
    <w:rsid w:val="00523F8F"/>
    <w:rsid w:val="005248F8"/>
    <w:rsid w:val="00524E1E"/>
    <w:rsid w:val="0052565F"/>
    <w:rsid w:val="00526E9C"/>
    <w:rsid w:val="00527647"/>
    <w:rsid w:val="005278F8"/>
    <w:rsid w:val="005300ED"/>
    <w:rsid w:val="00531706"/>
    <w:rsid w:val="00532121"/>
    <w:rsid w:val="00532429"/>
    <w:rsid w:val="00532850"/>
    <w:rsid w:val="005328A9"/>
    <w:rsid w:val="00532C7A"/>
    <w:rsid w:val="005331D3"/>
    <w:rsid w:val="005332FA"/>
    <w:rsid w:val="005335ED"/>
    <w:rsid w:val="00534668"/>
    <w:rsid w:val="005346BF"/>
    <w:rsid w:val="0053472D"/>
    <w:rsid w:val="00535189"/>
    <w:rsid w:val="005356B6"/>
    <w:rsid w:val="00535948"/>
    <w:rsid w:val="00535D75"/>
    <w:rsid w:val="00535FF9"/>
    <w:rsid w:val="0053609B"/>
    <w:rsid w:val="0053655A"/>
    <w:rsid w:val="00536ECF"/>
    <w:rsid w:val="0053740F"/>
    <w:rsid w:val="005403B0"/>
    <w:rsid w:val="00540D9E"/>
    <w:rsid w:val="0054171A"/>
    <w:rsid w:val="005420CF"/>
    <w:rsid w:val="00542C2A"/>
    <w:rsid w:val="0054337D"/>
    <w:rsid w:val="005438E3"/>
    <w:rsid w:val="00543CAC"/>
    <w:rsid w:val="00543DAB"/>
    <w:rsid w:val="005440E4"/>
    <w:rsid w:val="00545BEC"/>
    <w:rsid w:val="005468A5"/>
    <w:rsid w:val="00546A1D"/>
    <w:rsid w:val="00546C8E"/>
    <w:rsid w:val="00546CB9"/>
    <w:rsid w:val="00546E83"/>
    <w:rsid w:val="005471B2"/>
    <w:rsid w:val="00547725"/>
    <w:rsid w:val="00550292"/>
    <w:rsid w:val="005512BB"/>
    <w:rsid w:val="00551309"/>
    <w:rsid w:val="00552426"/>
    <w:rsid w:val="00552F1A"/>
    <w:rsid w:val="00553371"/>
    <w:rsid w:val="0055363B"/>
    <w:rsid w:val="00553693"/>
    <w:rsid w:val="00553934"/>
    <w:rsid w:val="00553B71"/>
    <w:rsid w:val="00554C4D"/>
    <w:rsid w:val="00556A43"/>
    <w:rsid w:val="005571C1"/>
    <w:rsid w:val="00557CB3"/>
    <w:rsid w:val="0056087F"/>
    <w:rsid w:val="00560B84"/>
    <w:rsid w:val="0056121A"/>
    <w:rsid w:val="00562195"/>
    <w:rsid w:val="0056261D"/>
    <w:rsid w:val="00562918"/>
    <w:rsid w:val="00563269"/>
    <w:rsid w:val="00564643"/>
    <w:rsid w:val="00564772"/>
    <w:rsid w:val="00565698"/>
    <w:rsid w:val="0056601A"/>
    <w:rsid w:val="00566518"/>
    <w:rsid w:val="005669DA"/>
    <w:rsid w:val="00566F11"/>
    <w:rsid w:val="00567613"/>
    <w:rsid w:val="00571640"/>
    <w:rsid w:val="00571902"/>
    <w:rsid w:val="0057194C"/>
    <w:rsid w:val="005720AF"/>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4FB"/>
    <w:rsid w:val="00582686"/>
    <w:rsid w:val="005829C4"/>
    <w:rsid w:val="00582D45"/>
    <w:rsid w:val="00582E8D"/>
    <w:rsid w:val="005860BC"/>
    <w:rsid w:val="00587129"/>
    <w:rsid w:val="005879CE"/>
    <w:rsid w:val="0059000C"/>
    <w:rsid w:val="00590B24"/>
    <w:rsid w:val="00590B6C"/>
    <w:rsid w:val="00590E74"/>
    <w:rsid w:val="00591392"/>
    <w:rsid w:val="00591429"/>
    <w:rsid w:val="005915E6"/>
    <w:rsid w:val="00591BEC"/>
    <w:rsid w:val="00591C20"/>
    <w:rsid w:val="005921E8"/>
    <w:rsid w:val="005924E3"/>
    <w:rsid w:val="00592DE3"/>
    <w:rsid w:val="00594948"/>
    <w:rsid w:val="00594D60"/>
    <w:rsid w:val="005950B2"/>
    <w:rsid w:val="00595154"/>
    <w:rsid w:val="00595296"/>
    <w:rsid w:val="00595603"/>
    <w:rsid w:val="00595917"/>
    <w:rsid w:val="00595BE6"/>
    <w:rsid w:val="005969F6"/>
    <w:rsid w:val="00596FEB"/>
    <w:rsid w:val="005979BE"/>
    <w:rsid w:val="00597A00"/>
    <w:rsid w:val="00597AB3"/>
    <w:rsid w:val="00597DBB"/>
    <w:rsid w:val="005A118A"/>
    <w:rsid w:val="005A1897"/>
    <w:rsid w:val="005A3B97"/>
    <w:rsid w:val="005A45EC"/>
    <w:rsid w:val="005A4A89"/>
    <w:rsid w:val="005A55F6"/>
    <w:rsid w:val="005A57D4"/>
    <w:rsid w:val="005A59B1"/>
    <w:rsid w:val="005A5C31"/>
    <w:rsid w:val="005A5DB4"/>
    <w:rsid w:val="005A600A"/>
    <w:rsid w:val="005A6106"/>
    <w:rsid w:val="005A74D9"/>
    <w:rsid w:val="005A7B45"/>
    <w:rsid w:val="005A7E88"/>
    <w:rsid w:val="005B01F4"/>
    <w:rsid w:val="005B05BE"/>
    <w:rsid w:val="005B0692"/>
    <w:rsid w:val="005B07C7"/>
    <w:rsid w:val="005B1B4F"/>
    <w:rsid w:val="005B1D29"/>
    <w:rsid w:val="005B2564"/>
    <w:rsid w:val="005B2898"/>
    <w:rsid w:val="005B2E53"/>
    <w:rsid w:val="005B2F26"/>
    <w:rsid w:val="005B389B"/>
    <w:rsid w:val="005B4B88"/>
    <w:rsid w:val="005B4C25"/>
    <w:rsid w:val="005B52D8"/>
    <w:rsid w:val="005B57E9"/>
    <w:rsid w:val="005B5DAD"/>
    <w:rsid w:val="005B659A"/>
    <w:rsid w:val="005B65CA"/>
    <w:rsid w:val="005B6EB7"/>
    <w:rsid w:val="005B79C6"/>
    <w:rsid w:val="005C04C0"/>
    <w:rsid w:val="005C0912"/>
    <w:rsid w:val="005C1B46"/>
    <w:rsid w:val="005C1F7E"/>
    <w:rsid w:val="005C2057"/>
    <w:rsid w:val="005C20A0"/>
    <w:rsid w:val="005C2EF2"/>
    <w:rsid w:val="005C3AE2"/>
    <w:rsid w:val="005C5258"/>
    <w:rsid w:val="005C57F7"/>
    <w:rsid w:val="005C75E2"/>
    <w:rsid w:val="005C76FD"/>
    <w:rsid w:val="005C7A6D"/>
    <w:rsid w:val="005C7DC3"/>
    <w:rsid w:val="005D0DAF"/>
    <w:rsid w:val="005D0E2B"/>
    <w:rsid w:val="005D14A4"/>
    <w:rsid w:val="005D1D83"/>
    <w:rsid w:val="005D2E2B"/>
    <w:rsid w:val="005D3D10"/>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270"/>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74BD"/>
    <w:rsid w:val="005F7D2F"/>
    <w:rsid w:val="00600264"/>
    <w:rsid w:val="006003A9"/>
    <w:rsid w:val="00600E8E"/>
    <w:rsid w:val="0060163D"/>
    <w:rsid w:val="006018CA"/>
    <w:rsid w:val="006019E6"/>
    <w:rsid w:val="00601AA5"/>
    <w:rsid w:val="006021EE"/>
    <w:rsid w:val="0060270D"/>
    <w:rsid w:val="006034A7"/>
    <w:rsid w:val="006037CC"/>
    <w:rsid w:val="00603A6B"/>
    <w:rsid w:val="006040F2"/>
    <w:rsid w:val="0060449A"/>
    <w:rsid w:val="00604805"/>
    <w:rsid w:val="0060529E"/>
    <w:rsid w:val="00605384"/>
    <w:rsid w:val="006072E8"/>
    <w:rsid w:val="00607C2D"/>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1B17"/>
    <w:rsid w:val="00622289"/>
    <w:rsid w:val="00622543"/>
    <w:rsid w:val="00622643"/>
    <w:rsid w:val="00622B59"/>
    <w:rsid w:val="00623190"/>
    <w:rsid w:val="00623312"/>
    <w:rsid w:val="0062351E"/>
    <w:rsid w:val="00623E92"/>
    <w:rsid w:val="00623E93"/>
    <w:rsid w:val="00624322"/>
    <w:rsid w:val="00624406"/>
    <w:rsid w:val="006248E3"/>
    <w:rsid w:val="00625D3D"/>
    <w:rsid w:val="00625DB6"/>
    <w:rsid w:val="00626CAC"/>
    <w:rsid w:val="00627AD4"/>
    <w:rsid w:val="00627FE7"/>
    <w:rsid w:val="00630F33"/>
    <w:rsid w:val="006312A4"/>
    <w:rsid w:val="006312F8"/>
    <w:rsid w:val="006313C9"/>
    <w:rsid w:val="006317D2"/>
    <w:rsid w:val="00631C0F"/>
    <w:rsid w:val="006329A9"/>
    <w:rsid w:val="006337EA"/>
    <w:rsid w:val="006348ED"/>
    <w:rsid w:val="00636A18"/>
    <w:rsid w:val="00636C52"/>
    <w:rsid w:val="0063771E"/>
    <w:rsid w:val="006406A6"/>
    <w:rsid w:val="00640A5A"/>
    <w:rsid w:val="00640C80"/>
    <w:rsid w:val="00640E6C"/>
    <w:rsid w:val="00642334"/>
    <w:rsid w:val="00642351"/>
    <w:rsid w:val="006424F7"/>
    <w:rsid w:val="00642A2C"/>
    <w:rsid w:val="00642C32"/>
    <w:rsid w:val="006433D0"/>
    <w:rsid w:val="00643467"/>
    <w:rsid w:val="00643A31"/>
    <w:rsid w:val="00643AAE"/>
    <w:rsid w:val="00644A9F"/>
    <w:rsid w:val="00646BA0"/>
    <w:rsid w:val="00646F54"/>
    <w:rsid w:val="0065002D"/>
    <w:rsid w:val="00650254"/>
    <w:rsid w:val="006502BB"/>
    <w:rsid w:val="006515EF"/>
    <w:rsid w:val="00651CA1"/>
    <w:rsid w:val="0065234B"/>
    <w:rsid w:val="006530E2"/>
    <w:rsid w:val="006535DE"/>
    <w:rsid w:val="0065453F"/>
    <w:rsid w:val="00654758"/>
    <w:rsid w:val="006563FC"/>
    <w:rsid w:val="00656EAE"/>
    <w:rsid w:val="00657344"/>
    <w:rsid w:val="006602CF"/>
    <w:rsid w:val="00660FB0"/>
    <w:rsid w:val="00661356"/>
    <w:rsid w:val="00662399"/>
    <w:rsid w:val="006628D0"/>
    <w:rsid w:val="00664A30"/>
    <w:rsid w:val="00664B40"/>
    <w:rsid w:val="006652FD"/>
    <w:rsid w:val="00665679"/>
    <w:rsid w:val="0066568C"/>
    <w:rsid w:val="0066590A"/>
    <w:rsid w:val="00665DB7"/>
    <w:rsid w:val="00666370"/>
    <w:rsid w:val="0066646F"/>
    <w:rsid w:val="00666775"/>
    <w:rsid w:val="00666A5B"/>
    <w:rsid w:val="00670EFB"/>
    <w:rsid w:val="00671380"/>
    <w:rsid w:val="006713F9"/>
    <w:rsid w:val="00672F3E"/>
    <w:rsid w:val="00673BF2"/>
    <w:rsid w:val="00673C58"/>
    <w:rsid w:val="0067494B"/>
    <w:rsid w:val="00674A3C"/>
    <w:rsid w:val="00674DB0"/>
    <w:rsid w:val="00675296"/>
    <w:rsid w:val="006766B8"/>
    <w:rsid w:val="00677143"/>
    <w:rsid w:val="006807E1"/>
    <w:rsid w:val="00680DE4"/>
    <w:rsid w:val="0068116A"/>
    <w:rsid w:val="006823D9"/>
    <w:rsid w:val="0068241F"/>
    <w:rsid w:val="00683367"/>
    <w:rsid w:val="00683790"/>
    <w:rsid w:val="00683B8F"/>
    <w:rsid w:val="006841B1"/>
    <w:rsid w:val="0068436A"/>
    <w:rsid w:val="0068523F"/>
    <w:rsid w:val="006855A0"/>
    <w:rsid w:val="006861C4"/>
    <w:rsid w:val="00686C23"/>
    <w:rsid w:val="00687033"/>
    <w:rsid w:val="00687D28"/>
    <w:rsid w:val="00687EC6"/>
    <w:rsid w:val="00690AC8"/>
    <w:rsid w:val="00690CCF"/>
    <w:rsid w:val="00690E24"/>
    <w:rsid w:val="00690FAA"/>
    <w:rsid w:val="00691626"/>
    <w:rsid w:val="006936CD"/>
    <w:rsid w:val="0069391C"/>
    <w:rsid w:val="00693EA8"/>
    <w:rsid w:val="0069493D"/>
    <w:rsid w:val="00694C13"/>
    <w:rsid w:val="00694FF9"/>
    <w:rsid w:val="0069550C"/>
    <w:rsid w:val="0069620B"/>
    <w:rsid w:val="0069659F"/>
    <w:rsid w:val="00696801"/>
    <w:rsid w:val="0069758F"/>
    <w:rsid w:val="006978DB"/>
    <w:rsid w:val="00697989"/>
    <w:rsid w:val="006979EF"/>
    <w:rsid w:val="006A049D"/>
    <w:rsid w:val="006A0623"/>
    <w:rsid w:val="006A12AE"/>
    <w:rsid w:val="006A12E9"/>
    <w:rsid w:val="006A1BC6"/>
    <w:rsid w:val="006A272F"/>
    <w:rsid w:val="006A393F"/>
    <w:rsid w:val="006A54EF"/>
    <w:rsid w:val="006A5756"/>
    <w:rsid w:val="006A58A2"/>
    <w:rsid w:val="006A5A39"/>
    <w:rsid w:val="006A5C7F"/>
    <w:rsid w:val="006A6263"/>
    <w:rsid w:val="006A6484"/>
    <w:rsid w:val="006A652E"/>
    <w:rsid w:val="006A6D21"/>
    <w:rsid w:val="006A7E12"/>
    <w:rsid w:val="006A7E21"/>
    <w:rsid w:val="006A7EA3"/>
    <w:rsid w:val="006B022C"/>
    <w:rsid w:val="006B07D8"/>
    <w:rsid w:val="006B0CEB"/>
    <w:rsid w:val="006B13C1"/>
    <w:rsid w:val="006B1707"/>
    <w:rsid w:val="006B1AD5"/>
    <w:rsid w:val="006B2489"/>
    <w:rsid w:val="006B3215"/>
    <w:rsid w:val="006B3348"/>
    <w:rsid w:val="006B3448"/>
    <w:rsid w:val="006B4F5C"/>
    <w:rsid w:val="006B5062"/>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6119"/>
    <w:rsid w:val="006C75FA"/>
    <w:rsid w:val="006C7FAC"/>
    <w:rsid w:val="006D002D"/>
    <w:rsid w:val="006D0421"/>
    <w:rsid w:val="006D047B"/>
    <w:rsid w:val="006D089E"/>
    <w:rsid w:val="006D1D18"/>
    <w:rsid w:val="006D2594"/>
    <w:rsid w:val="006D2BD4"/>
    <w:rsid w:val="006D3530"/>
    <w:rsid w:val="006D407D"/>
    <w:rsid w:val="006D477F"/>
    <w:rsid w:val="006D47BC"/>
    <w:rsid w:val="006D4ACA"/>
    <w:rsid w:val="006D54E6"/>
    <w:rsid w:val="006D5843"/>
    <w:rsid w:val="006D5E63"/>
    <w:rsid w:val="006D6871"/>
    <w:rsid w:val="006D6CA2"/>
    <w:rsid w:val="006D71D3"/>
    <w:rsid w:val="006E1FB4"/>
    <w:rsid w:val="006E22C0"/>
    <w:rsid w:val="006E24D7"/>
    <w:rsid w:val="006E3415"/>
    <w:rsid w:val="006E3962"/>
    <w:rsid w:val="006E464C"/>
    <w:rsid w:val="006E4970"/>
    <w:rsid w:val="006E4A6B"/>
    <w:rsid w:val="006E4CCB"/>
    <w:rsid w:val="006E4CCC"/>
    <w:rsid w:val="006E516B"/>
    <w:rsid w:val="006E64FC"/>
    <w:rsid w:val="006E6536"/>
    <w:rsid w:val="006E78A4"/>
    <w:rsid w:val="006E7A04"/>
    <w:rsid w:val="006F02A6"/>
    <w:rsid w:val="006F0599"/>
    <w:rsid w:val="006F065D"/>
    <w:rsid w:val="006F0C10"/>
    <w:rsid w:val="006F29B4"/>
    <w:rsid w:val="006F2CDD"/>
    <w:rsid w:val="006F6248"/>
    <w:rsid w:val="006F6D3E"/>
    <w:rsid w:val="006F6DDA"/>
    <w:rsid w:val="006F7041"/>
    <w:rsid w:val="006F7B92"/>
    <w:rsid w:val="0070068B"/>
    <w:rsid w:val="00700990"/>
    <w:rsid w:val="00700CF4"/>
    <w:rsid w:val="007016BE"/>
    <w:rsid w:val="00701C5F"/>
    <w:rsid w:val="007025A3"/>
    <w:rsid w:val="007030B9"/>
    <w:rsid w:val="00703181"/>
    <w:rsid w:val="007042E7"/>
    <w:rsid w:val="007044EC"/>
    <w:rsid w:val="00704571"/>
    <w:rsid w:val="007048F0"/>
    <w:rsid w:val="00705362"/>
    <w:rsid w:val="0070604E"/>
    <w:rsid w:val="0070718C"/>
    <w:rsid w:val="00710B56"/>
    <w:rsid w:val="00711526"/>
    <w:rsid w:val="0071165C"/>
    <w:rsid w:val="00711CAD"/>
    <w:rsid w:val="0071201B"/>
    <w:rsid w:val="0071356F"/>
    <w:rsid w:val="007153F0"/>
    <w:rsid w:val="007154CF"/>
    <w:rsid w:val="007159A1"/>
    <w:rsid w:val="00716812"/>
    <w:rsid w:val="007171DB"/>
    <w:rsid w:val="00717651"/>
    <w:rsid w:val="0071796A"/>
    <w:rsid w:val="00717A8D"/>
    <w:rsid w:val="00717BF6"/>
    <w:rsid w:val="00717F9F"/>
    <w:rsid w:val="00720493"/>
    <w:rsid w:val="00720B9E"/>
    <w:rsid w:val="00721887"/>
    <w:rsid w:val="00721CC5"/>
    <w:rsid w:val="007224ED"/>
    <w:rsid w:val="00722FD8"/>
    <w:rsid w:val="0072366C"/>
    <w:rsid w:val="00724291"/>
    <w:rsid w:val="00724D0C"/>
    <w:rsid w:val="0072590A"/>
    <w:rsid w:val="00725996"/>
    <w:rsid w:val="00726886"/>
    <w:rsid w:val="00726A5E"/>
    <w:rsid w:val="0072724E"/>
    <w:rsid w:val="00727381"/>
    <w:rsid w:val="00727924"/>
    <w:rsid w:val="00727F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9AA"/>
    <w:rsid w:val="00740DD1"/>
    <w:rsid w:val="007411F4"/>
    <w:rsid w:val="007413BF"/>
    <w:rsid w:val="00741968"/>
    <w:rsid w:val="00741BDD"/>
    <w:rsid w:val="007423E9"/>
    <w:rsid w:val="00743A58"/>
    <w:rsid w:val="00743D1C"/>
    <w:rsid w:val="00743D29"/>
    <w:rsid w:val="0074406C"/>
    <w:rsid w:val="00744146"/>
    <w:rsid w:val="00745153"/>
    <w:rsid w:val="00745844"/>
    <w:rsid w:val="007460ED"/>
    <w:rsid w:val="0074661C"/>
    <w:rsid w:val="007469B7"/>
    <w:rsid w:val="00746A2F"/>
    <w:rsid w:val="007472EF"/>
    <w:rsid w:val="00747669"/>
    <w:rsid w:val="00751097"/>
    <w:rsid w:val="00751E1F"/>
    <w:rsid w:val="0075296E"/>
    <w:rsid w:val="00752F33"/>
    <w:rsid w:val="0075319C"/>
    <w:rsid w:val="007531A5"/>
    <w:rsid w:val="007535E3"/>
    <w:rsid w:val="0075377E"/>
    <w:rsid w:val="00753FCB"/>
    <w:rsid w:val="007542B1"/>
    <w:rsid w:val="007550FE"/>
    <w:rsid w:val="00755EE8"/>
    <w:rsid w:val="00756609"/>
    <w:rsid w:val="007566A7"/>
    <w:rsid w:val="00756AEF"/>
    <w:rsid w:val="00756E30"/>
    <w:rsid w:val="0075707E"/>
    <w:rsid w:val="00757941"/>
    <w:rsid w:val="007636C1"/>
    <w:rsid w:val="007639A5"/>
    <w:rsid w:val="00763EE9"/>
    <w:rsid w:val="00764375"/>
    <w:rsid w:val="007653BF"/>
    <w:rsid w:val="00765630"/>
    <w:rsid w:val="00765919"/>
    <w:rsid w:val="007661BB"/>
    <w:rsid w:val="0076653E"/>
    <w:rsid w:val="00766647"/>
    <w:rsid w:val="0076786D"/>
    <w:rsid w:val="00770E63"/>
    <w:rsid w:val="00773D6E"/>
    <w:rsid w:val="00774469"/>
    <w:rsid w:val="00774752"/>
    <w:rsid w:val="00775291"/>
    <w:rsid w:val="0077594E"/>
    <w:rsid w:val="00775FB9"/>
    <w:rsid w:val="00776268"/>
    <w:rsid w:val="00777495"/>
    <w:rsid w:val="0078016F"/>
    <w:rsid w:val="007805EC"/>
    <w:rsid w:val="007808A4"/>
    <w:rsid w:val="00780928"/>
    <w:rsid w:val="00780B0E"/>
    <w:rsid w:val="00781689"/>
    <w:rsid w:val="00782394"/>
    <w:rsid w:val="00782848"/>
    <w:rsid w:val="007829B1"/>
    <w:rsid w:val="00783873"/>
    <w:rsid w:val="007847D1"/>
    <w:rsid w:val="00784924"/>
    <w:rsid w:val="00785B0C"/>
    <w:rsid w:val="00785D82"/>
    <w:rsid w:val="0078647B"/>
    <w:rsid w:val="00786ED4"/>
    <w:rsid w:val="0078716F"/>
    <w:rsid w:val="007873C8"/>
    <w:rsid w:val="0078793D"/>
    <w:rsid w:val="00790F50"/>
    <w:rsid w:val="00791374"/>
    <w:rsid w:val="00791B6F"/>
    <w:rsid w:val="0079263D"/>
    <w:rsid w:val="00792B66"/>
    <w:rsid w:val="0079352C"/>
    <w:rsid w:val="00793B34"/>
    <w:rsid w:val="00793B84"/>
    <w:rsid w:val="00793D87"/>
    <w:rsid w:val="00794795"/>
    <w:rsid w:val="007949E6"/>
    <w:rsid w:val="00794CC2"/>
    <w:rsid w:val="00794D98"/>
    <w:rsid w:val="00794F29"/>
    <w:rsid w:val="00795A2A"/>
    <w:rsid w:val="007964B5"/>
    <w:rsid w:val="007972FB"/>
    <w:rsid w:val="007977AD"/>
    <w:rsid w:val="007A02BC"/>
    <w:rsid w:val="007A099F"/>
    <w:rsid w:val="007A0ADA"/>
    <w:rsid w:val="007A0F0F"/>
    <w:rsid w:val="007A16EB"/>
    <w:rsid w:val="007A26C4"/>
    <w:rsid w:val="007A2742"/>
    <w:rsid w:val="007A2F96"/>
    <w:rsid w:val="007A33C4"/>
    <w:rsid w:val="007A49D9"/>
    <w:rsid w:val="007A5620"/>
    <w:rsid w:val="007A68F8"/>
    <w:rsid w:val="007B01E7"/>
    <w:rsid w:val="007B0810"/>
    <w:rsid w:val="007B104F"/>
    <w:rsid w:val="007B13D2"/>
    <w:rsid w:val="007B1418"/>
    <w:rsid w:val="007B1C29"/>
    <w:rsid w:val="007B2177"/>
    <w:rsid w:val="007B2FF1"/>
    <w:rsid w:val="007B3B84"/>
    <w:rsid w:val="007B56E1"/>
    <w:rsid w:val="007B7BB1"/>
    <w:rsid w:val="007C0B47"/>
    <w:rsid w:val="007C1229"/>
    <w:rsid w:val="007C17AB"/>
    <w:rsid w:val="007C1DFF"/>
    <w:rsid w:val="007C1E1D"/>
    <w:rsid w:val="007C2145"/>
    <w:rsid w:val="007C2349"/>
    <w:rsid w:val="007C377C"/>
    <w:rsid w:val="007C3815"/>
    <w:rsid w:val="007C3B7F"/>
    <w:rsid w:val="007C5B20"/>
    <w:rsid w:val="007C65FA"/>
    <w:rsid w:val="007D069C"/>
    <w:rsid w:val="007D1AFD"/>
    <w:rsid w:val="007D1E73"/>
    <w:rsid w:val="007D23C4"/>
    <w:rsid w:val="007D2FC8"/>
    <w:rsid w:val="007D408D"/>
    <w:rsid w:val="007D4CD5"/>
    <w:rsid w:val="007D52A7"/>
    <w:rsid w:val="007D619D"/>
    <w:rsid w:val="007D658F"/>
    <w:rsid w:val="007D6B04"/>
    <w:rsid w:val="007D6D6F"/>
    <w:rsid w:val="007D6E6D"/>
    <w:rsid w:val="007D6F5D"/>
    <w:rsid w:val="007D7604"/>
    <w:rsid w:val="007D7729"/>
    <w:rsid w:val="007D7AA9"/>
    <w:rsid w:val="007E075D"/>
    <w:rsid w:val="007E170B"/>
    <w:rsid w:val="007E18BA"/>
    <w:rsid w:val="007E18FA"/>
    <w:rsid w:val="007E1DF2"/>
    <w:rsid w:val="007E2888"/>
    <w:rsid w:val="007E32D4"/>
    <w:rsid w:val="007E3514"/>
    <w:rsid w:val="007E3829"/>
    <w:rsid w:val="007E402B"/>
    <w:rsid w:val="007E48C4"/>
    <w:rsid w:val="007E491C"/>
    <w:rsid w:val="007E495E"/>
    <w:rsid w:val="007E5FF3"/>
    <w:rsid w:val="007E65FE"/>
    <w:rsid w:val="007E6782"/>
    <w:rsid w:val="007E6B64"/>
    <w:rsid w:val="007E6F9A"/>
    <w:rsid w:val="007E7679"/>
    <w:rsid w:val="007E79F5"/>
    <w:rsid w:val="007E7AF0"/>
    <w:rsid w:val="007F02BF"/>
    <w:rsid w:val="007F0B70"/>
    <w:rsid w:val="007F10B5"/>
    <w:rsid w:val="007F10D0"/>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49A"/>
    <w:rsid w:val="00801BFF"/>
    <w:rsid w:val="0080250E"/>
    <w:rsid w:val="0080281E"/>
    <w:rsid w:val="0080288E"/>
    <w:rsid w:val="00803DDF"/>
    <w:rsid w:val="00805261"/>
    <w:rsid w:val="0080563D"/>
    <w:rsid w:val="00805F75"/>
    <w:rsid w:val="00806071"/>
    <w:rsid w:val="00807C1B"/>
    <w:rsid w:val="00810489"/>
    <w:rsid w:val="00810B18"/>
    <w:rsid w:val="00811026"/>
    <w:rsid w:val="00811B7A"/>
    <w:rsid w:val="00811E77"/>
    <w:rsid w:val="00812638"/>
    <w:rsid w:val="00812720"/>
    <w:rsid w:val="00812AE2"/>
    <w:rsid w:val="00812CD4"/>
    <w:rsid w:val="00813337"/>
    <w:rsid w:val="00814892"/>
    <w:rsid w:val="00814D78"/>
    <w:rsid w:val="00815167"/>
    <w:rsid w:val="008151B0"/>
    <w:rsid w:val="008157BF"/>
    <w:rsid w:val="008161EB"/>
    <w:rsid w:val="008164EE"/>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73D"/>
    <w:rsid w:val="00834AF4"/>
    <w:rsid w:val="00834BEC"/>
    <w:rsid w:val="00834D47"/>
    <w:rsid w:val="00834DC9"/>
    <w:rsid w:val="00835389"/>
    <w:rsid w:val="00835459"/>
    <w:rsid w:val="008356D1"/>
    <w:rsid w:val="008358DA"/>
    <w:rsid w:val="008373F3"/>
    <w:rsid w:val="00840350"/>
    <w:rsid w:val="00840409"/>
    <w:rsid w:val="0084055F"/>
    <w:rsid w:val="0084098C"/>
    <w:rsid w:val="008411FD"/>
    <w:rsid w:val="0084138C"/>
    <w:rsid w:val="008429DB"/>
    <w:rsid w:val="00842BA8"/>
    <w:rsid w:val="0084324E"/>
    <w:rsid w:val="00844B2A"/>
    <w:rsid w:val="00844ED2"/>
    <w:rsid w:val="0084562E"/>
    <w:rsid w:val="0084736D"/>
    <w:rsid w:val="008479BC"/>
    <w:rsid w:val="00847C79"/>
    <w:rsid w:val="00850A19"/>
    <w:rsid w:val="0085106C"/>
    <w:rsid w:val="008514EC"/>
    <w:rsid w:val="00851F31"/>
    <w:rsid w:val="0085233E"/>
    <w:rsid w:val="008524F7"/>
    <w:rsid w:val="00852810"/>
    <w:rsid w:val="00852A9A"/>
    <w:rsid w:val="008534FA"/>
    <w:rsid w:val="00853616"/>
    <w:rsid w:val="00853704"/>
    <w:rsid w:val="00853C23"/>
    <w:rsid w:val="00853EFD"/>
    <w:rsid w:val="0085413E"/>
    <w:rsid w:val="00854674"/>
    <w:rsid w:val="00854784"/>
    <w:rsid w:val="00854B1C"/>
    <w:rsid w:val="00854C8E"/>
    <w:rsid w:val="0085579E"/>
    <w:rsid w:val="0085729A"/>
    <w:rsid w:val="008575ED"/>
    <w:rsid w:val="00857F3D"/>
    <w:rsid w:val="00860F08"/>
    <w:rsid w:val="008612F5"/>
    <w:rsid w:val="00861F9D"/>
    <w:rsid w:val="0086218E"/>
    <w:rsid w:val="0086307F"/>
    <w:rsid w:val="008639AD"/>
    <w:rsid w:val="00863C1F"/>
    <w:rsid w:val="00870856"/>
    <w:rsid w:val="0087157B"/>
    <w:rsid w:val="00873845"/>
    <w:rsid w:val="00876522"/>
    <w:rsid w:val="00876AE3"/>
    <w:rsid w:val="008775DB"/>
    <w:rsid w:val="00877B07"/>
    <w:rsid w:val="00877B7A"/>
    <w:rsid w:val="008804D3"/>
    <w:rsid w:val="00880AE5"/>
    <w:rsid w:val="00880EFA"/>
    <w:rsid w:val="00881EBC"/>
    <w:rsid w:val="008828DF"/>
    <w:rsid w:val="00882E91"/>
    <w:rsid w:val="00882EA8"/>
    <w:rsid w:val="00883EE1"/>
    <w:rsid w:val="0088421A"/>
    <w:rsid w:val="00884A9E"/>
    <w:rsid w:val="00884ED2"/>
    <w:rsid w:val="00885317"/>
    <w:rsid w:val="008855FF"/>
    <w:rsid w:val="0088567D"/>
    <w:rsid w:val="00885D0E"/>
    <w:rsid w:val="008863EC"/>
    <w:rsid w:val="00886E91"/>
    <w:rsid w:val="008870CB"/>
    <w:rsid w:val="00887227"/>
    <w:rsid w:val="008900AA"/>
    <w:rsid w:val="00890427"/>
    <w:rsid w:val="0089096B"/>
    <w:rsid w:val="008918D1"/>
    <w:rsid w:val="008919D4"/>
    <w:rsid w:val="00892157"/>
    <w:rsid w:val="0089225A"/>
    <w:rsid w:val="00892565"/>
    <w:rsid w:val="00892AC0"/>
    <w:rsid w:val="008934FE"/>
    <w:rsid w:val="00893B5D"/>
    <w:rsid w:val="00893E2F"/>
    <w:rsid w:val="008944DB"/>
    <w:rsid w:val="0089594E"/>
    <w:rsid w:val="00896790"/>
    <w:rsid w:val="008968C4"/>
    <w:rsid w:val="00897463"/>
    <w:rsid w:val="0089753B"/>
    <w:rsid w:val="00897911"/>
    <w:rsid w:val="00897B11"/>
    <w:rsid w:val="008A03BE"/>
    <w:rsid w:val="008A1C8E"/>
    <w:rsid w:val="008A231E"/>
    <w:rsid w:val="008A2377"/>
    <w:rsid w:val="008A2E17"/>
    <w:rsid w:val="008A344E"/>
    <w:rsid w:val="008A3721"/>
    <w:rsid w:val="008A382F"/>
    <w:rsid w:val="008A39A0"/>
    <w:rsid w:val="008A39AD"/>
    <w:rsid w:val="008A3DB6"/>
    <w:rsid w:val="008A56ED"/>
    <w:rsid w:val="008A5BE4"/>
    <w:rsid w:val="008A7E3B"/>
    <w:rsid w:val="008B0364"/>
    <w:rsid w:val="008B0379"/>
    <w:rsid w:val="008B0D70"/>
    <w:rsid w:val="008B0EA7"/>
    <w:rsid w:val="008B18C5"/>
    <w:rsid w:val="008B480A"/>
    <w:rsid w:val="008B4F76"/>
    <w:rsid w:val="008B58D9"/>
    <w:rsid w:val="008B64DC"/>
    <w:rsid w:val="008B6AFD"/>
    <w:rsid w:val="008B70D9"/>
    <w:rsid w:val="008B76D6"/>
    <w:rsid w:val="008B7A48"/>
    <w:rsid w:val="008C07A9"/>
    <w:rsid w:val="008C0A39"/>
    <w:rsid w:val="008C1814"/>
    <w:rsid w:val="008C3523"/>
    <w:rsid w:val="008C3CCC"/>
    <w:rsid w:val="008C4084"/>
    <w:rsid w:val="008C4116"/>
    <w:rsid w:val="008C4162"/>
    <w:rsid w:val="008C43A5"/>
    <w:rsid w:val="008C5C81"/>
    <w:rsid w:val="008C6580"/>
    <w:rsid w:val="008C7375"/>
    <w:rsid w:val="008C79F3"/>
    <w:rsid w:val="008D0267"/>
    <w:rsid w:val="008D04D0"/>
    <w:rsid w:val="008D1097"/>
    <w:rsid w:val="008D11A8"/>
    <w:rsid w:val="008D1417"/>
    <w:rsid w:val="008D1F27"/>
    <w:rsid w:val="008D2F95"/>
    <w:rsid w:val="008D384C"/>
    <w:rsid w:val="008D3EF5"/>
    <w:rsid w:val="008D483E"/>
    <w:rsid w:val="008D4B98"/>
    <w:rsid w:val="008D4BD7"/>
    <w:rsid w:val="008D56F1"/>
    <w:rsid w:val="008D6375"/>
    <w:rsid w:val="008E02E0"/>
    <w:rsid w:val="008E0670"/>
    <w:rsid w:val="008E114F"/>
    <w:rsid w:val="008E1153"/>
    <w:rsid w:val="008E1D76"/>
    <w:rsid w:val="008E2119"/>
    <w:rsid w:val="008E2594"/>
    <w:rsid w:val="008E3455"/>
    <w:rsid w:val="008E3BFB"/>
    <w:rsid w:val="008E4946"/>
    <w:rsid w:val="008E50BD"/>
    <w:rsid w:val="008E5755"/>
    <w:rsid w:val="008E6356"/>
    <w:rsid w:val="008E6529"/>
    <w:rsid w:val="008E6C51"/>
    <w:rsid w:val="008E6F7A"/>
    <w:rsid w:val="008E7734"/>
    <w:rsid w:val="008F07ED"/>
    <w:rsid w:val="008F142D"/>
    <w:rsid w:val="008F1674"/>
    <w:rsid w:val="008F192D"/>
    <w:rsid w:val="008F208C"/>
    <w:rsid w:val="008F2699"/>
    <w:rsid w:val="008F3E39"/>
    <w:rsid w:val="008F3FE5"/>
    <w:rsid w:val="008F42D7"/>
    <w:rsid w:val="008F4382"/>
    <w:rsid w:val="008F4CE7"/>
    <w:rsid w:val="008F5536"/>
    <w:rsid w:val="008F614D"/>
    <w:rsid w:val="008F6537"/>
    <w:rsid w:val="00900590"/>
    <w:rsid w:val="00901459"/>
    <w:rsid w:val="00901C47"/>
    <w:rsid w:val="0090328B"/>
    <w:rsid w:val="009032E9"/>
    <w:rsid w:val="00903EFE"/>
    <w:rsid w:val="009040EB"/>
    <w:rsid w:val="0090437C"/>
    <w:rsid w:val="009044A6"/>
    <w:rsid w:val="009046CE"/>
    <w:rsid w:val="0090472D"/>
    <w:rsid w:val="0090518E"/>
    <w:rsid w:val="0090563D"/>
    <w:rsid w:val="00906AF0"/>
    <w:rsid w:val="00906EF4"/>
    <w:rsid w:val="00910287"/>
    <w:rsid w:val="00910AAA"/>
    <w:rsid w:val="00910D9D"/>
    <w:rsid w:val="00910F33"/>
    <w:rsid w:val="00911691"/>
    <w:rsid w:val="009118B0"/>
    <w:rsid w:val="00912000"/>
    <w:rsid w:val="009124E6"/>
    <w:rsid w:val="00913944"/>
    <w:rsid w:val="00916440"/>
    <w:rsid w:val="00916748"/>
    <w:rsid w:val="00917332"/>
    <w:rsid w:val="009177FA"/>
    <w:rsid w:val="009202C5"/>
    <w:rsid w:val="00920773"/>
    <w:rsid w:val="009209C5"/>
    <w:rsid w:val="00921817"/>
    <w:rsid w:val="00922327"/>
    <w:rsid w:val="0092265F"/>
    <w:rsid w:val="00922F1A"/>
    <w:rsid w:val="0092359E"/>
    <w:rsid w:val="00923EA0"/>
    <w:rsid w:val="0092474D"/>
    <w:rsid w:val="0092598F"/>
    <w:rsid w:val="00925FF9"/>
    <w:rsid w:val="00927BAA"/>
    <w:rsid w:val="00927C45"/>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FBA"/>
    <w:rsid w:val="0094325C"/>
    <w:rsid w:val="0094535B"/>
    <w:rsid w:val="00945766"/>
    <w:rsid w:val="009457AC"/>
    <w:rsid w:val="00945B1E"/>
    <w:rsid w:val="0094609D"/>
    <w:rsid w:val="00946484"/>
    <w:rsid w:val="00946970"/>
    <w:rsid w:val="00946B28"/>
    <w:rsid w:val="00947447"/>
    <w:rsid w:val="009510F9"/>
    <w:rsid w:val="009516DD"/>
    <w:rsid w:val="00951B94"/>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4583"/>
    <w:rsid w:val="00964775"/>
    <w:rsid w:val="00964ACE"/>
    <w:rsid w:val="009659F8"/>
    <w:rsid w:val="009664CB"/>
    <w:rsid w:val="00966CC0"/>
    <w:rsid w:val="009671A1"/>
    <w:rsid w:val="0096794E"/>
    <w:rsid w:val="0097179C"/>
    <w:rsid w:val="0097191C"/>
    <w:rsid w:val="0097198A"/>
    <w:rsid w:val="009734BF"/>
    <w:rsid w:val="009737F3"/>
    <w:rsid w:val="00973868"/>
    <w:rsid w:val="00973C3E"/>
    <w:rsid w:val="00974ACC"/>
    <w:rsid w:val="00974C49"/>
    <w:rsid w:val="00974EE4"/>
    <w:rsid w:val="009754CE"/>
    <w:rsid w:val="009756B6"/>
    <w:rsid w:val="00975EF7"/>
    <w:rsid w:val="009774BE"/>
    <w:rsid w:val="00977A70"/>
    <w:rsid w:val="00977DD3"/>
    <w:rsid w:val="00980140"/>
    <w:rsid w:val="009801D6"/>
    <w:rsid w:val="009802D1"/>
    <w:rsid w:val="0098050A"/>
    <w:rsid w:val="00980592"/>
    <w:rsid w:val="009806B0"/>
    <w:rsid w:val="009807B8"/>
    <w:rsid w:val="00981E56"/>
    <w:rsid w:val="00982142"/>
    <w:rsid w:val="00982639"/>
    <w:rsid w:val="00982EEA"/>
    <w:rsid w:val="00982F82"/>
    <w:rsid w:val="00983040"/>
    <w:rsid w:val="009831E2"/>
    <w:rsid w:val="00983255"/>
    <w:rsid w:val="00983D12"/>
    <w:rsid w:val="00983E5F"/>
    <w:rsid w:val="00985051"/>
    <w:rsid w:val="00985DA2"/>
    <w:rsid w:val="0098660C"/>
    <w:rsid w:val="00987DF4"/>
    <w:rsid w:val="00987FDA"/>
    <w:rsid w:val="00990175"/>
    <w:rsid w:val="00991ED6"/>
    <w:rsid w:val="009920A0"/>
    <w:rsid w:val="00992E8A"/>
    <w:rsid w:val="00992E8D"/>
    <w:rsid w:val="009937FD"/>
    <w:rsid w:val="00993B21"/>
    <w:rsid w:val="00994F4D"/>
    <w:rsid w:val="0099582B"/>
    <w:rsid w:val="00995DAF"/>
    <w:rsid w:val="00995FC3"/>
    <w:rsid w:val="00996AA6"/>
    <w:rsid w:val="00997230"/>
    <w:rsid w:val="009A0274"/>
    <w:rsid w:val="009A035E"/>
    <w:rsid w:val="009A18AB"/>
    <w:rsid w:val="009A2D7C"/>
    <w:rsid w:val="009A30FE"/>
    <w:rsid w:val="009A4644"/>
    <w:rsid w:val="009A468E"/>
    <w:rsid w:val="009A4908"/>
    <w:rsid w:val="009A5C2A"/>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64D7"/>
    <w:rsid w:val="009C76A3"/>
    <w:rsid w:val="009C79E5"/>
    <w:rsid w:val="009C7A07"/>
    <w:rsid w:val="009C7ACB"/>
    <w:rsid w:val="009C7C85"/>
    <w:rsid w:val="009D03F6"/>
    <w:rsid w:val="009D140B"/>
    <w:rsid w:val="009D6353"/>
    <w:rsid w:val="009D6CF0"/>
    <w:rsid w:val="009D6E22"/>
    <w:rsid w:val="009D7050"/>
    <w:rsid w:val="009D7327"/>
    <w:rsid w:val="009D75A9"/>
    <w:rsid w:val="009D798C"/>
    <w:rsid w:val="009E0A40"/>
    <w:rsid w:val="009E153F"/>
    <w:rsid w:val="009E19AE"/>
    <w:rsid w:val="009E1E3F"/>
    <w:rsid w:val="009E1E60"/>
    <w:rsid w:val="009E1F86"/>
    <w:rsid w:val="009E216D"/>
    <w:rsid w:val="009E2D76"/>
    <w:rsid w:val="009E3112"/>
    <w:rsid w:val="009E34B7"/>
    <w:rsid w:val="009E434B"/>
    <w:rsid w:val="009E480B"/>
    <w:rsid w:val="009E4C2E"/>
    <w:rsid w:val="009E5BAE"/>
    <w:rsid w:val="009E5BF5"/>
    <w:rsid w:val="009E5D18"/>
    <w:rsid w:val="009E5F8E"/>
    <w:rsid w:val="009E65CA"/>
    <w:rsid w:val="009E699D"/>
    <w:rsid w:val="009F0F2A"/>
    <w:rsid w:val="009F1904"/>
    <w:rsid w:val="009F209E"/>
    <w:rsid w:val="009F2446"/>
    <w:rsid w:val="009F2450"/>
    <w:rsid w:val="009F2BF4"/>
    <w:rsid w:val="009F2C12"/>
    <w:rsid w:val="009F385D"/>
    <w:rsid w:val="009F4B7F"/>
    <w:rsid w:val="009F555E"/>
    <w:rsid w:val="009F5C78"/>
    <w:rsid w:val="009F64B5"/>
    <w:rsid w:val="009F697A"/>
    <w:rsid w:val="009F6DAC"/>
    <w:rsid w:val="009F7309"/>
    <w:rsid w:val="009F763F"/>
    <w:rsid w:val="009F7748"/>
    <w:rsid w:val="009F7802"/>
    <w:rsid w:val="009F791B"/>
    <w:rsid w:val="009F79D5"/>
    <w:rsid w:val="009F7D96"/>
    <w:rsid w:val="00A007E7"/>
    <w:rsid w:val="00A00F2E"/>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3E58"/>
    <w:rsid w:val="00A14331"/>
    <w:rsid w:val="00A145EB"/>
    <w:rsid w:val="00A14AB2"/>
    <w:rsid w:val="00A14AC9"/>
    <w:rsid w:val="00A16F76"/>
    <w:rsid w:val="00A171EF"/>
    <w:rsid w:val="00A175A7"/>
    <w:rsid w:val="00A17EE6"/>
    <w:rsid w:val="00A20573"/>
    <w:rsid w:val="00A207FA"/>
    <w:rsid w:val="00A20C94"/>
    <w:rsid w:val="00A2190E"/>
    <w:rsid w:val="00A21C4C"/>
    <w:rsid w:val="00A220B7"/>
    <w:rsid w:val="00A22649"/>
    <w:rsid w:val="00A227D6"/>
    <w:rsid w:val="00A227E7"/>
    <w:rsid w:val="00A22D55"/>
    <w:rsid w:val="00A22F6E"/>
    <w:rsid w:val="00A239DB"/>
    <w:rsid w:val="00A24008"/>
    <w:rsid w:val="00A24048"/>
    <w:rsid w:val="00A24078"/>
    <w:rsid w:val="00A2475E"/>
    <w:rsid w:val="00A24D83"/>
    <w:rsid w:val="00A258E0"/>
    <w:rsid w:val="00A25FCF"/>
    <w:rsid w:val="00A269B5"/>
    <w:rsid w:val="00A26A3F"/>
    <w:rsid w:val="00A2726D"/>
    <w:rsid w:val="00A30627"/>
    <w:rsid w:val="00A30B6C"/>
    <w:rsid w:val="00A30ECB"/>
    <w:rsid w:val="00A31D99"/>
    <w:rsid w:val="00A3244C"/>
    <w:rsid w:val="00A32E59"/>
    <w:rsid w:val="00A33017"/>
    <w:rsid w:val="00A333C1"/>
    <w:rsid w:val="00A33DF3"/>
    <w:rsid w:val="00A33E4D"/>
    <w:rsid w:val="00A346EE"/>
    <w:rsid w:val="00A34995"/>
    <w:rsid w:val="00A34C32"/>
    <w:rsid w:val="00A34DDE"/>
    <w:rsid w:val="00A34EAB"/>
    <w:rsid w:val="00A350EA"/>
    <w:rsid w:val="00A3594F"/>
    <w:rsid w:val="00A35D94"/>
    <w:rsid w:val="00A362F7"/>
    <w:rsid w:val="00A36940"/>
    <w:rsid w:val="00A36EBD"/>
    <w:rsid w:val="00A40F98"/>
    <w:rsid w:val="00A42AD8"/>
    <w:rsid w:val="00A43813"/>
    <w:rsid w:val="00A43D47"/>
    <w:rsid w:val="00A440A6"/>
    <w:rsid w:val="00A4433E"/>
    <w:rsid w:val="00A45B00"/>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204A"/>
    <w:rsid w:val="00A62093"/>
    <w:rsid w:val="00A6310C"/>
    <w:rsid w:val="00A6316B"/>
    <w:rsid w:val="00A63679"/>
    <w:rsid w:val="00A63A8F"/>
    <w:rsid w:val="00A64389"/>
    <w:rsid w:val="00A64797"/>
    <w:rsid w:val="00A64817"/>
    <w:rsid w:val="00A66FFC"/>
    <w:rsid w:val="00A67886"/>
    <w:rsid w:val="00A67F2A"/>
    <w:rsid w:val="00A71CDE"/>
    <w:rsid w:val="00A7252E"/>
    <w:rsid w:val="00A72BBC"/>
    <w:rsid w:val="00A72E18"/>
    <w:rsid w:val="00A730F3"/>
    <w:rsid w:val="00A74BE6"/>
    <w:rsid w:val="00A7557C"/>
    <w:rsid w:val="00A758A4"/>
    <w:rsid w:val="00A75BA0"/>
    <w:rsid w:val="00A768A2"/>
    <w:rsid w:val="00A76A55"/>
    <w:rsid w:val="00A773B4"/>
    <w:rsid w:val="00A80948"/>
    <w:rsid w:val="00A81811"/>
    <w:rsid w:val="00A833A3"/>
    <w:rsid w:val="00A835E5"/>
    <w:rsid w:val="00A83768"/>
    <w:rsid w:val="00A84373"/>
    <w:rsid w:val="00A8456A"/>
    <w:rsid w:val="00A845ED"/>
    <w:rsid w:val="00A8562E"/>
    <w:rsid w:val="00A867C8"/>
    <w:rsid w:val="00A86F87"/>
    <w:rsid w:val="00A87161"/>
    <w:rsid w:val="00A874D6"/>
    <w:rsid w:val="00A87C01"/>
    <w:rsid w:val="00A902A7"/>
    <w:rsid w:val="00A90327"/>
    <w:rsid w:val="00A904AB"/>
    <w:rsid w:val="00A90DEF"/>
    <w:rsid w:val="00A91358"/>
    <w:rsid w:val="00A91FE5"/>
    <w:rsid w:val="00A93154"/>
    <w:rsid w:val="00A93214"/>
    <w:rsid w:val="00A93C27"/>
    <w:rsid w:val="00A93C2B"/>
    <w:rsid w:val="00A94D8C"/>
    <w:rsid w:val="00A95CF3"/>
    <w:rsid w:val="00A96FC0"/>
    <w:rsid w:val="00A970AF"/>
    <w:rsid w:val="00A9734D"/>
    <w:rsid w:val="00A97BFA"/>
    <w:rsid w:val="00AA007C"/>
    <w:rsid w:val="00AA0B30"/>
    <w:rsid w:val="00AA25C9"/>
    <w:rsid w:val="00AA2673"/>
    <w:rsid w:val="00AA3726"/>
    <w:rsid w:val="00AA40AA"/>
    <w:rsid w:val="00AA4F09"/>
    <w:rsid w:val="00AA53BB"/>
    <w:rsid w:val="00AA7A72"/>
    <w:rsid w:val="00AA7D7D"/>
    <w:rsid w:val="00AA7DCE"/>
    <w:rsid w:val="00AA7F3F"/>
    <w:rsid w:val="00AA7F8C"/>
    <w:rsid w:val="00AA7FA5"/>
    <w:rsid w:val="00AB0725"/>
    <w:rsid w:val="00AB0807"/>
    <w:rsid w:val="00AB0FB2"/>
    <w:rsid w:val="00AB10E3"/>
    <w:rsid w:val="00AB18AB"/>
    <w:rsid w:val="00AB1FAD"/>
    <w:rsid w:val="00AB2AF8"/>
    <w:rsid w:val="00AB37FD"/>
    <w:rsid w:val="00AB41AF"/>
    <w:rsid w:val="00AB42BB"/>
    <w:rsid w:val="00AB4B6A"/>
    <w:rsid w:val="00AB50C3"/>
    <w:rsid w:val="00AB57D9"/>
    <w:rsid w:val="00AB6F61"/>
    <w:rsid w:val="00AB7601"/>
    <w:rsid w:val="00AB7957"/>
    <w:rsid w:val="00AB7A15"/>
    <w:rsid w:val="00AC0BD8"/>
    <w:rsid w:val="00AC1E53"/>
    <w:rsid w:val="00AC42FA"/>
    <w:rsid w:val="00AC455C"/>
    <w:rsid w:val="00AC45CA"/>
    <w:rsid w:val="00AC4D66"/>
    <w:rsid w:val="00AC5C0E"/>
    <w:rsid w:val="00AC5FCE"/>
    <w:rsid w:val="00AC615E"/>
    <w:rsid w:val="00AC62B7"/>
    <w:rsid w:val="00AC6926"/>
    <w:rsid w:val="00AC6BDA"/>
    <w:rsid w:val="00AC6D06"/>
    <w:rsid w:val="00AC6E20"/>
    <w:rsid w:val="00AC7A38"/>
    <w:rsid w:val="00AC7FF7"/>
    <w:rsid w:val="00AD0404"/>
    <w:rsid w:val="00AD0797"/>
    <w:rsid w:val="00AD07F1"/>
    <w:rsid w:val="00AD20E0"/>
    <w:rsid w:val="00AD2BE1"/>
    <w:rsid w:val="00AD2CE5"/>
    <w:rsid w:val="00AD3C49"/>
    <w:rsid w:val="00AD3D21"/>
    <w:rsid w:val="00AD68F8"/>
    <w:rsid w:val="00AD692B"/>
    <w:rsid w:val="00AD6AA3"/>
    <w:rsid w:val="00AE0B68"/>
    <w:rsid w:val="00AE0CA2"/>
    <w:rsid w:val="00AE10CD"/>
    <w:rsid w:val="00AE11B5"/>
    <w:rsid w:val="00AE1499"/>
    <w:rsid w:val="00AE2D0A"/>
    <w:rsid w:val="00AE3725"/>
    <w:rsid w:val="00AE448F"/>
    <w:rsid w:val="00AE4E58"/>
    <w:rsid w:val="00AE5139"/>
    <w:rsid w:val="00AE54FA"/>
    <w:rsid w:val="00AE5C8B"/>
    <w:rsid w:val="00AE65CA"/>
    <w:rsid w:val="00AE6800"/>
    <w:rsid w:val="00AE6CDA"/>
    <w:rsid w:val="00AE72FC"/>
    <w:rsid w:val="00AE751E"/>
    <w:rsid w:val="00AF0197"/>
    <w:rsid w:val="00AF16A0"/>
    <w:rsid w:val="00AF239F"/>
    <w:rsid w:val="00AF23AA"/>
    <w:rsid w:val="00AF23C2"/>
    <w:rsid w:val="00AF3040"/>
    <w:rsid w:val="00AF31DB"/>
    <w:rsid w:val="00AF39BC"/>
    <w:rsid w:val="00AF51E5"/>
    <w:rsid w:val="00AF52E7"/>
    <w:rsid w:val="00AF5D55"/>
    <w:rsid w:val="00AF605B"/>
    <w:rsid w:val="00AF741B"/>
    <w:rsid w:val="00AF7453"/>
    <w:rsid w:val="00AF7963"/>
    <w:rsid w:val="00AF7C3D"/>
    <w:rsid w:val="00AF7E72"/>
    <w:rsid w:val="00B0115C"/>
    <w:rsid w:val="00B019CB"/>
    <w:rsid w:val="00B01F83"/>
    <w:rsid w:val="00B0432F"/>
    <w:rsid w:val="00B043ED"/>
    <w:rsid w:val="00B054FF"/>
    <w:rsid w:val="00B05CB6"/>
    <w:rsid w:val="00B0633F"/>
    <w:rsid w:val="00B070A0"/>
    <w:rsid w:val="00B07CC0"/>
    <w:rsid w:val="00B07E41"/>
    <w:rsid w:val="00B102F5"/>
    <w:rsid w:val="00B103E9"/>
    <w:rsid w:val="00B110D8"/>
    <w:rsid w:val="00B11586"/>
    <w:rsid w:val="00B11E6D"/>
    <w:rsid w:val="00B11FA4"/>
    <w:rsid w:val="00B12242"/>
    <w:rsid w:val="00B1393B"/>
    <w:rsid w:val="00B140D2"/>
    <w:rsid w:val="00B1462C"/>
    <w:rsid w:val="00B14CD1"/>
    <w:rsid w:val="00B15491"/>
    <w:rsid w:val="00B1562F"/>
    <w:rsid w:val="00B15F8B"/>
    <w:rsid w:val="00B16D63"/>
    <w:rsid w:val="00B17629"/>
    <w:rsid w:val="00B20333"/>
    <w:rsid w:val="00B21D6E"/>
    <w:rsid w:val="00B22C39"/>
    <w:rsid w:val="00B22DE0"/>
    <w:rsid w:val="00B23D2D"/>
    <w:rsid w:val="00B249E1"/>
    <w:rsid w:val="00B24FEA"/>
    <w:rsid w:val="00B2540B"/>
    <w:rsid w:val="00B25B94"/>
    <w:rsid w:val="00B25FE6"/>
    <w:rsid w:val="00B2603E"/>
    <w:rsid w:val="00B26397"/>
    <w:rsid w:val="00B26407"/>
    <w:rsid w:val="00B26CD6"/>
    <w:rsid w:val="00B27255"/>
    <w:rsid w:val="00B2749B"/>
    <w:rsid w:val="00B2763A"/>
    <w:rsid w:val="00B27A0A"/>
    <w:rsid w:val="00B30160"/>
    <w:rsid w:val="00B3068C"/>
    <w:rsid w:val="00B317DC"/>
    <w:rsid w:val="00B31E48"/>
    <w:rsid w:val="00B327F4"/>
    <w:rsid w:val="00B32D08"/>
    <w:rsid w:val="00B32F4E"/>
    <w:rsid w:val="00B3322F"/>
    <w:rsid w:val="00B334B1"/>
    <w:rsid w:val="00B33E53"/>
    <w:rsid w:val="00B3426C"/>
    <w:rsid w:val="00B35101"/>
    <w:rsid w:val="00B35631"/>
    <w:rsid w:val="00B3586B"/>
    <w:rsid w:val="00B3587C"/>
    <w:rsid w:val="00B35B04"/>
    <w:rsid w:val="00B36E10"/>
    <w:rsid w:val="00B36E89"/>
    <w:rsid w:val="00B37246"/>
    <w:rsid w:val="00B3733C"/>
    <w:rsid w:val="00B3775E"/>
    <w:rsid w:val="00B37810"/>
    <w:rsid w:val="00B37E95"/>
    <w:rsid w:val="00B410B3"/>
    <w:rsid w:val="00B4190C"/>
    <w:rsid w:val="00B41956"/>
    <w:rsid w:val="00B4274B"/>
    <w:rsid w:val="00B42A22"/>
    <w:rsid w:val="00B45535"/>
    <w:rsid w:val="00B4553C"/>
    <w:rsid w:val="00B4572C"/>
    <w:rsid w:val="00B459C8"/>
    <w:rsid w:val="00B45BAB"/>
    <w:rsid w:val="00B46975"/>
    <w:rsid w:val="00B472EC"/>
    <w:rsid w:val="00B52046"/>
    <w:rsid w:val="00B5259A"/>
    <w:rsid w:val="00B52CB1"/>
    <w:rsid w:val="00B53B6D"/>
    <w:rsid w:val="00B53C9A"/>
    <w:rsid w:val="00B53D31"/>
    <w:rsid w:val="00B553DF"/>
    <w:rsid w:val="00B5563C"/>
    <w:rsid w:val="00B57D54"/>
    <w:rsid w:val="00B60946"/>
    <w:rsid w:val="00B609C3"/>
    <w:rsid w:val="00B609D4"/>
    <w:rsid w:val="00B60FB5"/>
    <w:rsid w:val="00B62014"/>
    <w:rsid w:val="00B629C9"/>
    <w:rsid w:val="00B63426"/>
    <w:rsid w:val="00B63656"/>
    <w:rsid w:val="00B63F21"/>
    <w:rsid w:val="00B63FB6"/>
    <w:rsid w:val="00B64086"/>
    <w:rsid w:val="00B643C4"/>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ACD"/>
    <w:rsid w:val="00B722FE"/>
    <w:rsid w:val="00B7263F"/>
    <w:rsid w:val="00B729F1"/>
    <w:rsid w:val="00B7300C"/>
    <w:rsid w:val="00B73222"/>
    <w:rsid w:val="00B7411F"/>
    <w:rsid w:val="00B74D56"/>
    <w:rsid w:val="00B75CCA"/>
    <w:rsid w:val="00B768A7"/>
    <w:rsid w:val="00B76970"/>
    <w:rsid w:val="00B76F65"/>
    <w:rsid w:val="00B7738B"/>
    <w:rsid w:val="00B77809"/>
    <w:rsid w:val="00B77E9E"/>
    <w:rsid w:val="00B80406"/>
    <w:rsid w:val="00B804D5"/>
    <w:rsid w:val="00B8062C"/>
    <w:rsid w:val="00B80A5E"/>
    <w:rsid w:val="00B80F1F"/>
    <w:rsid w:val="00B813C8"/>
    <w:rsid w:val="00B8146F"/>
    <w:rsid w:val="00B8167D"/>
    <w:rsid w:val="00B82C49"/>
    <w:rsid w:val="00B82D90"/>
    <w:rsid w:val="00B82FB4"/>
    <w:rsid w:val="00B83B69"/>
    <w:rsid w:val="00B83DFC"/>
    <w:rsid w:val="00B86B7E"/>
    <w:rsid w:val="00B87DD5"/>
    <w:rsid w:val="00B90027"/>
    <w:rsid w:val="00B90F96"/>
    <w:rsid w:val="00B9219F"/>
    <w:rsid w:val="00B926CB"/>
    <w:rsid w:val="00B933B2"/>
    <w:rsid w:val="00B936CB"/>
    <w:rsid w:val="00B93CAF"/>
    <w:rsid w:val="00B941B6"/>
    <w:rsid w:val="00B94A06"/>
    <w:rsid w:val="00B952E7"/>
    <w:rsid w:val="00B95B2F"/>
    <w:rsid w:val="00B9719C"/>
    <w:rsid w:val="00B97356"/>
    <w:rsid w:val="00B97A6D"/>
    <w:rsid w:val="00B97C87"/>
    <w:rsid w:val="00BA0391"/>
    <w:rsid w:val="00BA060B"/>
    <w:rsid w:val="00BA0DCD"/>
    <w:rsid w:val="00BA1352"/>
    <w:rsid w:val="00BA2423"/>
    <w:rsid w:val="00BA34B1"/>
    <w:rsid w:val="00BA382E"/>
    <w:rsid w:val="00BA3830"/>
    <w:rsid w:val="00BA41E7"/>
    <w:rsid w:val="00BA42E0"/>
    <w:rsid w:val="00BA5792"/>
    <w:rsid w:val="00BA71FA"/>
    <w:rsid w:val="00BA7701"/>
    <w:rsid w:val="00BA7BAB"/>
    <w:rsid w:val="00BA7C02"/>
    <w:rsid w:val="00BA7C73"/>
    <w:rsid w:val="00BB00C3"/>
    <w:rsid w:val="00BB01F3"/>
    <w:rsid w:val="00BB0741"/>
    <w:rsid w:val="00BB0C45"/>
    <w:rsid w:val="00BB17AD"/>
    <w:rsid w:val="00BB292D"/>
    <w:rsid w:val="00BB300F"/>
    <w:rsid w:val="00BB369B"/>
    <w:rsid w:val="00BB3919"/>
    <w:rsid w:val="00BB3A56"/>
    <w:rsid w:val="00BB3E2E"/>
    <w:rsid w:val="00BB436A"/>
    <w:rsid w:val="00BB49CB"/>
    <w:rsid w:val="00BB4CAE"/>
    <w:rsid w:val="00BB67F1"/>
    <w:rsid w:val="00BB79C2"/>
    <w:rsid w:val="00BB7F0F"/>
    <w:rsid w:val="00BC0EC7"/>
    <w:rsid w:val="00BC1722"/>
    <w:rsid w:val="00BC194A"/>
    <w:rsid w:val="00BC2214"/>
    <w:rsid w:val="00BC2791"/>
    <w:rsid w:val="00BC2825"/>
    <w:rsid w:val="00BC2E96"/>
    <w:rsid w:val="00BC365F"/>
    <w:rsid w:val="00BC3D9C"/>
    <w:rsid w:val="00BC406F"/>
    <w:rsid w:val="00BC4C88"/>
    <w:rsid w:val="00BC59CA"/>
    <w:rsid w:val="00BC6970"/>
    <w:rsid w:val="00BC6D81"/>
    <w:rsid w:val="00BC6F87"/>
    <w:rsid w:val="00BC734E"/>
    <w:rsid w:val="00BC7713"/>
    <w:rsid w:val="00BC7C93"/>
    <w:rsid w:val="00BD0286"/>
    <w:rsid w:val="00BD09BD"/>
    <w:rsid w:val="00BD0A29"/>
    <w:rsid w:val="00BD1B3F"/>
    <w:rsid w:val="00BD33A9"/>
    <w:rsid w:val="00BD33BE"/>
    <w:rsid w:val="00BD3792"/>
    <w:rsid w:val="00BD3C72"/>
    <w:rsid w:val="00BD4E12"/>
    <w:rsid w:val="00BD5D4E"/>
    <w:rsid w:val="00BD5F59"/>
    <w:rsid w:val="00BD7902"/>
    <w:rsid w:val="00BD7991"/>
    <w:rsid w:val="00BE0BDD"/>
    <w:rsid w:val="00BE21E3"/>
    <w:rsid w:val="00BE2E8E"/>
    <w:rsid w:val="00BE305B"/>
    <w:rsid w:val="00BE5F4E"/>
    <w:rsid w:val="00BE62B2"/>
    <w:rsid w:val="00BE6350"/>
    <w:rsid w:val="00BE67F1"/>
    <w:rsid w:val="00BE7287"/>
    <w:rsid w:val="00BE7C93"/>
    <w:rsid w:val="00BF0362"/>
    <w:rsid w:val="00BF0479"/>
    <w:rsid w:val="00BF0D73"/>
    <w:rsid w:val="00BF1D23"/>
    <w:rsid w:val="00BF1F82"/>
    <w:rsid w:val="00BF2520"/>
    <w:rsid w:val="00BF3470"/>
    <w:rsid w:val="00BF3B94"/>
    <w:rsid w:val="00BF3F3D"/>
    <w:rsid w:val="00BF3FF8"/>
    <w:rsid w:val="00BF4C53"/>
    <w:rsid w:val="00BF54DC"/>
    <w:rsid w:val="00BF5748"/>
    <w:rsid w:val="00BF5E67"/>
    <w:rsid w:val="00BF6270"/>
    <w:rsid w:val="00BF67B7"/>
    <w:rsid w:val="00BF770B"/>
    <w:rsid w:val="00C01510"/>
    <w:rsid w:val="00C01CEB"/>
    <w:rsid w:val="00C01F6E"/>
    <w:rsid w:val="00C03249"/>
    <w:rsid w:val="00C04BAE"/>
    <w:rsid w:val="00C05896"/>
    <w:rsid w:val="00C0599A"/>
    <w:rsid w:val="00C06748"/>
    <w:rsid w:val="00C073DA"/>
    <w:rsid w:val="00C07C15"/>
    <w:rsid w:val="00C10B9B"/>
    <w:rsid w:val="00C10C30"/>
    <w:rsid w:val="00C1104C"/>
    <w:rsid w:val="00C11467"/>
    <w:rsid w:val="00C11577"/>
    <w:rsid w:val="00C1166B"/>
    <w:rsid w:val="00C11DC5"/>
    <w:rsid w:val="00C11F13"/>
    <w:rsid w:val="00C11F39"/>
    <w:rsid w:val="00C11F55"/>
    <w:rsid w:val="00C12249"/>
    <w:rsid w:val="00C1250E"/>
    <w:rsid w:val="00C138E7"/>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F8A"/>
    <w:rsid w:val="00C24B05"/>
    <w:rsid w:val="00C25D31"/>
    <w:rsid w:val="00C265D0"/>
    <w:rsid w:val="00C26FE5"/>
    <w:rsid w:val="00C3022B"/>
    <w:rsid w:val="00C30723"/>
    <w:rsid w:val="00C31756"/>
    <w:rsid w:val="00C31A70"/>
    <w:rsid w:val="00C31F7F"/>
    <w:rsid w:val="00C32186"/>
    <w:rsid w:val="00C335AE"/>
    <w:rsid w:val="00C33E83"/>
    <w:rsid w:val="00C34DDC"/>
    <w:rsid w:val="00C34E1F"/>
    <w:rsid w:val="00C35C70"/>
    <w:rsid w:val="00C35E26"/>
    <w:rsid w:val="00C3626A"/>
    <w:rsid w:val="00C36684"/>
    <w:rsid w:val="00C36F0A"/>
    <w:rsid w:val="00C36F4F"/>
    <w:rsid w:val="00C372CB"/>
    <w:rsid w:val="00C3798E"/>
    <w:rsid w:val="00C4067A"/>
    <w:rsid w:val="00C41480"/>
    <w:rsid w:val="00C41516"/>
    <w:rsid w:val="00C44052"/>
    <w:rsid w:val="00C44368"/>
    <w:rsid w:val="00C44EC5"/>
    <w:rsid w:val="00C46111"/>
    <w:rsid w:val="00C46822"/>
    <w:rsid w:val="00C46CE5"/>
    <w:rsid w:val="00C47CFC"/>
    <w:rsid w:val="00C50260"/>
    <w:rsid w:val="00C51395"/>
    <w:rsid w:val="00C51553"/>
    <w:rsid w:val="00C518A5"/>
    <w:rsid w:val="00C51A60"/>
    <w:rsid w:val="00C52334"/>
    <w:rsid w:val="00C52C65"/>
    <w:rsid w:val="00C53110"/>
    <w:rsid w:val="00C53B12"/>
    <w:rsid w:val="00C53ED6"/>
    <w:rsid w:val="00C541B2"/>
    <w:rsid w:val="00C54928"/>
    <w:rsid w:val="00C54A44"/>
    <w:rsid w:val="00C54E2A"/>
    <w:rsid w:val="00C5661F"/>
    <w:rsid w:val="00C57085"/>
    <w:rsid w:val="00C575AF"/>
    <w:rsid w:val="00C576FC"/>
    <w:rsid w:val="00C60361"/>
    <w:rsid w:val="00C60738"/>
    <w:rsid w:val="00C608D7"/>
    <w:rsid w:val="00C60D9F"/>
    <w:rsid w:val="00C61D76"/>
    <w:rsid w:val="00C620BA"/>
    <w:rsid w:val="00C627C5"/>
    <w:rsid w:val="00C6395F"/>
    <w:rsid w:val="00C63C3D"/>
    <w:rsid w:val="00C644BF"/>
    <w:rsid w:val="00C64CC7"/>
    <w:rsid w:val="00C65163"/>
    <w:rsid w:val="00C65B6B"/>
    <w:rsid w:val="00C66492"/>
    <w:rsid w:val="00C664AB"/>
    <w:rsid w:val="00C66584"/>
    <w:rsid w:val="00C66705"/>
    <w:rsid w:val="00C67754"/>
    <w:rsid w:val="00C70254"/>
    <w:rsid w:val="00C703C0"/>
    <w:rsid w:val="00C706D1"/>
    <w:rsid w:val="00C70FAE"/>
    <w:rsid w:val="00C71284"/>
    <w:rsid w:val="00C71320"/>
    <w:rsid w:val="00C719C3"/>
    <w:rsid w:val="00C72DD5"/>
    <w:rsid w:val="00C733A6"/>
    <w:rsid w:val="00C7359E"/>
    <w:rsid w:val="00C737B0"/>
    <w:rsid w:val="00C73D39"/>
    <w:rsid w:val="00C7675A"/>
    <w:rsid w:val="00C76E9D"/>
    <w:rsid w:val="00C816DF"/>
    <w:rsid w:val="00C81EE9"/>
    <w:rsid w:val="00C820EE"/>
    <w:rsid w:val="00C84713"/>
    <w:rsid w:val="00C84758"/>
    <w:rsid w:val="00C853AB"/>
    <w:rsid w:val="00C85AF6"/>
    <w:rsid w:val="00C85F72"/>
    <w:rsid w:val="00C86896"/>
    <w:rsid w:val="00C876E1"/>
    <w:rsid w:val="00C90162"/>
    <w:rsid w:val="00C908A9"/>
    <w:rsid w:val="00C908BE"/>
    <w:rsid w:val="00C91507"/>
    <w:rsid w:val="00C93DBE"/>
    <w:rsid w:val="00C940C2"/>
    <w:rsid w:val="00C952E9"/>
    <w:rsid w:val="00C95AC8"/>
    <w:rsid w:val="00C9760B"/>
    <w:rsid w:val="00C976E0"/>
    <w:rsid w:val="00C9796B"/>
    <w:rsid w:val="00C97C19"/>
    <w:rsid w:val="00CA0174"/>
    <w:rsid w:val="00CA018B"/>
    <w:rsid w:val="00CA0C53"/>
    <w:rsid w:val="00CA1AE4"/>
    <w:rsid w:val="00CA1E0C"/>
    <w:rsid w:val="00CA1FA7"/>
    <w:rsid w:val="00CA20E3"/>
    <w:rsid w:val="00CA245C"/>
    <w:rsid w:val="00CA26EC"/>
    <w:rsid w:val="00CA3071"/>
    <w:rsid w:val="00CA423D"/>
    <w:rsid w:val="00CA4607"/>
    <w:rsid w:val="00CA5AF9"/>
    <w:rsid w:val="00CA5D0C"/>
    <w:rsid w:val="00CA5E13"/>
    <w:rsid w:val="00CA625D"/>
    <w:rsid w:val="00CA69FF"/>
    <w:rsid w:val="00CA6F73"/>
    <w:rsid w:val="00CA6FA3"/>
    <w:rsid w:val="00CA7A1F"/>
    <w:rsid w:val="00CA7DAF"/>
    <w:rsid w:val="00CB017E"/>
    <w:rsid w:val="00CB0226"/>
    <w:rsid w:val="00CB0717"/>
    <w:rsid w:val="00CB0A65"/>
    <w:rsid w:val="00CB1177"/>
    <w:rsid w:val="00CB143F"/>
    <w:rsid w:val="00CB1618"/>
    <w:rsid w:val="00CB1A88"/>
    <w:rsid w:val="00CB277F"/>
    <w:rsid w:val="00CB3318"/>
    <w:rsid w:val="00CB3628"/>
    <w:rsid w:val="00CB407C"/>
    <w:rsid w:val="00CB46B4"/>
    <w:rsid w:val="00CB4940"/>
    <w:rsid w:val="00CB4ED8"/>
    <w:rsid w:val="00CB55F7"/>
    <w:rsid w:val="00CB5D5B"/>
    <w:rsid w:val="00CB6E94"/>
    <w:rsid w:val="00CB7060"/>
    <w:rsid w:val="00CB77F2"/>
    <w:rsid w:val="00CB7DD6"/>
    <w:rsid w:val="00CC0438"/>
    <w:rsid w:val="00CC0563"/>
    <w:rsid w:val="00CC140D"/>
    <w:rsid w:val="00CC1E56"/>
    <w:rsid w:val="00CC201A"/>
    <w:rsid w:val="00CC2270"/>
    <w:rsid w:val="00CC3277"/>
    <w:rsid w:val="00CC385B"/>
    <w:rsid w:val="00CC4207"/>
    <w:rsid w:val="00CC48CB"/>
    <w:rsid w:val="00CC4998"/>
    <w:rsid w:val="00CC5222"/>
    <w:rsid w:val="00CC5775"/>
    <w:rsid w:val="00CC5819"/>
    <w:rsid w:val="00CC62C6"/>
    <w:rsid w:val="00CC62CD"/>
    <w:rsid w:val="00CC7881"/>
    <w:rsid w:val="00CC7971"/>
    <w:rsid w:val="00CD0422"/>
    <w:rsid w:val="00CD0982"/>
    <w:rsid w:val="00CD124B"/>
    <w:rsid w:val="00CD19CF"/>
    <w:rsid w:val="00CD2987"/>
    <w:rsid w:val="00CD2A22"/>
    <w:rsid w:val="00CD2A3D"/>
    <w:rsid w:val="00CD2EE0"/>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793F"/>
    <w:rsid w:val="00CE7E6F"/>
    <w:rsid w:val="00CF0724"/>
    <w:rsid w:val="00CF15DD"/>
    <w:rsid w:val="00CF223D"/>
    <w:rsid w:val="00CF2824"/>
    <w:rsid w:val="00CF3357"/>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69A"/>
    <w:rsid w:val="00D01CC4"/>
    <w:rsid w:val="00D01E6B"/>
    <w:rsid w:val="00D0354D"/>
    <w:rsid w:val="00D04475"/>
    <w:rsid w:val="00D0497C"/>
    <w:rsid w:val="00D04EF3"/>
    <w:rsid w:val="00D04F45"/>
    <w:rsid w:val="00D04FAA"/>
    <w:rsid w:val="00D0548B"/>
    <w:rsid w:val="00D05AEE"/>
    <w:rsid w:val="00D05D6E"/>
    <w:rsid w:val="00D0648D"/>
    <w:rsid w:val="00D06D2C"/>
    <w:rsid w:val="00D06EB9"/>
    <w:rsid w:val="00D0753E"/>
    <w:rsid w:val="00D1153F"/>
    <w:rsid w:val="00D11995"/>
    <w:rsid w:val="00D11CFD"/>
    <w:rsid w:val="00D12432"/>
    <w:rsid w:val="00D13808"/>
    <w:rsid w:val="00D146FE"/>
    <w:rsid w:val="00D1581E"/>
    <w:rsid w:val="00D15D19"/>
    <w:rsid w:val="00D15D93"/>
    <w:rsid w:val="00D15DA1"/>
    <w:rsid w:val="00D15EEC"/>
    <w:rsid w:val="00D1635E"/>
    <w:rsid w:val="00D16380"/>
    <w:rsid w:val="00D163FF"/>
    <w:rsid w:val="00D166B5"/>
    <w:rsid w:val="00D167D0"/>
    <w:rsid w:val="00D16E87"/>
    <w:rsid w:val="00D17335"/>
    <w:rsid w:val="00D2079E"/>
    <w:rsid w:val="00D21356"/>
    <w:rsid w:val="00D216EE"/>
    <w:rsid w:val="00D220B5"/>
    <w:rsid w:val="00D232D8"/>
    <w:rsid w:val="00D233CD"/>
    <w:rsid w:val="00D23500"/>
    <w:rsid w:val="00D23AD3"/>
    <w:rsid w:val="00D23FC0"/>
    <w:rsid w:val="00D23FCE"/>
    <w:rsid w:val="00D24364"/>
    <w:rsid w:val="00D2469E"/>
    <w:rsid w:val="00D2649E"/>
    <w:rsid w:val="00D27300"/>
    <w:rsid w:val="00D27875"/>
    <w:rsid w:val="00D307FD"/>
    <w:rsid w:val="00D30A3B"/>
    <w:rsid w:val="00D31E2D"/>
    <w:rsid w:val="00D321E8"/>
    <w:rsid w:val="00D328E1"/>
    <w:rsid w:val="00D32E01"/>
    <w:rsid w:val="00D33975"/>
    <w:rsid w:val="00D33A8C"/>
    <w:rsid w:val="00D350E5"/>
    <w:rsid w:val="00D35597"/>
    <w:rsid w:val="00D35689"/>
    <w:rsid w:val="00D365FA"/>
    <w:rsid w:val="00D3668D"/>
    <w:rsid w:val="00D37093"/>
    <w:rsid w:val="00D37286"/>
    <w:rsid w:val="00D40425"/>
    <w:rsid w:val="00D40BC3"/>
    <w:rsid w:val="00D40D6B"/>
    <w:rsid w:val="00D4129E"/>
    <w:rsid w:val="00D418A3"/>
    <w:rsid w:val="00D41AB6"/>
    <w:rsid w:val="00D42946"/>
    <w:rsid w:val="00D43984"/>
    <w:rsid w:val="00D4459D"/>
    <w:rsid w:val="00D46BE9"/>
    <w:rsid w:val="00D46FA2"/>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119"/>
    <w:rsid w:val="00D55425"/>
    <w:rsid w:val="00D5578A"/>
    <w:rsid w:val="00D5616C"/>
    <w:rsid w:val="00D56C00"/>
    <w:rsid w:val="00D57082"/>
    <w:rsid w:val="00D577BB"/>
    <w:rsid w:val="00D57B91"/>
    <w:rsid w:val="00D61CC5"/>
    <w:rsid w:val="00D62320"/>
    <w:rsid w:val="00D6248B"/>
    <w:rsid w:val="00D62B5D"/>
    <w:rsid w:val="00D63379"/>
    <w:rsid w:val="00D635B1"/>
    <w:rsid w:val="00D639C5"/>
    <w:rsid w:val="00D63DB5"/>
    <w:rsid w:val="00D63E14"/>
    <w:rsid w:val="00D64155"/>
    <w:rsid w:val="00D64BEA"/>
    <w:rsid w:val="00D65C02"/>
    <w:rsid w:val="00D661D2"/>
    <w:rsid w:val="00D66410"/>
    <w:rsid w:val="00D66550"/>
    <w:rsid w:val="00D66648"/>
    <w:rsid w:val="00D66FDA"/>
    <w:rsid w:val="00D67292"/>
    <w:rsid w:val="00D70372"/>
    <w:rsid w:val="00D70C38"/>
    <w:rsid w:val="00D710E5"/>
    <w:rsid w:val="00D71197"/>
    <w:rsid w:val="00D7178C"/>
    <w:rsid w:val="00D72008"/>
    <w:rsid w:val="00D72192"/>
    <w:rsid w:val="00D72D32"/>
    <w:rsid w:val="00D731D1"/>
    <w:rsid w:val="00D73645"/>
    <w:rsid w:val="00D73AC1"/>
    <w:rsid w:val="00D73BD2"/>
    <w:rsid w:val="00D73FC4"/>
    <w:rsid w:val="00D73FE8"/>
    <w:rsid w:val="00D74538"/>
    <w:rsid w:val="00D749A0"/>
    <w:rsid w:val="00D749CB"/>
    <w:rsid w:val="00D74C9E"/>
    <w:rsid w:val="00D75F19"/>
    <w:rsid w:val="00D77AD8"/>
    <w:rsid w:val="00D80605"/>
    <w:rsid w:val="00D80973"/>
    <w:rsid w:val="00D80BD8"/>
    <w:rsid w:val="00D82A2B"/>
    <w:rsid w:val="00D8301D"/>
    <w:rsid w:val="00D8473E"/>
    <w:rsid w:val="00D86255"/>
    <w:rsid w:val="00D863D1"/>
    <w:rsid w:val="00D872B7"/>
    <w:rsid w:val="00D87DCF"/>
    <w:rsid w:val="00D87F5B"/>
    <w:rsid w:val="00D90125"/>
    <w:rsid w:val="00D9057B"/>
    <w:rsid w:val="00D9096B"/>
    <w:rsid w:val="00D90ED1"/>
    <w:rsid w:val="00D91C34"/>
    <w:rsid w:val="00D925C5"/>
    <w:rsid w:val="00D9279F"/>
    <w:rsid w:val="00D94E4C"/>
    <w:rsid w:val="00D95709"/>
    <w:rsid w:val="00D958D7"/>
    <w:rsid w:val="00D967B8"/>
    <w:rsid w:val="00D96B2B"/>
    <w:rsid w:val="00D96D46"/>
    <w:rsid w:val="00D97B72"/>
    <w:rsid w:val="00D97CF6"/>
    <w:rsid w:val="00DA0BBE"/>
    <w:rsid w:val="00DA11AE"/>
    <w:rsid w:val="00DA16E5"/>
    <w:rsid w:val="00DA1BE9"/>
    <w:rsid w:val="00DA1E6C"/>
    <w:rsid w:val="00DA2469"/>
    <w:rsid w:val="00DA283D"/>
    <w:rsid w:val="00DA3E12"/>
    <w:rsid w:val="00DA4141"/>
    <w:rsid w:val="00DA417B"/>
    <w:rsid w:val="00DA45BD"/>
    <w:rsid w:val="00DA52EB"/>
    <w:rsid w:val="00DA5CD6"/>
    <w:rsid w:val="00DA683F"/>
    <w:rsid w:val="00DA6868"/>
    <w:rsid w:val="00DB0312"/>
    <w:rsid w:val="00DB115A"/>
    <w:rsid w:val="00DB3213"/>
    <w:rsid w:val="00DB387C"/>
    <w:rsid w:val="00DB42F5"/>
    <w:rsid w:val="00DB43F8"/>
    <w:rsid w:val="00DB46DA"/>
    <w:rsid w:val="00DB5A7F"/>
    <w:rsid w:val="00DB640B"/>
    <w:rsid w:val="00DB656B"/>
    <w:rsid w:val="00DB6A23"/>
    <w:rsid w:val="00DB75BE"/>
    <w:rsid w:val="00DB7D6B"/>
    <w:rsid w:val="00DB7F19"/>
    <w:rsid w:val="00DC00C2"/>
    <w:rsid w:val="00DC01DD"/>
    <w:rsid w:val="00DC29D6"/>
    <w:rsid w:val="00DC430F"/>
    <w:rsid w:val="00DC43B0"/>
    <w:rsid w:val="00DC478C"/>
    <w:rsid w:val="00DC47BF"/>
    <w:rsid w:val="00DC4CEC"/>
    <w:rsid w:val="00DC5F0A"/>
    <w:rsid w:val="00DC6348"/>
    <w:rsid w:val="00DC6447"/>
    <w:rsid w:val="00DC6F43"/>
    <w:rsid w:val="00DD0C80"/>
    <w:rsid w:val="00DD2409"/>
    <w:rsid w:val="00DD2798"/>
    <w:rsid w:val="00DD2A6B"/>
    <w:rsid w:val="00DD2C10"/>
    <w:rsid w:val="00DD3946"/>
    <w:rsid w:val="00DD3A79"/>
    <w:rsid w:val="00DD4174"/>
    <w:rsid w:val="00DD418A"/>
    <w:rsid w:val="00DD452E"/>
    <w:rsid w:val="00DD4929"/>
    <w:rsid w:val="00DD60FC"/>
    <w:rsid w:val="00DD6998"/>
    <w:rsid w:val="00DD7C32"/>
    <w:rsid w:val="00DE00A7"/>
    <w:rsid w:val="00DE0A7D"/>
    <w:rsid w:val="00DE0B84"/>
    <w:rsid w:val="00DE0DC9"/>
    <w:rsid w:val="00DE12EF"/>
    <w:rsid w:val="00DE19AA"/>
    <w:rsid w:val="00DE367F"/>
    <w:rsid w:val="00DE3E2A"/>
    <w:rsid w:val="00DE5469"/>
    <w:rsid w:val="00DE5D28"/>
    <w:rsid w:val="00DE5D83"/>
    <w:rsid w:val="00DE7DBA"/>
    <w:rsid w:val="00DE7FB5"/>
    <w:rsid w:val="00DF0953"/>
    <w:rsid w:val="00DF1B20"/>
    <w:rsid w:val="00DF28B5"/>
    <w:rsid w:val="00DF354D"/>
    <w:rsid w:val="00DF3B05"/>
    <w:rsid w:val="00DF44BC"/>
    <w:rsid w:val="00DF46D2"/>
    <w:rsid w:val="00DF5209"/>
    <w:rsid w:val="00DF5300"/>
    <w:rsid w:val="00DF649D"/>
    <w:rsid w:val="00DF6701"/>
    <w:rsid w:val="00E00733"/>
    <w:rsid w:val="00E00948"/>
    <w:rsid w:val="00E00C13"/>
    <w:rsid w:val="00E00C41"/>
    <w:rsid w:val="00E00D38"/>
    <w:rsid w:val="00E01D40"/>
    <w:rsid w:val="00E024F6"/>
    <w:rsid w:val="00E0287E"/>
    <w:rsid w:val="00E02D84"/>
    <w:rsid w:val="00E037FD"/>
    <w:rsid w:val="00E04271"/>
    <w:rsid w:val="00E04D1B"/>
    <w:rsid w:val="00E053BA"/>
    <w:rsid w:val="00E0562D"/>
    <w:rsid w:val="00E05C05"/>
    <w:rsid w:val="00E06510"/>
    <w:rsid w:val="00E072B0"/>
    <w:rsid w:val="00E07C90"/>
    <w:rsid w:val="00E111E7"/>
    <w:rsid w:val="00E111F8"/>
    <w:rsid w:val="00E1153D"/>
    <w:rsid w:val="00E12041"/>
    <w:rsid w:val="00E12618"/>
    <w:rsid w:val="00E129DF"/>
    <w:rsid w:val="00E12B5D"/>
    <w:rsid w:val="00E13435"/>
    <w:rsid w:val="00E13F23"/>
    <w:rsid w:val="00E143D4"/>
    <w:rsid w:val="00E14773"/>
    <w:rsid w:val="00E1521D"/>
    <w:rsid w:val="00E154D2"/>
    <w:rsid w:val="00E155E5"/>
    <w:rsid w:val="00E16E19"/>
    <w:rsid w:val="00E1769F"/>
    <w:rsid w:val="00E17930"/>
    <w:rsid w:val="00E17F98"/>
    <w:rsid w:val="00E20164"/>
    <w:rsid w:val="00E20519"/>
    <w:rsid w:val="00E21AA6"/>
    <w:rsid w:val="00E223DC"/>
    <w:rsid w:val="00E2304B"/>
    <w:rsid w:val="00E2320D"/>
    <w:rsid w:val="00E23447"/>
    <w:rsid w:val="00E23F6C"/>
    <w:rsid w:val="00E23FBF"/>
    <w:rsid w:val="00E24A35"/>
    <w:rsid w:val="00E24B61"/>
    <w:rsid w:val="00E24E2E"/>
    <w:rsid w:val="00E25093"/>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4156"/>
    <w:rsid w:val="00E3511E"/>
    <w:rsid w:val="00E36CFD"/>
    <w:rsid w:val="00E36F8A"/>
    <w:rsid w:val="00E37A6A"/>
    <w:rsid w:val="00E37CC3"/>
    <w:rsid w:val="00E40479"/>
    <w:rsid w:val="00E40FB5"/>
    <w:rsid w:val="00E41884"/>
    <w:rsid w:val="00E4192C"/>
    <w:rsid w:val="00E41DF6"/>
    <w:rsid w:val="00E420CB"/>
    <w:rsid w:val="00E42C15"/>
    <w:rsid w:val="00E42FB9"/>
    <w:rsid w:val="00E451B6"/>
    <w:rsid w:val="00E454AD"/>
    <w:rsid w:val="00E4671A"/>
    <w:rsid w:val="00E474DE"/>
    <w:rsid w:val="00E47920"/>
    <w:rsid w:val="00E4794A"/>
    <w:rsid w:val="00E5019C"/>
    <w:rsid w:val="00E51311"/>
    <w:rsid w:val="00E51D11"/>
    <w:rsid w:val="00E52056"/>
    <w:rsid w:val="00E522E3"/>
    <w:rsid w:val="00E52841"/>
    <w:rsid w:val="00E52878"/>
    <w:rsid w:val="00E52FF6"/>
    <w:rsid w:val="00E530E1"/>
    <w:rsid w:val="00E532BD"/>
    <w:rsid w:val="00E53AA2"/>
    <w:rsid w:val="00E53D9D"/>
    <w:rsid w:val="00E54446"/>
    <w:rsid w:val="00E54704"/>
    <w:rsid w:val="00E55DC8"/>
    <w:rsid w:val="00E567C7"/>
    <w:rsid w:val="00E56821"/>
    <w:rsid w:val="00E569DE"/>
    <w:rsid w:val="00E56F73"/>
    <w:rsid w:val="00E603AF"/>
    <w:rsid w:val="00E604FA"/>
    <w:rsid w:val="00E60FAB"/>
    <w:rsid w:val="00E61402"/>
    <w:rsid w:val="00E615BD"/>
    <w:rsid w:val="00E61F48"/>
    <w:rsid w:val="00E62A1B"/>
    <w:rsid w:val="00E62B98"/>
    <w:rsid w:val="00E62F16"/>
    <w:rsid w:val="00E631E5"/>
    <w:rsid w:val="00E6329E"/>
    <w:rsid w:val="00E6390E"/>
    <w:rsid w:val="00E65018"/>
    <w:rsid w:val="00E652FF"/>
    <w:rsid w:val="00E66EAB"/>
    <w:rsid w:val="00E67339"/>
    <w:rsid w:val="00E6734C"/>
    <w:rsid w:val="00E67560"/>
    <w:rsid w:val="00E67B4D"/>
    <w:rsid w:val="00E67B50"/>
    <w:rsid w:val="00E67EF0"/>
    <w:rsid w:val="00E705EE"/>
    <w:rsid w:val="00E70B72"/>
    <w:rsid w:val="00E70FDA"/>
    <w:rsid w:val="00E722A2"/>
    <w:rsid w:val="00E729B9"/>
    <w:rsid w:val="00E730FA"/>
    <w:rsid w:val="00E742E4"/>
    <w:rsid w:val="00E752A9"/>
    <w:rsid w:val="00E75529"/>
    <w:rsid w:val="00E75654"/>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3FF4"/>
    <w:rsid w:val="00E84272"/>
    <w:rsid w:val="00E843F7"/>
    <w:rsid w:val="00E846F7"/>
    <w:rsid w:val="00E84FD5"/>
    <w:rsid w:val="00E8551B"/>
    <w:rsid w:val="00E878A3"/>
    <w:rsid w:val="00E900A4"/>
    <w:rsid w:val="00E9041B"/>
    <w:rsid w:val="00E91398"/>
    <w:rsid w:val="00E9159F"/>
    <w:rsid w:val="00E91BF4"/>
    <w:rsid w:val="00E91E02"/>
    <w:rsid w:val="00E92398"/>
    <w:rsid w:val="00E923F5"/>
    <w:rsid w:val="00E92CBF"/>
    <w:rsid w:val="00E92E0A"/>
    <w:rsid w:val="00E9381C"/>
    <w:rsid w:val="00E93CFD"/>
    <w:rsid w:val="00E94584"/>
    <w:rsid w:val="00E95C26"/>
    <w:rsid w:val="00E95CEA"/>
    <w:rsid w:val="00E967F1"/>
    <w:rsid w:val="00E97FE2"/>
    <w:rsid w:val="00EA08E8"/>
    <w:rsid w:val="00EA0F7E"/>
    <w:rsid w:val="00EA12CE"/>
    <w:rsid w:val="00EA1903"/>
    <w:rsid w:val="00EA19A5"/>
    <w:rsid w:val="00EA1A5A"/>
    <w:rsid w:val="00EA1CAD"/>
    <w:rsid w:val="00EA2FC0"/>
    <w:rsid w:val="00EA306F"/>
    <w:rsid w:val="00EA3F5C"/>
    <w:rsid w:val="00EA4397"/>
    <w:rsid w:val="00EA499D"/>
    <w:rsid w:val="00EA4FFF"/>
    <w:rsid w:val="00EA54AD"/>
    <w:rsid w:val="00EA58A0"/>
    <w:rsid w:val="00EA5AE3"/>
    <w:rsid w:val="00EA5C8C"/>
    <w:rsid w:val="00EA5ECB"/>
    <w:rsid w:val="00EA622F"/>
    <w:rsid w:val="00EA62F8"/>
    <w:rsid w:val="00EA6B56"/>
    <w:rsid w:val="00EA6D49"/>
    <w:rsid w:val="00EA7D0C"/>
    <w:rsid w:val="00EA7F0B"/>
    <w:rsid w:val="00EB0CCF"/>
    <w:rsid w:val="00EB114C"/>
    <w:rsid w:val="00EB18C0"/>
    <w:rsid w:val="00EB20F4"/>
    <w:rsid w:val="00EB2490"/>
    <w:rsid w:val="00EB3F05"/>
    <w:rsid w:val="00EB56C4"/>
    <w:rsid w:val="00EB5955"/>
    <w:rsid w:val="00EB6662"/>
    <w:rsid w:val="00EB6E71"/>
    <w:rsid w:val="00EC05E1"/>
    <w:rsid w:val="00EC07BA"/>
    <w:rsid w:val="00EC08E4"/>
    <w:rsid w:val="00EC191E"/>
    <w:rsid w:val="00EC23D8"/>
    <w:rsid w:val="00EC25BB"/>
    <w:rsid w:val="00EC3785"/>
    <w:rsid w:val="00EC3B2D"/>
    <w:rsid w:val="00EC3E5A"/>
    <w:rsid w:val="00EC458A"/>
    <w:rsid w:val="00EC4BBA"/>
    <w:rsid w:val="00EC51A1"/>
    <w:rsid w:val="00EC6178"/>
    <w:rsid w:val="00EC65DD"/>
    <w:rsid w:val="00EC6A56"/>
    <w:rsid w:val="00EC7166"/>
    <w:rsid w:val="00EC75D3"/>
    <w:rsid w:val="00EC7A66"/>
    <w:rsid w:val="00EC7E78"/>
    <w:rsid w:val="00ED0334"/>
    <w:rsid w:val="00ED06AD"/>
    <w:rsid w:val="00ED0BED"/>
    <w:rsid w:val="00ED1232"/>
    <w:rsid w:val="00ED198B"/>
    <w:rsid w:val="00ED1A7F"/>
    <w:rsid w:val="00ED22C5"/>
    <w:rsid w:val="00ED3503"/>
    <w:rsid w:val="00ED4DFC"/>
    <w:rsid w:val="00ED4E42"/>
    <w:rsid w:val="00ED5E54"/>
    <w:rsid w:val="00ED7786"/>
    <w:rsid w:val="00ED7EA9"/>
    <w:rsid w:val="00EE00E5"/>
    <w:rsid w:val="00EE0B31"/>
    <w:rsid w:val="00EE1E9C"/>
    <w:rsid w:val="00EE200B"/>
    <w:rsid w:val="00EE2083"/>
    <w:rsid w:val="00EE20A8"/>
    <w:rsid w:val="00EE23BC"/>
    <w:rsid w:val="00EE25D9"/>
    <w:rsid w:val="00EE29CE"/>
    <w:rsid w:val="00EE2D89"/>
    <w:rsid w:val="00EE395B"/>
    <w:rsid w:val="00EE433B"/>
    <w:rsid w:val="00EE46D0"/>
    <w:rsid w:val="00EE476D"/>
    <w:rsid w:val="00EE49A6"/>
    <w:rsid w:val="00EE4C73"/>
    <w:rsid w:val="00EE5C23"/>
    <w:rsid w:val="00EE67FE"/>
    <w:rsid w:val="00EE703E"/>
    <w:rsid w:val="00EE707E"/>
    <w:rsid w:val="00EE749C"/>
    <w:rsid w:val="00EE76F0"/>
    <w:rsid w:val="00EE7B1C"/>
    <w:rsid w:val="00EF02BD"/>
    <w:rsid w:val="00EF17B9"/>
    <w:rsid w:val="00EF1EB9"/>
    <w:rsid w:val="00EF274D"/>
    <w:rsid w:val="00EF2A0D"/>
    <w:rsid w:val="00EF2AF1"/>
    <w:rsid w:val="00EF34F6"/>
    <w:rsid w:val="00EF355D"/>
    <w:rsid w:val="00EF3725"/>
    <w:rsid w:val="00EF37B5"/>
    <w:rsid w:val="00EF388A"/>
    <w:rsid w:val="00EF3D14"/>
    <w:rsid w:val="00EF3EEE"/>
    <w:rsid w:val="00EF3F88"/>
    <w:rsid w:val="00EF75A6"/>
    <w:rsid w:val="00F0045E"/>
    <w:rsid w:val="00F006D2"/>
    <w:rsid w:val="00F00724"/>
    <w:rsid w:val="00F00774"/>
    <w:rsid w:val="00F0081B"/>
    <w:rsid w:val="00F01968"/>
    <w:rsid w:val="00F01F95"/>
    <w:rsid w:val="00F0256E"/>
    <w:rsid w:val="00F03681"/>
    <w:rsid w:val="00F03E2F"/>
    <w:rsid w:val="00F04D9B"/>
    <w:rsid w:val="00F04FE9"/>
    <w:rsid w:val="00F0588E"/>
    <w:rsid w:val="00F05AB5"/>
    <w:rsid w:val="00F05BC9"/>
    <w:rsid w:val="00F0608B"/>
    <w:rsid w:val="00F063BA"/>
    <w:rsid w:val="00F0659C"/>
    <w:rsid w:val="00F06776"/>
    <w:rsid w:val="00F06CDD"/>
    <w:rsid w:val="00F06D5D"/>
    <w:rsid w:val="00F11AA5"/>
    <w:rsid w:val="00F11E55"/>
    <w:rsid w:val="00F11FBD"/>
    <w:rsid w:val="00F128DE"/>
    <w:rsid w:val="00F12DF4"/>
    <w:rsid w:val="00F13400"/>
    <w:rsid w:val="00F13C00"/>
    <w:rsid w:val="00F1411B"/>
    <w:rsid w:val="00F149A9"/>
    <w:rsid w:val="00F14C07"/>
    <w:rsid w:val="00F14C0C"/>
    <w:rsid w:val="00F14CD6"/>
    <w:rsid w:val="00F154D7"/>
    <w:rsid w:val="00F1585C"/>
    <w:rsid w:val="00F15FFE"/>
    <w:rsid w:val="00F16901"/>
    <w:rsid w:val="00F17267"/>
    <w:rsid w:val="00F2210C"/>
    <w:rsid w:val="00F22A30"/>
    <w:rsid w:val="00F231FB"/>
    <w:rsid w:val="00F243C4"/>
    <w:rsid w:val="00F243FF"/>
    <w:rsid w:val="00F25199"/>
    <w:rsid w:val="00F254D8"/>
    <w:rsid w:val="00F26A46"/>
    <w:rsid w:val="00F26CDC"/>
    <w:rsid w:val="00F26F86"/>
    <w:rsid w:val="00F2780A"/>
    <w:rsid w:val="00F314EF"/>
    <w:rsid w:val="00F3167E"/>
    <w:rsid w:val="00F332B2"/>
    <w:rsid w:val="00F3341F"/>
    <w:rsid w:val="00F33DD2"/>
    <w:rsid w:val="00F33E94"/>
    <w:rsid w:val="00F33F0D"/>
    <w:rsid w:val="00F352BD"/>
    <w:rsid w:val="00F3589E"/>
    <w:rsid w:val="00F35DAE"/>
    <w:rsid w:val="00F368F2"/>
    <w:rsid w:val="00F3715D"/>
    <w:rsid w:val="00F37A09"/>
    <w:rsid w:val="00F404BF"/>
    <w:rsid w:val="00F40EB5"/>
    <w:rsid w:val="00F40F31"/>
    <w:rsid w:val="00F41380"/>
    <w:rsid w:val="00F41421"/>
    <w:rsid w:val="00F41886"/>
    <w:rsid w:val="00F419C3"/>
    <w:rsid w:val="00F41A80"/>
    <w:rsid w:val="00F41C4B"/>
    <w:rsid w:val="00F431E3"/>
    <w:rsid w:val="00F43206"/>
    <w:rsid w:val="00F435B6"/>
    <w:rsid w:val="00F43849"/>
    <w:rsid w:val="00F4392C"/>
    <w:rsid w:val="00F442F6"/>
    <w:rsid w:val="00F448F9"/>
    <w:rsid w:val="00F44EC7"/>
    <w:rsid w:val="00F452E7"/>
    <w:rsid w:val="00F4670C"/>
    <w:rsid w:val="00F467C0"/>
    <w:rsid w:val="00F47C6B"/>
    <w:rsid w:val="00F503D2"/>
    <w:rsid w:val="00F505AC"/>
    <w:rsid w:val="00F50603"/>
    <w:rsid w:val="00F50C03"/>
    <w:rsid w:val="00F50F47"/>
    <w:rsid w:val="00F51899"/>
    <w:rsid w:val="00F51E43"/>
    <w:rsid w:val="00F5253A"/>
    <w:rsid w:val="00F5287D"/>
    <w:rsid w:val="00F52EBA"/>
    <w:rsid w:val="00F5325B"/>
    <w:rsid w:val="00F53AF0"/>
    <w:rsid w:val="00F54928"/>
    <w:rsid w:val="00F55337"/>
    <w:rsid w:val="00F55F0A"/>
    <w:rsid w:val="00F5652C"/>
    <w:rsid w:val="00F568F6"/>
    <w:rsid w:val="00F57843"/>
    <w:rsid w:val="00F57C49"/>
    <w:rsid w:val="00F57D6B"/>
    <w:rsid w:val="00F609BF"/>
    <w:rsid w:val="00F60A98"/>
    <w:rsid w:val="00F618C5"/>
    <w:rsid w:val="00F619E0"/>
    <w:rsid w:val="00F622E5"/>
    <w:rsid w:val="00F626FF"/>
    <w:rsid w:val="00F6380C"/>
    <w:rsid w:val="00F63E23"/>
    <w:rsid w:val="00F65CBF"/>
    <w:rsid w:val="00F65D31"/>
    <w:rsid w:val="00F666A7"/>
    <w:rsid w:val="00F66A2E"/>
    <w:rsid w:val="00F67F09"/>
    <w:rsid w:val="00F706A0"/>
    <w:rsid w:val="00F709F5"/>
    <w:rsid w:val="00F717CC"/>
    <w:rsid w:val="00F72F11"/>
    <w:rsid w:val="00F72F51"/>
    <w:rsid w:val="00F73999"/>
    <w:rsid w:val="00F73AB3"/>
    <w:rsid w:val="00F73AB7"/>
    <w:rsid w:val="00F75051"/>
    <w:rsid w:val="00F7566A"/>
    <w:rsid w:val="00F76268"/>
    <w:rsid w:val="00F76CF3"/>
    <w:rsid w:val="00F76DA3"/>
    <w:rsid w:val="00F77BEE"/>
    <w:rsid w:val="00F805CA"/>
    <w:rsid w:val="00F807A4"/>
    <w:rsid w:val="00F809ED"/>
    <w:rsid w:val="00F80DD8"/>
    <w:rsid w:val="00F81914"/>
    <w:rsid w:val="00F81B7D"/>
    <w:rsid w:val="00F824D5"/>
    <w:rsid w:val="00F82628"/>
    <w:rsid w:val="00F82D8E"/>
    <w:rsid w:val="00F8321D"/>
    <w:rsid w:val="00F83461"/>
    <w:rsid w:val="00F83883"/>
    <w:rsid w:val="00F83F8C"/>
    <w:rsid w:val="00F8517B"/>
    <w:rsid w:val="00F853BE"/>
    <w:rsid w:val="00F87016"/>
    <w:rsid w:val="00F87B71"/>
    <w:rsid w:val="00F87EB0"/>
    <w:rsid w:val="00F9052C"/>
    <w:rsid w:val="00F9135D"/>
    <w:rsid w:val="00F91B71"/>
    <w:rsid w:val="00F91BA8"/>
    <w:rsid w:val="00F9260F"/>
    <w:rsid w:val="00F9308E"/>
    <w:rsid w:val="00F93541"/>
    <w:rsid w:val="00F95BD6"/>
    <w:rsid w:val="00F95E64"/>
    <w:rsid w:val="00F960B8"/>
    <w:rsid w:val="00F9649D"/>
    <w:rsid w:val="00F96A46"/>
    <w:rsid w:val="00F96BB8"/>
    <w:rsid w:val="00F97647"/>
    <w:rsid w:val="00F97A19"/>
    <w:rsid w:val="00FA068B"/>
    <w:rsid w:val="00FA1926"/>
    <w:rsid w:val="00FA1B1B"/>
    <w:rsid w:val="00FA2534"/>
    <w:rsid w:val="00FA2BC2"/>
    <w:rsid w:val="00FA37EA"/>
    <w:rsid w:val="00FA381E"/>
    <w:rsid w:val="00FA52C8"/>
    <w:rsid w:val="00FA54B2"/>
    <w:rsid w:val="00FA5812"/>
    <w:rsid w:val="00FA59CD"/>
    <w:rsid w:val="00FA7990"/>
    <w:rsid w:val="00FA7A7E"/>
    <w:rsid w:val="00FB07FC"/>
    <w:rsid w:val="00FB1180"/>
    <w:rsid w:val="00FB15B5"/>
    <w:rsid w:val="00FB174F"/>
    <w:rsid w:val="00FB1FEB"/>
    <w:rsid w:val="00FB22AB"/>
    <w:rsid w:val="00FB295D"/>
    <w:rsid w:val="00FB4250"/>
    <w:rsid w:val="00FB5638"/>
    <w:rsid w:val="00FB59AB"/>
    <w:rsid w:val="00FB5A8D"/>
    <w:rsid w:val="00FB6627"/>
    <w:rsid w:val="00FB6721"/>
    <w:rsid w:val="00FB7318"/>
    <w:rsid w:val="00FB77DE"/>
    <w:rsid w:val="00FC0251"/>
    <w:rsid w:val="00FC094F"/>
    <w:rsid w:val="00FC1102"/>
    <w:rsid w:val="00FC16AD"/>
    <w:rsid w:val="00FC1F94"/>
    <w:rsid w:val="00FC2E23"/>
    <w:rsid w:val="00FC3136"/>
    <w:rsid w:val="00FC3241"/>
    <w:rsid w:val="00FC3BB3"/>
    <w:rsid w:val="00FC3ED9"/>
    <w:rsid w:val="00FC54D5"/>
    <w:rsid w:val="00FC563B"/>
    <w:rsid w:val="00FC664D"/>
    <w:rsid w:val="00FC737A"/>
    <w:rsid w:val="00FC7844"/>
    <w:rsid w:val="00FD0A8B"/>
    <w:rsid w:val="00FD1512"/>
    <w:rsid w:val="00FD1AB4"/>
    <w:rsid w:val="00FD1DDF"/>
    <w:rsid w:val="00FD1ED9"/>
    <w:rsid w:val="00FD2550"/>
    <w:rsid w:val="00FD28E8"/>
    <w:rsid w:val="00FD2994"/>
    <w:rsid w:val="00FD3355"/>
    <w:rsid w:val="00FD3CF7"/>
    <w:rsid w:val="00FD4DD3"/>
    <w:rsid w:val="00FD4FCC"/>
    <w:rsid w:val="00FD522F"/>
    <w:rsid w:val="00FD5A00"/>
    <w:rsid w:val="00FD5A9C"/>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86C"/>
    <w:rsid w:val="00FE49CF"/>
    <w:rsid w:val="00FE4E00"/>
    <w:rsid w:val="00FE5194"/>
    <w:rsid w:val="00FE544E"/>
    <w:rsid w:val="00FE5A35"/>
    <w:rsid w:val="00FE64A9"/>
    <w:rsid w:val="00FE6BD7"/>
    <w:rsid w:val="00FE6C8F"/>
    <w:rsid w:val="00FF0644"/>
    <w:rsid w:val="00FF094E"/>
    <w:rsid w:val="00FF0A66"/>
    <w:rsid w:val="00FF1FCE"/>
    <w:rsid w:val="00FF2234"/>
    <w:rsid w:val="00FF290B"/>
    <w:rsid w:val="00FF320D"/>
    <w:rsid w:val="00FF33BD"/>
    <w:rsid w:val="00FF3C13"/>
    <w:rsid w:val="00FF4169"/>
    <w:rsid w:val="00FF4FD5"/>
    <w:rsid w:val="00FF582B"/>
    <w:rsid w:val="00FF5F84"/>
    <w:rsid w:val="00FF6702"/>
    <w:rsid w:val="00FF6E74"/>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0689"/>
    <o:shapelayout v:ext="edit">
      <o:idmap v:ext="edit" data="1"/>
    </o:shapelayout>
  </w:shapeDefaults>
  <w:decimalSymbol w:val="."/>
  <w:listSeparator w:val=","/>
  <w14:docId w14:val="5957D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Bullet point,List Paragraph1,List Paragraph11,Recommendation,Footnote,L,Bullet Point,Bulletr List Paragraph,Content descriptions,FooterText,List Bullet 1,List Paragraph2,List Paragraph21,Listeafsnit1,NFP GP Bulleted List"/>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ulletPoints Char,Bullet point Char,List Paragraph1 Char,List Paragraph11 Char,Recommendation Char,Footnote Char,L Char,Bullet Point Char,Bulletr List Paragraph Char,Content descriptions Char,FooterText Char,List Bullet 1 Char"/>
    <w:link w:val="ListParagraph"/>
    <w:uiPriority w:val="34"/>
    <w:qFormat/>
    <w:rsid w:val="001E35D6"/>
    <w:rPr>
      <w:rFonts w:eastAsia="SimSun"/>
      <w:sz w:val="24"/>
      <w:szCs w:val="24"/>
    </w:rPr>
  </w:style>
  <w:style w:type="paragraph" w:styleId="NoSpacing">
    <w:name w:val="No Spacing"/>
    <w:uiPriority w:val="1"/>
    <w:qFormat/>
    <w:rsid w:val="006B1AD5"/>
    <w:pPr>
      <w:widowControl w:val="0"/>
      <w:jc w:val="both"/>
    </w:pPr>
    <w:rPr>
      <w:rFonts w:ascii="Arial" w:hAnsi="Arial" w:cs="Arial"/>
      <w:snapToGrid w:val="0"/>
      <w:sz w:val="22"/>
      <w:lang w:eastAsia="en-US"/>
    </w:rPr>
  </w:style>
  <w:style w:type="paragraph" w:customStyle="1" w:styleId="PBACHeading1">
    <w:name w:val="PBAC Heading 1"/>
    <w:qFormat/>
    <w:rsid w:val="005979BE"/>
    <w:pPr>
      <w:ind w:left="720" w:hanging="720"/>
    </w:pPr>
    <w:rPr>
      <w:rFonts w:ascii="Arial" w:hAnsi="Arial" w:cs="Arial"/>
      <w:b/>
      <w:snapToGrid w:val="0"/>
      <w:sz w:val="22"/>
      <w:szCs w:val="22"/>
      <w:lang w:eastAsia="en-US"/>
    </w:rPr>
  </w:style>
  <w:style w:type="paragraph" w:customStyle="1" w:styleId="Char1">
    <w:name w:val="Char"/>
    <w:basedOn w:val="Normal"/>
    <w:rsid w:val="004D1133"/>
    <w:pPr>
      <w:spacing w:after="160" w:line="240" w:lineRule="exact"/>
    </w:pPr>
    <w:rPr>
      <w:rFonts w:ascii="Verdana" w:eastAsia="MS Mincho" w:hAnsi="Verdana" w:cs="Verdana"/>
      <w:lang w:val="en-US" w:eastAsia="en-US"/>
    </w:rPr>
  </w:style>
  <w:style w:type="character" w:styleId="IntenseReference">
    <w:name w:val="Intense Reference"/>
    <w:basedOn w:val="DefaultParagraphFont"/>
    <w:uiPriority w:val="32"/>
    <w:qFormat/>
    <w:rsid w:val="003444EC"/>
    <w:rPr>
      <w:b/>
      <w:bCs/>
      <w:i/>
      <w:smallCaps/>
      <w:color w:val="C0504D" w:themeColor="accent2"/>
      <w:spacing w:val="5"/>
      <w:u w:val="none"/>
    </w:rPr>
  </w:style>
  <w:style w:type="paragraph" w:customStyle="1" w:styleId="Char2">
    <w:name w:val="Char"/>
    <w:basedOn w:val="Normal"/>
    <w:rsid w:val="00560B84"/>
    <w:pPr>
      <w:spacing w:after="160" w:line="240" w:lineRule="exact"/>
    </w:pPr>
    <w:rPr>
      <w:rFonts w:ascii="Verdana" w:eastAsia="MS Mincho" w:hAnsi="Verdana" w:cs="Verdana"/>
      <w:lang w:val="en-US" w:eastAsia="en-US"/>
    </w:rPr>
  </w:style>
  <w:style w:type="paragraph" w:customStyle="1" w:styleId="Char3">
    <w:name w:val="Char"/>
    <w:basedOn w:val="Normal"/>
    <w:rsid w:val="005E5270"/>
    <w:pPr>
      <w:spacing w:after="160" w:line="240" w:lineRule="exact"/>
    </w:pPr>
    <w:rPr>
      <w:rFonts w:ascii="Verdana" w:eastAsia="MS Mincho" w:hAnsi="Verdana" w:cs="Verdana"/>
      <w:lang w:val="en-US" w:eastAsia="en-US"/>
    </w:rPr>
  </w:style>
  <w:style w:type="character" w:customStyle="1" w:styleId="CommentTextChar">
    <w:name w:val="Comment Text Char"/>
    <w:basedOn w:val="DefaultParagraphFont"/>
    <w:link w:val="CommentText"/>
    <w:rsid w:val="00126104"/>
  </w:style>
  <w:style w:type="paragraph" w:customStyle="1" w:styleId="PBACheading10">
    <w:name w:val="PBAC heading 1"/>
    <w:qFormat/>
    <w:rsid w:val="008E4946"/>
    <w:pPr>
      <w:ind w:left="720" w:hanging="720"/>
      <w:outlineLvl w:val="0"/>
    </w:pPr>
    <w:rPr>
      <w:rFonts w:ascii="Arial" w:hAnsi="Arial" w:cs="Arial"/>
      <w:b/>
      <w:snapToGrid w:val="0"/>
      <w:sz w:val="22"/>
      <w:szCs w:val="22"/>
      <w:lang w:eastAsia="en-US"/>
    </w:rPr>
  </w:style>
  <w:style w:type="paragraph" w:styleId="Title">
    <w:name w:val="Title"/>
    <w:basedOn w:val="Normal"/>
    <w:next w:val="Normal"/>
    <w:link w:val="TitleChar"/>
    <w:qFormat/>
    <w:rsid w:val="0038152C"/>
    <w:pPr>
      <w:spacing w:after="300"/>
      <w:contextualSpacing/>
      <w:outlineLvl w:val="0"/>
    </w:pPr>
    <w:rPr>
      <w:rFonts w:ascii="Arial Bold" w:eastAsiaTheme="majorEastAsia" w:hAnsi="Arial Bold" w:cstheme="majorBidi"/>
      <w:b/>
      <w:spacing w:val="5"/>
      <w:kern w:val="28"/>
      <w:sz w:val="28"/>
      <w:szCs w:val="52"/>
    </w:rPr>
  </w:style>
  <w:style w:type="character" w:customStyle="1" w:styleId="TitleChar">
    <w:name w:val="Title Char"/>
    <w:basedOn w:val="DefaultParagraphFont"/>
    <w:link w:val="Title"/>
    <w:rsid w:val="0038152C"/>
    <w:rPr>
      <w:rFonts w:ascii="Arial Bold" w:eastAsiaTheme="majorEastAsia" w:hAnsi="Arial Bold" w:cstheme="majorBidi"/>
      <w:b/>
      <w:spacing w:val="5"/>
      <w:kern w:val="28"/>
      <w:sz w:val="28"/>
      <w:szCs w:val="52"/>
    </w:rPr>
  </w:style>
  <w:style w:type="character" w:styleId="SubtleReference">
    <w:name w:val="Subtle Reference"/>
    <w:uiPriority w:val="31"/>
    <w:qFormat/>
    <w:rsid w:val="00FC3136"/>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43409271">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85004496">
      <w:bodyDiv w:val="1"/>
      <w:marLeft w:val="0"/>
      <w:marRight w:val="0"/>
      <w:marTop w:val="0"/>
      <w:marBottom w:val="0"/>
      <w:divBdr>
        <w:top w:val="none" w:sz="0" w:space="0" w:color="auto"/>
        <w:left w:val="none" w:sz="0" w:space="0" w:color="auto"/>
        <w:bottom w:val="none" w:sz="0" w:space="0" w:color="auto"/>
        <w:right w:val="none" w:sz="0" w:space="0" w:color="auto"/>
      </w:divBdr>
    </w:div>
    <w:div w:id="93208933">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25859644">
      <w:bodyDiv w:val="1"/>
      <w:marLeft w:val="0"/>
      <w:marRight w:val="0"/>
      <w:marTop w:val="0"/>
      <w:marBottom w:val="0"/>
      <w:divBdr>
        <w:top w:val="none" w:sz="0" w:space="0" w:color="auto"/>
        <w:left w:val="none" w:sz="0" w:space="0" w:color="auto"/>
        <w:bottom w:val="none" w:sz="0" w:space="0" w:color="auto"/>
        <w:right w:val="none" w:sz="0" w:space="0" w:color="auto"/>
      </w:divBdr>
    </w:div>
    <w:div w:id="132605959">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18140">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0004595">
      <w:bodyDiv w:val="1"/>
      <w:marLeft w:val="0"/>
      <w:marRight w:val="0"/>
      <w:marTop w:val="0"/>
      <w:marBottom w:val="0"/>
      <w:divBdr>
        <w:top w:val="none" w:sz="0" w:space="0" w:color="auto"/>
        <w:left w:val="none" w:sz="0" w:space="0" w:color="auto"/>
        <w:bottom w:val="none" w:sz="0" w:space="0" w:color="auto"/>
        <w:right w:val="none" w:sz="0" w:space="0" w:color="auto"/>
      </w:divBdr>
    </w:div>
    <w:div w:id="162361240">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7956642">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46229665">
      <w:bodyDiv w:val="1"/>
      <w:marLeft w:val="0"/>
      <w:marRight w:val="0"/>
      <w:marTop w:val="0"/>
      <w:marBottom w:val="0"/>
      <w:divBdr>
        <w:top w:val="none" w:sz="0" w:space="0" w:color="auto"/>
        <w:left w:val="none" w:sz="0" w:space="0" w:color="auto"/>
        <w:bottom w:val="none" w:sz="0" w:space="0" w:color="auto"/>
        <w:right w:val="none" w:sz="0" w:space="0" w:color="auto"/>
      </w:divBdr>
    </w:div>
    <w:div w:id="247620026">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57295666">
      <w:bodyDiv w:val="1"/>
      <w:marLeft w:val="0"/>
      <w:marRight w:val="0"/>
      <w:marTop w:val="0"/>
      <w:marBottom w:val="0"/>
      <w:divBdr>
        <w:top w:val="none" w:sz="0" w:space="0" w:color="auto"/>
        <w:left w:val="none" w:sz="0" w:space="0" w:color="auto"/>
        <w:bottom w:val="none" w:sz="0" w:space="0" w:color="auto"/>
        <w:right w:val="none" w:sz="0" w:space="0" w:color="auto"/>
      </w:divBdr>
    </w:div>
    <w:div w:id="259025131">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02391815">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25279471">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57242632">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85970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3257375">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1548388">
      <w:bodyDiv w:val="1"/>
      <w:marLeft w:val="0"/>
      <w:marRight w:val="0"/>
      <w:marTop w:val="0"/>
      <w:marBottom w:val="0"/>
      <w:divBdr>
        <w:top w:val="none" w:sz="0" w:space="0" w:color="auto"/>
        <w:left w:val="none" w:sz="0" w:space="0" w:color="auto"/>
        <w:bottom w:val="none" w:sz="0" w:space="0" w:color="auto"/>
        <w:right w:val="none" w:sz="0" w:space="0" w:color="auto"/>
      </w:divBdr>
    </w:div>
    <w:div w:id="504444217">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06790295">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8831698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34262760">
      <w:bodyDiv w:val="1"/>
      <w:marLeft w:val="0"/>
      <w:marRight w:val="0"/>
      <w:marTop w:val="0"/>
      <w:marBottom w:val="0"/>
      <w:divBdr>
        <w:top w:val="none" w:sz="0" w:space="0" w:color="auto"/>
        <w:left w:val="none" w:sz="0" w:space="0" w:color="auto"/>
        <w:bottom w:val="none" w:sz="0" w:space="0" w:color="auto"/>
        <w:right w:val="none" w:sz="0" w:space="0" w:color="auto"/>
      </w:divBdr>
    </w:div>
    <w:div w:id="643698054">
      <w:bodyDiv w:val="1"/>
      <w:marLeft w:val="0"/>
      <w:marRight w:val="0"/>
      <w:marTop w:val="0"/>
      <w:marBottom w:val="0"/>
      <w:divBdr>
        <w:top w:val="none" w:sz="0" w:space="0" w:color="auto"/>
        <w:left w:val="none" w:sz="0" w:space="0" w:color="auto"/>
        <w:bottom w:val="none" w:sz="0" w:space="0" w:color="auto"/>
        <w:right w:val="none" w:sz="0" w:space="0" w:color="auto"/>
      </w:divBdr>
    </w:div>
    <w:div w:id="667833522">
      <w:bodyDiv w:val="1"/>
      <w:marLeft w:val="0"/>
      <w:marRight w:val="0"/>
      <w:marTop w:val="0"/>
      <w:marBottom w:val="0"/>
      <w:divBdr>
        <w:top w:val="none" w:sz="0" w:space="0" w:color="auto"/>
        <w:left w:val="none" w:sz="0" w:space="0" w:color="auto"/>
        <w:bottom w:val="none" w:sz="0" w:space="0" w:color="auto"/>
        <w:right w:val="none" w:sz="0" w:space="0" w:color="auto"/>
      </w:divBdr>
    </w:div>
    <w:div w:id="697971189">
      <w:bodyDiv w:val="1"/>
      <w:marLeft w:val="0"/>
      <w:marRight w:val="0"/>
      <w:marTop w:val="0"/>
      <w:marBottom w:val="0"/>
      <w:divBdr>
        <w:top w:val="none" w:sz="0" w:space="0" w:color="auto"/>
        <w:left w:val="none" w:sz="0" w:space="0" w:color="auto"/>
        <w:bottom w:val="none" w:sz="0" w:space="0" w:color="auto"/>
        <w:right w:val="none" w:sz="0" w:space="0" w:color="auto"/>
      </w:divBdr>
    </w:div>
    <w:div w:id="710349672">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254370">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43987564">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802889891">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05123431">
      <w:bodyDiv w:val="1"/>
      <w:marLeft w:val="0"/>
      <w:marRight w:val="0"/>
      <w:marTop w:val="0"/>
      <w:marBottom w:val="0"/>
      <w:divBdr>
        <w:top w:val="none" w:sz="0" w:space="0" w:color="auto"/>
        <w:left w:val="none" w:sz="0" w:space="0" w:color="auto"/>
        <w:bottom w:val="none" w:sz="0" w:space="0" w:color="auto"/>
        <w:right w:val="none" w:sz="0" w:space="0" w:color="auto"/>
      </w:divBdr>
    </w:div>
    <w:div w:id="821771237">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8064460">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54996191">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11741538">
      <w:bodyDiv w:val="1"/>
      <w:marLeft w:val="0"/>
      <w:marRight w:val="0"/>
      <w:marTop w:val="0"/>
      <w:marBottom w:val="0"/>
      <w:divBdr>
        <w:top w:val="none" w:sz="0" w:space="0" w:color="auto"/>
        <w:left w:val="none" w:sz="0" w:space="0" w:color="auto"/>
        <w:bottom w:val="none" w:sz="0" w:space="0" w:color="auto"/>
        <w:right w:val="none" w:sz="0" w:space="0" w:color="auto"/>
      </w:divBdr>
    </w:div>
    <w:div w:id="923730877">
      <w:bodyDiv w:val="1"/>
      <w:marLeft w:val="0"/>
      <w:marRight w:val="0"/>
      <w:marTop w:val="0"/>
      <w:marBottom w:val="0"/>
      <w:divBdr>
        <w:top w:val="none" w:sz="0" w:space="0" w:color="auto"/>
        <w:left w:val="none" w:sz="0" w:space="0" w:color="auto"/>
        <w:bottom w:val="none" w:sz="0" w:space="0" w:color="auto"/>
        <w:right w:val="none" w:sz="0" w:space="0" w:color="auto"/>
      </w:divBdr>
    </w:div>
    <w:div w:id="934703663">
      <w:bodyDiv w:val="1"/>
      <w:marLeft w:val="0"/>
      <w:marRight w:val="0"/>
      <w:marTop w:val="0"/>
      <w:marBottom w:val="0"/>
      <w:divBdr>
        <w:top w:val="none" w:sz="0" w:space="0" w:color="auto"/>
        <w:left w:val="none" w:sz="0" w:space="0" w:color="auto"/>
        <w:bottom w:val="none" w:sz="0" w:space="0" w:color="auto"/>
        <w:right w:val="none" w:sz="0" w:space="0" w:color="auto"/>
      </w:divBdr>
    </w:div>
    <w:div w:id="942305817">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8413866">
      <w:bodyDiv w:val="1"/>
      <w:marLeft w:val="0"/>
      <w:marRight w:val="0"/>
      <w:marTop w:val="0"/>
      <w:marBottom w:val="0"/>
      <w:divBdr>
        <w:top w:val="none" w:sz="0" w:space="0" w:color="auto"/>
        <w:left w:val="none" w:sz="0" w:space="0" w:color="auto"/>
        <w:bottom w:val="none" w:sz="0" w:space="0" w:color="auto"/>
        <w:right w:val="none" w:sz="0" w:space="0" w:color="auto"/>
      </w:divBdr>
    </w:div>
    <w:div w:id="971132700">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4701626">
      <w:bodyDiv w:val="1"/>
      <w:marLeft w:val="0"/>
      <w:marRight w:val="0"/>
      <w:marTop w:val="0"/>
      <w:marBottom w:val="0"/>
      <w:divBdr>
        <w:top w:val="none" w:sz="0" w:space="0" w:color="auto"/>
        <w:left w:val="none" w:sz="0" w:space="0" w:color="auto"/>
        <w:bottom w:val="none" w:sz="0" w:space="0" w:color="auto"/>
        <w:right w:val="none" w:sz="0" w:space="0" w:color="auto"/>
      </w:divBdr>
    </w:div>
    <w:div w:id="986057905">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10569335">
      <w:bodyDiv w:val="1"/>
      <w:marLeft w:val="0"/>
      <w:marRight w:val="0"/>
      <w:marTop w:val="0"/>
      <w:marBottom w:val="0"/>
      <w:divBdr>
        <w:top w:val="none" w:sz="0" w:space="0" w:color="auto"/>
        <w:left w:val="none" w:sz="0" w:space="0" w:color="auto"/>
        <w:bottom w:val="none" w:sz="0" w:space="0" w:color="auto"/>
        <w:right w:val="none" w:sz="0" w:space="0" w:color="auto"/>
      </w:divBdr>
    </w:div>
    <w:div w:id="1016730282">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1617425">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4643308">
      <w:bodyDiv w:val="1"/>
      <w:marLeft w:val="0"/>
      <w:marRight w:val="0"/>
      <w:marTop w:val="0"/>
      <w:marBottom w:val="0"/>
      <w:divBdr>
        <w:top w:val="none" w:sz="0" w:space="0" w:color="auto"/>
        <w:left w:val="none" w:sz="0" w:space="0" w:color="auto"/>
        <w:bottom w:val="none" w:sz="0" w:space="0" w:color="auto"/>
        <w:right w:val="none" w:sz="0" w:space="0" w:color="auto"/>
      </w:divBdr>
    </w:div>
    <w:div w:id="1070689160">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5926963">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8156967">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8954947">
      <w:bodyDiv w:val="1"/>
      <w:marLeft w:val="0"/>
      <w:marRight w:val="0"/>
      <w:marTop w:val="0"/>
      <w:marBottom w:val="0"/>
      <w:divBdr>
        <w:top w:val="none" w:sz="0" w:space="0" w:color="auto"/>
        <w:left w:val="none" w:sz="0" w:space="0" w:color="auto"/>
        <w:bottom w:val="none" w:sz="0" w:space="0" w:color="auto"/>
        <w:right w:val="none" w:sz="0" w:space="0" w:color="auto"/>
      </w:divBdr>
    </w:div>
    <w:div w:id="1211915939">
      <w:bodyDiv w:val="1"/>
      <w:marLeft w:val="0"/>
      <w:marRight w:val="0"/>
      <w:marTop w:val="0"/>
      <w:marBottom w:val="0"/>
      <w:divBdr>
        <w:top w:val="none" w:sz="0" w:space="0" w:color="auto"/>
        <w:left w:val="none" w:sz="0" w:space="0" w:color="auto"/>
        <w:bottom w:val="none" w:sz="0" w:space="0" w:color="auto"/>
        <w:right w:val="none" w:sz="0" w:space="0" w:color="auto"/>
      </w:divBdr>
    </w:div>
    <w:div w:id="1216546497">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5483749">
      <w:bodyDiv w:val="1"/>
      <w:marLeft w:val="0"/>
      <w:marRight w:val="0"/>
      <w:marTop w:val="0"/>
      <w:marBottom w:val="0"/>
      <w:divBdr>
        <w:top w:val="none" w:sz="0" w:space="0" w:color="auto"/>
        <w:left w:val="none" w:sz="0" w:space="0" w:color="auto"/>
        <w:bottom w:val="none" w:sz="0" w:space="0" w:color="auto"/>
        <w:right w:val="none" w:sz="0" w:space="0" w:color="auto"/>
      </w:divBdr>
    </w:div>
    <w:div w:id="1225873820">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5110703">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1286143">
      <w:bodyDiv w:val="1"/>
      <w:marLeft w:val="0"/>
      <w:marRight w:val="0"/>
      <w:marTop w:val="0"/>
      <w:marBottom w:val="0"/>
      <w:divBdr>
        <w:top w:val="none" w:sz="0" w:space="0" w:color="auto"/>
        <w:left w:val="none" w:sz="0" w:space="0" w:color="auto"/>
        <w:bottom w:val="none" w:sz="0" w:space="0" w:color="auto"/>
        <w:right w:val="none" w:sz="0" w:space="0" w:color="auto"/>
      </w:divBdr>
    </w:div>
    <w:div w:id="1325471325">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29559502">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66172608">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8476182">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565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22097094">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56630646">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95684408">
      <w:bodyDiv w:val="1"/>
      <w:marLeft w:val="0"/>
      <w:marRight w:val="0"/>
      <w:marTop w:val="0"/>
      <w:marBottom w:val="0"/>
      <w:divBdr>
        <w:top w:val="none" w:sz="0" w:space="0" w:color="auto"/>
        <w:left w:val="none" w:sz="0" w:space="0" w:color="auto"/>
        <w:bottom w:val="none" w:sz="0" w:space="0" w:color="auto"/>
        <w:right w:val="none" w:sz="0" w:space="0" w:color="auto"/>
      </w:divBdr>
    </w:div>
    <w:div w:id="1496411187">
      <w:bodyDiv w:val="1"/>
      <w:marLeft w:val="0"/>
      <w:marRight w:val="0"/>
      <w:marTop w:val="0"/>
      <w:marBottom w:val="0"/>
      <w:divBdr>
        <w:top w:val="none" w:sz="0" w:space="0" w:color="auto"/>
        <w:left w:val="none" w:sz="0" w:space="0" w:color="auto"/>
        <w:bottom w:val="none" w:sz="0" w:space="0" w:color="auto"/>
        <w:right w:val="none" w:sz="0" w:space="0" w:color="auto"/>
      </w:divBdr>
    </w:div>
    <w:div w:id="1506478884">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47254117">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5216769">
      <w:bodyDiv w:val="1"/>
      <w:marLeft w:val="0"/>
      <w:marRight w:val="0"/>
      <w:marTop w:val="0"/>
      <w:marBottom w:val="0"/>
      <w:divBdr>
        <w:top w:val="none" w:sz="0" w:space="0" w:color="auto"/>
        <w:left w:val="none" w:sz="0" w:space="0" w:color="auto"/>
        <w:bottom w:val="none" w:sz="0" w:space="0" w:color="auto"/>
        <w:right w:val="none" w:sz="0" w:space="0" w:color="auto"/>
      </w:divBdr>
    </w:div>
    <w:div w:id="1586114966">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54484488">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93265219">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06563735">
      <w:bodyDiv w:val="1"/>
      <w:marLeft w:val="0"/>
      <w:marRight w:val="0"/>
      <w:marTop w:val="0"/>
      <w:marBottom w:val="0"/>
      <w:divBdr>
        <w:top w:val="none" w:sz="0" w:space="0" w:color="auto"/>
        <w:left w:val="none" w:sz="0" w:space="0" w:color="auto"/>
        <w:bottom w:val="none" w:sz="0" w:space="0" w:color="auto"/>
        <w:right w:val="none" w:sz="0" w:space="0" w:color="auto"/>
      </w:divBdr>
    </w:div>
    <w:div w:id="1724602571">
      <w:bodyDiv w:val="1"/>
      <w:marLeft w:val="0"/>
      <w:marRight w:val="0"/>
      <w:marTop w:val="0"/>
      <w:marBottom w:val="0"/>
      <w:divBdr>
        <w:top w:val="none" w:sz="0" w:space="0" w:color="auto"/>
        <w:left w:val="none" w:sz="0" w:space="0" w:color="auto"/>
        <w:bottom w:val="none" w:sz="0" w:space="0" w:color="auto"/>
        <w:right w:val="none" w:sz="0" w:space="0" w:color="auto"/>
      </w:divBdr>
    </w:div>
    <w:div w:id="1730614725">
      <w:bodyDiv w:val="1"/>
      <w:marLeft w:val="0"/>
      <w:marRight w:val="0"/>
      <w:marTop w:val="0"/>
      <w:marBottom w:val="0"/>
      <w:divBdr>
        <w:top w:val="none" w:sz="0" w:space="0" w:color="auto"/>
        <w:left w:val="none" w:sz="0" w:space="0" w:color="auto"/>
        <w:bottom w:val="none" w:sz="0" w:space="0" w:color="auto"/>
        <w:right w:val="none" w:sz="0" w:space="0" w:color="auto"/>
      </w:divBdr>
    </w:div>
    <w:div w:id="1757045765">
      <w:bodyDiv w:val="1"/>
      <w:marLeft w:val="0"/>
      <w:marRight w:val="0"/>
      <w:marTop w:val="0"/>
      <w:marBottom w:val="0"/>
      <w:divBdr>
        <w:top w:val="none" w:sz="0" w:space="0" w:color="auto"/>
        <w:left w:val="none" w:sz="0" w:space="0" w:color="auto"/>
        <w:bottom w:val="none" w:sz="0" w:space="0" w:color="auto"/>
        <w:right w:val="none" w:sz="0" w:space="0" w:color="auto"/>
      </w:divBdr>
    </w:div>
    <w:div w:id="1769544211">
      <w:bodyDiv w:val="1"/>
      <w:marLeft w:val="0"/>
      <w:marRight w:val="0"/>
      <w:marTop w:val="0"/>
      <w:marBottom w:val="0"/>
      <w:divBdr>
        <w:top w:val="none" w:sz="0" w:space="0" w:color="auto"/>
        <w:left w:val="none" w:sz="0" w:space="0" w:color="auto"/>
        <w:bottom w:val="none" w:sz="0" w:space="0" w:color="auto"/>
        <w:right w:val="none" w:sz="0" w:space="0" w:color="auto"/>
      </w:divBdr>
    </w:div>
    <w:div w:id="1776049131">
      <w:bodyDiv w:val="1"/>
      <w:marLeft w:val="0"/>
      <w:marRight w:val="0"/>
      <w:marTop w:val="0"/>
      <w:marBottom w:val="0"/>
      <w:divBdr>
        <w:top w:val="none" w:sz="0" w:space="0" w:color="auto"/>
        <w:left w:val="none" w:sz="0" w:space="0" w:color="auto"/>
        <w:bottom w:val="none" w:sz="0" w:space="0" w:color="auto"/>
        <w:right w:val="none" w:sz="0" w:space="0" w:color="auto"/>
      </w:divBdr>
    </w:div>
    <w:div w:id="1784374171">
      <w:bodyDiv w:val="1"/>
      <w:marLeft w:val="0"/>
      <w:marRight w:val="0"/>
      <w:marTop w:val="0"/>
      <w:marBottom w:val="0"/>
      <w:divBdr>
        <w:top w:val="none" w:sz="0" w:space="0" w:color="auto"/>
        <w:left w:val="none" w:sz="0" w:space="0" w:color="auto"/>
        <w:bottom w:val="none" w:sz="0" w:space="0" w:color="auto"/>
        <w:right w:val="none" w:sz="0" w:space="0" w:color="auto"/>
      </w:divBdr>
    </w:div>
    <w:div w:id="1787769551">
      <w:bodyDiv w:val="1"/>
      <w:marLeft w:val="0"/>
      <w:marRight w:val="0"/>
      <w:marTop w:val="0"/>
      <w:marBottom w:val="0"/>
      <w:divBdr>
        <w:top w:val="none" w:sz="0" w:space="0" w:color="auto"/>
        <w:left w:val="none" w:sz="0" w:space="0" w:color="auto"/>
        <w:bottom w:val="none" w:sz="0" w:space="0" w:color="auto"/>
        <w:right w:val="none" w:sz="0" w:space="0" w:color="auto"/>
      </w:divBdr>
    </w:div>
    <w:div w:id="1789010822">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27234522">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5493075">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9365246">
      <w:bodyDiv w:val="1"/>
      <w:marLeft w:val="0"/>
      <w:marRight w:val="0"/>
      <w:marTop w:val="0"/>
      <w:marBottom w:val="0"/>
      <w:divBdr>
        <w:top w:val="none" w:sz="0" w:space="0" w:color="auto"/>
        <w:left w:val="none" w:sz="0" w:space="0" w:color="auto"/>
        <w:bottom w:val="none" w:sz="0" w:space="0" w:color="auto"/>
        <w:right w:val="none" w:sz="0" w:space="0" w:color="auto"/>
      </w:divBdr>
    </w:div>
    <w:div w:id="1893348804">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24294783">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63491086">
      <w:bodyDiv w:val="1"/>
      <w:marLeft w:val="0"/>
      <w:marRight w:val="0"/>
      <w:marTop w:val="0"/>
      <w:marBottom w:val="0"/>
      <w:divBdr>
        <w:top w:val="none" w:sz="0" w:space="0" w:color="auto"/>
        <w:left w:val="none" w:sz="0" w:space="0" w:color="auto"/>
        <w:bottom w:val="none" w:sz="0" w:space="0" w:color="auto"/>
        <w:right w:val="none" w:sz="0" w:space="0" w:color="auto"/>
      </w:divBdr>
    </w:div>
    <w:div w:id="1985968612">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50060832">
      <w:bodyDiv w:val="1"/>
      <w:marLeft w:val="0"/>
      <w:marRight w:val="0"/>
      <w:marTop w:val="0"/>
      <w:marBottom w:val="0"/>
      <w:divBdr>
        <w:top w:val="none" w:sz="0" w:space="0" w:color="auto"/>
        <w:left w:val="none" w:sz="0" w:space="0" w:color="auto"/>
        <w:bottom w:val="none" w:sz="0" w:space="0" w:color="auto"/>
        <w:right w:val="none" w:sz="0" w:space="0" w:color="auto"/>
      </w:divBdr>
    </w:div>
    <w:div w:id="2068526559">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249436">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291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6ABBF-5CB3-4310-B089-0D17C7785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2019-08-21T08:06:00Z</dcterms:created>
  <dcterms:modified xsi:type="dcterms:W3CDTF">2019-08-23T01:23:00Z</dcterms:modified>
</cp:coreProperties>
</file>