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2268"/>
        <w:gridCol w:w="2988"/>
        <w:gridCol w:w="6758"/>
      </w:tblGrid>
      <w:tr w:rsidR="003D7E12" w:rsidRPr="003D7E12" w14:paraId="61917D71" w14:textId="77777777" w:rsidTr="00D3305E">
        <w:trPr>
          <w:cantSplit/>
          <w:tblHeader/>
        </w:trPr>
        <w:tc>
          <w:tcPr>
            <w:tcW w:w="3509" w:type="dxa"/>
            <w:tcMar>
              <w:top w:w="28" w:type="dxa"/>
              <w:bottom w:w="28" w:type="dxa"/>
            </w:tcMar>
          </w:tcPr>
          <w:p w14:paraId="39F230AB" w14:textId="77777777" w:rsidR="00857CD0" w:rsidRDefault="00857CD0" w:rsidP="00857CD0">
            <w:pPr>
              <w:widowControl w:val="0"/>
              <w:jc w:val="center"/>
              <w:rPr>
                <w:rFonts w:ascii="Arial" w:hAnsi="Arial" w:cs="Arial"/>
                <w:b/>
              </w:rPr>
            </w:pPr>
            <w:r>
              <w:rPr>
                <w:rFonts w:ascii="Arial" w:hAnsi="Arial" w:cs="Arial"/>
                <w:b/>
              </w:rPr>
              <w:t xml:space="preserve">DRUG, </w:t>
            </w:r>
            <w:r w:rsidR="003D7E12" w:rsidRPr="003D7E12">
              <w:rPr>
                <w:rFonts w:ascii="Arial" w:hAnsi="Arial" w:cs="Arial"/>
                <w:b/>
              </w:rPr>
              <w:t xml:space="preserve">SPONSOR, </w:t>
            </w:r>
          </w:p>
          <w:p w14:paraId="36655E4E" w14:textId="0A6759F1" w:rsidR="003D7E12" w:rsidRPr="003D7E12" w:rsidRDefault="003D7E12" w:rsidP="00857CD0">
            <w:pPr>
              <w:widowControl w:val="0"/>
              <w:jc w:val="center"/>
              <w:rPr>
                <w:rFonts w:ascii="Arial" w:hAnsi="Arial" w:cs="Arial"/>
                <w:b/>
              </w:rPr>
            </w:pPr>
            <w:r w:rsidRPr="003D7E12">
              <w:rPr>
                <w:rFonts w:ascii="Arial" w:hAnsi="Arial" w:cs="Arial"/>
                <w:b/>
              </w:rPr>
              <w:t>TYPE OF SUBMISSION</w:t>
            </w:r>
          </w:p>
        </w:tc>
        <w:tc>
          <w:tcPr>
            <w:tcW w:w="2268" w:type="dxa"/>
            <w:tcMar>
              <w:top w:w="28" w:type="dxa"/>
              <w:bottom w:w="28" w:type="dxa"/>
            </w:tcMar>
          </w:tcPr>
          <w:p w14:paraId="4656B5EF" w14:textId="1CC31955" w:rsidR="003D7E12" w:rsidRPr="00857CD0" w:rsidRDefault="003D7E12" w:rsidP="00857CD0">
            <w:pPr>
              <w:widowControl w:val="0"/>
              <w:jc w:val="center"/>
              <w:rPr>
                <w:rFonts w:ascii="Arial" w:hAnsi="Arial" w:cs="Arial"/>
                <w:b/>
                <w:snapToGrid w:val="0"/>
                <w:lang w:eastAsia="en-US"/>
              </w:rPr>
            </w:pPr>
            <w:r w:rsidRPr="003D7E12">
              <w:rPr>
                <w:rFonts w:ascii="Arial" w:hAnsi="Arial" w:cs="Arial"/>
                <w:b/>
                <w:snapToGrid w:val="0"/>
                <w:lang w:eastAsia="en-US"/>
              </w:rPr>
              <w:t>DRUG TYPE OR USE</w:t>
            </w:r>
          </w:p>
        </w:tc>
        <w:tc>
          <w:tcPr>
            <w:tcW w:w="2988" w:type="dxa"/>
            <w:tcMar>
              <w:top w:w="28" w:type="dxa"/>
              <w:bottom w:w="28" w:type="dxa"/>
            </w:tcMar>
          </w:tcPr>
          <w:p w14:paraId="7B86444B" w14:textId="7042A69F" w:rsidR="003D7E12" w:rsidRPr="00857CD0" w:rsidRDefault="003D7E12" w:rsidP="00857CD0">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tc>
        <w:tc>
          <w:tcPr>
            <w:tcW w:w="6758"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F03D56" w:rsidRPr="003D7E12" w14:paraId="3FC8DFDC" w14:textId="77777777" w:rsidTr="00FA6AD7">
        <w:trPr>
          <w:cantSplit/>
        </w:trPr>
        <w:tc>
          <w:tcPr>
            <w:tcW w:w="3509" w:type="dxa"/>
            <w:tcMar>
              <w:top w:w="28" w:type="dxa"/>
              <w:bottom w:w="28" w:type="dxa"/>
            </w:tcMar>
          </w:tcPr>
          <w:p w14:paraId="7B3F41B4" w14:textId="77777777" w:rsidR="00F03D56" w:rsidRDefault="00F03D56" w:rsidP="00F03D56">
            <w:pPr>
              <w:widowControl w:val="0"/>
              <w:rPr>
                <w:rFonts w:ascii="Arial" w:hAnsi="Arial" w:cs="Arial"/>
              </w:rPr>
            </w:pPr>
            <w:r w:rsidRPr="00F03D56">
              <w:rPr>
                <w:rFonts w:ascii="Arial" w:hAnsi="Arial" w:cs="Arial"/>
              </w:rPr>
              <w:t>DOLUTEGRAVIR WITH LAMIVUDINE</w:t>
            </w:r>
          </w:p>
          <w:p w14:paraId="6EDDFE65" w14:textId="77777777" w:rsidR="00F03D56" w:rsidRDefault="00F03D56" w:rsidP="00F03D56">
            <w:pPr>
              <w:widowControl w:val="0"/>
              <w:rPr>
                <w:rFonts w:ascii="Arial" w:hAnsi="Arial" w:cs="Arial"/>
              </w:rPr>
            </w:pPr>
            <w:r w:rsidRPr="00F03D56">
              <w:rPr>
                <w:rFonts w:ascii="Arial" w:hAnsi="Arial" w:cs="Arial"/>
              </w:rPr>
              <w:br/>
              <w:t>Tablet containing dolutegravir 50 mg (as sodium) with lamivudine 300 mg</w:t>
            </w:r>
            <w:r w:rsidRPr="00F03D56">
              <w:rPr>
                <w:rFonts w:ascii="Arial" w:hAnsi="Arial" w:cs="Arial"/>
              </w:rPr>
              <w:br/>
            </w:r>
          </w:p>
          <w:p w14:paraId="0F326B54" w14:textId="77777777" w:rsidR="00F03D56" w:rsidRDefault="00F03D56" w:rsidP="00F03D56">
            <w:pPr>
              <w:widowControl w:val="0"/>
              <w:rPr>
                <w:rFonts w:ascii="Arial" w:hAnsi="Arial" w:cs="Arial"/>
              </w:rPr>
            </w:pPr>
            <w:r w:rsidRPr="00F03D56">
              <w:rPr>
                <w:rFonts w:ascii="Arial" w:hAnsi="Arial" w:cs="Arial"/>
              </w:rPr>
              <w:t>Dovato®</w:t>
            </w:r>
            <w:r w:rsidRPr="00F03D56">
              <w:rPr>
                <w:rFonts w:ascii="Arial" w:hAnsi="Arial" w:cs="Arial"/>
              </w:rPr>
              <w:br/>
            </w:r>
          </w:p>
          <w:p w14:paraId="58E21AB9" w14:textId="77777777" w:rsidR="00F03D56" w:rsidRDefault="00F03D56" w:rsidP="00F03D56">
            <w:pPr>
              <w:widowControl w:val="0"/>
              <w:rPr>
                <w:rFonts w:ascii="Arial" w:hAnsi="Arial" w:cs="Arial"/>
              </w:rPr>
            </w:pPr>
            <w:r w:rsidRPr="00F03D56">
              <w:rPr>
                <w:rFonts w:ascii="Arial" w:hAnsi="Arial" w:cs="Arial"/>
              </w:rPr>
              <w:t>ViiV Healthcare Pty Ltd</w:t>
            </w:r>
            <w:r w:rsidRPr="00F03D56">
              <w:rPr>
                <w:rFonts w:ascii="Arial" w:hAnsi="Arial" w:cs="Arial"/>
              </w:rPr>
              <w:br/>
            </w:r>
          </w:p>
          <w:p w14:paraId="6207C495" w14:textId="4D7D3EE1" w:rsidR="00F03D56" w:rsidRPr="00C46EC1" w:rsidRDefault="00F03D56" w:rsidP="00F03D56">
            <w:pPr>
              <w:widowControl w:val="0"/>
              <w:rPr>
                <w:rFonts w:ascii="Arial" w:hAnsi="Arial" w:cs="Arial"/>
              </w:rPr>
            </w:pPr>
            <w:r w:rsidRPr="00F03D56">
              <w:rPr>
                <w:rFonts w:ascii="Arial" w:hAnsi="Arial" w:cs="Arial"/>
              </w:rPr>
              <w:t>Deferral of new listing from July 2019 Meeting</w:t>
            </w:r>
            <w:r w:rsidRPr="00F03D56">
              <w:rPr>
                <w:rFonts w:ascii="Arial" w:hAnsi="Arial" w:cs="Arial"/>
              </w:rPr>
              <w:br/>
              <w:t>(Major Submission)</w:t>
            </w:r>
          </w:p>
        </w:tc>
        <w:tc>
          <w:tcPr>
            <w:tcW w:w="2268" w:type="dxa"/>
            <w:tcMar>
              <w:top w:w="28" w:type="dxa"/>
              <w:bottom w:w="28" w:type="dxa"/>
            </w:tcMar>
          </w:tcPr>
          <w:p w14:paraId="5F0D7D77" w14:textId="1FA54A92" w:rsidR="00F03D56" w:rsidRPr="00C46EC1" w:rsidRDefault="00F03D56" w:rsidP="00F03D56">
            <w:pPr>
              <w:widowControl w:val="0"/>
              <w:rPr>
                <w:rFonts w:ascii="Arial" w:hAnsi="Arial" w:cs="Arial"/>
              </w:rPr>
            </w:pPr>
            <w:r w:rsidRPr="00F03D56">
              <w:rPr>
                <w:rFonts w:ascii="Arial" w:hAnsi="Arial" w:cs="Arial"/>
              </w:rPr>
              <w:t>Human immunodeficiency virus (HIV) infection</w:t>
            </w:r>
          </w:p>
        </w:tc>
        <w:tc>
          <w:tcPr>
            <w:tcW w:w="2988" w:type="dxa"/>
            <w:tcMar>
              <w:top w:w="28" w:type="dxa"/>
              <w:bottom w:w="28" w:type="dxa"/>
            </w:tcMar>
          </w:tcPr>
          <w:p w14:paraId="2393294E" w14:textId="232A8D85" w:rsidR="00F03D56" w:rsidRPr="00C46EC1" w:rsidRDefault="00F03D56" w:rsidP="00F03D56">
            <w:pPr>
              <w:widowControl w:val="0"/>
              <w:rPr>
                <w:rFonts w:ascii="Arial" w:hAnsi="Arial" w:cs="Arial"/>
              </w:rPr>
            </w:pPr>
            <w:r w:rsidRPr="00F03D56">
              <w:rPr>
                <w:rFonts w:ascii="Arial" w:hAnsi="Arial" w:cs="Arial"/>
              </w:rPr>
              <w:t>To request a Section 100 (Highly Specialised Drugs Program - Community Access) Authority Required (STREAMLINED) listing for the treatment of patients with HIV infection.</w:t>
            </w:r>
          </w:p>
        </w:tc>
        <w:tc>
          <w:tcPr>
            <w:tcW w:w="6758" w:type="dxa"/>
            <w:vAlign w:val="bottom"/>
          </w:tcPr>
          <w:p w14:paraId="2EACEF22" w14:textId="5D70579B" w:rsidR="003A23C3" w:rsidRPr="003A23C3" w:rsidRDefault="003A23C3" w:rsidP="003A23C3">
            <w:pPr>
              <w:widowControl w:val="0"/>
              <w:rPr>
                <w:rFonts w:ascii="Arial" w:hAnsi="Arial" w:cs="Arial"/>
              </w:rPr>
            </w:pPr>
            <w:r w:rsidRPr="003A23C3">
              <w:rPr>
                <w:rFonts w:ascii="Arial" w:hAnsi="Arial" w:cs="Arial"/>
              </w:rPr>
              <w:t>The PBAC recommended the Authority Required (STREAMLINED), Section 100 (Highly Specialised Drugs (HSD) Program – Community Access listing of a fixed dose combination (FDC) of dolutegravir with lamivudine (Dovato®) for the treatment of HIV in treatment-naïve patients who meet certain conditions.</w:t>
            </w:r>
          </w:p>
          <w:p w14:paraId="392AEF3D" w14:textId="49839174" w:rsidR="003A23C3" w:rsidRPr="003A23C3" w:rsidRDefault="003A23C3" w:rsidP="003A23C3">
            <w:pPr>
              <w:widowControl w:val="0"/>
              <w:rPr>
                <w:rFonts w:ascii="Arial" w:hAnsi="Arial" w:cs="Arial"/>
              </w:rPr>
            </w:pPr>
            <w:r w:rsidRPr="003A23C3">
              <w:rPr>
                <w:rFonts w:ascii="Arial" w:hAnsi="Arial" w:cs="Arial"/>
              </w:rPr>
              <w:t>The PBAC’s recommendation for listing was based on, among other matters, its assessment</w:t>
            </w:r>
            <w:r w:rsidR="00474F0C">
              <w:rPr>
                <w:rFonts w:ascii="Arial" w:hAnsi="Arial" w:cs="Arial"/>
              </w:rPr>
              <w:t xml:space="preserve"> </w:t>
            </w:r>
            <w:bookmarkStart w:id="0" w:name="_GoBack"/>
            <w:bookmarkEnd w:id="0"/>
            <w:r w:rsidRPr="003A23C3">
              <w:rPr>
                <w:rFonts w:ascii="Arial" w:hAnsi="Arial" w:cs="Arial"/>
              </w:rPr>
              <w:t>that the cost-effectiveness of Dovato would be acceptable if it were cost-minimised against the individual components of the FDC (dolutegravir and lamivudine). The equi-effective doses are one tablet of Dovato® (dolutegravir/lamivudine (50mg/300mg)) once daily and one tablet each of dolutegravir 50mg and lamivudine 300mg once daily.</w:t>
            </w:r>
          </w:p>
          <w:p w14:paraId="5FA45E77" w14:textId="21D14FF1" w:rsidR="00F03D56" w:rsidRPr="00C46EC1" w:rsidRDefault="003A23C3" w:rsidP="003A23C3">
            <w:pPr>
              <w:widowControl w:val="0"/>
              <w:rPr>
                <w:rFonts w:ascii="Arial" w:hAnsi="Arial" w:cs="Arial"/>
              </w:rPr>
            </w:pPr>
            <w:r w:rsidRPr="003A23C3">
              <w:rPr>
                <w:rFonts w:ascii="Arial" w:hAnsi="Arial" w:cs="Arial"/>
              </w:rPr>
              <w:t>The PBAC recommended a grandfather restriction for patients to transition from concomitant dolutegravir and lamivudine to the fixed dose combination. Patients must have been antiretroviral treatment naïve prior to commencement and still currently on this regimen.</w:t>
            </w:r>
          </w:p>
        </w:tc>
      </w:tr>
      <w:tr w:rsidR="00F03D56" w:rsidRPr="003D7E12" w14:paraId="3D1C1D61" w14:textId="77777777" w:rsidTr="00C46EC1">
        <w:trPr>
          <w:cantSplit/>
        </w:trPr>
        <w:tc>
          <w:tcPr>
            <w:tcW w:w="3509" w:type="dxa"/>
            <w:tcMar>
              <w:top w:w="28" w:type="dxa"/>
              <w:bottom w:w="28" w:type="dxa"/>
            </w:tcMar>
          </w:tcPr>
          <w:p w14:paraId="1AF0F895" w14:textId="6F600731" w:rsidR="00F03D56" w:rsidRDefault="00305062" w:rsidP="00F03D56">
            <w:pPr>
              <w:widowControl w:val="0"/>
              <w:rPr>
                <w:rFonts w:ascii="Arial" w:hAnsi="Arial" w:cs="Arial"/>
              </w:rPr>
            </w:pPr>
            <w:r>
              <w:rPr>
                <w:rFonts w:ascii="Arial" w:hAnsi="Arial" w:cs="Arial"/>
              </w:rPr>
              <w:t>FERRIC</w:t>
            </w:r>
            <w:r w:rsidR="00F03D56" w:rsidRPr="00F03D56">
              <w:rPr>
                <w:rFonts w:ascii="Arial" w:hAnsi="Arial" w:cs="Arial"/>
              </w:rPr>
              <w:t xml:space="preserve"> DERISOMALTOSE </w:t>
            </w:r>
            <w:r w:rsidR="00F03D56" w:rsidRPr="00F03D56">
              <w:rPr>
                <w:rFonts w:ascii="Arial" w:hAnsi="Arial" w:cs="Arial"/>
              </w:rPr>
              <w:br/>
            </w:r>
          </w:p>
          <w:p w14:paraId="2750F5BC" w14:textId="77777777" w:rsidR="00F03D56" w:rsidRDefault="00F03D56" w:rsidP="00F03D56">
            <w:pPr>
              <w:widowControl w:val="0"/>
              <w:rPr>
                <w:rFonts w:ascii="Arial" w:hAnsi="Arial" w:cs="Arial"/>
              </w:rPr>
            </w:pPr>
            <w:r w:rsidRPr="00F03D56">
              <w:rPr>
                <w:rFonts w:ascii="Arial" w:hAnsi="Arial" w:cs="Arial"/>
              </w:rPr>
              <w:t>Injection 1000 mg (iron) in 10 mL</w:t>
            </w:r>
            <w:r w:rsidRPr="00F03D56">
              <w:rPr>
                <w:rFonts w:ascii="Arial" w:hAnsi="Arial" w:cs="Arial"/>
              </w:rPr>
              <w:br/>
              <w:t>Injection 500 mg (iron) in 5 mL</w:t>
            </w:r>
            <w:r w:rsidRPr="00F03D56">
              <w:rPr>
                <w:rFonts w:ascii="Arial" w:hAnsi="Arial" w:cs="Arial"/>
              </w:rPr>
              <w:br/>
            </w:r>
          </w:p>
          <w:p w14:paraId="2C81DE6D" w14:textId="08AC984F" w:rsidR="00F03D56" w:rsidRDefault="00F03D56" w:rsidP="00F03D56">
            <w:pPr>
              <w:widowControl w:val="0"/>
              <w:rPr>
                <w:rFonts w:ascii="Arial" w:hAnsi="Arial" w:cs="Arial"/>
              </w:rPr>
            </w:pPr>
            <w:r w:rsidRPr="00F03D56">
              <w:rPr>
                <w:rFonts w:ascii="Arial" w:hAnsi="Arial" w:cs="Arial"/>
              </w:rPr>
              <w:t>Monofer®</w:t>
            </w:r>
            <w:r w:rsidRPr="00F03D56">
              <w:rPr>
                <w:rFonts w:ascii="Arial" w:hAnsi="Arial" w:cs="Arial"/>
              </w:rPr>
              <w:br/>
            </w:r>
          </w:p>
          <w:p w14:paraId="0F61DDC7" w14:textId="77777777" w:rsidR="00F03D56" w:rsidRDefault="00F03D56" w:rsidP="00F03D56">
            <w:pPr>
              <w:widowControl w:val="0"/>
              <w:rPr>
                <w:rFonts w:ascii="Arial" w:hAnsi="Arial" w:cs="Arial"/>
              </w:rPr>
            </w:pPr>
            <w:r w:rsidRPr="00F03D56">
              <w:rPr>
                <w:rFonts w:ascii="Arial" w:hAnsi="Arial" w:cs="Arial"/>
              </w:rPr>
              <w:t>Pfizer Australia Pty Ltd</w:t>
            </w:r>
            <w:r w:rsidRPr="00F03D56">
              <w:rPr>
                <w:rFonts w:ascii="Arial" w:hAnsi="Arial" w:cs="Arial"/>
              </w:rPr>
              <w:br/>
            </w:r>
          </w:p>
          <w:p w14:paraId="611B038E" w14:textId="74AC41B6" w:rsidR="00F03D56" w:rsidRPr="00C46EC1" w:rsidRDefault="00F03D56" w:rsidP="00F03D56">
            <w:pPr>
              <w:widowControl w:val="0"/>
              <w:rPr>
                <w:rFonts w:ascii="Arial" w:hAnsi="Arial" w:cs="Arial"/>
              </w:rPr>
            </w:pPr>
            <w:r w:rsidRPr="00F03D56">
              <w:rPr>
                <w:rFonts w:ascii="Arial" w:hAnsi="Arial" w:cs="Arial"/>
              </w:rPr>
              <w:t>Deferral of new listing from July 2019 Meeting</w:t>
            </w:r>
            <w:r w:rsidRPr="00F03D56">
              <w:rPr>
                <w:rFonts w:ascii="Arial" w:hAnsi="Arial" w:cs="Arial"/>
              </w:rPr>
              <w:br/>
              <w:t xml:space="preserve">(Minor Submission) </w:t>
            </w:r>
          </w:p>
        </w:tc>
        <w:tc>
          <w:tcPr>
            <w:tcW w:w="2268" w:type="dxa"/>
            <w:tcMar>
              <w:top w:w="28" w:type="dxa"/>
              <w:bottom w:w="28" w:type="dxa"/>
            </w:tcMar>
          </w:tcPr>
          <w:p w14:paraId="64644A08" w14:textId="06C58E72" w:rsidR="00F03D56" w:rsidRPr="00C46EC1" w:rsidRDefault="00F03D56" w:rsidP="00F03D56">
            <w:pPr>
              <w:widowControl w:val="0"/>
              <w:rPr>
                <w:rFonts w:ascii="Arial" w:hAnsi="Arial" w:cs="Arial"/>
              </w:rPr>
            </w:pPr>
            <w:r w:rsidRPr="00F03D56">
              <w:rPr>
                <w:rFonts w:ascii="Arial" w:hAnsi="Arial" w:cs="Arial"/>
              </w:rPr>
              <w:t xml:space="preserve">Iron deficiency anaemia </w:t>
            </w:r>
          </w:p>
        </w:tc>
        <w:tc>
          <w:tcPr>
            <w:tcW w:w="2988" w:type="dxa"/>
            <w:tcMar>
              <w:top w:w="28" w:type="dxa"/>
              <w:bottom w:w="28" w:type="dxa"/>
            </w:tcMar>
          </w:tcPr>
          <w:p w14:paraId="767900E0" w14:textId="63F65E70" w:rsidR="00F03D56" w:rsidRPr="00C46EC1" w:rsidRDefault="00F03D56" w:rsidP="00F03D56">
            <w:pPr>
              <w:widowControl w:val="0"/>
              <w:rPr>
                <w:rFonts w:ascii="Arial" w:hAnsi="Arial" w:cs="Arial"/>
              </w:rPr>
            </w:pPr>
            <w:r w:rsidRPr="00F03D56">
              <w:rPr>
                <w:rFonts w:ascii="Arial" w:hAnsi="Arial" w:cs="Arial"/>
              </w:rPr>
              <w:t>To request an unrestricted benefit listing for a new strength of ferric derisomaltose and to request a change in the maximum quantity and repeats for the currently listed 500 mg strength of ferric derisomaltose.</w:t>
            </w:r>
          </w:p>
        </w:tc>
        <w:tc>
          <w:tcPr>
            <w:tcW w:w="6758" w:type="dxa"/>
          </w:tcPr>
          <w:p w14:paraId="1B2387C4" w14:textId="329E9F06" w:rsidR="00F03D56" w:rsidRPr="00C46EC1" w:rsidRDefault="00F03D56" w:rsidP="00F03D56">
            <w:pPr>
              <w:widowControl w:val="0"/>
              <w:rPr>
                <w:rFonts w:ascii="Arial" w:hAnsi="Arial" w:cs="Arial"/>
              </w:rPr>
            </w:pPr>
            <w:r w:rsidRPr="00F03D56">
              <w:rPr>
                <w:rFonts w:ascii="Arial" w:hAnsi="Arial" w:cs="Arial"/>
              </w:rPr>
              <w:t xml:space="preserve">The PBAC recommended the unrestricted listing of a new form of ferric derisomaltose, 1000 mg/10 mL. The PBAC noted the new form would be covered by the existing financial arrangements for iron deficient anaemia and would </w:t>
            </w:r>
            <w:r w:rsidR="00DB7CCD">
              <w:rPr>
                <w:rFonts w:ascii="Arial" w:hAnsi="Arial" w:cs="Arial"/>
              </w:rPr>
              <w:t xml:space="preserve">be </w:t>
            </w:r>
            <w:r w:rsidRPr="00F03D56">
              <w:rPr>
                <w:rFonts w:ascii="Arial" w:hAnsi="Arial" w:cs="Arial"/>
              </w:rPr>
              <w:t>listed at no additional cost to Government.</w:t>
            </w:r>
            <w:r w:rsidRPr="00F03D56">
              <w:rPr>
                <w:rFonts w:ascii="Arial" w:hAnsi="Arial" w:cs="Arial"/>
              </w:rPr>
              <w:br/>
              <w:t>The PBAC also recommended an increase of the maximum quantity to 3 and a reduction in the number of repeats to 0 for the current listing for ferric derisomaltose 500 mg/10 mL solution for injection</w:t>
            </w:r>
            <w:r w:rsidR="00252016">
              <w:rPr>
                <w:rFonts w:ascii="Arial" w:hAnsi="Arial" w:cs="Arial"/>
              </w:rPr>
              <w:t xml:space="preserve"> to</w:t>
            </w:r>
            <w:r w:rsidR="00252016" w:rsidRPr="00252016">
              <w:rPr>
                <w:sz w:val="24"/>
                <w:szCs w:val="24"/>
              </w:rPr>
              <w:t xml:space="preserve"> </w:t>
            </w:r>
            <w:r w:rsidR="00252016" w:rsidRPr="00252016">
              <w:rPr>
                <w:rFonts w:ascii="Arial" w:hAnsi="Arial" w:cs="Arial"/>
              </w:rPr>
              <w:t>allow patients to receive the maximum quantity of 1500 mg per prescription</w:t>
            </w:r>
            <w:r w:rsidRPr="00F03D56">
              <w:rPr>
                <w:rFonts w:ascii="Arial" w:hAnsi="Arial" w:cs="Arial"/>
              </w:rPr>
              <w:t xml:space="preserve">. </w:t>
            </w:r>
          </w:p>
        </w:tc>
      </w:tr>
      <w:tr w:rsidR="00442B0D" w:rsidRPr="003D7E12" w14:paraId="051AF6C6" w14:textId="77777777" w:rsidTr="00BF48E6">
        <w:trPr>
          <w:cantSplit/>
        </w:trPr>
        <w:tc>
          <w:tcPr>
            <w:tcW w:w="3509" w:type="dxa"/>
            <w:tcMar>
              <w:top w:w="28" w:type="dxa"/>
              <w:bottom w:w="28" w:type="dxa"/>
            </w:tcMar>
          </w:tcPr>
          <w:p w14:paraId="5A9CA1B3" w14:textId="77777777" w:rsidR="00442B0D" w:rsidRDefault="00442B0D" w:rsidP="00442B0D">
            <w:pPr>
              <w:widowControl w:val="0"/>
              <w:rPr>
                <w:rFonts w:ascii="Arial" w:hAnsi="Arial" w:cs="Arial"/>
              </w:rPr>
            </w:pPr>
            <w:r w:rsidRPr="00F03D56">
              <w:rPr>
                <w:rFonts w:ascii="Arial" w:hAnsi="Arial" w:cs="Arial"/>
              </w:rPr>
              <w:lastRenderedPageBreak/>
              <w:t>INFLUENZA QUADRIVALENT ADJUVANTED VACCINE</w:t>
            </w:r>
            <w:r w:rsidRPr="00F03D56">
              <w:rPr>
                <w:rFonts w:ascii="Arial" w:hAnsi="Arial" w:cs="Arial"/>
              </w:rPr>
              <w:br/>
            </w:r>
          </w:p>
          <w:p w14:paraId="45F4316F" w14:textId="77777777" w:rsidR="00442B0D" w:rsidRDefault="00442B0D" w:rsidP="00442B0D">
            <w:pPr>
              <w:widowControl w:val="0"/>
              <w:rPr>
                <w:rFonts w:ascii="Arial" w:hAnsi="Arial" w:cs="Arial"/>
              </w:rPr>
            </w:pPr>
            <w:r w:rsidRPr="00F03D56">
              <w:rPr>
                <w:rFonts w:ascii="Arial" w:hAnsi="Arial" w:cs="Arial"/>
              </w:rPr>
              <w:t>Injection 0.5 mL</w:t>
            </w:r>
            <w:r w:rsidRPr="00F03D56">
              <w:rPr>
                <w:rFonts w:ascii="Arial" w:hAnsi="Arial" w:cs="Arial"/>
              </w:rPr>
              <w:br/>
            </w:r>
          </w:p>
          <w:p w14:paraId="44194E42" w14:textId="77777777" w:rsidR="00442B0D" w:rsidRDefault="00442B0D" w:rsidP="00442B0D">
            <w:pPr>
              <w:widowControl w:val="0"/>
              <w:rPr>
                <w:rFonts w:ascii="Arial" w:hAnsi="Arial" w:cs="Arial"/>
              </w:rPr>
            </w:pPr>
            <w:r w:rsidRPr="00F03D56">
              <w:rPr>
                <w:rFonts w:ascii="Arial" w:hAnsi="Arial" w:cs="Arial"/>
              </w:rPr>
              <w:t>Fluad® Quad</w:t>
            </w:r>
            <w:r w:rsidRPr="00F03D56">
              <w:rPr>
                <w:rFonts w:ascii="Arial" w:hAnsi="Arial" w:cs="Arial"/>
              </w:rPr>
              <w:br/>
            </w:r>
          </w:p>
          <w:p w14:paraId="19DC1923" w14:textId="77777777" w:rsidR="00442B0D" w:rsidRDefault="00442B0D" w:rsidP="00442B0D">
            <w:pPr>
              <w:widowControl w:val="0"/>
              <w:rPr>
                <w:rFonts w:ascii="Arial" w:hAnsi="Arial" w:cs="Arial"/>
              </w:rPr>
            </w:pPr>
            <w:r w:rsidRPr="00F03D56">
              <w:rPr>
                <w:rFonts w:ascii="Arial" w:hAnsi="Arial" w:cs="Arial"/>
              </w:rPr>
              <w:t>Seqirus (Australia) Pty Ltd</w:t>
            </w:r>
            <w:r w:rsidRPr="00F03D56">
              <w:rPr>
                <w:rFonts w:ascii="Arial" w:hAnsi="Arial" w:cs="Arial"/>
              </w:rPr>
              <w:br/>
            </w:r>
          </w:p>
          <w:p w14:paraId="30B99C43" w14:textId="2BBD216B" w:rsidR="00442B0D" w:rsidRDefault="00442B0D" w:rsidP="00442B0D">
            <w:pPr>
              <w:widowControl w:val="0"/>
              <w:rPr>
                <w:rFonts w:ascii="Arial" w:hAnsi="Arial" w:cs="Arial"/>
              </w:rPr>
            </w:pPr>
            <w:r w:rsidRPr="00F03D56">
              <w:rPr>
                <w:rFonts w:ascii="Arial" w:hAnsi="Arial" w:cs="Arial"/>
              </w:rPr>
              <w:t>Deferral of new listing from July 2019 Meeting</w:t>
            </w:r>
            <w:r w:rsidRPr="00F03D56">
              <w:rPr>
                <w:rFonts w:ascii="Arial" w:hAnsi="Arial" w:cs="Arial"/>
              </w:rPr>
              <w:br/>
              <w:t>(Major Submission)</w:t>
            </w:r>
          </w:p>
        </w:tc>
        <w:tc>
          <w:tcPr>
            <w:tcW w:w="2268" w:type="dxa"/>
            <w:tcMar>
              <w:top w:w="28" w:type="dxa"/>
              <w:bottom w:w="28" w:type="dxa"/>
            </w:tcMar>
          </w:tcPr>
          <w:p w14:paraId="5BAC7C52" w14:textId="11B7C736" w:rsidR="00442B0D" w:rsidRPr="00F03D56" w:rsidRDefault="00442B0D" w:rsidP="00442B0D">
            <w:pPr>
              <w:widowControl w:val="0"/>
              <w:rPr>
                <w:rFonts w:ascii="Arial" w:hAnsi="Arial" w:cs="Arial"/>
              </w:rPr>
            </w:pPr>
            <w:r w:rsidRPr="00F03D56">
              <w:rPr>
                <w:rFonts w:ascii="Arial" w:hAnsi="Arial" w:cs="Arial"/>
              </w:rPr>
              <w:t>Prevention of seasonal influenza</w:t>
            </w:r>
          </w:p>
        </w:tc>
        <w:tc>
          <w:tcPr>
            <w:tcW w:w="2988" w:type="dxa"/>
            <w:tcMar>
              <w:top w:w="28" w:type="dxa"/>
              <w:bottom w:w="28" w:type="dxa"/>
            </w:tcMar>
          </w:tcPr>
          <w:p w14:paraId="032A48A8" w14:textId="52622514" w:rsidR="00442B0D" w:rsidRPr="00F03D56" w:rsidRDefault="00442B0D" w:rsidP="00442B0D">
            <w:pPr>
              <w:widowControl w:val="0"/>
              <w:rPr>
                <w:rFonts w:ascii="Arial" w:hAnsi="Arial" w:cs="Arial"/>
              </w:rPr>
            </w:pPr>
            <w:r w:rsidRPr="00F03D56">
              <w:rPr>
                <w:rFonts w:ascii="Arial" w:hAnsi="Arial" w:cs="Arial"/>
              </w:rPr>
              <w:t xml:space="preserve">To request National Immunisation Program (NIP) listing for the prevention of seasonal influenza in patients aged 65 years and over. </w:t>
            </w:r>
          </w:p>
        </w:tc>
        <w:tc>
          <w:tcPr>
            <w:tcW w:w="6758" w:type="dxa"/>
            <w:vAlign w:val="bottom"/>
          </w:tcPr>
          <w:p w14:paraId="083219F8" w14:textId="37E845CD" w:rsidR="00442B0D" w:rsidRPr="00F03D56" w:rsidRDefault="00442B0D" w:rsidP="007F1F37">
            <w:pPr>
              <w:widowControl w:val="0"/>
              <w:rPr>
                <w:rFonts w:ascii="Arial" w:hAnsi="Arial" w:cs="Arial"/>
              </w:rPr>
            </w:pPr>
            <w:r w:rsidRPr="00F03D56">
              <w:rPr>
                <w:rFonts w:ascii="Arial" w:hAnsi="Arial" w:cs="Arial"/>
              </w:rPr>
              <w:t xml:space="preserve">The PBAC recommended the listing of adjuvanted quadrivalent influenza vaccine (aQIV, Fluad Quad®) on the National Health (Immunisation Program – Designated Vaccines) Determination 2014 (No.1) (the Determination), for vaccination against influenza in adults aged 65 years and above. Noting the advice in the TGA Delegate’s Overview and the Advisory Committee on Vaccines (ACV) consideration of aQIV, the PBAC was satisfied the remaining outstanding issues relating to the application were satisfactorily resolved. </w:t>
            </w:r>
            <w:r w:rsidRPr="00F03D56">
              <w:rPr>
                <w:rFonts w:ascii="Arial" w:hAnsi="Arial" w:cs="Arial"/>
              </w:rPr>
              <w:br/>
              <w:t>The PBAC reiterated its July 2019 advice that it was satisfied that aQIV provides, for adults aged 65 and above, a significant improvement in efficacy over non-adjuvanted QIVs and that it considered that aQIV was cost-effective at the proposed price.</w:t>
            </w:r>
          </w:p>
        </w:tc>
      </w:tr>
      <w:tr w:rsidR="00442B0D" w:rsidRPr="003D7E12" w14:paraId="46FC7B93" w14:textId="77777777" w:rsidTr="00C46EC1">
        <w:trPr>
          <w:cantSplit/>
        </w:trPr>
        <w:tc>
          <w:tcPr>
            <w:tcW w:w="3509" w:type="dxa"/>
            <w:tcMar>
              <w:top w:w="28" w:type="dxa"/>
              <w:bottom w:w="28" w:type="dxa"/>
            </w:tcMar>
          </w:tcPr>
          <w:p w14:paraId="11DF4AB5" w14:textId="77777777" w:rsidR="00442B0D" w:rsidRDefault="00442B0D" w:rsidP="00442B0D">
            <w:pPr>
              <w:widowControl w:val="0"/>
              <w:rPr>
                <w:rFonts w:ascii="Arial" w:hAnsi="Arial" w:cs="Arial"/>
              </w:rPr>
            </w:pPr>
            <w:r w:rsidRPr="00FA305A">
              <w:rPr>
                <w:rFonts w:ascii="Arial" w:hAnsi="Arial" w:cs="Arial"/>
              </w:rPr>
              <w:t>LENALIDOMIDE</w:t>
            </w:r>
            <w:r w:rsidRPr="00FA305A">
              <w:rPr>
                <w:rFonts w:ascii="Arial" w:hAnsi="Arial" w:cs="Arial"/>
              </w:rPr>
              <w:br/>
            </w:r>
          </w:p>
          <w:p w14:paraId="3E41CDBB" w14:textId="77777777" w:rsidR="00442B0D" w:rsidRDefault="00442B0D" w:rsidP="00442B0D">
            <w:pPr>
              <w:widowControl w:val="0"/>
              <w:rPr>
                <w:rFonts w:ascii="Arial" w:hAnsi="Arial" w:cs="Arial"/>
              </w:rPr>
            </w:pPr>
            <w:r w:rsidRPr="00FA305A">
              <w:rPr>
                <w:rFonts w:ascii="Arial" w:hAnsi="Arial" w:cs="Arial"/>
              </w:rPr>
              <w:t xml:space="preserve">5 mg capsule, 14, 21 </w:t>
            </w:r>
            <w:r w:rsidRPr="00FA305A">
              <w:rPr>
                <w:rFonts w:ascii="Arial" w:hAnsi="Arial" w:cs="Arial"/>
              </w:rPr>
              <w:br/>
              <w:t xml:space="preserve">10 mg capsule, 14, 21 </w:t>
            </w:r>
            <w:r w:rsidRPr="00FA305A">
              <w:rPr>
                <w:rFonts w:ascii="Arial" w:hAnsi="Arial" w:cs="Arial"/>
              </w:rPr>
              <w:br/>
              <w:t xml:space="preserve">15 mg capsule, 14, 21 </w:t>
            </w:r>
            <w:r w:rsidRPr="00FA305A">
              <w:rPr>
                <w:rFonts w:ascii="Arial" w:hAnsi="Arial" w:cs="Arial"/>
              </w:rPr>
              <w:br/>
              <w:t>25 mg capsule, 14, 21</w:t>
            </w:r>
            <w:r w:rsidRPr="00FA305A">
              <w:rPr>
                <w:rFonts w:ascii="Arial" w:hAnsi="Arial" w:cs="Arial"/>
              </w:rPr>
              <w:br/>
            </w:r>
          </w:p>
          <w:p w14:paraId="7D7E5FD0" w14:textId="77777777" w:rsidR="00442B0D" w:rsidRDefault="00442B0D" w:rsidP="00442B0D">
            <w:pPr>
              <w:widowControl w:val="0"/>
              <w:rPr>
                <w:rFonts w:ascii="Arial" w:hAnsi="Arial" w:cs="Arial"/>
              </w:rPr>
            </w:pPr>
            <w:r w:rsidRPr="00FA305A">
              <w:rPr>
                <w:rFonts w:ascii="Arial" w:hAnsi="Arial" w:cs="Arial"/>
              </w:rPr>
              <w:t>Revlimid®</w:t>
            </w:r>
            <w:r w:rsidRPr="00FA305A">
              <w:rPr>
                <w:rFonts w:ascii="Arial" w:hAnsi="Arial" w:cs="Arial"/>
              </w:rPr>
              <w:br/>
            </w:r>
          </w:p>
          <w:p w14:paraId="742EA971" w14:textId="77777777" w:rsidR="00442B0D" w:rsidRDefault="00442B0D" w:rsidP="00442B0D">
            <w:pPr>
              <w:widowControl w:val="0"/>
              <w:rPr>
                <w:rFonts w:ascii="Arial" w:hAnsi="Arial" w:cs="Arial"/>
              </w:rPr>
            </w:pPr>
            <w:r w:rsidRPr="00FA305A">
              <w:rPr>
                <w:rFonts w:ascii="Arial" w:hAnsi="Arial" w:cs="Arial"/>
              </w:rPr>
              <w:t>Celgene Pty Ltd</w:t>
            </w:r>
            <w:r w:rsidRPr="00FA305A">
              <w:rPr>
                <w:rFonts w:ascii="Arial" w:hAnsi="Arial" w:cs="Arial"/>
              </w:rPr>
              <w:br/>
            </w:r>
          </w:p>
          <w:p w14:paraId="6E67BF45" w14:textId="3D27500F" w:rsidR="00442B0D" w:rsidRDefault="00442B0D" w:rsidP="00442B0D">
            <w:pPr>
              <w:widowControl w:val="0"/>
              <w:rPr>
                <w:rFonts w:ascii="Arial" w:hAnsi="Arial" w:cs="Arial"/>
              </w:rPr>
            </w:pPr>
            <w:r w:rsidRPr="00FA305A">
              <w:rPr>
                <w:rFonts w:ascii="Arial" w:hAnsi="Arial" w:cs="Arial"/>
              </w:rPr>
              <w:t xml:space="preserve">Change to listing </w:t>
            </w:r>
            <w:r w:rsidRPr="00FA305A">
              <w:rPr>
                <w:rFonts w:ascii="Arial" w:hAnsi="Arial" w:cs="Arial"/>
              </w:rPr>
              <w:br/>
              <w:t>(Major Submission)</w:t>
            </w:r>
          </w:p>
        </w:tc>
        <w:tc>
          <w:tcPr>
            <w:tcW w:w="2268" w:type="dxa"/>
            <w:tcMar>
              <w:top w:w="28" w:type="dxa"/>
              <w:bottom w:w="28" w:type="dxa"/>
            </w:tcMar>
          </w:tcPr>
          <w:p w14:paraId="28371A9B" w14:textId="77777777" w:rsidR="00442B0D" w:rsidRPr="00FA305A" w:rsidRDefault="00442B0D" w:rsidP="00442B0D">
            <w:pPr>
              <w:widowControl w:val="0"/>
              <w:rPr>
                <w:rFonts w:ascii="Arial" w:hAnsi="Arial" w:cs="Arial"/>
              </w:rPr>
            </w:pPr>
            <w:r w:rsidRPr="00FA305A">
              <w:rPr>
                <w:rFonts w:ascii="Arial" w:hAnsi="Arial" w:cs="Arial"/>
              </w:rPr>
              <w:t>Multiple myeloma</w:t>
            </w:r>
          </w:p>
          <w:p w14:paraId="1D21B028" w14:textId="77777777" w:rsidR="00442B0D" w:rsidRPr="00F03D56" w:rsidRDefault="00442B0D" w:rsidP="00442B0D">
            <w:pPr>
              <w:widowControl w:val="0"/>
              <w:rPr>
                <w:rFonts w:ascii="Arial" w:hAnsi="Arial" w:cs="Arial"/>
              </w:rPr>
            </w:pPr>
          </w:p>
        </w:tc>
        <w:tc>
          <w:tcPr>
            <w:tcW w:w="2988" w:type="dxa"/>
            <w:tcMar>
              <w:top w:w="28" w:type="dxa"/>
              <w:bottom w:w="28" w:type="dxa"/>
            </w:tcMar>
          </w:tcPr>
          <w:p w14:paraId="650466E7" w14:textId="77777777" w:rsidR="00442B0D" w:rsidRPr="00FA305A" w:rsidRDefault="00442B0D" w:rsidP="00442B0D">
            <w:pPr>
              <w:widowControl w:val="0"/>
              <w:rPr>
                <w:rFonts w:ascii="Arial" w:hAnsi="Arial" w:cs="Arial"/>
              </w:rPr>
            </w:pPr>
            <w:r w:rsidRPr="00FA305A">
              <w:rPr>
                <w:rFonts w:ascii="Arial" w:hAnsi="Arial" w:cs="Arial"/>
              </w:rPr>
              <w:t xml:space="preserve">Submission to request an extension to the Section 100 (Highly Specialised Drug Program) Authority Required listing to include the treatment of patients, in combination with bortezomib and dexamethasone, with newly diagnosed multiple myeloma who are ineligible for a primary stem cell transplant. </w:t>
            </w:r>
          </w:p>
          <w:p w14:paraId="306FAC33" w14:textId="77777777" w:rsidR="00442B0D" w:rsidRPr="00F03D56" w:rsidRDefault="00442B0D" w:rsidP="00442B0D">
            <w:pPr>
              <w:widowControl w:val="0"/>
              <w:rPr>
                <w:rFonts w:ascii="Arial" w:hAnsi="Arial" w:cs="Arial"/>
              </w:rPr>
            </w:pPr>
          </w:p>
        </w:tc>
        <w:tc>
          <w:tcPr>
            <w:tcW w:w="6758" w:type="dxa"/>
          </w:tcPr>
          <w:p w14:paraId="74EC8767" w14:textId="77777777" w:rsidR="00442B0D" w:rsidRPr="00F03D56" w:rsidRDefault="00442B0D" w:rsidP="00442B0D">
            <w:pPr>
              <w:widowControl w:val="0"/>
              <w:rPr>
                <w:rFonts w:ascii="Arial" w:hAnsi="Arial" w:cs="Arial"/>
              </w:rPr>
            </w:pPr>
            <w:r w:rsidRPr="00F03D56">
              <w:rPr>
                <w:rFonts w:ascii="Arial" w:hAnsi="Arial" w:cs="Arial"/>
              </w:rPr>
              <w:t>The PBAC recommended the listing of lenalidomide in combination with bortezomib and dexamethasone (RVd) for the treatment of patients with newly diagnosed multiple myeloma (NDMM) on the basis that it should be available only under special arrangements under Section 100 – Highly Specialised Drugs Program. The PBAC was satisfied that RVd provides, for some patients, a significant improvement in efficacy over lenalidomide plus dexamethasone (Rd) and bortezomib in combination with melphalan and prednisolone (VMP) and acknowledged the clinical need for triplet combination therapy in the NDMM setting.</w:t>
            </w:r>
          </w:p>
          <w:p w14:paraId="472DE6CF" w14:textId="3113724E" w:rsidR="00442B0D" w:rsidRPr="00F03D56" w:rsidRDefault="00442B0D" w:rsidP="00442B0D">
            <w:pPr>
              <w:widowControl w:val="0"/>
              <w:rPr>
                <w:rFonts w:ascii="Arial" w:hAnsi="Arial" w:cs="Arial"/>
              </w:rPr>
            </w:pPr>
            <w:r w:rsidRPr="00F03D56">
              <w:rPr>
                <w:rFonts w:ascii="Arial" w:hAnsi="Arial" w:cs="Arial"/>
              </w:rPr>
              <w:t>The PBAC considered that the incremental use of bortezomib was cost-effective at no more than the current net price. The PBAC considered that the incremental use of lenalidomide would be cost-effective if expenditure was capped at no higher than the estimates provided in the submission, implemented through a Risk Sharing Arrangement, together with a price reduction to address the uncertainty in the incremental cost-effectiveness ratio (ICER) of RVd versus bortezomib in combination with melphalan and prednisolone (VMP).</w:t>
            </w:r>
          </w:p>
        </w:tc>
      </w:tr>
    </w:tbl>
    <w:p w14:paraId="74DAB237" w14:textId="3E48E7A6" w:rsidR="003D7E12" w:rsidRPr="00FA305A" w:rsidRDefault="003D7E12" w:rsidP="00FA305A">
      <w:pPr>
        <w:tabs>
          <w:tab w:val="left" w:pos="5210"/>
        </w:tabs>
        <w:rPr>
          <w:rFonts w:ascii="Arial" w:hAnsi="Arial" w:cs="Arial"/>
          <w:lang w:val="en-US"/>
        </w:rPr>
      </w:pPr>
    </w:p>
    <w:sectPr w:rsidR="003D7E12" w:rsidRPr="00FA305A" w:rsidSect="009C43AD">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76953364"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474F0C">
      <w:rPr>
        <w:rStyle w:val="PageNumber"/>
        <w:rFonts w:ascii="Arial" w:hAnsi="Arial" w:cs="Arial"/>
        <w:noProof/>
      </w:rPr>
      <w:t>2</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3947B028" w:rsidR="003238E9" w:rsidRDefault="00D3305E" w:rsidP="007D408D">
    <w:pPr>
      <w:pStyle w:val="Header"/>
      <w:jc w:val="center"/>
      <w:rPr>
        <w:rFonts w:ascii="Arial" w:hAnsi="Arial" w:cs="Arial"/>
        <w:b/>
        <w:snapToGrid w:val="0"/>
        <w:lang w:eastAsia="en-US"/>
      </w:rPr>
    </w:pPr>
    <w:r>
      <w:rPr>
        <w:rFonts w:ascii="Arial" w:hAnsi="Arial" w:cs="Arial"/>
        <w:b/>
        <w:snapToGrid w:val="0"/>
        <w:lang w:eastAsia="en-US"/>
      </w:rPr>
      <w:t xml:space="preserve">AUGUST </w:t>
    </w:r>
    <w:r w:rsidR="003238E9">
      <w:rPr>
        <w:rFonts w:ascii="Arial" w:hAnsi="Arial" w:cs="Arial"/>
        <w:b/>
        <w:snapToGrid w:val="0"/>
        <w:lang w:eastAsia="en-US"/>
      </w:rPr>
      <w:t>2019 PBAC MEETING –</w:t>
    </w:r>
    <w:r>
      <w:rPr>
        <w:rFonts w:ascii="Arial" w:hAnsi="Arial" w:cs="Arial"/>
        <w:b/>
        <w:snapToGrid w:val="0"/>
        <w:lang w:eastAsia="en-US"/>
      </w:rPr>
      <w:t xml:space="preserve"> POSITIVE </w:t>
    </w:r>
    <w:r w:rsidR="003238E9">
      <w:rPr>
        <w:rFonts w:ascii="Arial" w:hAnsi="Arial" w:cs="Arial"/>
        <w:b/>
        <w:snapToGrid w:val="0"/>
        <w:lang w:eastAsia="en-US"/>
      </w:rPr>
      <w:t>RECOMMENDATIONS</w:t>
    </w:r>
  </w:p>
  <w:p w14:paraId="159E4E12" w14:textId="77777777" w:rsidR="003238E9" w:rsidRDefault="003238E9"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21E22"/>
    <w:multiLevelType w:val="hybridMultilevel"/>
    <w:tmpl w:val="A96AB24A"/>
    <w:lvl w:ilvl="0" w:tplc="4810E2C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154D3"/>
    <w:multiLevelType w:val="hybridMultilevel"/>
    <w:tmpl w:val="2698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E01BB8"/>
    <w:multiLevelType w:val="hybridMultilevel"/>
    <w:tmpl w:val="CB42444E"/>
    <w:lvl w:ilvl="0" w:tplc="B6B28284">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0D360D53"/>
    <w:multiLevelType w:val="hybridMultilevel"/>
    <w:tmpl w:val="9DD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374F3A"/>
    <w:multiLevelType w:val="hybridMultilevel"/>
    <w:tmpl w:val="CEA8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8C5A51"/>
    <w:multiLevelType w:val="hybridMultilevel"/>
    <w:tmpl w:val="1F6CDD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A2E5BD8"/>
    <w:multiLevelType w:val="hybridMultilevel"/>
    <w:tmpl w:val="381C0966"/>
    <w:lvl w:ilvl="0" w:tplc="D6DC68C0">
      <w:start w:val="1"/>
      <w:numFmt w:val="lowerLetter"/>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B9764B"/>
    <w:multiLevelType w:val="hybridMultilevel"/>
    <w:tmpl w:val="C32E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1B0CE3"/>
    <w:multiLevelType w:val="hybridMultilevel"/>
    <w:tmpl w:val="6406903C"/>
    <w:lvl w:ilvl="0" w:tplc="FE280AEC">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CD44A5"/>
    <w:multiLevelType w:val="hybridMultilevel"/>
    <w:tmpl w:val="9120E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732A42"/>
    <w:multiLevelType w:val="hybridMultilevel"/>
    <w:tmpl w:val="C0D41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F178ED"/>
    <w:multiLevelType w:val="hybridMultilevel"/>
    <w:tmpl w:val="488EDFF6"/>
    <w:lvl w:ilvl="0" w:tplc="7A521848">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493364B5"/>
    <w:multiLevelType w:val="hybridMultilevel"/>
    <w:tmpl w:val="D3ECA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A0D19F2"/>
    <w:multiLevelType w:val="hybridMultilevel"/>
    <w:tmpl w:val="322C42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82174D"/>
    <w:multiLevelType w:val="hybridMultilevel"/>
    <w:tmpl w:val="D854920C"/>
    <w:lvl w:ilvl="0" w:tplc="762CFA6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92086A"/>
    <w:multiLevelType w:val="hybridMultilevel"/>
    <w:tmpl w:val="07FE071E"/>
    <w:lvl w:ilvl="0" w:tplc="3C921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776C67"/>
    <w:multiLevelType w:val="hybridMultilevel"/>
    <w:tmpl w:val="00C85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236DB8"/>
    <w:multiLevelType w:val="hybridMultilevel"/>
    <w:tmpl w:val="D4B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54"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51"/>
  </w:num>
  <w:num w:numId="3">
    <w:abstractNumId w:val="50"/>
  </w:num>
  <w:num w:numId="4">
    <w:abstractNumId w:val="36"/>
  </w:num>
  <w:num w:numId="5">
    <w:abstractNumId w:val="28"/>
  </w:num>
  <w:num w:numId="6">
    <w:abstractNumId w:val="10"/>
  </w:num>
  <w:num w:numId="7">
    <w:abstractNumId w:val="5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55"/>
  </w:num>
  <w:num w:numId="12">
    <w:abstractNumId w:val="54"/>
  </w:num>
  <w:num w:numId="13">
    <w:abstractNumId w:val="11"/>
  </w:num>
  <w:num w:numId="14">
    <w:abstractNumId w:val="41"/>
  </w:num>
  <w:num w:numId="15">
    <w:abstractNumId w:val="17"/>
  </w:num>
  <w:num w:numId="16">
    <w:abstractNumId w:val="44"/>
  </w:num>
  <w:num w:numId="17">
    <w:abstractNumId w:val="2"/>
  </w:num>
  <w:num w:numId="18">
    <w:abstractNumId w:val="4"/>
  </w:num>
  <w:num w:numId="19">
    <w:abstractNumId w:val="18"/>
  </w:num>
  <w:num w:numId="20">
    <w:abstractNumId w:val="48"/>
  </w:num>
  <w:num w:numId="21">
    <w:abstractNumId w:val="39"/>
  </w:num>
  <w:num w:numId="22">
    <w:abstractNumId w:val="47"/>
  </w:num>
  <w:num w:numId="23">
    <w:abstractNumId w:val="1"/>
  </w:num>
  <w:num w:numId="24">
    <w:abstractNumId w:val="7"/>
  </w:num>
  <w:num w:numId="25">
    <w:abstractNumId w:val="43"/>
  </w:num>
  <w:num w:numId="26">
    <w:abstractNumId w:val="53"/>
  </w:num>
  <w:num w:numId="27">
    <w:abstractNumId w:val="23"/>
  </w:num>
  <w:num w:numId="28">
    <w:abstractNumId w:val="5"/>
  </w:num>
  <w:num w:numId="29">
    <w:abstractNumId w:val="16"/>
  </w:num>
  <w:num w:numId="30">
    <w:abstractNumId w:val="19"/>
  </w:num>
  <w:num w:numId="31">
    <w:abstractNumId w:val="32"/>
  </w:num>
  <w:num w:numId="32">
    <w:abstractNumId w:val="30"/>
  </w:num>
  <w:num w:numId="33">
    <w:abstractNumId w:val="45"/>
  </w:num>
  <w:num w:numId="34">
    <w:abstractNumId w:val="37"/>
  </w:num>
  <w:num w:numId="35">
    <w:abstractNumId w:val="25"/>
  </w:num>
  <w:num w:numId="36">
    <w:abstractNumId w:val="20"/>
  </w:num>
  <w:num w:numId="37">
    <w:abstractNumId w:val="22"/>
  </w:num>
  <w:num w:numId="38">
    <w:abstractNumId w:val="49"/>
  </w:num>
  <w:num w:numId="39">
    <w:abstractNumId w:val="6"/>
  </w:num>
  <w:num w:numId="40">
    <w:abstractNumId w:val="9"/>
  </w:num>
  <w:num w:numId="41">
    <w:abstractNumId w:val="31"/>
  </w:num>
  <w:num w:numId="42">
    <w:abstractNumId w:val="14"/>
  </w:num>
  <w:num w:numId="43">
    <w:abstractNumId w:val="35"/>
  </w:num>
  <w:num w:numId="44">
    <w:abstractNumId w:val="13"/>
  </w:num>
  <w:num w:numId="45">
    <w:abstractNumId w:val="8"/>
  </w:num>
  <w:num w:numId="46">
    <w:abstractNumId w:val="33"/>
  </w:num>
  <w:num w:numId="47">
    <w:abstractNumId w:val="3"/>
  </w:num>
  <w:num w:numId="48">
    <w:abstractNumId w:val="38"/>
  </w:num>
  <w:num w:numId="49">
    <w:abstractNumId w:val="46"/>
  </w:num>
  <w:num w:numId="50">
    <w:abstractNumId w:val="21"/>
  </w:num>
  <w:num w:numId="51">
    <w:abstractNumId w:val="42"/>
  </w:num>
  <w:num w:numId="52">
    <w:abstractNumId w:val="26"/>
  </w:num>
  <w:num w:numId="53">
    <w:abstractNumId w:val="34"/>
  </w:num>
  <w:num w:numId="54">
    <w:abstractNumId w:val="27"/>
  </w:num>
  <w:num w:numId="55">
    <w:abstractNumId w:val="15"/>
  </w:num>
  <w:num w:numId="5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6BF"/>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6BB6"/>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18A"/>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958"/>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B24"/>
    <w:rsid w:val="000B6487"/>
    <w:rsid w:val="000B7071"/>
    <w:rsid w:val="000B7A91"/>
    <w:rsid w:val="000B7F45"/>
    <w:rsid w:val="000C040A"/>
    <w:rsid w:val="000C0497"/>
    <w:rsid w:val="000C059E"/>
    <w:rsid w:val="000C0E21"/>
    <w:rsid w:val="000C1863"/>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27CC"/>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5E35"/>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330"/>
    <w:rsid w:val="00221B4C"/>
    <w:rsid w:val="002226A9"/>
    <w:rsid w:val="0022277E"/>
    <w:rsid w:val="00223034"/>
    <w:rsid w:val="00223614"/>
    <w:rsid w:val="002238E6"/>
    <w:rsid w:val="00223EB4"/>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016"/>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2"/>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EBB"/>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F44"/>
    <w:rsid w:val="00374102"/>
    <w:rsid w:val="00374783"/>
    <w:rsid w:val="00374BA5"/>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3F94"/>
    <w:rsid w:val="003946AC"/>
    <w:rsid w:val="00395338"/>
    <w:rsid w:val="00395600"/>
    <w:rsid w:val="00395C55"/>
    <w:rsid w:val="00397572"/>
    <w:rsid w:val="003A074E"/>
    <w:rsid w:val="003A0BC7"/>
    <w:rsid w:val="003A1C27"/>
    <w:rsid w:val="003A1CFF"/>
    <w:rsid w:val="003A23AD"/>
    <w:rsid w:val="003A23C3"/>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5C8"/>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2A15"/>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2B0D"/>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E9C"/>
    <w:rsid w:val="004732E6"/>
    <w:rsid w:val="00474927"/>
    <w:rsid w:val="00474F0C"/>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0BA"/>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90E"/>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1E3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1F37"/>
    <w:rsid w:val="007F25B4"/>
    <w:rsid w:val="007F2C38"/>
    <w:rsid w:val="007F2EFF"/>
    <w:rsid w:val="007F3683"/>
    <w:rsid w:val="007F39D7"/>
    <w:rsid w:val="007F3A04"/>
    <w:rsid w:val="007F3F60"/>
    <w:rsid w:val="007F49FD"/>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3FC5"/>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CD0"/>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0F41"/>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6BD"/>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9A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1C40"/>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0CB"/>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0F69"/>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70A0"/>
    <w:rsid w:val="00B07CC0"/>
    <w:rsid w:val="00B07D53"/>
    <w:rsid w:val="00B102F5"/>
    <w:rsid w:val="00B103BE"/>
    <w:rsid w:val="00B103E9"/>
    <w:rsid w:val="00B10C24"/>
    <w:rsid w:val="00B113BB"/>
    <w:rsid w:val="00B1146D"/>
    <w:rsid w:val="00B11586"/>
    <w:rsid w:val="00B11C4D"/>
    <w:rsid w:val="00B11E6D"/>
    <w:rsid w:val="00B11FA4"/>
    <w:rsid w:val="00B12242"/>
    <w:rsid w:val="00B1393B"/>
    <w:rsid w:val="00B140D2"/>
    <w:rsid w:val="00B14CD1"/>
    <w:rsid w:val="00B15491"/>
    <w:rsid w:val="00B1562F"/>
    <w:rsid w:val="00B159D6"/>
    <w:rsid w:val="00B16D63"/>
    <w:rsid w:val="00B17629"/>
    <w:rsid w:val="00B20737"/>
    <w:rsid w:val="00B21D6E"/>
    <w:rsid w:val="00B22C39"/>
    <w:rsid w:val="00B22DE0"/>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3EDC"/>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A95"/>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46EC1"/>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00"/>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2403"/>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0EE"/>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0979"/>
    <w:rsid w:val="00D1153F"/>
    <w:rsid w:val="00D11995"/>
    <w:rsid w:val="00D11BFB"/>
    <w:rsid w:val="00D11CFD"/>
    <w:rsid w:val="00D12432"/>
    <w:rsid w:val="00D133F6"/>
    <w:rsid w:val="00D13808"/>
    <w:rsid w:val="00D13ABD"/>
    <w:rsid w:val="00D146FE"/>
    <w:rsid w:val="00D1581E"/>
    <w:rsid w:val="00D15D19"/>
    <w:rsid w:val="00D15D93"/>
    <w:rsid w:val="00D15DA1"/>
    <w:rsid w:val="00D15EEC"/>
    <w:rsid w:val="00D1635E"/>
    <w:rsid w:val="00D16380"/>
    <w:rsid w:val="00D163FF"/>
    <w:rsid w:val="00D166B5"/>
    <w:rsid w:val="00D16E87"/>
    <w:rsid w:val="00D17335"/>
    <w:rsid w:val="00D17F7B"/>
    <w:rsid w:val="00D204FE"/>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05E"/>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D0A"/>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77BCB"/>
    <w:rsid w:val="00D80973"/>
    <w:rsid w:val="00D80BD8"/>
    <w:rsid w:val="00D824BB"/>
    <w:rsid w:val="00D82A2B"/>
    <w:rsid w:val="00D8301D"/>
    <w:rsid w:val="00D8473E"/>
    <w:rsid w:val="00D8560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CCD"/>
    <w:rsid w:val="00DB7D6B"/>
    <w:rsid w:val="00DC01DD"/>
    <w:rsid w:val="00DC0423"/>
    <w:rsid w:val="00DC29D6"/>
    <w:rsid w:val="00DC3515"/>
    <w:rsid w:val="00DC430F"/>
    <w:rsid w:val="00DC43B0"/>
    <w:rsid w:val="00DC478C"/>
    <w:rsid w:val="00DC47BF"/>
    <w:rsid w:val="00DC4800"/>
    <w:rsid w:val="00DC4CEC"/>
    <w:rsid w:val="00DC4EF9"/>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230F"/>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D56"/>
    <w:rsid w:val="00F03E24"/>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0DE3"/>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A19"/>
    <w:rsid w:val="00FA068B"/>
    <w:rsid w:val="00FA0B65"/>
    <w:rsid w:val="00FA1665"/>
    <w:rsid w:val="00FA1B1B"/>
    <w:rsid w:val="00FA2534"/>
    <w:rsid w:val="00FA2BC2"/>
    <w:rsid w:val="00FA305A"/>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33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4:docId w14:val="389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 w:type="character" w:customStyle="1" w:styleId="CommentTextChar">
    <w:name w:val="Comment Text Char"/>
    <w:basedOn w:val="DefaultParagraphFont"/>
    <w:link w:val="CommentText"/>
    <w:rsid w:val="00374BA5"/>
  </w:style>
  <w:style w:type="character" w:customStyle="1" w:styleId="e24kjd">
    <w:name w:val="e24kjd"/>
    <w:basedOn w:val="DefaultParagraphFont"/>
    <w:rsid w:val="00D1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4644933">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16062064">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4735466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43672459">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6859263">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05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25A7-AF41-4988-94CD-C5582A1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2019-10-02T07:41:00Z</dcterms:created>
  <dcterms:modified xsi:type="dcterms:W3CDTF">2019-10-03T03:25:00Z</dcterms:modified>
</cp:coreProperties>
</file>