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B0EE" w14:textId="77777777" w:rsidR="00D7136A" w:rsidRDefault="00464DA0" w:rsidP="00267A9D">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6951BF" w:rsidRDefault="00D7136A" w:rsidP="00D7136A">
      <w:pPr>
        <w:jc w:val="both"/>
        <w:rPr>
          <w:rFonts w:ascii="Arial" w:hAnsi="Arial" w:cs="Arial"/>
          <w:b/>
          <w:sz w:val="28"/>
          <w:szCs w:val="20"/>
          <w:lang w:val="en-AU" w:eastAsia="en-AU"/>
        </w:rPr>
      </w:pPr>
    </w:p>
    <w:p w14:paraId="7C5EA0B1" w14:textId="4F2BBEF2" w:rsidR="00D7136A" w:rsidRPr="006951BF" w:rsidRDefault="00D7136A" w:rsidP="008866E8">
      <w:pPr>
        <w:contextualSpacing/>
        <w:jc w:val="both"/>
        <w:rPr>
          <w:rFonts w:ascii="Arial" w:hAnsi="Arial" w:cs="Arial"/>
          <w:color w:val="A6A6A6"/>
          <w:sz w:val="22"/>
          <w:lang w:val="en-AU" w:eastAsia="en-AU"/>
        </w:rPr>
      </w:pPr>
      <w:r w:rsidRPr="006951BF">
        <w:rPr>
          <w:rFonts w:ascii="Arial" w:hAnsi="Arial" w:cs="Arial"/>
          <w:sz w:val="22"/>
          <w:lang w:val="en-AU" w:eastAsia="en-AU"/>
        </w:rPr>
        <w:t>The PBAC noted utilisation reports with associated stakeholder re</w:t>
      </w:r>
      <w:bookmarkStart w:id="0" w:name="_GoBack"/>
      <w:bookmarkEnd w:id="0"/>
      <w:r w:rsidRPr="006951BF">
        <w:rPr>
          <w:rFonts w:ascii="Arial" w:hAnsi="Arial" w:cs="Arial"/>
          <w:sz w:val="22"/>
          <w:lang w:val="en-AU" w:eastAsia="en-AU"/>
        </w:rPr>
        <w:t xml:space="preserve">sponses from the </w:t>
      </w:r>
      <w:r w:rsidR="00F8213A">
        <w:rPr>
          <w:rFonts w:ascii="Arial" w:hAnsi="Arial" w:cs="Arial"/>
          <w:sz w:val="22"/>
          <w:lang w:val="en-AU" w:eastAsia="en-AU"/>
        </w:rPr>
        <w:t>October</w:t>
      </w:r>
      <w:r w:rsidR="00D72D36" w:rsidRPr="006951BF">
        <w:rPr>
          <w:rFonts w:ascii="Arial" w:hAnsi="Arial" w:cs="Arial"/>
          <w:sz w:val="22"/>
          <w:lang w:val="en-AU" w:eastAsia="en-AU"/>
        </w:rPr>
        <w:t xml:space="preserve"> 2019</w:t>
      </w:r>
      <w:r w:rsidR="00A31269" w:rsidRPr="006951BF">
        <w:rPr>
          <w:rFonts w:ascii="Arial" w:hAnsi="Arial" w:cs="Arial"/>
          <w:sz w:val="22"/>
          <w:lang w:val="en-AU" w:eastAsia="en-AU"/>
        </w:rPr>
        <w:t xml:space="preserve"> Drug Utilisation Sub-Committee (DUSC) </w:t>
      </w:r>
      <w:r w:rsidRPr="006951BF">
        <w:rPr>
          <w:rFonts w:ascii="Arial" w:hAnsi="Arial" w:cs="Arial"/>
          <w:sz w:val="22"/>
          <w:lang w:val="en-AU" w:eastAsia="en-AU"/>
        </w:rPr>
        <w:t>meeting, which were provided in Item</w:t>
      </w:r>
      <w:r w:rsidR="00A31269" w:rsidRPr="006951BF">
        <w:rPr>
          <w:rFonts w:ascii="Arial" w:hAnsi="Arial" w:cs="Arial"/>
          <w:sz w:val="22"/>
          <w:lang w:val="en-AU" w:eastAsia="en-AU"/>
        </w:rPr>
        <w:t>s 10.0</w:t>
      </w:r>
      <w:r w:rsidR="00F8213A">
        <w:rPr>
          <w:rFonts w:ascii="Arial" w:hAnsi="Arial" w:cs="Arial"/>
          <w:sz w:val="22"/>
          <w:lang w:val="en-AU" w:eastAsia="en-AU"/>
        </w:rPr>
        <w:t>4</w:t>
      </w:r>
      <w:r w:rsidR="00A31269" w:rsidRPr="006951BF">
        <w:rPr>
          <w:rFonts w:ascii="Arial" w:hAnsi="Arial" w:cs="Arial"/>
          <w:sz w:val="22"/>
          <w:lang w:val="en-AU" w:eastAsia="en-AU"/>
        </w:rPr>
        <w:t xml:space="preserve"> to 10.0</w:t>
      </w:r>
      <w:r w:rsidR="00F8213A">
        <w:rPr>
          <w:rFonts w:ascii="Arial" w:hAnsi="Arial" w:cs="Arial"/>
          <w:sz w:val="22"/>
          <w:lang w:val="en-AU" w:eastAsia="en-AU"/>
        </w:rPr>
        <w:t>7</w:t>
      </w:r>
      <w:r w:rsidRPr="006951BF">
        <w:rPr>
          <w:rFonts w:ascii="Arial" w:hAnsi="Arial" w:cs="Arial"/>
          <w:sz w:val="22"/>
          <w:lang w:val="en-AU" w:eastAsia="en-AU"/>
        </w:rPr>
        <w:t xml:space="preserve"> of the PBAC Agenda. </w:t>
      </w:r>
      <w:r w:rsidR="00A31269" w:rsidRPr="006951BF">
        <w:rPr>
          <w:rFonts w:ascii="Arial" w:hAnsi="Arial" w:cs="Arial"/>
          <w:sz w:val="22"/>
          <w:lang w:val="en-AU" w:eastAsia="en-AU"/>
        </w:rPr>
        <w:t>DUSC minutes relating to these items were provided to the PBAC</w:t>
      </w:r>
      <w:r w:rsidR="00F8213A">
        <w:rPr>
          <w:rFonts w:ascii="Arial" w:hAnsi="Arial" w:cs="Arial"/>
          <w:sz w:val="22"/>
          <w:lang w:val="en-AU" w:eastAsia="en-AU"/>
        </w:rPr>
        <w:t>. The outcomes of the DUSC consideration of these items are available in</w:t>
      </w:r>
      <w:r w:rsidR="00CB6BC5">
        <w:rPr>
          <w:rFonts w:ascii="Arial" w:hAnsi="Arial" w:cs="Arial"/>
          <w:sz w:val="22"/>
          <w:lang w:val="en-AU" w:eastAsia="en-AU"/>
        </w:rPr>
        <w:t xml:space="preserve"> the </w:t>
      </w:r>
      <w:hyperlink r:id="rId8" w:history="1">
        <w:r w:rsidR="00F8213A">
          <w:rPr>
            <w:rStyle w:val="Hyperlink"/>
            <w:rFonts w:ascii="Arial" w:hAnsi="Arial" w:cs="Arial"/>
            <w:sz w:val="22"/>
            <w:lang w:val="en-AU" w:eastAsia="en-AU"/>
          </w:rPr>
          <w:t xml:space="preserve">October </w:t>
        </w:r>
        <w:r w:rsidR="00D72D36" w:rsidRPr="00CB6BC5">
          <w:rPr>
            <w:rStyle w:val="Hyperlink"/>
            <w:rFonts w:ascii="Arial" w:hAnsi="Arial" w:cs="Arial"/>
            <w:sz w:val="22"/>
            <w:lang w:val="en-AU" w:eastAsia="en-AU"/>
          </w:rPr>
          <w:t>2019</w:t>
        </w:r>
        <w:r w:rsidR="00A31269" w:rsidRPr="00CB6BC5">
          <w:rPr>
            <w:rStyle w:val="Hyperlink"/>
            <w:rFonts w:ascii="Arial" w:hAnsi="Arial" w:cs="Arial"/>
            <w:sz w:val="22"/>
            <w:lang w:val="en-AU" w:eastAsia="en-AU"/>
          </w:rPr>
          <w:t xml:space="preserve"> DUSC outcome statement</w:t>
        </w:r>
      </w:hyperlink>
      <w:r w:rsidR="00A31269" w:rsidRPr="006951BF">
        <w:rPr>
          <w:rFonts w:ascii="Arial" w:hAnsi="Arial" w:cs="Arial"/>
          <w:sz w:val="22"/>
          <w:lang w:val="en-AU" w:eastAsia="en-AU"/>
        </w:rPr>
        <w:t>.</w:t>
      </w:r>
    </w:p>
    <w:p w14:paraId="2BEF9007" w14:textId="25603A75" w:rsidR="005616CC" w:rsidRPr="006951BF" w:rsidRDefault="005616CC" w:rsidP="008866E8">
      <w:pPr>
        <w:contextualSpacing/>
        <w:jc w:val="both"/>
        <w:rPr>
          <w:rFonts w:ascii="Arial" w:hAnsi="Arial" w:cs="Arial"/>
          <w:b/>
          <w:sz w:val="22"/>
          <w:lang w:val="en-AU" w:eastAsia="en-AU"/>
        </w:rPr>
      </w:pPr>
    </w:p>
    <w:p w14:paraId="38EDF30F" w14:textId="399BC4DA" w:rsidR="007C758A" w:rsidRPr="006951BF" w:rsidRDefault="00F8213A" w:rsidP="008866E8">
      <w:pPr>
        <w:contextualSpacing/>
        <w:jc w:val="both"/>
        <w:rPr>
          <w:rFonts w:ascii="Arial" w:hAnsi="Arial" w:cs="Arial"/>
          <w:b/>
          <w:sz w:val="22"/>
          <w:lang w:val="en-AU" w:eastAsia="en-AU"/>
        </w:rPr>
      </w:pPr>
      <w:r>
        <w:rPr>
          <w:rFonts w:ascii="Arial" w:hAnsi="Arial" w:cs="Arial"/>
          <w:b/>
          <w:sz w:val="22"/>
          <w:lang w:val="en-AU" w:eastAsia="en-AU"/>
        </w:rPr>
        <w:t>Lenalidomide for newly diagnosed multiple myeloma</w:t>
      </w:r>
    </w:p>
    <w:p w14:paraId="1B925BB8" w14:textId="77777777" w:rsidR="00B13AD3" w:rsidRPr="006951BF" w:rsidRDefault="00B13AD3" w:rsidP="008866E8">
      <w:pPr>
        <w:contextualSpacing/>
        <w:jc w:val="both"/>
        <w:rPr>
          <w:rFonts w:ascii="Arial" w:hAnsi="Arial" w:cs="Arial"/>
          <w:sz w:val="22"/>
          <w:lang w:val="en-AU" w:eastAsia="en-AU"/>
        </w:rPr>
      </w:pPr>
    </w:p>
    <w:p w14:paraId="58D57071" w14:textId="786BB1D4" w:rsidR="00B1693A" w:rsidRPr="006951BF" w:rsidRDefault="00B13AD3" w:rsidP="008866E8">
      <w:pPr>
        <w:contextualSpacing/>
        <w:jc w:val="both"/>
        <w:rPr>
          <w:rFonts w:ascii="Arial" w:hAnsi="Arial" w:cs="Arial"/>
          <w:bCs/>
          <w:sz w:val="22"/>
          <w:lang w:val="en-AU" w:eastAsia="en-AU"/>
        </w:rPr>
      </w:pPr>
      <w:r w:rsidRPr="006951BF">
        <w:rPr>
          <w:rFonts w:ascii="Arial" w:hAnsi="Arial" w:cs="Arial"/>
          <w:sz w:val="22"/>
          <w:lang w:val="en-AU" w:eastAsia="en-AU"/>
        </w:rPr>
        <w:t xml:space="preserve">This report considered the </w:t>
      </w:r>
      <w:r w:rsidR="0073297F" w:rsidRPr="006951BF">
        <w:rPr>
          <w:rFonts w:ascii="Arial" w:hAnsi="Arial" w:cs="Arial"/>
          <w:sz w:val="22"/>
          <w:lang w:val="en-AU" w:eastAsia="en-AU"/>
        </w:rPr>
        <w:t xml:space="preserve">predicted and actual utilisation of </w:t>
      </w:r>
      <w:r w:rsidR="00F8213A">
        <w:rPr>
          <w:rFonts w:ascii="Arial" w:hAnsi="Arial" w:cs="Arial"/>
          <w:sz w:val="22"/>
          <w:lang w:val="en-AU" w:eastAsia="en-AU"/>
        </w:rPr>
        <w:t>lenalidomide for newly diagnosed multiple myeloma</w:t>
      </w:r>
      <w:r w:rsidR="00582F85">
        <w:rPr>
          <w:rFonts w:ascii="Arial" w:hAnsi="Arial" w:cs="Arial"/>
          <w:sz w:val="22"/>
          <w:lang w:val="en-AU" w:eastAsia="en-AU"/>
        </w:rPr>
        <w:t xml:space="preserve"> patients who are ineligible for autologous stem cell transplantation</w:t>
      </w:r>
      <w:r w:rsidR="0073297F" w:rsidRPr="006951BF">
        <w:rPr>
          <w:rFonts w:ascii="Arial" w:hAnsi="Arial" w:cs="Arial"/>
          <w:sz w:val="22"/>
          <w:lang w:val="en-AU" w:eastAsia="en-AU"/>
        </w:rPr>
        <w:t xml:space="preserve"> since it was PBS listed for this indication.</w:t>
      </w:r>
    </w:p>
    <w:p w14:paraId="0F478DA6" w14:textId="77777777" w:rsidR="00A31269" w:rsidRPr="006951BF" w:rsidRDefault="00A31269" w:rsidP="008866E8">
      <w:pPr>
        <w:contextualSpacing/>
        <w:jc w:val="both"/>
        <w:rPr>
          <w:rFonts w:ascii="Arial" w:hAnsi="Arial" w:cs="Arial"/>
          <w:color w:val="A6A6A6"/>
          <w:sz w:val="22"/>
          <w:lang w:val="en-AU" w:eastAsia="en-AU"/>
        </w:rPr>
      </w:pPr>
    </w:p>
    <w:p w14:paraId="4711D0AD" w14:textId="77777777" w:rsidR="00A31269" w:rsidRPr="006951BF" w:rsidRDefault="00A31269" w:rsidP="008866E8">
      <w:pPr>
        <w:contextualSpacing/>
        <w:jc w:val="both"/>
        <w:rPr>
          <w:rFonts w:ascii="Arial" w:hAnsi="Arial" w:cs="Arial"/>
          <w:i/>
          <w:sz w:val="22"/>
          <w:lang w:val="en-AU" w:eastAsia="en-AU"/>
        </w:rPr>
      </w:pPr>
      <w:r w:rsidRPr="006951BF">
        <w:rPr>
          <w:rFonts w:ascii="Arial" w:hAnsi="Arial" w:cs="Arial"/>
          <w:i/>
          <w:sz w:val="22"/>
          <w:lang w:val="en-AU" w:eastAsia="en-AU"/>
        </w:rPr>
        <w:t>Outcome</w:t>
      </w:r>
    </w:p>
    <w:p w14:paraId="3E64F3C6" w14:textId="64D08793" w:rsidR="005616CC" w:rsidRPr="006951BF" w:rsidRDefault="005616CC" w:rsidP="008866E8">
      <w:pPr>
        <w:contextualSpacing/>
        <w:jc w:val="both"/>
        <w:rPr>
          <w:rFonts w:ascii="Arial" w:hAnsi="Arial" w:cs="Arial"/>
          <w:sz w:val="22"/>
          <w:lang w:val="en-AU" w:eastAsia="en-AU"/>
        </w:rPr>
      </w:pPr>
    </w:p>
    <w:p w14:paraId="45D07681" w14:textId="1E0193AE" w:rsidR="00582F85" w:rsidRDefault="00582F85" w:rsidP="00582F85">
      <w:pPr>
        <w:contextualSpacing/>
        <w:jc w:val="both"/>
        <w:rPr>
          <w:rFonts w:ascii="Arial" w:hAnsi="Arial" w:cs="Arial"/>
          <w:sz w:val="22"/>
          <w:szCs w:val="22"/>
          <w:lang w:val="en-AU"/>
        </w:rPr>
      </w:pPr>
      <w:r>
        <w:rPr>
          <w:rFonts w:ascii="Arial" w:hAnsi="Arial" w:cs="Arial"/>
          <w:sz w:val="22"/>
          <w:szCs w:val="22"/>
          <w:lang w:val="en-AU"/>
        </w:rPr>
        <w:t>The PBAC noted t</w:t>
      </w:r>
      <w:r w:rsidRPr="00582F85">
        <w:rPr>
          <w:rFonts w:ascii="Arial" w:hAnsi="Arial" w:cs="Arial"/>
          <w:sz w:val="22"/>
          <w:szCs w:val="22"/>
          <w:lang w:val="en-AU"/>
        </w:rPr>
        <w:t xml:space="preserve">he listing of lenalidomide in the NDMM setting has not grown the overall NDMM market. Lenalidomide has mainly substituted for thalidomide, with bortezomib use largely unchanged in the NDMM setting. </w:t>
      </w:r>
    </w:p>
    <w:p w14:paraId="5DABA7FE" w14:textId="77777777" w:rsidR="00582F85" w:rsidRDefault="00582F85" w:rsidP="00582F85">
      <w:pPr>
        <w:contextualSpacing/>
        <w:jc w:val="both"/>
        <w:rPr>
          <w:rFonts w:ascii="Arial" w:hAnsi="Arial" w:cs="Arial"/>
          <w:sz w:val="22"/>
          <w:szCs w:val="22"/>
          <w:lang w:val="en-AU"/>
        </w:rPr>
      </w:pPr>
    </w:p>
    <w:p w14:paraId="74AACBBB" w14:textId="3045BC0C" w:rsidR="00582F85" w:rsidRDefault="00582F85" w:rsidP="00582F85">
      <w:pPr>
        <w:contextualSpacing/>
        <w:jc w:val="both"/>
        <w:rPr>
          <w:rFonts w:ascii="Arial" w:hAnsi="Arial" w:cs="Arial"/>
          <w:sz w:val="22"/>
          <w:szCs w:val="22"/>
          <w:lang w:val="en-AU"/>
        </w:rPr>
      </w:pPr>
      <w:r w:rsidRPr="00582F85">
        <w:rPr>
          <w:rFonts w:ascii="Arial" w:hAnsi="Arial" w:cs="Arial"/>
          <w:sz w:val="22"/>
          <w:szCs w:val="22"/>
          <w:lang w:val="en-AU"/>
        </w:rPr>
        <w:t>The PBAC noted the impact of listing lenalidomide was lower than predicted</w:t>
      </w:r>
      <w:r>
        <w:rPr>
          <w:rFonts w:ascii="Arial" w:hAnsi="Arial" w:cs="Arial"/>
          <w:sz w:val="22"/>
          <w:szCs w:val="22"/>
          <w:lang w:val="en-AU"/>
        </w:rPr>
        <w:t>,</w:t>
      </w:r>
      <w:r w:rsidRPr="00582F85">
        <w:rPr>
          <w:rFonts w:ascii="Arial" w:hAnsi="Arial" w:cs="Arial"/>
          <w:sz w:val="22"/>
          <w:szCs w:val="22"/>
          <w:lang w:val="en-AU"/>
        </w:rPr>
        <w:t xml:space="preserve"> despite the higher number of patients treated, due to the lower than expected number</w:t>
      </w:r>
      <w:r w:rsidR="00A03E25">
        <w:rPr>
          <w:rFonts w:ascii="Arial" w:hAnsi="Arial" w:cs="Arial"/>
          <w:sz w:val="22"/>
          <w:szCs w:val="22"/>
          <w:lang w:val="en-AU"/>
        </w:rPr>
        <w:t xml:space="preserve"> of prescriptions per patient.</w:t>
      </w:r>
    </w:p>
    <w:p w14:paraId="1AF13A96" w14:textId="77777777" w:rsidR="00582F85" w:rsidRDefault="00582F85" w:rsidP="00582F85">
      <w:pPr>
        <w:contextualSpacing/>
        <w:jc w:val="both"/>
        <w:rPr>
          <w:rFonts w:ascii="Arial" w:hAnsi="Arial" w:cs="Arial"/>
          <w:sz w:val="22"/>
          <w:szCs w:val="22"/>
          <w:lang w:val="en-AU"/>
        </w:rPr>
      </w:pPr>
    </w:p>
    <w:p w14:paraId="7CCEE13F" w14:textId="2E1F8454" w:rsidR="008866E8" w:rsidRPr="00582F85" w:rsidRDefault="00582F85" w:rsidP="008866E8">
      <w:pPr>
        <w:contextualSpacing/>
        <w:jc w:val="both"/>
        <w:rPr>
          <w:rFonts w:ascii="Arial" w:hAnsi="Arial" w:cs="Arial"/>
          <w:sz w:val="22"/>
          <w:szCs w:val="22"/>
          <w:lang w:val="en-AU"/>
        </w:rPr>
      </w:pPr>
      <w:r>
        <w:rPr>
          <w:rFonts w:ascii="Arial" w:hAnsi="Arial" w:cs="Arial"/>
          <w:sz w:val="22"/>
          <w:szCs w:val="22"/>
          <w:lang w:val="en-AU"/>
        </w:rPr>
        <w:t>T</w:t>
      </w:r>
      <w:r w:rsidRPr="00582F85">
        <w:rPr>
          <w:rFonts w:ascii="Arial" w:hAnsi="Arial" w:cs="Arial"/>
          <w:sz w:val="22"/>
          <w:szCs w:val="22"/>
          <w:lang w:val="en-AU"/>
        </w:rPr>
        <w:t>he PBAC considered the reported use reflec</w:t>
      </w:r>
      <w:r w:rsidR="00A03E25">
        <w:rPr>
          <w:rFonts w:ascii="Arial" w:hAnsi="Arial" w:cs="Arial"/>
          <w:sz w:val="22"/>
          <w:szCs w:val="22"/>
          <w:lang w:val="en-AU"/>
        </w:rPr>
        <w:t>ted current clinical practice.</w:t>
      </w:r>
    </w:p>
    <w:p w14:paraId="49A93D88" w14:textId="51DBEB97" w:rsidR="006D0A58" w:rsidRPr="006951BF" w:rsidRDefault="006D0A58" w:rsidP="008866E8">
      <w:pPr>
        <w:contextualSpacing/>
        <w:jc w:val="both"/>
        <w:rPr>
          <w:rFonts w:ascii="Arial" w:hAnsi="Arial" w:cs="Arial"/>
          <w:sz w:val="22"/>
          <w:szCs w:val="22"/>
        </w:rPr>
      </w:pPr>
    </w:p>
    <w:p w14:paraId="72585DDB" w14:textId="77777777" w:rsidR="00647788" w:rsidRDefault="00647788" w:rsidP="008866E8">
      <w:pPr>
        <w:contextualSpacing/>
        <w:jc w:val="both"/>
        <w:rPr>
          <w:rFonts w:ascii="Arial" w:hAnsi="Arial" w:cs="Arial"/>
          <w:b/>
          <w:sz w:val="22"/>
          <w:szCs w:val="22"/>
        </w:rPr>
      </w:pPr>
      <w:r>
        <w:rPr>
          <w:rFonts w:ascii="Arial" w:hAnsi="Arial" w:cs="Arial"/>
          <w:b/>
          <w:sz w:val="22"/>
          <w:szCs w:val="22"/>
        </w:rPr>
        <w:t xml:space="preserve">Tyrosine kinase inhibitors for chronic myeloid </w:t>
      </w:r>
      <w:proofErr w:type="spellStart"/>
      <w:r>
        <w:rPr>
          <w:rFonts w:ascii="Arial" w:hAnsi="Arial" w:cs="Arial"/>
          <w:b/>
          <w:sz w:val="22"/>
          <w:szCs w:val="22"/>
        </w:rPr>
        <w:t>leukaemia</w:t>
      </w:r>
      <w:proofErr w:type="spellEnd"/>
      <w:r>
        <w:rPr>
          <w:rFonts w:ascii="Arial" w:hAnsi="Arial" w:cs="Arial"/>
          <w:b/>
          <w:sz w:val="22"/>
          <w:szCs w:val="22"/>
        </w:rPr>
        <w:t xml:space="preserve"> </w:t>
      </w:r>
    </w:p>
    <w:p w14:paraId="16FF92FC" w14:textId="43DB7997" w:rsidR="006D0A58" w:rsidRPr="006951BF" w:rsidRDefault="006D0A58" w:rsidP="008866E8">
      <w:pPr>
        <w:contextualSpacing/>
        <w:jc w:val="both"/>
        <w:rPr>
          <w:rFonts w:ascii="Arial" w:hAnsi="Arial" w:cs="Arial"/>
          <w:b/>
          <w:sz w:val="22"/>
          <w:szCs w:val="22"/>
        </w:rPr>
      </w:pPr>
    </w:p>
    <w:p w14:paraId="55D47623" w14:textId="13E248F1" w:rsidR="006D0A58" w:rsidRPr="006951BF" w:rsidRDefault="006D0A58" w:rsidP="008866E8">
      <w:pPr>
        <w:contextualSpacing/>
        <w:jc w:val="both"/>
        <w:rPr>
          <w:rFonts w:ascii="Arial" w:hAnsi="Arial" w:cs="Arial"/>
          <w:sz w:val="22"/>
          <w:szCs w:val="22"/>
        </w:rPr>
      </w:pPr>
      <w:r w:rsidRPr="006951BF">
        <w:rPr>
          <w:rFonts w:ascii="Arial" w:hAnsi="Arial" w:cs="Arial"/>
          <w:sz w:val="22"/>
          <w:szCs w:val="22"/>
        </w:rPr>
        <w:t xml:space="preserve">This report considered the utilisation of </w:t>
      </w:r>
      <w:r w:rsidR="00647788" w:rsidRPr="00647788">
        <w:rPr>
          <w:rFonts w:ascii="Arial" w:hAnsi="Arial" w:cs="Arial"/>
          <w:sz w:val="22"/>
          <w:szCs w:val="22"/>
        </w:rPr>
        <w:t>P</w:t>
      </w:r>
      <w:r w:rsidR="00647788">
        <w:rPr>
          <w:rFonts w:ascii="Arial" w:hAnsi="Arial" w:cs="Arial"/>
          <w:sz w:val="22"/>
          <w:szCs w:val="22"/>
        </w:rPr>
        <w:t>BS-listed tyrosine k</w:t>
      </w:r>
      <w:r w:rsidR="00647788" w:rsidRPr="00647788">
        <w:rPr>
          <w:rFonts w:ascii="Arial" w:hAnsi="Arial" w:cs="Arial"/>
          <w:sz w:val="22"/>
          <w:szCs w:val="22"/>
        </w:rPr>
        <w:t xml:space="preserve">inase </w:t>
      </w:r>
      <w:r w:rsidR="00647788">
        <w:rPr>
          <w:rFonts w:ascii="Arial" w:hAnsi="Arial" w:cs="Arial"/>
          <w:sz w:val="22"/>
          <w:szCs w:val="22"/>
        </w:rPr>
        <w:t>i</w:t>
      </w:r>
      <w:r w:rsidR="00647788" w:rsidRPr="00647788">
        <w:rPr>
          <w:rFonts w:ascii="Arial" w:hAnsi="Arial" w:cs="Arial"/>
          <w:sz w:val="22"/>
          <w:szCs w:val="22"/>
        </w:rPr>
        <w:t xml:space="preserve">nhibitors (TKIs), </w:t>
      </w:r>
      <w:proofErr w:type="spellStart"/>
      <w:r w:rsidR="00647788" w:rsidRPr="00647788">
        <w:rPr>
          <w:rFonts w:ascii="Arial" w:hAnsi="Arial" w:cs="Arial"/>
          <w:sz w:val="22"/>
          <w:szCs w:val="22"/>
        </w:rPr>
        <w:t>imatinib</w:t>
      </w:r>
      <w:proofErr w:type="spellEnd"/>
      <w:r w:rsidR="00647788" w:rsidRPr="00647788">
        <w:rPr>
          <w:rFonts w:ascii="Arial" w:hAnsi="Arial" w:cs="Arial"/>
          <w:sz w:val="22"/>
          <w:szCs w:val="22"/>
        </w:rPr>
        <w:t xml:space="preserve">, </w:t>
      </w:r>
      <w:proofErr w:type="spellStart"/>
      <w:r w:rsidR="00647788" w:rsidRPr="00647788">
        <w:rPr>
          <w:rFonts w:ascii="Arial" w:hAnsi="Arial" w:cs="Arial"/>
          <w:sz w:val="22"/>
          <w:szCs w:val="22"/>
        </w:rPr>
        <w:t>dasatinib</w:t>
      </w:r>
      <w:proofErr w:type="spellEnd"/>
      <w:r w:rsidR="00647788" w:rsidRPr="00647788">
        <w:rPr>
          <w:rFonts w:ascii="Arial" w:hAnsi="Arial" w:cs="Arial"/>
          <w:sz w:val="22"/>
          <w:szCs w:val="22"/>
        </w:rPr>
        <w:t xml:space="preserve">, </w:t>
      </w:r>
      <w:proofErr w:type="spellStart"/>
      <w:r w:rsidR="00647788" w:rsidRPr="00647788">
        <w:rPr>
          <w:rFonts w:ascii="Arial" w:hAnsi="Arial" w:cs="Arial"/>
          <w:sz w:val="22"/>
          <w:szCs w:val="22"/>
        </w:rPr>
        <w:t>nilotinib</w:t>
      </w:r>
      <w:proofErr w:type="spellEnd"/>
      <w:r w:rsidR="00647788" w:rsidRPr="00647788">
        <w:rPr>
          <w:rFonts w:ascii="Arial" w:hAnsi="Arial" w:cs="Arial"/>
          <w:sz w:val="22"/>
          <w:szCs w:val="22"/>
        </w:rPr>
        <w:t xml:space="preserve"> and </w:t>
      </w:r>
      <w:proofErr w:type="spellStart"/>
      <w:r w:rsidR="00647788" w:rsidRPr="00647788">
        <w:rPr>
          <w:rFonts w:ascii="Arial" w:hAnsi="Arial" w:cs="Arial"/>
          <w:sz w:val="22"/>
          <w:szCs w:val="22"/>
        </w:rPr>
        <w:t>ponatinib</w:t>
      </w:r>
      <w:proofErr w:type="spellEnd"/>
      <w:r w:rsidR="00647788" w:rsidRPr="00647788">
        <w:rPr>
          <w:rFonts w:ascii="Arial" w:hAnsi="Arial" w:cs="Arial"/>
          <w:sz w:val="22"/>
          <w:szCs w:val="22"/>
        </w:rPr>
        <w:t xml:space="preserve">, for the treatment of </w:t>
      </w:r>
      <w:r w:rsidR="00647788">
        <w:rPr>
          <w:rFonts w:ascii="Arial" w:hAnsi="Arial" w:cs="Arial"/>
          <w:sz w:val="22"/>
          <w:szCs w:val="22"/>
        </w:rPr>
        <w:t xml:space="preserve">chronic myeloid </w:t>
      </w:r>
      <w:proofErr w:type="spellStart"/>
      <w:r w:rsidR="00647788">
        <w:rPr>
          <w:rFonts w:ascii="Arial" w:hAnsi="Arial" w:cs="Arial"/>
          <w:sz w:val="22"/>
          <w:szCs w:val="22"/>
        </w:rPr>
        <w:t>l</w:t>
      </w:r>
      <w:r w:rsidR="00647788" w:rsidRPr="00647788">
        <w:rPr>
          <w:rFonts w:ascii="Arial" w:hAnsi="Arial" w:cs="Arial"/>
          <w:sz w:val="22"/>
          <w:szCs w:val="22"/>
        </w:rPr>
        <w:t>eukaemia</w:t>
      </w:r>
      <w:proofErr w:type="spellEnd"/>
      <w:r w:rsidR="00647788" w:rsidRPr="00647788">
        <w:rPr>
          <w:rFonts w:ascii="Arial" w:hAnsi="Arial" w:cs="Arial"/>
          <w:sz w:val="22"/>
          <w:szCs w:val="22"/>
        </w:rPr>
        <w:t xml:space="preserve"> (CML).</w:t>
      </w:r>
    </w:p>
    <w:p w14:paraId="66B88271" w14:textId="7B93385C" w:rsidR="006D0A58" w:rsidRPr="006951BF" w:rsidRDefault="006D0A58" w:rsidP="0073297F">
      <w:pPr>
        <w:contextualSpacing/>
        <w:rPr>
          <w:rFonts w:ascii="Arial" w:hAnsi="Arial" w:cs="Arial"/>
          <w:sz w:val="22"/>
          <w:szCs w:val="22"/>
        </w:rPr>
      </w:pPr>
    </w:p>
    <w:p w14:paraId="59E60C45" w14:textId="0A53CEE5" w:rsidR="006D0A58" w:rsidRPr="00046F5C" w:rsidRDefault="006D0A58" w:rsidP="0073297F">
      <w:pPr>
        <w:contextualSpacing/>
        <w:rPr>
          <w:rFonts w:ascii="Arial" w:hAnsi="Arial" w:cs="Arial"/>
          <w:i/>
          <w:sz w:val="22"/>
          <w:szCs w:val="22"/>
        </w:rPr>
      </w:pPr>
      <w:r w:rsidRPr="00046F5C">
        <w:rPr>
          <w:rFonts w:ascii="Arial" w:hAnsi="Arial" w:cs="Arial"/>
          <w:i/>
          <w:sz w:val="22"/>
          <w:szCs w:val="22"/>
        </w:rPr>
        <w:t>Outcome</w:t>
      </w:r>
    </w:p>
    <w:p w14:paraId="4C34D5CC" w14:textId="6422FC65" w:rsidR="006D0A58" w:rsidRPr="006951BF" w:rsidRDefault="006D0A58" w:rsidP="0073297F">
      <w:pPr>
        <w:contextualSpacing/>
        <w:rPr>
          <w:rFonts w:ascii="Arial" w:hAnsi="Arial" w:cs="Arial"/>
          <w:sz w:val="22"/>
          <w:szCs w:val="22"/>
        </w:rPr>
      </w:pPr>
    </w:p>
    <w:p w14:paraId="2331C2F5" w14:textId="2AED5E92" w:rsidR="006D0A58" w:rsidRDefault="00647788" w:rsidP="008866E8">
      <w:pPr>
        <w:contextualSpacing/>
        <w:jc w:val="both"/>
        <w:rPr>
          <w:rFonts w:ascii="Arial" w:hAnsi="Arial" w:cs="Arial"/>
          <w:sz w:val="22"/>
          <w:szCs w:val="22"/>
        </w:rPr>
      </w:pPr>
      <w:r>
        <w:rPr>
          <w:rFonts w:ascii="Arial" w:hAnsi="Arial" w:cs="Arial"/>
          <w:sz w:val="22"/>
          <w:szCs w:val="22"/>
        </w:rPr>
        <w:t>The PBAC noted that</w:t>
      </w:r>
      <w:r w:rsidRPr="00647788">
        <w:t xml:space="preserve"> </w:t>
      </w:r>
      <w:r>
        <w:t>t</w:t>
      </w:r>
      <w:r w:rsidRPr="00647788">
        <w:rPr>
          <w:rFonts w:ascii="Arial" w:hAnsi="Arial" w:cs="Arial"/>
          <w:sz w:val="22"/>
          <w:szCs w:val="22"/>
        </w:rPr>
        <w:t xml:space="preserve">here was continued growth in the number of prescriptions of </w:t>
      </w:r>
      <w:proofErr w:type="spellStart"/>
      <w:r w:rsidRPr="00647788">
        <w:rPr>
          <w:rFonts w:ascii="Arial" w:hAnsi="Arial" w:cs="Arial"/>
          <w:sz w:val="22"/>
          <w:szCs w:val="22"/>
        </w:rPr>
        <w:t>imatinib</w:t>
      </w:r>
      <w:proofErr w:type="spellEnd"/>
      <w:r w:rsidRPr="00647788">
        <w:rPr>
          <w:rFonts w:ascii="Arial" w:hAnsi="Arial" w:cs="Arial"/>
          <w:sz w:val="22"/>
          <w:szCs w:val="22"/>
        </w:rPr>
        <w:t xml:space="preserve">, </w:t>
      </w:r>
      <w:proofErr w:type="spellStart"/>
      <w:r w:rsidRPr="00647788">
        <w:rPr>
          <w:rFonts w:ascii="Arial" w:hAnsi="Arial" w:cs="Arial"/>
          <w:sz w:val="22"/>
          <w:szCs w:val="22"/>
        </w:rPr>
        <w:t>dasatinib</w:t>
      </w:r>
      <w:proofErr w:type="spellEnd"/>
      <w:r w:rsidRPr="00647788">
        <w:rPr>
          <w:rFonts w:ascii="Arial" w:hAnsi="Arial" w:cs="Arial"/>
          <w:sz w:val="22"/>
          <w:szCs w:val="22"/>
        </w:rPr>
        <w:t xml:space="preserve">, </w:t>
      </w:r>
      <w:proofErr w:type="spellStart"/>
      <w:r w:rsidRPr="00647788">
        <w:rPr>
          <w:rFonts w:ascii="Arial" w:hAnsi="Arial" w:cs="Arial"/>
          <w:sz w:val="22"/>
          <w:szCs w:val="22"/>
        </w:rPr>
        <w:t>nilotinib</w:t>
      </w:r>
      <w:proofErr w:type="spellEnd"/>
      <w:r w:rsidRPr="00647788">
        <w:rPr>
          <w:rFonts w:ascii="Arial" w:hAnsi="Arial" w:cs="Arial"/>
          <w:sz w:val="22"/>
          <w:szCs w:val="22"/>
        </w:rPr>
        <w:t xml:space="preserve"> and </w:t>
      </w:r>
      <w:proofErr w:type="spellStart"/>
      <w:r w:rsidRPr="00647788">
        <w:rPr>
          <w:rFonts w:ascii="Arial" w:hAnsi="Arial" w:cs="Arial"/>
          <w:sz w:val="22"/>
          <w:szCs w:val="22"/>
        </w:rPr>
        <w:t>ponatinib</w:t>
      </w:r>
      <w:proofErr w:type="spellEnd"/>
      <w:r w:rsidRPr="00647788">
        <w:rPr>
          <w:rFonts w:ascii="Arial" w:hAnsi="Arial" w:cs="Arial"/>
          <w:sz w:val="22"/>
          <w:szCs w:val="22"/>
        </w:rPr>
        <w:t xml:space="preserve"> supplied per year for CML since the previous analysis considered by DUSC in 2014.</w:t>
      </w:r>
    </w:p>
    <w:p w14:paraId="3BD2CEB0" w14:textId="77777777" w:rsidR="00647788" w:rsidRPr="006951BF" w:rsidRDefault="00647788" w:rsidP="008866E8">
      <w:pPr>
        <w:contextualSpacing/>
        <w:jc w:val="both"/>
        <w:rPr>
          <w:rFonts w:ascii="Arial" w:hAnsi="Arial" w:cs="Arial"/>
          <w:sz w:val="22"/>
          <w:szCs w:val="22"/>
        </w:rPr>
      </w:pPr>
    </w:p>
    <w:p w14:paraId="4F8D9CEC" w14:textId="2C207C60" w:rsidR="008866E8" w:rsidRPr="006951BF" w:rsidRDefault="00647788" w:rsidP="008866E8">
      <w:pPr>
        <w:contextualSpacing/>
        <w:jc w:val="both"/>
        <w:rPr>
          <w:rFonts w:ascii="Arial" w:hAnsi="Arial" w:cs="Arial"/>
          <w:sz w:val="22"/>
          <w:szCs w:val="22"/>
        </w:rPr>
      </w:pPr>
      <w:r>
        <w:rPr>
          <w:rFonts w:ascii="Arial" w:hAnsi="Arial" w:cs="Arial"/>
          <w:sz w:val="22"/>
          <w:szCs w:val="22"/>
        </w:rPr>
        <w:t>The PBAC noted that,</w:t>
      </w:r>
      <w:r w:rsidRPr="00647788">
        <w:rPr>
          <w:rFonts w:ascii="Arial" w:hAnsi="Arial" w:cs="Arial"/>
          <w:sz w:val="22"/>
          <w:szCs w:val="22"/>
          <w:lang w:val="en-AU"/>
        </w:rPr>
        <w:t xml:space="preserve"> within the linearly growing CML TKI market, </w:t>
      </w:r>
      <w:proofErr w:type="spellStart"/>
      <w:r w:rsidRPr="00647788">
        <w:rPr>
          <w:rFonts w:ascii="Arial" w:hAnsi="Arial" w:cs="Arial"/>
          <w:sz w:val="22"/>
          <w:szCs w:val="22"/>
          <w:lang w:val="en-AU"/>
        </w:rPr>
        <w:t>imatinib</w:t>
      </w:r>
      <w:proofErr w:type="spellEnd"/>
      <w:r w:rsidRPr="00647788">
        <w:rPr>
          <w:rFonts w:ascii="Arial" w:hAnsi="Arial" w:cs="Arial"/>
          <w:sz w:val="22"/>
          <w:szCs w:val="22"/>
          <w:lang w:val="en-AU"/>
        </w:rPr>
        <w:t xml:space="preserve"> remains the most used medicine, but its use has plateaued and been somewhat replaced by growing use of </w:t>
      </w:r>
      <w:proofErr w:type="spellStart"/>
      <w:r w:rsidRPr="00647788">
        <w:rPr>
          <w:rFonts w:ascii="Arial" w:hAnsi="Arial" w:cs="Arial"/>
          <w:sz w:val="22"/>
          <w:szCs w:val="22"/>
          <w:lang w:val="en-AU"/>
        </w:rPr>
        <w:t>dasatinib</w:t>
      </w:r>
      <w:proofErr w:type="spellEnd"/>
      <w:r w:rsidRPr="00647788">
        <w:rPr>
          <w:rFonts w:ascii="Arial" w:hAnsi="Arial" w:cs="Arial"/>
          <w:sz w:val="22"/>
          <w:szCs w:val="22"/>
          <w:lang w:val="en-AU"/>
        </w:rPr>
        <w:t xml:space="preserve"> and </w:t>
      </w:r>
      <w:proofErr w:type="spellStart"/>
      <w:r w:rsidRPr="00647788">
        <w:rPr>
          <w:rFonts w:ascii="Arial" w:hAnsi="Arial" w:cs="Arial"/>
          <w:sz w:val="22"/>
          <w:szCs w:val="22"/>
          <w:lang w:val="en-AU"/>
        </w:rPr>
        <w:t>nilotinib</w:t>
      </w:r>
      <w:proofErr w:type="spellEnd"/>
      <w:r w:rsidRPr="00647788">
        <w:rPr>
          <w:rFonts w:ascii="Arial" w:hAnsi="Arial" w:cs="Arial"/>
          <w:sz w:val="22"/>
          <w:szCs w:val="22"/>
          <w:lang w:val="en-AU"/>
        </w:rPr>
        <w:t xml:space="preserve">. The PBAC noted the use of </w:t>
      </w:r>
      <w:proofErr w:type="spellStart"/>
      <w:r w:rsidRPr="00647788">
        <w:rPr>
          <w:rFonts w:ascii="Arial" w:hAnsi="Arial" w:cs="Arial"/>
          <w:sz w:val="22"/>
          <w:szCs w:val="22"/>
          <w:lang w:val="en-AU"/>
        </w:rPr>
        <w:t>ponatinib</w:t>
      </w:r>
      <w:proofErr w:type="spellEnd"/>
      <w:r w:rsidRPr="00647788">
        <w:rPr>
          <w:rFonts w:ascii="Arial" w:hAnsi="Arial" w:cs="Arial"/>
          <w:sz w:val="22"/>
          <w:szCs w:val="22"/>
          <w:lang w:val="en-AU"/>
        </w:rPr>
        <w:t xml:space="preserve"> was small.</w:t>
      </w:r>
    </w:p>
    <w:p w14:paraId="72E4295D" w14:textId="5E766A0D" w:rsidR="006D0A58" w:rsidRPr="006951BF" w:rsidRDefault="006D0A58" w:rsidP="006D0A58">
      <w:pPr>
        <w:contextualSpacing/>
        <w:rPr>
          <w:rFonts w:ascii="Arial" w:hAnsi="Arial" w:cs="Arial"/>
          <w:sz w:val="22"/>
          <w:szCs w:val="22"/>
        </w:rPr>
      </w:pPr>
    </w:p>
    <w:p w14:paraId="7FCF6722" w14:textId="39CD4BCE" w:rsidR="006D0A58" w:rsidRPr="006951BF" w:rsidRDefault="00647788" w:rsidP="008866E8">
      <w:pPr>
        <w:contextualSpacing/>
        <w:jc w:val="both"/>
        <w:rPr>
          <w:rFonts w:ascii="Arial" w:hAnsi="Arial" w:cs="Arial"/>
          <w:b/>
          <w:sz w:val="22"/>
          <w:lang w:val="en-AU" w:eastAsia="en-AU"/>
        </w:rPr>
      </w:pPr>
      <w:r>
        <w:rPr>
          <w:rFonts w:ascii="Arial" w:hAnsi="Arial" w:cs="Arial"/>
          <w:b/>
          <w:sz w:val="22"/>
          <w:lang w:val="en-AU" w:eastAsia="en-AU"/>
        </w:rPr>
        <w:t>Biologics for severe uncontrolled asthma</w:t>
      </w:r>
    </w:p>
    <w:p w14:paraId="044D8BA5" w14:textId="6A5099ED" w:rsidR="006D0A58" w:rsidRPr="006951BF" w:rsidRDefault="006D0A58" w:rsidP="006D0A58">
      <w:pPr>
        <w:contextualSpacing/>
        <w:rPr>
          <w:rFonts w:ascii="Arial" w:hAnsi="Arial" w:cs="Arial"/>
          <w:b/>
          <w:sz w:val="22"/>
          <w:lang w:val="en-AU" w:eastAsia="en-AU"/>
        </w:rPr>
      </w:pPr>
    </w:p>
    <w:p w14:paraId="0D20F508" w14:textId="65B3529F" w:rsidR="00A25973" w:rsidRPr="00A25973" w:rsidRDefault="006D0A58" w:rsidP="00A25973">
      <w:pPr>
        <w:contextualSpacing/>
        <w:jc w:val="both"/>
        <w:rPr>
          <w:rFonts w:ascii="Arial" w:hAnsi="Arial" w:cs="Arial"/>
          <w:sz w:val="22"/>
          <w:szCs w:val="22"/>
          <w:lang w:val="en-AU"/>
        </w:rPr>
      </w:pPr>
      <w:r w:rsidRPr="006951BF">
        <w:rPr>
          <w:rFonts w:ascii="Arial" w:hAnsi="Arial" w:cs="Arial"/>
          <w:sz w:val="22"/>
          <w:szCs w:val="22"/>
        </w:rPr>
        <w:t>This report considered</w:t>
      </w:r>
      <w:r w:rsidR="006951BF" w:rsidRPr="006951BF">
        <w:rPr>
          <w:rFonts w:ascii="Arial" w:hAnsi="Arial" w:cs="Arial"/>
          <w:sz w:val="22"/>
          <w:szCs w:val="22"/>
        </w:rPr>
        <w:t xml:space="preserve"> </w:t>
      </w:r>
      <w:r w:rsidR="0002143A">
        <w:rPr>
          <w:rFonts w:ascii="Arial" w:hAnsi="Arial" w:cs="Arial"/>
          <w:sz w:val="22"/>
          <w:szCs w:val="22"/>
        </w:rPr>
        <w:t>the</w:t>
      </w:r>
      <w:r w:rsidR="0002143A" w:rsidRPr="0002143A">
        <w:rPr>
          <w:rFonts w:ascii="Arial" w:hAnsi="Arial" w:cs="Arial"/>
          <w:sz w:val="22"/>
          <w:szCs w:val="22"/>
        </w:rPr>
        <w:t xml:space="preserve"> use of biologics for uncontrolled severe asthma.</w:t>
      </w:r>
      <w:r w:rsidR="00A25973">
        <w:rPr>
          <w:rFonts w:ascii="Arial" w:hAnsi="Arial" w:cs="Arial"/>
          <w:sz w:val="22"/>
          <w:szCs w:val="22"/>
        </w:rPr>
        <w:t xml:space="preserve"> </w:t>
      </w:r>
      <w:r w:rsidR="00A25973" w:rsidRPr="00A25973">
        <w:rPr>
          <w:rFonts w:ascii="Arial" w:hAnsi="Arial" w:cs="Arial"/>
          <w:sz w:val="22"/>
          <w:szCs w:val="22"/>
          <w:lang w:val="en-AU"/>
        </w:rPr>
        <w:t>Three biologics are listed on the PBS for the treatment of un</w:t>
      </w:r>
      <w:r w:rsidR="00A25973">
        <w:rPr>
          <w:rFonts w:ascii="Arial" w:hAnsi="Arial" w:cs="Arial"/>
          <w:sz w:val="22"/>
          <w:szCs w:val="22"/>
          <w:lang w:val="en-AU"/>
        </w:rPr>
        <w:t>controlled severe asthma:</w:t>
      </w:r>
      <w:r w:rsidR="00A25973" w:rsidRPr="00A25973">
        <w:rPr>
          <w:rFonts w:ascii="Arial" w:hAnsi="Arial" w:cs="Arial"/>
          <w:sz w:val="22"/>
          <w:szCs w:val="22"/>
          <w:lang w:val="en-AU"/>
        </w:rPr>
        <w:t xml:space="preserve"> </w:t>
      </w:r>
      <w:proofErr w:type="spellStart"/>
      <w:r w:rsidR="00A25973" w:rsidRPr="00A25973">
        <w:rPr>
          <w:rFonts w:ascii="Arial" w:hAnsi="Arial" w:cs="Arial"/>
          <w:sz w:val="22"/>
          <w:szCs w:val="22"/>
          <w:lang w:val="en-AU"/>
        </w:rPr>
        <w:t>omalizumab</w:t>
      </w:r>
      <w:proofErr w:type="spellEnd"/>
      <w:r w:rsidR="00A25973" w:rsidRPr="00A25973">
        <w:rPr>
          <w:rFonts w:ascii="Arial" w:hAnsi="Arial" w:cs="Arial"/>
          <w:sz w:val="22"/>
          <w:szCs w:val="22"/>
          <w:lang w:val="en-AU"/>
        </w:rPr>
        <w:t xml:space="preserve"> for severe allergic asthma, and mepolizumab and </w:t>
      </w:r>
      <w:proofErr w:type="spellStart"/>
      <w:r w:rsidR="00A25973" w:rsidRPr="00A25973">
        <w:rPr>
          <w:rFonts w:ascii="Arial" w:hAnsi="Arial" w:cs="Arial"/>
          <w:sz w:val="22"/>
          <w:szCs w:val="22"/>
          <w:lang w:val="en-AU"/>
        </w:rPr>
        <w:t>benralizumab</w:t>
      </w:r>
      <w:proofErr w:type="spellEnd"/>
      <w:r w:rsidR="00A25973" w:rsidRPr="00A25973">
        <w:rPr>
          <w:rFonts w:ascii="Arial" w:hAnsi="Arial" w:cs="Arial"/>
          <w:sz w:val="22"/>
          <w:szCs w:val="22"/>
          <w:lang w:val="en-AU"/>
        </w:rPr>
        <w:t xml:space="preserve"> for </w:t>
      </w:r>
      <w:r w:rsidR="00A25973" w:rsidRPr="00A25973">
        <w:rPr>
          <w:rFonts w:ascii="Arial" w:hAnsi="Arial" w:cs="Arial"/>
          <w:sz w:val="22"/>
          <w:szCs w:val="22"/>
          <w:lang w:val="en-AU"/>
        </w:rPr>
        <w:lastRenderedPageBreak/>
        <w:t>severe eosinophilic asthma.</w:t>
      </w:r>
      <w:r w:rsidR="00EF7DF2">
        <w:rPr>
          <w:rFonts w:ascii="Arial" w:hAnsi="Arial" w:cs="Arial"/>
          <w:sz w:val="22"/>
          <w:szCs w:val="22"/>
          <w:lang w:val="en-AU"/>
        </w:rPr>
        <w:t xml:space="preserve"> The report also considered the predicted and actual use of mepolizumab in the first 24 months of PBS listing.</w:t>
      </w:r>
    </w:p>
    <w:p w14:paraId="5FAB2422" w14:textId="77777777" w:rsidR="0002143A" w:rsidRPr="006951BF" w:rsidRDefault="0002143A" w:rsidP="0002143A">
      <w:pPr>
        <w:contextualSpacing/>
        <w:jc w:val="both"/>
        <w:rPr>
          <w:rFonts w:ascii="Arial" w:hAnsi="Arial" w:cs="Arial"/>
          <w:sz w:val="22"/>
          <w:szCs w:val="22"/>
        </w:rPr>
      </w:pPr>
    </w:p>
    <w:p w14:paraId="662CF902" w14:textId="1485E0C0" w:rsidR="006D0A58" w:rsidRPr="006951BF" w:rsidRDefault="006D0A58" w:rsidP="006D0A58">
      <w:pPr>
        <w:contextualSpacing/>
        <w:rPr>
          <w:rFonts w:ascii="Arial" w:hAnsi="Arial" w:cs="Arial"/>
          <w:i/>
          <w:sz w:val="22"/>
          <w:szCs w:val="22"/>
        </w:rPr>
      </w:pPr>
      <w:r w:rsidRPr="006951BF">
        <w:rPr>
          <w:rFonts w:ascii="Arial" w:hAnsi="Arial" w:cs="Arial"/>
          <w:i/>
          <w:sz w:val="22"/>
          <w:szCs w:val="22"/>
        </w:rPr>
        <w:t>Outcome</w:t>
      </w:r>
    </w:p>
    <w:p w14:paraId="6F0BDAF2" w14:textId="0BC0B14E" w:rsidR="006D0A58" w:rsidRPr="006951BF" w:rsidRDefault="006D0A58" w:rsidP="006D0A58">
      <w:pPr>
        <w:contextualSpacing/>
        <w:rPr>
          <w:rFonts w:ascii="Arial" w:hAnsi="Arial" w:cs="Arial"/>
          <w:i/>
          <w:sz w:val="22"/>
          <w:szCs w:val="22"/>
        </w:rPr>
      </w:pPr>
    </w:p>
    <w:p w14:paraId="7A5EB767" w14:textId="47DD7B45" w:rsidR="006D0A58" w:rsidRDefault="006D0A58" w:rsidP="0002143A">
      <w:pPr>
        <w:spacing w:before="120" w:after="120"/>
        <w:jc w:val="both"/>
        <w:rPr>
          <w:rFonts w:ascii="Arial" w:hAnsi="Arial" w:cs="Arial"/>
          <w:sz w:val="22"/>
          <w:szCs w:val="22"/>
        </w:rPr>
      </w:pPr>
      <w:r w:rsidRPr="006951BF">
        <w:rPr>
          <w:rFonts w:ascii="Arial" w:hAnsi="Arial" w:cs="Arial"/>
          <w:sz w:val="22"/>
          <w:szCs w:val="22"/>
        </w:rPr>
        <w:t>The PBAC noted</w:t>
      </w:r>
      <w:r w:rsidR="00A25973" w:rsidRPr="00A25973">
        <w:rPr>
          <w:rFonts w:ascii="Arial" w:eastAsia="MS Mincho" w:hAnsi="Arial" w:cs="Arial"/>
          <w:sz w:val="22"/>
          <w:szCs w:val="22"/>
          <w:lang w:val="en-AU" w:eastAsia="en-AU"/>
        </w:rPr>
        <w:t xml:space="preserve"> </w:t>
      </w:r>
      <w:r w:rsidR="00A25973">
        <w:rPr>
          <w:rFonts w:ascii="Arial" w:eastAsia="MS Mincho" w:hAnsi="Arial" w:cs="Arial"/>
          <w:sz w:val="22"/>
          <w:szCs w:val="22"/>
          <w:lang w:val="en-AU" w:eastAsia="en-AU"/>
        </w:rPr>
        <w:t>t</w:t>
      </w:r>
      <w:r w:rsidR="00A25973" w:rsidRPr="00A25973">
        <w:rPr>
          <w:rFonts w:ascii="Arial" w:hAnsi="Arial" w:cs="Arial"/>
          <w:sz w:val="22"/>
          <w:szCs w:val="22"/>
          <w:lang w:val="en-AU"/>
        </w:rPr>
        <w:t xml:space="preserve">here was a high rate of growth in the number of people supplied mepolizumab, with the rate of growth of the eosinophilic asthma biologic market further increasing with the listing of </w:t>
      </w:r>
      <w:proofErr w:type="spellStart"/>
      <w:r w:rsidR="00A25973" w:rsidRPr="00A25973">
        <w:rPr>
          <w:rFonts w:ascii="Arial" w:hAnsi="Arial" w:cs="Arial"/>
          <w:sz w:val="22"/>
          <w:szCs w:val="22"/>
          <w:lang w:val="en-AU"/>
        </w:rPr>
        <w:t>benralizumab</w:t>
      </w:r>
      <w:proofErr w:type="spellEnd"/>
      <w:r w:rsidR="00A25973" w:rsidRPr="00A25973">
        <w:rPr>
          <w:rFonts w:ascii="Arial" w:hAnsi="Arial" w:cs="Arial"/>
          <w:sz w:val="22"/>
          <w:szCs w:val="22"/>
          <w:lang w:val="en-AU"/>
        </w:rPr>
        <w:t xml:space="preserve">. Use of mepolizumab in terms of patients, prescriptions and expenditure was higher than estimated in both the first and second years of PBS listing. </w:t>
      </w:r>
    </w:p>
    <w:p w14:paraId="4320ECA0" w14:textId="3422EA2A" w:rsidR="0002143A" w:rsidRPr="0002143A" w:rsidRDefault="0002143A" w:rsidP="0002143A">
      <w:pPr>
        <w:spacing w:before="120" w:after="120"/>
        <w:jc w:val="both"/>
        <w:rPr>
          <w:rFonts w:ascii="Arial" w:hAnsi="Arial" w:cs="Arial"/>
          <w:sz w:val="22"/>
          <w:szCs w:val="22"/>
        </w:rPr>
      </w:pPr>
      <w:r w:rsidRPr="0002143A">
        <w:rPr>
          <w:rFonts w:ascii="Arial" w:hAnsi="Arial" w:cs="Arial"/>
          <w:sz w:val="22"/>
          <w:szCs w:val="22"/>
        </w:rPr>
        <w:t xml:space="preserve">The PBAC noted that the use of these medicines requires a written authority. Thus, while use of biologics for severe eosinophilic asthma was beyond expectations, </w:t>
      </w:r>
      <w:r w:rsidR="00A25973">
        <w:rPr>
          <w:rFonts w:ascii="Arial" w:hAnsi="Arial" w:cs="Arial"/>
          <w:sz w:val="22"/>
          <w:szCs w:val="22"/>
        </w:rPr>
        <w:t xml:space="preserve">the PBAC considered </w:t>
      </w:r>
      <w:r w:rsidRPr="0002143A">
        <w:rPr>
          <w:rFonts w:ascii="Arial" w:hAnsi="Arial" w:cs="Arial"/>
          <w:sz w:val="22"/>
          <w:szCs w:val="22"/>
        </w:rPr>
        <w:t xml:space="preserve">it is likely </w:t>
      </w:r>
      <w:r w:rsidR="00A03E25">
        <w:rPr>
          <w:rFonts w:ascii="Arial" w:hAnsi="Arial" w:cs="Arial"/>
          <w:sz w:val="22"/>
          <w:szCs w:val="22"/>
        </w:rPr>
        <w:t>within the relevant population.</w:t>
      </w:r>
    </w:p>
    <w:p w14:paraId="61229223" w14:textId="5AE913AA" w:rsidR="0002143A" w:rsidRDefault="0002143A" w:rsidP="0002143A">
      <w:pPr>
        <w:spacing w:before="120" w:after="120"/>
        <w:jc w:val="both"/>
        <w:rPr>
          <w:rFonts w:ascii="Arial" w:hAnsi="Arial" w:cs="Arial"/>
          <w:sz w:val="22"/>
          <w:szCs w:val="22"/>
        </w:rPr>
      </w:pPr>
      <w:r w:rsidRPr="0002143A">
        <w:rPr>
          <w:rFonts w:ascii="Arial" w:hAnsi="Arial" w:cs="Arial"/>
          <w:sz w:val="22"/>
          <w:szCs w:val="22"/>
        </w:rPr>
        <w:t>The PBAC considered the use of medicines for eosinophilic asthma may have been underestimated at the time of PBAC consideration and noted the changing severe asthma treatment l</w:t>
      </w:r>
      <w:r w:rsidR="00A03E25">
        <w:rPr>
          <w:rFonts w:ascii="Arial" w:hAnsi="Arial" w:cs="Arial"/>
          <w:sz w:val="22"/>
          <w:szCs w:val="22"/>
        </w:rPr>
        <w:t>andscape may have contributed.</w:t>
      </w:r>
    </w:p>
    <w:p w14:paraId="0E8786AF" w14:textId="77777777" w:rsidR="00EF7DF2" w:rsidRPr="0002143A" w:rsidRDefault="00EF7DF2" w:rsidP="0002143A">
      <w:pPr>
        <w:spacing w:before="120" w:after="120"/>
        <w:jc w:val="both"/>
        <w:rPr>
          <w:rFonts w:ascii="Arial" w:hAnsi="Arial" w:cs="Arial"/>
          <w:sz w:val="22"/>
          <w:szCs w:val="22"/>
        </w:rPr>
      </w:pPr>
    </w:p>
    <w:p w14:paraId="7B6AAA36" w14:textId="5724CD72" w:rsidR="00EF7DF2" w:rsidRPr="006951BF" w:rsidRDefault="00EF7DF2" w:rsidP="00EF7DF2">
      <w:pPr>
        <w:contextualSpacing/>
        <w:jc w:val="both"/>
        <w:rPr>
          <w:rFonts w:ascii="Arial" w:hAnsi="Arial" w:cs="Arial"/>
          <w:b/>
          <w:sz w:val="22"/>
          <w:lang w:val="en-AU" w:eastAsia="en-AU"/>
        </w:rPr>
      </w:pPr>
      <w:proofErr w:type="spellStart"/>
      <w:r>
        <w:rPr>
          <w:rFonts w:ascii="Arial" w:hAnsi="Arial" w:cs="Arial"/>
          <w:b/>
          <w:sz w:val="22"/>
          <w:lang w:val="en-AU" w:eastAsia="en-AU"/>
        </w:rPr>
        <w:t>Evolocumab</w:t>
      </w:r>
      <w:proofErr w:type="spellEnd"/>
      <w:r>
        <w:rPr>
          <w:rFonts w:ascii="Arial" w:hAnsi="Arial" w:cs="Arial"/>
          <w:b/>
          <w:sz w:val="22"/>
          <w:lang w:val="en-AU" w:eastAsia="en-AU"/>
        </w:rPr>
        <w:t xml:space="preserve"> for homozygous familial </w:t>
      </w:r>
      <w:proofErr w:type="spellStart"/>
      <w:r>
        <w:rPr>
          <w:rFonts w:ascii="Arial" w:hAnsi="Arial" w:cs="Arial"/>
          <w:b/>
          <w:sz w:val="22"/>
          <w:lang w:val="en-AU" w:eastAsia="en-AU"/>
        </w:rPr>
        <w:t>hypercholesterolaemia</w:t>
      </w:r>
      <w:proofErr w:type="spellEnd"/>
    </w:p>
    <w:p w14:paraId="4610E5A8" w14:textId="77777777" w:rsidR="00EF7DF2" w:rsidRPr="006951BF" w:rsidRDefault="00EF7DF2" w:rsidP="00EF7DF2">
      <w:pPr>
        <w:contextualSpacing/>
        <w:rPr>
          <w:rFonts w:ascii="Arial" w:hAnsi="Arial" w:cs="Arial"/>
          <w:b/>
          <w:sz w:val="22"/>
          <w:lang w:val="en-AU" w:eastAsia="en-AU"/>
        </w:rPr>
      </w:pPr>
    </w:p>
    <w:p w14:paraId="11474A9B" w14:textId="635A216C" w:rsidR="00EF7DF2" w:rsidRPr="00A25973" w:rsidRDefault="00EF7DF2" w:rsidP="00EF7DF2">
      <w:pPr>
        <w:contextualSpacing/>
        <w:jc w:val="both"/>
        <w:rPr>
          <w:rFonts w:ascii="Arial" w:hAnsi="Arial" w:cs="Arial"/>
          <w:sz w:val="22"/>
          <w:szCs w:val="22"/>
          <w:lang w:val="en-AU"/>
        </w:rPr>
      </w:pPr>
      <w:r w:rsidRPr="006951BF">
        <w:rPr>
          <w:rFonts w:ascii="Arial" w:hAnsi="Arial" w:cs="Arial"/>
          <w:sz w:val="22"/>
          <w:lang w:val="en-AU" w:eastAsia="en-AU"/>
        </w:rPr>
        <w:t xml:space="preserve">This report considered the predicted and actual utilisation of </w:t>
      </w:r>
      <w:proofErr w:type="spellStart"/>
      <w:r w:rsidRPr="00EF7DF2">
        <w:rPr>
          <w:rFonts w:ascii="Arial" w:hAnsi="Arial" w:cs="Arial"/>
          <w:sz w:val="22"/>
          <w:szCs w:val="22"/>
          <w:lang w:val="en-AU"/>
        </w:rPr>
        <w:t>evolocumab</w:t>
      </w:r>
      <w:proofErr w:type="spellEnd"/>
      <w:r w:rsidRPr="00EF7DF2">
        <w:rPr>
          <w:rFonts w:ascii="Arial" w:hAnsi="Arial" w:cs="Arial"/>
          <w:sz w:val="22"/>
          <w:szCs w:val="22"/>
          <w:lang w:val="en-AU"/>
        </w:rPr>
        <w:t xml:space="preserve"> for homozygous familial </w:t>
      </w:r>
      <w:proofErr w:type="spellStart"/>
      <w:r w:rsidRPr="00EF7DF2">
        <w:rPr>
          <w:rFonts w:ascii="Arial" w:hAnsi="Arial" w:cs="Arial"/>
          <w:sz w:val="22"/>
          <w:szCs w:val="22"/>
          <w:lang w:val="en-AU"/>
        </w:rPr>
        <w:t>hypercholesterolaemia</w:t>
      </w:r>
      <w:proofErr w:type="spellEnd"/>
      <w:r w:rsidRPr="00EF7DF2">
        <w:rPr>
          <w:rFonts w:ascii="Arial" w:hAnsi="Arial" w:cs="Arial"/>
          <w:sz w:val="22"/>
          <w:szCs w:val="22"/>
          <w:lang w:val="en-AU"/>
        </w:rPr>
        <w:t xml:space="preserve"> (</w:t>
      </w:r>
      <w:proofErr w:type="spellStart"/>
      <w:r w:rsidRPr="00EF7DF2">
        <w:rPr>
          <w:rFonts w:ascii="Arial" w:hAnsi="Arial" w:cs="Arial"/>
          <w:sz w:val="22"/>
          <w:szCs w:val="22"/>
          <w:lang w:val="en-AU"/>
        </w:rPr>
        <w:t>HoFH</w:t>
      </w:r>
      <w:proofErr w:type="spellEnd"/>
      <w:r w:rsidRPr="00EF7DF2">
        <w:rPr>
          <w:rFonts w:ascii="Arial" w:hAnsi="Arial" w:cs="Arial"/>
          <w:sz w:val="22"/>
          <w:szCs w:val="22"/>
          <w:lang w:val="en-AU"/>
        </w:rPr>
        <w:t>) in the first 24 months of PBS listing.</w:t>
      </w:r>
    </w:p>
    <w:p w14:paraId="7705D759" w14:textId="77777777" w:rsidR="00EF7DF2" w:rsidRPr="006951BF" w:rsidRDefault="00EF7DF2" w:rsidP="00EF7DF2">
      <w:pPr>
        <w:contextualSpacing/>
        <w:jc w:val="both"/>
        <w:rPr>
          <w:rFonts w:ascii="Arial" w:hAnsi="Arial" w:cs="Arial"/>
          <w:sz w:val="22"/>
          <w:szCs w:val="22"/>
        </w:rPr>
      </w:pPr>
    </w:p>
    <w:p w14:paraId="362376A1" w14:textId="77777777" w:rsidR="00EF7DF2" w:rsidRPr="006951BF" w:rsidRDefault="00EF7DF2" w:rsidP="00EF7DF2">
      <w:pPr>
        <w:contextualSpacing/>
        <w:rPr>
          <w:rFonts w:ascii="Arial" w:hAnsi="Arial" w:cs="Arial"/>
          <w:i/>
          <w:sz w:val="22"/>
          <w:szCs w:val="22"/>
        </w:rPr>
      </w:pPr>
      <w:r w:rsidRPr="006951BF">
        <w:rPr>
          <w:rFonts w:ascii="Arial" w:hAnsi="Arial" w:cs="Arial"/>
          <w:i/>
          <w:sz w:val="22"/>
          <w:szCs w:val="22"/>
        </w:rPr>
        <w:t>Outcome</w:t>
      </w:r>
    </w:p>
    <w:p w14:paraId="098ADDBA" w14:textId="77777777" w:rsidR="00EF7DF2" w:rsidRPr="006951BF" w:rsidRDefault="00EF7DF2" w:rsidP="00EF7DF2">
      <w:pPr>
        <w:contextualSpacing/>
        <w:rPr>
          <w:rFonts w:ascii="Arial" w:hAnsi="Arial" w:cs="Arial"/>
          <w:i/>
          <w:sz w:val="22"/>
          <w:szCs w:val="22"/>
        </w:rPr>
      </w:pPr>
    </w:p>
    <w:p w14:paraId="141DC9F0" w14:textId="77777777" w:rsidR="00EF7DF2" w:rsidRPr="00EF7DF2" w:rsidRDefault="00EF7DF2" w:rsidP="00EF7DF2">
      <w:pPr>
        <w:spacing w:before="120" w:after="120"/>
        <w:jc w:val="both"/>
        <w:rPr>
          <w:rFonts w:ascii="Arial" w:hAnsi="Arial" w:cs="Arial"/>
          <w:sz w:val="22"/>
          <w:szCs w:val="22"/>
        </w:rPr>
      </w:pPr>
      <w:r w:rsidRPr="006951BF">
        <w:rPr>
          <w:rFonts w:ascii="Arial" w:hAnsi="Arial" w:cs="Arial"/>
          <w:sz w:val="22"/>
          <w:szCs w:val="22"/>
        </w:rPr>
        <w:t>The PBAC noted</w:t>
      </w:r>
      <w:r w:rsidRPr="00A25973">
        <w:rPr>
          <w:rFonts w:ascii="Arial" w:eastAsia="MS Mincho" w:hAnsi="Arial" w:cs="Arial"/>
          <w:sz w:val="22"/>
          <w:szCs w:val="22"/>
          <w:lang w:val="en-AU" w:eastAsia="en-AU"/>
        </w:rPr>
        <w:t xml:space="preserve"> </w:t>
      </w:r>
      <w:r>
        <w:rPr>
          <w:rFonts w:ascii="Arial" w:hAnsi="Arial" w:cs="Arial"/>
          <w:sz w:val="22"/>
          <w:szCs w:val="22"/>
        </w:rPr>
        <w:t>t</w:t>
      </w:r>
      <w:r w:rsidRPr="00EF7DF2">
        <w:rPr>
          <w:rFonts w:ascii="Arial" w:hAnsi="Arial" w:cs="Arial"/>
          <w:sz w:val="22"/>
          <w:szCs w:val="22"/>
        </w:rPr>
        <w:t xml:space="preserve">he number of patients treated with </w:t>
      </w:r>
      <w:proofErr w:type="spellStart"/>
      <w:r w:rsidRPr="00EF7DF2">
        <w:rPr>
          <w:rFonts w:ascii="Arial" w:hAnsi="Arial" w:cs="Arial"/>
          <w:sz w:val="22"/>
          <w:szCs w:val="22"/>
        </w:rPr>
        <w:t>evolocumab</w:t>
      </w:r>
      <w:proofErr w:type="spellEnd"/>
      <w:r w:rsidRPr="00EF7DF2">
        <w:rPr>
          <w:rFonts w:ascii="Arial" w:hAnsi="Arial" w:cs="Arial"/>
          <w:sz w:val="22"/>
          <w:szCs w:val="22"/>
        </w:rPr>
        <w:t xml:space="preserve"> in the first two years of listing was higher than expected. The actual number of supplied prescriptions was very similar to the predicted number of prescriptions in the first year of listing but greater than predicted in the second year.</w:t>
      </w:r>
    </w:p>
    <w:p w14:paraId="6EA7F88A" w14:textId="41B616B0" w:rsidR="0002143A" w:rsidRPr="006D0A58" w:rsidRDefault="00EF7DF2" w:rsidP="00EF7DF2">
      <w:pPr>
        <w:spacing w:before="120" w:after="120"/>
        <w:jc w:val="both"/>
        <w:rPr>
          <w:rFonts w:ascii="Arial" w:hAnsi="Arial" w:cs="Arial"/>
          <w:sz w:val="22"/>
          <w:szCs w:val="22"/>
        </w:rPr>
      </w:pPr>
      <w:r>
        <w:rPr>
          <w:rFonts w:ascii="Arial" w:hAnsi="Arial" w:cs="Arial"/>
          <w:sz w:val="22"/>
          <w:szCs w:val="22"/>
        </w:rPr>
        <w:t>Th</w:t>
      </w:r>
      <w:r w:rsidRPr="00EF7DF2">
        <w:rPr>
          <w:rFonts w:ascii="Arial" w:hAnsi="Arial" w:cs="Arial"/>
          <w:sz w:val="22"/>
          <w:szCs w:val="22"/>
        </w:rPr>
        <w:t xml:space="preserve">e PBAC noted that the submission estimates were based on the genotypic definition of </w:t>
      </w:r>
      <w:proofErr w:type="spellStart"/>
      <w:r w:rsidRPr="00EF7DF2">
        <w:rPr>
          <w:rFonts w:ascii="Arial" w:hAnsi="Arial" w:cs="Arial"/>
          <w:sz w:val="22"/>
          <w:szCs w:val="22"/>
        </w:rPr>
        <w:t>HoFH</w:t>
      </w:r>
      <w:proofErr w:type="spellEnd"/>
      <w:r w:rsidRPr="00EF7DF2">
        <w:rPr>
          <w:rFonts w:ascii="Arial" w:hAnsi="Arial" w:cs="Arial"/>
          <w:sz w:val="22"/>
          <w:szCs w:val="22"/>
        </w:rPr>
        <w:t xml:space="preserve">, while the restriction allows people to qualify for treatment by meeting the genotypic definition or the phenotypic definition (i.e. the Dutch Lipid Clinic Network Score). The PBAC considered this may account for the number of treated patients being higher than expected, since some patients with </w:t>
      </w:r>
      <w:r>
        <w:rPr>
          <w:rFonts w:ascii="Arial" w:hAnsi="Arial" w:cs="Arial"/>
          <w:sz w:val="22"/>
          <w:szCs w:val="22"/>
        </w:rPr>
        <w:t xml:space="preserve">heterozygous familial </w:t>
      </w:r>
      <w:proofErr w:type="spellStart"/>
      <w:r>
        <w:rPr>
          <w:rFonts w:ascii="Arial" w:hAnsi="Arial" w:cs="Arial"/>
          <w:sz w:val="22"/>
          <w:szCs w:val="22"/>
        </w:rPr>
        <w:t>hypercholesterolaemia</w:t>
      </w:r>
      <w:proofErr w:type="spellEnd"/>
      <w:r>
        <w:rPr>
          <w:rFonts w:ascii="Arial" w:hAnsi="Arial" w:cs="Arial"/>
          <w:sz w:val="22"/>
          <w:szCs w:val="22"/>
        </w:rPr>
        <w:t xml:space="preserve"> (</w:t>
      </w:r>
      <w:proofErr w:type="spellStart"/>
      <w:r w:rsidRPr="00EF7DF2">
        <w:rPr>
          <w:rFonts w:ascii="Arial" w:hAnsi="Arial" w:cs="Arial"/>
          <w:sz w:val="22"/>
          <w:szCs w:val="22"/>
        </w:rPr>
        <w:t>HeFH</w:t>
      </w:r>
      <w:proofErr w:type="spellEnd"/>
      <w:r>
        <w:rPr>
          <w:rFonts w:ascii="Arial" w:hAnsi="Arial" w:cs="Arial"/>
          <w:sz w:val="22"/>
          <w:szCs w:val="22"/>
        </w:rPr>
        <w:t>)</w:t>
      </w:r>
      <w:r w:rsidRPr="00EF7DF2">
        <w:rPr>
          <w:rFonts w:ascii="Arial" w:hAnsi="Arial" w:cs="Arial"/>
          <w:sz w:val="22"/>
          <w:szCs w:val="22"/>
        </w:rPr>
        <w:t xml:space="preserve"> may have qualified under the phenotypic definition of </w:t>
      </w:r>
      <w:proofErr w:type="spellStart"/>
      <w:r w:rsidRPr="00EF7DF2">
        <w:rPr>
          <w:rFonts w:ascii="Arial" w:hAnsi="Arial" w:cs="Arial"/>
          <w:sz w:val="22"/>
          <w:szCs w:val="22"/>
        </w:rPr>
        <w:t>HoFH</w:t>
      </w:r>
      <w:proofErr w:type="spellEnd"/>
      <w:r w:rsidRPr="00EF7DF2">
        <w:rPr>
          <w:rFonts w:ascii="Arial" w:hAnsi="Arial" w:cs="Arial"/>
          <w:sz w:val="22"/>
          <w:szCs w:val="22"/>
        </w:rPr>
        <w:t>.</w:t>
      </w:r>
    </w:p>
    <w:sectPr w:rsidR="0002143A" w:rsidRPr="006D0A58" w:rsidSect="007A2421">
      <w:headerReference w:type="default" r:id="rId9"/>
      <w:footerReference w:type="default" r:id="rId10"/>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FFAC" w14:textId="77777777" w:rsidR="0073297F" w:rsidRDefault="0073297F">
      <w:r>
        <w:separator/>
      </w:r>
    </w:p>
  </w:endnote>
  <w:endnote w:type="continuationSeparator" w:id="0">
    <w:p w14:paraId="1EBA2AEF" w14:textId="77777777" w:rsidR="0073297F" w:rsidRDefault="0073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F5BA" w14:textId="77777777" w:rsidR="0073297F" w:rsidRPr="004630FE" w:rsidRDefault="0073297F">
    <w:pPr>
      <w:pStyle w:val="Footer"/>
      <w:jc w:val="center"/>
      <w:rPr>
        <w:rFonts w:ascii="Arial" w:hAnsi="Arial" w:cs="Arial"/>
        <w:sz w:val="22"/>
      </w:rPr>
    </w:pPr>
  </w:p>
  <w:p w14:paraId="2DAABEFB" w14:textId="220D43EF" w:rsidR="0073297F" w:rsidRPr="004630FE" w:rsidRDefault="0073297F">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CD4158">
      <w:rPr>
        <w:rFonts w:ascii="Arial" w:hAnsi="Arial" w:cs="Arial"/>
        <w:noProof/>
        <w:sz w:val="22"/>
      </w:rPr>
      <w:t>1</w:t>
    </w:r>
    <w:r w:rsidRPr="004630FE">
      <w:rPr>
        <w:rFonts w:ascii="Arial" w:hAnsi="Arial" w:cs="Arial"/>
        <w:noProof/>
        <w:sz w:val="22"/>
      </w:rPr>
      <w:fldChar w:fldCharType="end"/>
    </w:r>
  </w:p>
  <w:p w14:paraId="0A6D77EE" w14:textId="77777777" w:rsidR="0073297F" w:rsidRDefault="00732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734C" w14:textId="77777777" w:rsidR="0073297F" w:rsidRDefault="0073297F">
      <w:r>
        <w:separator/>
      </w:r>
    </w:p>
  </w:footnote>
  <w:footnote w:type="continuationSeparator" w:id="0">
    <w:p w14:paraId="13C39C5A" w14:textId="77777777" w:rsidR="0073297F" w:rsidRDefault="0073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87D6" w14:textId="550ACA43" w:rsidR="0073297F" w:rsidRPr="00520B6E" w:rsidRDefault="005732A3" w:rsidP="004630FE">
    <w:pPr>
      <w:tabs>
        <w:tab w:val="center" w:pos="4153"/>
        <w:tab w:val="right" w:pos="8306"/>
      </w:tabs>
      <w:jc w:val="center"/>
      <w:rPr>
        <w:rFonts w:ascii="Arial" w:hAnsi="Arial" w:cs="Arial"/>
        <w:b/>
        <w:sz w:val="20"/>
      </w:rPr>
    </w:pPr>
    <w:r>
      <w:rPr>
        <w:rFonts w:ascii="Arial" w:hAnsi="Arial" w:cs="Arial"/>
        <w:b/>
        <w:sz w:val="20"/>
      </w:rPr>
      <w:t>NOVEMBER</w:t>
    </w:r>
    <w:r w:rsidR="0073297F">
      <w:rPr>
        <w:rFonts w:ascii="Arial" w:hAnsi="Arial" w:cs="Arial"/>
        <w:b/>
        <w:sz w:val="20"/>
      </w:rPr>
      <w:t xml:space="preserve"> 2019</w:t>
    </w:r>
    <w:r w:rsidR="0073297F" w:rsidRPr="00341E66">
      <w:rPr>
        <w:rFonts w:ascii="Arial" w:hAnsi="Arial" w:cs="Arial"/>
        <w:b/>
        <w:sz w:val="20"/>
      </w:rPr>
      <w:t xml:space="preserve"> </w:t>
    </w:r>
    <w:r w:rsidR="0073297F" w:rsidRPr="00520B6E">
      <w:rPr>
        <w:rFonts w:ascii="Arial" w:hAnsi="Arial" w:cs="Arial"/>
        <w:b/>
        <w:sz w:val="20"/>
      </w:rPr>
      <w:t>PBAC M</w:t>
    </w:r>
    <w:r w:rsidR="0073297F">
      <w:rPr>
        <w:rFonts w:ascii="Arial" w:hAnsi="Arial" w:cs="Arial"/>
        <w:b/>
        <w:sz w:val="20"/>
      </w:rPr>
      <w:t>EETING – CONSIDERATION OF THE</w:t>
    </w:r>
    <w:r w:rsidR="0073297F" w:rsidRPr="00520B6E">
      <w:rPr>
        <w:rFonts w:ascii="Arial" w:hAnsi="Arial" w:cs="Arial"/>
        <w:b/>
        <w:sz w:val="20"/>
      </w:rPr>
      <w:t xml:space="preserve"> </w:t>
    </w:r>
    <w:r w:rsidR="0073297F">
      <w:rPr>
        <w:rFonts w:ascii="Arial" w:hAnsi="Arial" w:cs="Arial"/>
        <w:b/>
        <w:sz w:val="20"/>
      </w:rPr>
      <w:t>REPORT OF THE DRUG UTILISATION SUB</w:t>
    </w:r>
    <w:r w:rsidR="0073297F">
      <w:rPr>
        <w:rFonts w:ascii="Arial" w:hAnsi="Arial" w:cs="Arial"/>
        <w:b/>
        <w:sz w:val="20"/>
      </w:rPr>
      <w:noBreakHyphen/>
      <w:t>COMMITTEE</w:t>
    </w:r>
  </w:p>
  <w:p w14:paraId="6758E2CC" w14:textId="77777777" w:rsidR="0073297F" w:rsidRDefault="00732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A"/>
    <w:rsid w:val="0002143A"/>
    <w:rsid w:val="00034F16"/>
    <w:rsid w:val="00046F5C"/>
    <w:rsid w:val="0006056A"/>
    <w:rsid w:val="00060A45"/>
    <w:rsid w:val="00095F78"/>
    <w:rsid w:val="000A2CDC"/>
    <w:rsid w:val="000B2DD0"/>
    <w:rsid w:val="000C6902"/>
    <w:rsid w:val="001416A4"/>
    <w:rsid w:val="00156D69"/>
    <w:rsid w:val="00176F11"/>
    <w:rsid w:val="001D0B69"/>
    <w:rsid w:val="001D45AF"/>
    <w:rsid w:val="001F0355"/>
    <w:rsid w:val="00251848"/>
    <w:rsid w:val="00265781"/>
    <w:rsid w:val="00267A9D"/>
    <w:rsid w:val="0028590B"/>
    <w:rsid w:val="002D4006"/>
    <w:rsid w:val="002F7591"/>
    <w:rsid w:val="002F775E"/>
    <w:rsid w:val="003172AB"/>
    <w:rsid w:val="00326328"/>
    <w:rsid w:val="00341E66"/>
    <w:rsid w:val="00385940"/>
    <w:rsid w:val="00397836"/>
    <w:rsid w:val="003B79EE"/>
    <w:rsid w:val="003C2B83"/>
    <w:rsid w:val="0040140B"/>
    <w:rsid w:val="00407FAA"/>
    <w:rsid w:val="004630FE"/>
    <w:rsid w:val="00464B70"/>
    <w:rsid w:val="00464DA0"/>
    <w:rsid w:val="004A1627"/>
    <w:rsid w:val="004D4DEE"/>
    <w:rsid w:val="004E76AE"/>
    <w:rsid w:val="00507F23"/>
    <w:rsid w:val="00514593"/>
    <w:rsid w:val="005166A6"/>
    <w:rsid w:val="00553E58"/>
    <w:rsid w:val="005616CC"/>
    <w:rsid w:val="005642B3"/>
    <w:rsid w:val="00565336"/>
    <w:rsid w:val="005732A3"/>
    <w:rsid w:val="00575B2C"/>
    <w:rsid w:val="00582F85"/>
    <w:rsid w:val="005C202C"/>
    <w:rsid w:val="005F2273"/>
    <w:rsid w:val="006102C6"/>
    <w:rsid w:val="00641F0C"/>
    <w:rsid w:val="00647788"/>
    <w:rsid w:val="00652D57"/>
    <w:rsid w:val="00666863"/>
    <w:rsid w:val="00677683"/>
    <w:rsid w:val="006847AC"/>
    <w:rsid w:val="006951BF"/>
    <w:rsid w:val="006A2EB2"/>
    <w:rsid w:val="006D0A58"/>
    <w:rsid w:val="006D36DC"/>
    <w:rsid w:val="006D593A"/>
    <w:rsid w:val="006E57A3"/>
    <w:rsid w:val="0070348A"/>
    <w:rsid w:val="007178BA"/>
    <w:rsid w:val="0073297F"/>
    <w:rsid w:val="00793AF0"/>
    <w:rsid w:val="007A2421"/>
    <w:rsid w:val="007C758A"/>
    <w:rsid w:val="007F4E20"/>
    <w:rsid w:val="00801B19"/>
    <w:rsid w:val="00816A6C"/>
    <w:rsid w:val="008545D1"/>
    <w:rsid w:val="008842CE"/>
    <w:rsid w:val="008866E8"/>
    <w:rsid w:val="00890D53"/>
    <w:rsid w:val="008A4311"/>
    <w:rsid w:val="008A4B6F"/>
    <w:rsid w:val="008B4388"/>
    <w:rsid w:val="008D020C"/>
    <w:rsid w:val="00922E47"/>
    <w:rsid w:val="00925E21"/>
    <w:rsid w:val="00933952"/>
    <w:rsid w:val="009E7E00"/>
    <w:rsid w:val="00A03E25"/>
    <w:rsid w:val="00A0539F"/>
    <w:rsid w:val="00A25973"/>
    <w:rsid w:val="00A31269"/>
    <w:rsid w:val="00A32269"/>
    <w:rsid w:val="00A47E2F"/>
    <w:rsid w:val="00A70179"/>
    <w:rsid w:val="00A74CCD"/>
    <w:rsid w:val="00A76D1B"/>
    <w:rsid w:val="00A9331B"/>
    <w:rsid w:val="00AC0FFB"/>
    <w:rsid w:val="00AD2551"/>
    <w:rsid w:val="00AD37E5"/>
    <w:rsid w:val="00AF2F79"/>
    <w:rsid w:val="00AF3B3E"/>
    <w:rsid w:val="00B13AD3"/>
    <w:rsid w:val="00B1693A"/>
    <w:rsid w:val="00B20C0D"/>
    <w:rsid w:val="00B26B58"/>
    <w:rsid w:val="00B445D9"/>
    <w:rsid w:val="00B532C3"/>
    <w:rsid w:val="00B94AFC"/>
    <w:rsid w:val="00B95F3B"/>
    <w:rsid w:val="00BA0860"/>
    <w:rsid w:val="00BC3BE5"/>
    <w:rsid w:val="00BD4745"/>
    <w:rsid w:val="00BE182E"/>
    <w:rsid w:val="00BE4405"/>
    <w:rsid w:val="00C22340"/>
    <w:rsid w:val="00C22AB9"/>
    <w:rsid w:val="00C636C2"/>
    <w:rsid w:val="00CB56CD"/>
    <w:rsid w:val="00CB6BC5"/>
    <w:rsid w:val="00CD04DF"/>
    <w:rsid w:val="00CD2ADF"/>
    <w:rsid w:val="00CD4158"/>
    <w:rsid w:val="00D47451"/>
    <w:rsid w:val="00D7136A"/>
    <w:rsid w:val="00D72D36"/>
    <w:rsid w:val="00DA2A81"/>
    <w:rsid w:val="00DC7A41"/>
    <w:rsid w:val="00DE6CA5"/>
    <w:rsid w:val="00E11B1E"/>
    <w:rsid w:val="00E16015"/>
    <w:rsid w:val="00E24412"/>
    <w:rsid w:val="00E25A33"/>
    <w:rsid w:val="00E37984"/>
    <w:rsid w:val="00E65BFD"/>
    <w:rsid w:val="00EA43F8"/>
    <w:rsid w:val="00EB38E2"/>
    <w:rsid w:val="00ED0E5B"/>
    <w:rsid w:val="00EE68E4"/>
    <w:rsid w:val="00EF7DF2"/>
    <w:rsid w:val="00F514E4"/>
    <w:rsid w:val="00F628C7"/>
    <w:rsid w:val="00F66E50"/>
    <w:rsid w:val="00F8213A"/>
    <w:rsid w:val="00F87883"/>
    <w:rsid w:val="00FA4D8A"/>
    <w:rsid w:val="00FB5E27"/>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dusc-meetings/d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1AD3-E0CB-4932-9D6A-12BBED19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2019-11-29T02:55:00Z</dcterms:created>
  <dcterms:modified xsi:type="dcterms:W3CDTF">2019-12-18T21:48:00Z</dcterms:modified>
</cp:coreProperties>
</file>