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4B78F6" w14:paraId="2F780D8A" w14:textId="77777777" w:rsidTr="00692B2F">
        <w:trPr>
          <w:cantSplit/>
          <w:tblHeader/>
        </w:trPr>
        <w:tc>
          <w:tcPr>
            <w:tcW w:w="2694" w:type="dxa"/>
            <w:tcMar>
              <w:top w:w="28" w:type="dxa"/>
              <w:bottom w:w="28" w:type="dxa"/>
            </w:tcMar>
          </w:tcPr>
          <w:p w14:paraId="00CD22C3" w14:textId="77777777" w:rsidR="0065234B" w:rsidRPr="004B78F6" w:rsidRDefault="002960C3" w:rsidP="002960C3">
            <w:pPr>
              <w:widowControl w:val="0"/>
              <w:jc w:val="center"/>
              <w:rPr>
                <w:rFonts w:ascii="Arial" w:hAnsi="Arial" w:cs="Arial"/>
                <w:b/>
              </w:rPr>
            </w:pPr>
            <w:bookmarkStart w:id="0" w:name="_GoBack"/>
            <w:bookmarkEnd w:id="0"/>
            <w:r w:rsidRPr="004B78F6">
              <w:rPr>
                <w:rFonts w:ascii="Arial" w:hAnsi="Arial" w:cs="Arial"/>
                <w:b/>
              </w:rPr>
              <w:t>DRUG NAME, FORM(S), STRENGTH(S), SPONSOR, TYPE OF SUBMISSION</w:t>
            </w:r>
          </w:p>
          <w:p w14:paraId="58BB41E5" w14:textId="77777777" w:rsidR="00257615" w:rsidRPr="004B78F6" w:rsidRDefault="00257615" w:rsidP="002960C3">
            <w:pPr>
              <w:widowControl w:val="0"/>
              <w:jc w:val="center"/>
              <w:rPr>
                <w:rFonts w:ascii="Arial" w:hAnsi="Arial" w:cs="Arial"/>
                <w:b/>
              </w:rPr>
            </w:pPr>
          </w:p>
        </w:tc>
        <w:tc>
          <w:tcPr>
            <w:tcW w:w="2409" w:type="dxa"/>
            <w:tcMar>
              <w:top w:w="28" w:type="dxa"/>
              <w:bottom w:w="28" w:type="dxa"/>
            </w:tcMar>
          </w:tcPr>
          <w:p w14:paraId="22DBCABB" w14:textId="77777777" w:rsidR="00987FDA" w:rsidRPr="004B78F6" w:rsidRDefault="002960C3" w:rsidP="002960C3">
            <w:pPr>
              <w:widowControl w:val="0"/>
              <w:jc w:val="center"/>
              <w:rPr>
                <w:rFonts w:ascii="Arial" w:hAnsi="Arial" w:cs="Arial"/>
                <w:b/>
                <w:snapToGrid w:val="0"/>
                <w:lang w:eastAsia="en-US"/>
              </w:rPr>
            </w:pPr>
            <w:r w:rsidRPr="004B78F6">
              <w:rPr>
                <w:rFonts w:ascii="Arial" w:hAnsi="Arial" w:cs="Arial"/>
                <w:b/>
                <w:snapToGrid w:val="0"/>
                <w:lang w:eastAsia="en-US"/>
              </w:rPr>
              <w:t>DRUG TYPE AND USE</w:t>
            </w:r>
          </w:p>
          <w:p w14:paraId="64FD3362" w14:textId="77777777" w:rsidR="00987FDA" w:rsidRPr="004B78F6" w:rsidRDefault="00987FDA" w:rsidP="002960C3">
            <w:pPr>
              <w:widowControl w:val="0"/>
              <w:jc w:val="center"/>
              <w:rPr>
                <w:rFonts w:ascii="Arial" w:hAnsi="Arial" w:cs="Arial"/>
                <w:b/>
                <w:snapToGrid w:val="0"/>
                <w:lang w:eastAsia="en-US"/>
              </w:rPr>
            </w:pPr>
          </w:p>
        </w:tc>
        <w:tc>
          <w:tcPr>
            <w:tcW w:w="3261" w:type="dxa"/>
            <w:tcMar>
              <w:top w:w="28" w:type="dxa"/>
              <w:bottom w:w="28" w:type="dxa"/>
            </w:tcMar>
          </w:tcPr>
          <w:p w14:paraId="60A9336E" w14:textId="77777777" w:rsidR="00987FDA" w:rsidRPr="004B78F6" w:rsidRDefault="002960C3" w:rsidP="002960C3">
            <w:pPr>
              <w:widowControl w:val="0"/>
              <w:jc w:val="center"/>
              <w:rPr>
                <w:rFonts w:ascii="Arial" w:hAnsi="Arial" w:cs="Arial"/>
                <w:b/>
                <w:snapToGrid w:val="0"/>
                <w:lang w:eastAsia="en-US"/>
              </w:rPr>
            </w:pPr>
            <w:r w:rsidRPr="004B78F6">
              <w:rPr>
                <w:rFonts w:ascii="Arial" w:hAnsi="Arial" w:cs="Arial"/>
                <w:b/>
                <w:snapToGrid w:val="0"/>
                <w:lang w:eastAsia="en-US"/>
              </w:rPr>
              <w:t>LISTING REQUESTED BY SPONSOR / PURPOSE OF SUBMISSION</w:t>
            </w:r>
          </w:p>
        </w:tc>
        <w:tc>
          <w:tcPr>
            <w:tcW w:w="6947" w:type="dxa"/>
          </w:tcPr>
          <w:p w14:paraId="5626F454" w14:textId="77777777" w:rsidR="00987FDA" w:rsidRPr="004B78F6" w:rsidRDefault="00987FDA" w:rsidP="00D167D0">
            <w:pPr>
              <w:pStyle w:val="Header"/>
              <w:jc w:val="center"/>
              <w:rPr>
                <w:rFonts w:ascii="Arial" w:hAnsi="Arial" w:cs="Arial"/>
                <w:b/>
                <w:snapToGrid w:val="0"/>
                <w:lang w:eastAsia="en-US"/>
              </w:rPr>
            </w:pPr>
            <w:r w:rsidRPr="004B78F6">
              <w:rPr>
                <w:rFonts w:ascii="Arial" w:hAnsi="Arial" w:cs="Arial"/>
                <w:b/>
                <w:snapToGrid w:val="0"/>
                <w:lang w:eastAsia="en-US"/>
              </w:rPr>
              <w:t xml:space="preserve">PBAC </w:t>
            </w:r>
            <w:r w:rsidR="002960C3" w:rsidRPr="004B78F6">
              <w:rPr>
                <w:rFonts w:ascii="Arial" w:hAnsi="Arial" w:cs="Arial"/>
                <w:b/>
                <w:snapToGrid w:val="0"/>
                <w:lang w:eastAsia="en-US"/>
              </w:rPr>
              <w:t>OUTCOME</w:t>
            </w:r>
          </w:p>
        </w:tc>
      </w:tr>
      <w:tr w:rsidR="004D72CE" w:rsidRPr="004B78F6" w14:paraId="61A413D1" w14:textId="77777777" w:rsidTr="00692B2F">
        <w:trPr>
          <w:cantSplit/>
          <w:trHeight w:val="2827"/>
        </w:trPr>
        <w:tc>
          <w:tcPr>
            <w:tcW w:w="2694" w:type="dxa"/>
            <w:vMerge w:val="restart"/>
            <w:tcMar>
              <w:top w:w="28" w:type="dxa"/>
              <w:bottom w:w="28" w:type="dxa"/>
            </w:tcMar>
          </w:tcPr>
          <w:p w14:paraId="4FDD9DD9" w14:textId="1AB15B05" w:rsidR="00C53474" w:rsidRDefault="002664D2" w:rsidP="002664D2">
            <w:pPr>
              <w:rPr>
                <w:rFonts w:ascii="Arial" w:hAnsi="Arial" w:cs="Arial"/>
                <w:color w:val="000000"/>
              </w:rPr>
            </w:pPr>
            <w:r w:rsidRPr="004B78F6">
              <w:rPr>
                <w:rFonts w:ascii="Arial" w:hAnsi="Arial" w:cs="Arial"/>
                <w:color w:val="000000"/>
              </w:rPr>
              <w:t>BELIMUMAB</w:t>
            </w:r>
            <w:r w:rsidRPr="004B78F6">
              <w:rPr>
                <w:rFonts w:ascii="Arial" w:hAnsi="Arial" w:cs="Arial"/>
                <w:color w:val="000000"/>
              </w:rPr>
              <w:br/>
            </w:r>
            <w:r w:rsidRPr="004B78F6">
              <w:rPr>
                <w:rFonts w:ascii="Arial" w:hAnsi="Arial" w:cs="Arial"/>
                <w:color w:val="000000"/>
              </w:rPr>
              <w:br/>
              <w:t>Injection 200 mg in 1 mL pre-filled pen</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Benlysta</w:t>
            </w:r>
            <w:proofErr w:type="spellEnd"/>
            <w:r w:rsidRPr="004B78F6">
              <w:rPr>
                <w:rFonts w:ascii="Arial" w:hAnsi="Arial" w:cs="Arial"/>
                <w:color w:val="000000"/>
              </w:rPr>
              <w:t xml:space="preserve">® </w:t>
            </w:r>
            <w:r w:rsidRPr="004B78F6">
              <w:rPr>
                <w:rFonts w:ascii="Arial" w:hAnsi="Arial" w:cs="Arial"/>
                <w:color w:val="000000"/>
              </w:rPr>
              <w:br/>
            </w:r>
            <w:r w:rsidRPr="004B78F6">
              <w:rPr>
                <w:rFonts w:ascii="Arial" w:hAnsi="Arial" w:cs="Arial"/>
                <w:color w:val="000000"/>
              </w:rPr>
              <w:br/>
              <w:t>GlaxoSmithKline Australia Pty Ltd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p w14:paraId="1CC757DB" w14:textId="2EA4C8DC" w:rsidR="002664D2" w:rsidRPr="00C53474" w:rsidRDefault="002664D2" w:rsidP="00C53474">
            <w:pPr>
              <w:rPr>
                <w:rFonts w:ascii="Arial" w:hAnsi="Arial" w:cs="Arial"/>
              </w:rPr>
            </w:pPr>
          </w:p>
        </w:tc>
        <w:tc>
          <w:tcPr>
            <w:tcW w:w="2409" w:type="dxa"/>
            <w:vMerge w:val="restart"/>
          </w:tcPr>
          <w:p w14:paraId="03FD619B" w14:textId="6762EB4C" w:rsidR="004D72CE" w:rsidRPr="004B78F6" w:rsidRDefault="002223CE" w:rsidP="002664D2">
            <w:pPr>
              <w:rPr>
                <w:rFonts w:ascii="Arial" w:hAnsi="Arial" w:cs="Arial"/>
              </w:rPr>
            </w:pPr>
            <w:r w:rsidRPr="004B78F6">
              <w:rPr>
                <w:rFonts w:ascii="Arial" w:hAnsi="Arial" w:cs="Arial"/>
              </w:rPr>
              <w:t>Systemic lupus erythematosus (SLE)</w:t>
            </w:r>
          </w:p>
        </w:tc>
        <w:tc>
          <w:tcPr>
            <w:tcW w:w="3261" w:type="dxa"/>
            <w:tcMar>
              <w:top w:w="28" w:type="dxa"/>
              <w:bottom w:w="28" w:type="dxa"/>
            </w:tcMar>
          </w:tcPr>
          <w:p w14:paraId="2A962DA2" w14:textId="4845362C" w:rsidR="004D72CE" w:rsidRPr="004B78F6" w:rsidRDefault="00013027" w:rsidP="00013027">
            <w:pPr>
              <w:rPr>
                <w:rFonts w:ascii="Arial" w:hAnsi="Arial" w:cs="Arial"/>
                <w:color w:val="000000"/>
              </w:rPr>
            </w:pPr>
            <w:r w:rsidRPr="004B78F6">
              <w:rPr>
                <w:rFonts w:ascii="Arial" w:hAnsi="Arial" w:cs="Arial"/>
                <w:color w:val="000000"/>
              </w:rPr>
              <w:t>To request a Section 100 (Highly Specialised Drugs Program) Authority Required listing for the treatment of patients with highly active auto-antibody positive SLE.</w:t>
            </w:r>
          </w:p>
        </w:tc>
        <w:tc>
          <w:tcPr>
            <w:tcW w:w="6947" w:type="dxa"/>
          </w:tcPr>
          <w:p w14:paraId="2988013C" w14:textId="48A07F52" w:rsidR="00AE0CA2" w:rsidRPr="004B78F6" w:rsidRDefault="00786063" w:rsidP="0080729C">
            <w:pPr>
              <w:rPr>
                <w:rFonts w:ascii="Arial" w:hAnsi="Arial" w:cs="Arial"/>
                <w:color w:val="000000"/>
              </w:rPr>
            </w:pPr>
            <w:r w:rsidRPr="004B78F6">
              <w:rPr>
                <w:rFonts w:ascii="Arial" w:hAnsi="Arial" w:cs="Arial"/>
                <w:color w:val="000000"/>
              </w:rPr>
              <w:t xml:space="preserve">The PBAC did not recommend </w:t>
            </w:r>
            <w:proofErr w:type="spellStart"/>
            <w:r w:rsidRPr="004B78F6">
              <w:rPr>
                <w:rFonts w:ascii="Arial" w:hAnsi="Arial" w:cs="Arial"/>
                <w:color w:val="000000"/>
              </w:rPr>
              <w:t>belimumab</w:t>
            </w:r>
            <w:proofErr w:type="spellEnd"/>
            <w:r w:rsidRPr="004B78F6">
              <w:rPr>
                <w:rFonts w:ascii="Arial" w:hAnsi="Arial" w:cs="Arial"/>
                <w:color w:val="000000"/>
              </w:rPr>
              <w:t xml:space="preserve"> for the treatment of patients with active auto-antibody positive </w:t>
            </w:r>
            <w:r w:rsidR="0080729C" w:rsidRPr="004B78F6">
              <w:rPr>
                <w:rFonts w:ascii="Arial" w:hAnsi="Arial" w:cs="Arial"/>
                <w:color w:val="000000"/>
              </w:rPr>
              <w:t>SLE</w:t>
            </w:r>
            <w:r w:rsidRPr="004B78F6">
              <w:rPr>
                <w:rFonts w:ascii="Arial" w:hAnsi="Arial" w:cs="Arial"/>
                <w:color w:val="000000"/>
              </w:rPr>
              <w:t xml:space="preserve"> with a high degree of disease activity, despite ongoing standard therapy. The PBAC considered there is a clinical need for effective and safe treatments for SLE, particularly for patients with severe active disease who have failed, or are intolerant to, other therapies. The PBAC considered that the evidence demonstrated a modest clinical benefit. However, the PBAC considered that the economic model presented in the submission did not provide a reliable basis for estimating the cost-effectiveness of </w:t>
            </w:r>
            <w:proofErr w:type="spellStart"/>
            <w:r w:rsidRPr="004B78F6">
              <w:rPr>
                <w:rFonts w:ascii="Arial" w:hAnsi="Arial" w:cs="Arial"/>
                <w:color w:val="000000"/>
              </w:rPr>
              <w:t>belimumab</w:t>
            </w:r>
            <w:proofErr w:type="spellEnd"/>
            <w:r w:rsidR="00F7533D" w:rsidRPr="004B78F6">
              <w:rPr>
                <w:rFonts w:ascii="Arial" w:hAnsi="Arial" w:cs="Arial"/>
                <w:color w:val="000000"/>
              </w:rPr>
              <w:t>,</w:t>
            </w:r>
            <w:r w:rsidR="0080729C" w:rsidRPr="004B78F6">
              <w:rPr>
                <w:rFonts w:ascii="Arial" w:hAnsi="Arial" w:cs="Arial"/>
                <w:color w:val="000000"/>
              </w:rPr>
              <w:t xml:space="preserve"> and </w:t>
            </w:r>
            <w:r w:rsidR="0080729C" w:rsidRPr="004B78F6">
              <w:rPr>
                <w:rFonts w:ascii="Arial" w:hAnsi="Arial" w:cs="Arial"/>
                <w:bCs/>
                <w:lang w:val="en-GB"/>
              </w:rPr>
              <w:t>the financial estimates were uncertain and likely overestimated</w:t>
            </w:r>
            <w:r w:rsidR="000F4038" w:rsidRPr="004B78F6">
              <w:rPr>
                <w:rFonts w:ascii="Arial" w:hAnsi="Arial" w:cs="Arial"/>
                <w:bCs/>
                <w:lang w:val="en-GB"/>
              </w:rPr>
              <w:t>.</w:t>
            </w:r>
          </w:p>
        </w:tc>
      </w:tr>
      <w:tr w:rsidR="004D72CE" w:rsidRPr="004B78F6" w14:paraId="12226BC8" w14:textId="77777777" w:rsidTr="00692B2F">
        <w:trPr>
          <w:cantSplit/>
          <w:trHeight w:val="454"/>
        </w:trPr>
        <w:tc>
          <w:tcPr>
            <w:tcW w:w="2694" w:type="dxa"/>
            <w:vMerge/>
            <w:tcMar>
              <w:top w:w="28" w:type="dxa"/>
              <w:bottom w:w="28" w:type="dxa"/>
            </w:tcMar>
          </w:tcPr>
          <w:p w14:paraId="6E991B87" w14:textId="77777777" w:rsidR="004D72CE" w:rsidRPr="004B78F6" w:rsidRDefault="004D72CE" w:rsidP="00335779">
            <w:pPr>
              <w:rPr>
                <w:rFonts w:ascii="Arial" w:hAnsi="Arial" w:cs="Arial"/>
              </w:rPr>
            </w:pPr>
          </w:p>
        </w:tc>
        <w:tc>
          <w:tcPr>
            <w:tcW w:w="2409" w:type="dxa"/>
            <w:vMerge/>
          </w:tcPr>
          <w:p w14:paraId="02C20BBF" w14:textId="77777777" w:rsidR="004D72CE" w:rsidRPr="004B78F6" w:rsidRDefault="004D72CE" w:rsidP="00335779">
            <w:pPr>
              <w:widowControl w:val="0"/>
              <w:rPr>
                <w:rFonts w:ascii="Arial" w:hAnsi="Arial" w:cs="Arial"/>
                <w:snapToGrid w:val="0"/>
                <w:lang w:eastAsia="en-US"/>
              </w:rPr>
            </w:pPr>
          </w:p>
        </w:tc>
        <w:tc>
          <w:tcPr>
            <w:tcW w:w="3261" w:type="dxa"/>
            <w:tcMar>
              <w:top w:w="28" w:type="dxa"/>
              <w:bottom w:w="28" w:type="dxa"/>
            </w:tcMar>
          </w:tcPr>
          <w:p w14:paraId="6949620B" w14:textId="77777777" w:rsidR="004D72CE" w:rsidRPr="004B78F6" w:rsidRDefault="004D72CE" w:rsidP="00F6072B">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w:t>
            </w:r>
            <w:r w:rsidR="0074771E" w:rsidRPr="004B78F6">
              <w:rPr>
                <w:rFonts w:ascii="Arial" w:hAnsi="Arial" w:cs="Arial"/>
                <w:snapToGrid w:val="0"/>
                <w:sz w:val="20"/>
                <w:szCs w:val="20"/>
                <w:lang w:eastAsia="en-US"/>
              </w:rPr>
              <w:t>’s</w:t>
            </w:r>
            <w:r w:rsidRPr="004B78F6">
              <w:rPr>
                <w:rFonts w:ascii="Arial" w:hAnsi="Arial" w:cs="Arial"/>
                <w:snapToGrid w:val="0"/>
                <w:sz w:val="20"/>
                <w:szCs w:val="20"/>
                <w:lang w:eastAsia="en-US"/>
              </w:rPr>
              <w:t xml:space="preserve"> Comment:</w:t>
            </w:r>
          </w:p>
        </w:tc>
        <w:tc>
          <w:tcPr>
            <w:tcW w:w="6947" w:type="dxa"/>
          </w:tcPr>
          <w:p w14:paraId="3F434106" w14:textId="3C12DD12" w:rsidR="00EA19A5" w:rsidRPr="004B78F6" w:rsidRDefault="00D87458" w:rsidP="000E1E84">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4B78F6" w14:paraId="32FFE0DE" w14:textId="77777777" w:rsidTr="00692B2F">
        <w:trPr>
          <w:cantSplit/>
          <w:trHeight w:val="2961"/>
        </w:trPr>
        <w:tc>
          <w:tcPr>
            <w:tcW w:w="2694" w:type="dxa"/>
            <w:vMerge w:val="restart"/>
            <w:tcMar>
              <w:top w:w="28" w:type="dxa"/>
              <w:bottom w:w="28" w:type="dxa"/>
            </w:tcMar>
          </w:tcPr>
          <w:p w14:paraId="0F7E5E7B" w14:textId="2856FA2A" w:rsidR="00786063" w:rsidRPr="004B78F6" w:rsidRDefault="00786063" w:rsidP="00786063">
            <w:pPr>
              <w:rPr>
                <w:rFonts w:ascii="Arial" w:hAnsi="Arial" w:cs="Arial"/>
                <w:color w:val="000000"/>
              </w:rPr>
            </w:pPr>
            <w:r w:rsidRPr="004B78F6">
              <w:rPr>
                <w:rFonts w:ascii="Arial" w:hAnsi="Arial" w:cs="Arial"/>
                <w:color w:val="000000"/>
              </w:rPr>
              <w:t>BROLUCIZUMAB</w:t>
            </w:r>
            <w:r w:rsidRPr="004B78F6">
              <w:rPr>
                <w:rFonts w:ascii="Arial" w:hAnsi="Arial" w:cs="Arial"/>
                <w:color w:val="000000"/>
              </w:rPr>
              <w:br/>
            </w:r>
            <w:r w:rsidRPr="004B78F6">
              <w:rPr>
                <w:rFonts w:ascii="Arial" w:hAnsi="Arial" w:cs="Arial"/>
                <w:color w:val="000000"/>
              </w:rPr>
              <w:br/>
              <w:t xml:space="preserve">Solution for </w:t>
            </w:r>
            <w:proofErr w:type="spellStart"/>
            <w:r w:rsidRPr="004B78F6">
              <w:rPr>
                <w:rFonts w:ascii="Arial" w:hAnsi="Arial" w:cs="Arial"/>
                <w:color w:val="000000"/>
              </w:rPr>
              <w:t>intravitreal</w:t>
            </w:r>
            <w:proofErr w:type="spellEnd"/>
            <w:r w:rsidRPr="004B78F6">
              <w:rPr>
                <w:rFonts w:ascii="Arial" w:hAnsi="Arial" w:cs="Arial"/>
                <w:color w:val="000000"/>
              </w:rPr>
              <w:t xml:space="preserve"> injection 19.8 mg in 0.165 mL pre-filled syringe</w:t>
            </w:r>
            <w:r w:rsidRPr="004B78F6">
              <w:rPr>
                <w:rFonts w:ascii="Arial" w:hAnsi="Arial" w:cs="Arial"/>
                <w:color w:val="000000"/>
              </w:rPr>
              <w:br/>
            </w:r>
            <w:r w:rsidRPr="004B78F6">
              <w:rPr>
                <w:rFonts w:ascii="Arial" w:hAnsi="Arial" w:cs="Arial"/>
                <w:color w:val="000000"/>
              </w:rPr>
              <w:br/>
              <w:t>Beovu®</w:t>
            </w:r>
            <w:r w:rsidRPr="004B78F6">
              <w:rPr>
                <w:rFonts w:ascii="Arial" w:hAnsi="Arial" w:cs="Arial"/>
                <w:color w:val="000000"/>
              </w:rPr>
              <w:br/>
            </w:r>
            <w:r w:rsidRPr="004B78F6">
              <w:rPr>
                <w:rFonts w:ascii="Arial" w:hAnsi="Arial" w:cs="Arial"/>
                <w:color w:val="000000"/>
              </w:rPr>
              <w:br/>
              <w:t>Novartis Pharmaceuticals Australia Pty Limited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tc>
        <w:tc>
          <w:tcPr>
            <w:tcW w:w="2409" w:type="dxa"/>
            <w:vMerge w:val="restart"/>
          </w:tcPr>
          <w:p w14:paraId="7DFB4130" w14:textId="7F1D9F94" w:rsidR="002B4D46" w:rsidRPr="004B78F6" w:rsidRDefault="002223CE" w:rsidP="00786063">
            <w:pPr>
              <w:rPr>
                <w:rFonts w:ascii="Arial" w:hAnsi="Arial" w:cs="Arial"/>
              </w:rPr>
            </w:pPr>
            <w:proofErr w:type="spellStart"/>
            <w:r w:rsidRPr="004B78F6">
              <w:rPr>
                <w:rFonts w:ascii="Arial" w:hAnsi="Arial" w:cs="Arial"/>
              </w:rPr>
              <w:t>Subfoveal</w:t>
            </w:r>
            <w:proofErr w:type="spellEnd"/>
            <w:r w:rsidRPr="004B78F6">
              <w:rPr>
                <w:rFonts w:ascii="Arial" w:hAnsi="Arial" w:cs="Arial"/>
              </w:rPr>
              <w:t xml:space="preserve"> choroidal neovascularisation (CNV)</w:t>
            </w:r>
          </w:p>
        </w:tc>
        <w:tc>
          <w:tcPr>
            <w:tcW w:w="3261" w:type="dxa"/>
            <w:tcMar>
              <w:top w:w="28" w:type="dxa"/>
              <w:bottom w:w="28" w:type="dxa"/>
            </w:tcMar>
          </w:tcPr>
          <w:p w14:paraId="2B00CA98" w14:textId="2704D464" w:rsidR="002B4D46" w:rsidRPr="004B78F6" w:rsidRDefault="00013027" w:rsidP="007E2BA4">
            <w:pPr>
              <w:rPr>
                <w:rFonts w:ascii="Arial" w:hAnsi="Arial" w:cs="Arial"/>
              </w:rPr>
            </w:pPr>
            <w:r w:rsidRPr="004B78F6">
              <w:rPr>
                <w:rFonts w:ascii="Arial" w:hAnsi="Arial" w:cs="Arial"/>
              </w:rPr>
              <w:t>To request an Authority Required listing for the treatment of patients with CNV due to age-related macular degeneration.</w:t>
            </w:r>
          </w:p>
        </w:tc>
        <w:tc>
          <w:tcPr>
            <w:tcW w:w="6947" w:type="dxa"/>
          </w:tcPr>
          <w:p w14:paraId="0152DA68" w14:textId="4DEE7C02" w:rsidR="002B4D46" w:rsidRPr="004B78F6" w:rsidRDefault="00F7533D" w:rsidP="00F7533D">
            <w:pPr>
              <w:spacing w:after="120"/>
              <w:rPr>
                <w:rFonts w:ascii="Arial" w:hAnsi="Arial" w:cs="Arial"/>
                <w:iCs/>
              </w:rPr>
            </w:pPr>
            <w:r w:rsidRPr="004B78F6">
              <w:rPr>
                <w:rFonts w:ascii="Arial" w:hAnsi="Arial" w:cs="Arial"/>
                <w:iCs/>
              </w:rPr>
              <w:t xml:space="preserve">The PBAC did not recommend brolucizumab for the treatment of patients with CNV due to age-related macular degeneration. The PBAC noted the higher incidence of ocular serious adverse events reported for </w:t>
            </w:r>
            <w:proofErr w:type="spellStart"/>
            <w:r w:rsidRPr="004B78F6">
              <w:rPr>
                <w:rFonts w:ascii="Arial" w:hAnsi="Arial" w:cs="Arial"/>
                <w:iCs/>
              </w:rPr>
              <w:t>brolucizumab</w:t>
            </w:r>
            <w:proofErr w:type="spellEnd"/>
            <w:r w:rsidRPr="004B78F6">
              <w:rPr>
                <w:rFonts w:ascii="Arial" w:hAnsi="Arial" w:cs="Arial"/>
                <w:iCs/>
              </w:rPr>
              <w:t xml:space="preserve"> compared </w:t>
            </w:r>
            <w:r w:rsidR="00D714BC">
              <w:rPr>
                <w:rFonts w:ascii="Arial" w:hAnsi="Arial" w:cs="Arial"/>
                <w:iCs/>
              </w:rPr>
              <w:t>with</w:t>
            </w:r>
            <w:r w:rsidR="00D714BC" w:rsidRPr="004B78F6">
              <w:rPr>
                <w:rFonts w:ascii="Arial" w:hAnsi="Arial" w:cs="Arial"/>
                <w:iCs/>
              </w:rPr>
              <w:t xml:space="preserve"> </w:t>
            </w:r>
            <w:proofErr w:type="spellStart"/>
            <w:r w:rsidRPr="004B78F6">
              <w:rPr>
                <w:rFonts w:ascii="Arial" w:hAnsi="Arial" w:cs="Arial"/>
                <w:iCs/>
              </w:rPr>
              <w:t>aflibercept</w:t>
            </w:r>
            <w:proofErr w:type="spellEnd"/>
            <w:r w:rsidRPr="004B78F6">
              <w:rPr>
                <w:rFonts w:ascii="Arial" w:hAnsi="Arial" w:cs="Arial"/>
                <w:iCs/>
              </w:rPr>
              <w:t xml:space="preserve"> in the clinical studies and considered the claim of non-inferior safety was uncertain.</w:t>
            </w:r>
          </w:p>
          <w:p w14:paraId="0BFAE3BF" w14:textId="7A0AE0DF" w:rsidR="00F7533D" w:rsidRPr="00FB3F01" w:rsidRDefault="00F7533D" w:rsidP="00F7533D">
            <w:pPr>
              <w:pStyle w:val="ListParagraph"/>
              <w:widowControl w:val="0"/>
              <w:spacing w:after="160"/>
              <w:ind w:left="0"/>
              <w:contextualSpacing w:val="0"/>
              <w:jc w:val="both"/>
              <w:rPr>
                <w:rFonts w:ascii="Arial" w:hAnsi="Arial" w:cs="Arial"/>
                <w:bCs/>
                <w:sz w:val="20"/>
                <w:szCs w:val="20"/>
                <w:lang w:val="en-GB"/>
              </w:rPr>
            </w:pPr>
          </w:p>
        </w:tc>
      </w:tr>
      <w:tr w:rsidR="002B4D46" w:rsidRPr="004B78F6" w14:paraId="10405EE2" w14:textId="77777777" w:rsidTr="00692B2F">
        <w:trPr>
          <w:cantSplit/>
          <w:trHeight w:val="454"/>
        </w:trPr>
        <w:tc>
          <w:tcPr>
            <w:tcW w:w="2694" w:type="dxa"/>
            <w:vMerge/>
            <w:tcMar>
              <w:top w:w="28" w:type="dxa"/>
              <w:bottom w:w="28" w:type="dxa"/>
            </w:tcMar>
          </w:tcPr>
          <w:p w14:paraId="1D626D42" w14:textId="77777777" w:rsidR="002B4D46" w:rsidRPr="004B78F6" w:rsidRDefault="002B4D46" w:rsidP="002B4D46">
            <w:pPr>
              <w:rPr>
                <w:rFonts w:ascii="Arial" w:hAnsi="Arial" w:cs="Arial"/>
              </w:rPr>
            </w:pPr>
          </w:p>
        </w:tc>
        <w:tc>
          <w:tcPr>
            <w:tcW w:w="2409" w:type="dxa"/>
            <w:vMerge/>
          </w:tcPr>
          <w:p w14:paraId="640630D3" w14:textId="77777777" w:rsidR="002B4D46" w:rsidRPr="004B78F6" w:rsidRDefault="002B4D46" w:rsidP="002B4D46">
            <w:pPr>
              <w:widowControl w:val="0"/>
              <w:rPr>
                <w:rFonts w:ascii="Arial" w:hAnsi="Arial" w:cs="Arial"/>
                <w:snapToGrid w:val="0"/>
                <w:lang w:eastAsia="en-US"/>
              </w:rPr>
            </w:pPr>
          </w:p>
        </w:tc>
        <w:tc>
          <w:tcPr>
            <w:tcW w:w="3261" w:type="dxa"/>
            <w:tcMar>
              <w:top w:w="28" w:type="dxa"/>
              <w:bottom w:w="28" w:type="dxa"/>
            </w:tcMar>
          </w:tcPr>
          <w:p w14:paraId="5C8C032A" w14:textId="77777777" w:rsidR="002B4D46" w:rsidRPr="004B78F6" w:rsidRDefault="002B4D46"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02624D69" w14:textId="46B537F8" w:rsidR="002B4D46" w:rsidRPr="005178C3" w:rsidRDefault="00BA0427" w:rsidP="005178C3">
            <w:pPr>
              <w:rPr>
                <w:rFonts w:ascii="Arial" w:hAnsi="Arial" w:cs="Arial"/>
              </w:rPr>
            </w:pPr>
            <w:r w:rsidRPr="00BA0427">
              <w:rPr>
                <w:rFonts w:ascii="Arial" w:hAnsi="Arial" w:cs="Arial"/>
              </w:rPr>
              <w:t>Novartis is disappointed with the PBAC decision but will wor</w:t>
            </w:r>
            <w:r>
              <w:rPr>
                <w:rFonts w:ascii="Arial" w:hAnsi="Arial" w:cs="Arial"/>
              </w:rPr>
              <w:t>k collaboratively with the PBAC and</w:t>
            </w:r>
            <w:r w:rsidRPr="00BA0427">
              <w:rPr>
                <w:rFonts w:ascii="Arial" w:hAnsi="Arial" w:cs="Arial"/>
              </w:rPr>
              <w:t xml:space="preserve"> the Department of Health to ensure that </w:t>
            </w:r>
            <w:r>
              <w:rPr>
                <w:rFonts w:ascii="Arial" w:hAnsi="Arial" w:cs="Arial"/>
              </w:rPr>
              <w:t>Australians with CNV due to age-</w:t>
            </w:r>
            <w:r w:rsidRPr="00BA0427">
              <w:rPr>
                <w:rFonts w:ascii="Arial" w:hAnsi="Arial" w:cs="Arial"/>
              </w:rPr>
              <w:t>related macular degeneration receive access to Beovu</w:t>
            </w:r>
            <w:r w:rsidRPr="004B78F6">
              <w:rPr>
                <w:rFonts w:ascii="Arial" w:hAnsi="Arial" w:cs="Arial"/>
                <w:color w:val="000000"/>
              </w:rPr>
              <w:t>®</w:t>
            </w:r>
            <w:r w:rsidRPr="00BA0427">
              <w:rPr>
                <w:rFonts w:ascii="Arial" w:hAnsi="Arial" w:cs="Arial"/>
              </w:rPr>
              <w:t xml:space="preserve"> (brolucizumab) through </w:t>
            </w:r>
            <w:r w:rsidR="005271AC">
              <w:rPr>
                <w:rFonts w:ascii="Arial" w:hAnsi="Arial" w:cs="Arial"/>
              </w:rPr>
              <w:t xml:space="preserve">the </w:t>
            </w:r>
            <w:r>
              <w:rPr>
                <w:rFonts w:ascii="Arial" w:hAnsi="Arial" w:cs="Arial"/>
              </w:rPr>
              <w:t xml:space="preserve">PBS </w:t>
            </w:r>
            <w:r w:rsidRPr="00BA0427">
              <w:rPr>
                <w:rFonts w:ascii="Arial" w:hAnsi="Arial" w:cs="Arial"/>
              </w:rPr>
              <w:t>at the earliest opportunity.</w:t>
            </w:r>
          </w:p>
        </w:tc>
      </w:tr>
      <w:tr w:rsidR="002B4D46" w:rsidRPr="004B78F6" w14:paraId="7EC53611" w14:textId="77777777" w:rsidTr="004711E4">
        <w:trPr>
          <w:trHeight w:val="7323"/>
        </w:trPr>
        <w:tc>
          <w:tcPr>
            <w:tcW w:w="2694" w:type="dxa"/>
            <w:vMerge w:val="restart"/>
            <w:tcMar>
              <w:top w:w="28" w:type="dxa"/>
              <w:bottom w:w="28" w:type="dxa"/>
            </w:tcMar>
          </w:tcPr>
          <w:p w14:paraId="560CFC48" w14:textId="77777777" w:rsidR="00740A5A" w:rsidRDefault="008C7673" w:rsidP="00B004AB">
            <w:pPr>
              <w:rPr>
                <w:rFonts w:ascii="Arial" w:hAnsi="Arial" w:cs="Arial"/>
                <w:color w:val="000000"/>
              </w:rPr>
            </w:pPr>
            <w:r w:rsidRPr="004B78F6">
              <w:rPr>
                <w:rFonts w:ascii="Arial" w:hAnsi="Arial" w:cs="Arial"/>
                <w:color w:val="000000"/>
              </w:rPr>
              <w:lastRenderedPageBreak/>
              <w:t>BUPRENORPHINE + NALOXONE</w:t>
            </w:r>
            <w:r w:rsidRPr="004B78F6">
              <w:rPr>
                <w:rFonts w:ascii="Arial" w:hAnsi="Arial" w:cs="Arial"/>
                <w:color w:val="000000"/>
              </w:rPr>
              <w:br/>
            </w:r>
            <w:r w:rsidRPr="004B78F6">
              <w:rPr>
                <w:rFonts w:ascii="Arial" w:hAnsi="Arial" w:cs="Arial"/>
                <w:color w:val="000000"/>
              </w:rPr>
              <w:br/>
              <w:t>Tablet (sublingual) containing  0.7 mg buprenorphine hydrochloride with 0.18 mg naloxone hydrochloride</w:t>
            </w:r>
            <w:r w:rsidRPr="004B78F6">
              <w:rPr>
                <w:rFonts w:ascii="Arial" w:hAnsi="Arial" w:cs="Arial"/>
                <w:color w:val="000000"/>
              </w:rPr>
              <w:br/>
              <w:t>Tablet (sublingual) containing 1.4 mg buprenorphine hydrochloride and 0.36 mg naloxone hydrochloride</w:t>
            </w:r>
            <w:r w:rsidRPr="004B78F6">
              <w:rPr>
                <w:rFonts w:ascii="Arial" w:hAnsi="Arial" w:cs="Arial"/>
                <w:color w:val="000000"/>
              </w:rPr>
              <w:br/>
              <w:t>Tablet (sublingual) containing 2.9 mg buprenorphine hydrochloride and 0.71mg naloxone hydrochloride</w:t>
            </w:r>
            <w:r w:rsidRPr="004B78F6">
              <w:rPr>
                <w:rFonts w:ascii="Arial" w:hAnsi="Arial" w:cs="Arial"/>
                <w:color w:val="000000"/>
              </w:rPr>
              <w:br/>
              <w:t>Tablet (sublingual) containing 5.7 mg buprenorphine hydrochloride and 1.4 mg naloxone hydrochloride</w:t>
            </w:r>
            <w:r w:rsidRPr="004B78F6">
              <w:rPr>
                <w:rFonts w:ascii="Arial" w:hAnsi="Arial" w:cs="Arial"/>
                <w:color w:val="000000"/>
              </w:rPr>
              <w:br/>
              <w:t>Tablet (sublingual) containing 8.6 mg and 2.1mg naloxone hydrochloride</w:t>
            </w:r>
            <w:r w:rsidRPr="004B78F6">
              <w:rPr>
                <w:rFonts w:ascii="Arial" w:hAnsi="Arial" w:cs="Arial"/>
                <w:color w:val="000000"/>
              </w:rPr>
              <w:br/>
              <w:t>Tablet (sublingual) containing  11.4 mg buprenorphine hydrochloride and 2.9 mg n</w:t>
            </w:r>
            <w:r w:rsidR="00740A5A">
              <w:rPr>
                <w:rFonts w:ascii="Arial" w:hAnsi="Arial" w:cs="Arial"/>
                <w:color w:val="000000"/>
              </w:rPr>
              <w:t>aloxone hydrochloride</w:t>
            </w:r>
            <w:r w:rsidR="00740A5A">
              <w:rPr>
                <w:rFonts w:ascii="Arial" w:hAnsi="Arial" w:cs="Arial"/>
                <w:color w:val="000000"/>
              </w:rPr>
              <w:br/>
            </w:r>
            <w:r w:rsidR="00740A5A">
              <w:rPr>
                <w:rFonts w:ascii="Arial" w:hAnsi="Arial" w:cs="Arial"/>
                <w:color w:val="000000"/>
              </w:rPr>
              <w:br/>
            </w:r>
            <w:proofErr w:type="spellStart"/>
            <w:r w:rsidR="00740A5A">
              <w:rPr>
                <w:rFonts w:ascii="Arial" w:hAnsi="Arial" w:cs="Arial"/>
                <w:color w:val="000000"/>
              </w:rPr>
              <w:t>Zubsolv</w:t>
            </w:r>
            <w:proofErr w:type="spellEnd"/>
            <w:r w:rsidR="00740A5A">
              <w:rPr>
                <w:rFonts w:ascii="Arial" w:hAnsi="Arial" w:cs="Arial"/>
                <w:color w:val="000000"/>
              </w:rPr>
              <w:t>®</w:t>
            </w:r>
          </w:p>
          <w:p w14:paraId="54681A04" w14:textId="7F861628" w:rsidR="008C7673" w:rsidRPr="004B78F6" w:rsidRDefault="008C7673" w:rsidP="00B004AB">
            <w:pPr>
              <w:rPr>
                <w:rFonts w:ascii="Arial" w:hAnsi="Arial" w:cs="Arial"/>
                <w:color w:val="000000"/>
              </w:rPr>
            </w:pPr>
            <w:r w:rsidRPr="004B78F6">
              <w:rPr>
                <w:rFonts w:ascii="Arial" w:hAnsi="Arial" w:cs="Arial"/>
                <w:color w:val="000000"/>
              </w:rPr>
              <w:lastRenderedPageBreak/>
              <w:br/>
              <w:t>Mundipharma Pty Limited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tc>
        <w:tc>
          <w:tcPr>
            <w:tcW w:w="2409" w:type="dxa"/>
            <w:vMerge w:val="restart"/>
          </w:tcPr>
          <w:p w14:paraId="38BAFDF2" w14:textId="4A249755" w:rsidR="002B4D46" w:rsidRPr="004B78F6" w:rsidRDefault="002223CE" w:rsidP="00B004AB">
            <w:pPr>
              <w:rPr>
                <w:rFonts w:ascii="Arial" w:hAnsi="Arial" w:cs="Arial"/>
              </w:rPr>
            </w:pPr>
            <w:r w:rsidRPr="004B78F6">
              <w:rPr>
                <w:rFonts w:ascii="Arial" w:hAnsi="Arial" w:cs="Arial"/>
              </w:rPr>
              <w:lastRenderedPageBreak/>
              <w:t>Opiate dependence</w:t>
            </w:r>
          </w:p>
        </w:tc>
        <w:tc>
          <w:tcPr>
            <w:tcW w:w="3261" w:type="dxa"/>
            <w:tcMar>
              <w:top w:w="28" w:type="dxa"/>
              <w:bottom w:w="28" w:type="dxa"/>
            </w:tcMar>
          </w:tcPr>
          <w:p w14:paraId="78ACF55E" w14:textId="6A23F0EF" w:rsidR="002B4D46" w:rsidRPr="004B78F6" w:rsidRDefault="00013027" w:rsidP="00555C08">
            <w:pPr>
              <w:rPr>
                <w:rFonts w:ascii="Arial" w:hAnsi="Arial" w:cs="Arial"/>
              </w:rPr>
            </w:pPr>
            <w:r w:rsidRPr="004B78F6">
              <w:rPr>
                <w:rFonts w:ascii="Arial" w:hAnsi="Arial" w:cs="Arial"/>
              </w:rPr>
              <w:t>To request a Section 100 (Opiate Dependence Treatment Program) Restricted Benefit listing for the treatment of patients with opiate dependence.</w:t>
            </w:r>
          </w:p>
        </w:tc>
        <w:tc>
          <w:tcPr>
            <w:tcW w:w="6947" w:type="dxa"/>
          </w:tcPr>
          <w:p w14:paraId="32DA60ED" w14:textId="2FB35BA0" w:rsidR="00B004AB" w:rsidRPr="004B78F6" w:rsidRDefault="008C7673" w:rsidP="00F074E3">
            <w:pPr>
              <w:widowControl w:val="0"/>
              <w:spacing w:after="120"/>
              <w:rPr>
                <w:rFonts w:ascii="Arial" w:hAnsi="Arial" w:cs="Arial"/>
                <w:bCs/>
                <w:lang w:val="en-GB"/>
              </w:rPr>
            </w:pPr>
            <w:r w:rsidRPr="004B78F6">
              <w:rPr>
                <w:rFonts w:ascii="Arial" w:hAnsi="Arial" w:cs="Arial"/>
                <w:color w:val="000000"/>
              </w:rPr>
              <w:t>The PBAC did not recommend the listing of buprenorphine with nalox</w:t>
            </w:r>
            <w:r w:rsidR="00B004AB" w:rsidRPr="004B78F6">
              <w:rPr>
                <w:rFonts w:ascii="Arial" w:hAnsi="Arial" w:cs="Arial"/>
                <w:color w:val="000000"/>
              </w:rPr>
              <w:t>one sublingual tablets (</w:t>
            </w:r>
            <w:proofErr w:type="spellStart"/>
            <w:r w:rsidR="00B004AB" w:rsidRPr="004B78F6">
              <w:rPr>
                <w:rFonts w:ascii="Arial" w:hAnsi="Arial" w:cs="Arial"/>
                <w:color w:val="000000"/>
              </w:rPr>
              <w:t>Zubsolv</w:t>
            </w:r>
            <w:proofErr w:type="spellEnd"/>
            <w:r w:rsidR="008731E9" w:rsidRPr="004B78F6">
              <w:rPr>
                <w:rFonts w:ascii="Arial" w:hAnsi="Arial" w:cs="Arial"/>
                <w:color w:val="000000"/>
              </w:rPr>
              <w:t>®</w:t>
            </w:r>
            <w:r w:rsidRPr="004B78F6">
              <w:rPr>
                <w:rFonts w:ascii="Arial" w:hAnsi="Arial" w:cs="Arial"/>
                <w:color w:val="000000"/>
              </w:rPr>
              <w:t xml:space="preserve">) for the treatment of patients with opioid dependence on the basis that the clinical need for </w:t>
            </w:r>
            <w:r w:rsidR="00F074E3">
              <w:rPr>
                <w:rFonts w:ascii="Arial" w:hAnsi="Arial" w:cs="Arial"/>
                <w:color w:val="000000"/>
              </w:rPr>
              <w:t xml:space="preserve">an additional form of buprenorphine with naloxone </w:t>
            </w:r>
            <w:r w:rsidRPr="004B78F6">
              <w:rPr>
                <w:rFonts w:ascii="Arial" w:hAnsi="Arial" w:cs="Arial"/>
                <w:color w:val="000000"/>
              </w:rPr>
              <w:t xml:space="preserve">was unclear, non-inferior clinical effectiveness of </w:t>
            </w:r>
            <w:proofErr w:type="spellStart"/>
            <w:r w:rsidRPr="004B78F6">
              <w:rPr>
                <w:rFonts w:ascii="Arial" w:hAnsi="Arial" w:cs="Arial"/>
                <w:color w:val="000000"/>
              </w:rPr>
              <w:t>Zubsolv</w:t>
            </w:r>
            <w:proofErr w:type="spellEnd"/>
            <w:r w:rsidR="008731E9" w:rsidRPr="004B78F6">
              <w:rPr>
                <w:rFonts w:ascii="Arial" w:hAnsi="Arial" w:cs="Arial"/>
                <w:color w:val="000000"/>
              </w:rPr>
              <w:t>®</w:t>
            </w:r>
            <w:r w:rsidRPr="004B78F6">
              <w:rPr>
                <w:rFonts w:ascii="Arial" w:hAnsi="Arial" w:cs="Arial"/>
                <w:color w:val="000000"/>
              </w:rPr>
              <w:t xml:space="preserve"> to the nominated comparator (</w:t>
            </w:r>
            <w:proofErr w:type="spellStart"/>
            <w:r w:rsidRPr="004B78F6">
              <w:rPr>
                <w:rFonts w:ascii="Arial" w:hAnsi="Arial" w:cs="Arial"/>
                <w:color w:val="000000"/>
              </w:rPr>
              <w:t>Suboxone</w:t>
            </w:r>
            <w:proofErr w:type="spellEnd"/>
            <w:r w:rsidR="00B004AB" w:rsidRPr="004B78F6">
              <w:rPr>
                <w:rFonts w:ascii="Arial" w:hAnsi="Arial" w:cs="Arial"/>
                <w:color w:val="000000"/>
              </w:rPr>
              <w:t>®</w:t>
            </w:r>
            <w:r w:rsidRPr="004B78F6">
              <w:rPr>
                <w:rFonts w:ascii="Arial" w:hAnsi="Arial" w:cs="Arial"/>
                <w:color w:val="000000"/>
              </w:rPr>
              <w:t xml:space="preserve"> film) was not demonstrated and the equi-effective doses were uncertain. The PBAC further considered there were significant concerns relating to dose titration issues should patients switch therapies, as well as prescriber confusion regarding strengths leading to incorrect dosing of patients. </w:t>
            </w:r>
          </w:p>
        </w:tc>
      </w:tr>
      <w:tr w:rsidR="002B4D46" w:rsidRPr="004B78F6" w14:paraId="5C33D51C" w14:textId="77777777" w:rsidTr="00FB3F01">
        <w:trPr>
          <w:trHeight w:val="454"/>
        </w:trPr>
        <w:tc>
          <w:tcPr>
            <w:tcW w:w="2694" w:type="dxa"/>
            <w:vMerge/>
            <w:tcMar>
              <w:top w:w="28" w:type="dxa"/>
              <w:bottom w:w="28" w:type="dxa"/>
            </w:tcMar>
          </w:tcPr>
          <w:p w14:paraId="6EB81F70" w14:textId="77777777" w:rsidR="002B4D46" w:rsidRPr="004B78F6" w:rsidRDefault="002B4D46" w:rsidP="002B4D46">
            <w:pPr>
              <w:rPr>
                <w:rFonts w:ascii="Arial" w:hAnsi="Arial" w:cs="Arial"/>
              </w:rPr>
            </w:pPr>
          </w:p>
        </w:tc>
        <w:tc>
          <w:tcPr>
            <w:tcW w:w="2409" w:type="dxa"/>
            <w:vMerge/>
          </w:tcPr>
          <w:p w14:paraId="289AEFDE" w14:textId="77777777" w:rsidR="002B4D46" w:rsidRPr="004B78F6" w:rsidRDefault="002B4D46" w:rsidP="002B4D46">
            <w:pPr>
              <w:widowControl w:val="0"/>
              <w:rPr>
                <w:rFonts w:ascii="Arial" w:hAnsi="Arial" w:cs="Arial"/>
                <w:snapToGrid w:val="0"/>
                <w:lang w:eastAsia="en-US"/>
              </w:rPr>
            </w:pPr>
          </w:p>
        </w:tc>
        <w:tc>
          <w:tcPr>
            <w:tcW w:w="3261" w:type="dxa"/>
            <w:tcMar>
              <w:top w:w="28" w:type="dxa"/>
              <w:bottom w:w="28" w:type="dxa"/>
            </w:tcMar>
          </w:tcPr>
          <w:p w14:paraId="5AF0EBF1" w14:textId="77777777" w:rsidR="002B4D46" w:rsidRPr="004B78F6" w:rsidRDefault="002B4D46"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1142305A" w14:textId="6B8548B5" w:rsidR="00312C6F" w:rsidRPr="00312C6F" w:rsidRDefault="00312C6F" w:rsidP="00312C6F">
            <w:pPr>
              <w:rPr>
                <w:rFonts w:ascii="Arial" w:hAnsi="Arial" w:cs="Arial"/>
              </w:rPr>
            </w:pPr>
            <w:r w:rsidRPr="00312C6F">
              <w:rPr>
                <w:rFonts w:ascii="Arial" w:hAnsi="Arial" w:cs="Arial"/>
              </w:rPr>
              <w:t xml:space="preserve">Mundipharma </w:t>
            </w:r>
            <w:r>
              <w:rPr>
                <w:rFonts w:ascii="Arial" w:hAnsi="Arial" w:cs="Arial"/>
              </w:rPr>
              <w:t xml:space="preserve">will </w:t>
            </w:r>
            <w:r w:rsidRPr="00312C6F">
              <w:rPr>
                <w:rFonts w:ascii="Arial" w:hAnsi="Arial" w:cs="Arial"/>
              </w:rPr>
              <w:t>continue to work with the PBAC and the Department</w:t>
            </w:r>
            <w:r>
              <w:rPr>
                <w:rFonts w:ascii="Arial" w:hAnsi="Arial" w:cs="Arial"/>
              </w:rPr>
              <w:t xml:space="preserve"> of Health in pursuing PBS-</w:t>
            </w:r>
            <w:r w:rsidRPr="00312C6F">
              <w:rPr>
                <w:rFonts w:ascii="Arial" w:hAnsi="Arial" w:cs="Arial"/>
              </w:rPr>
              <w:t>subsid</w:t>
            </w:r>
            <w:r>
              <w:rPr>
                <w:rFonts w:ascii="Arial" w:hAnsi="Arial" w:cs="Arial"/>
              </w:rPr>
              <w:t>ised access for an alternative opioid substitution t</w:t>
            </w:r>
            <w:r w:rsidRPr="00312C6F">
              <w:rPr>
                <w:rFonts w:ascii="Arial" w:hAnsi="Arial" w:cs="Arial"/>
              </w:rPr>
              <w:t>herapy at the earliest opportunity.</w:t>
            </w:r>
          </w:p>
          <w:p w14:paraId="679863A6" w14:textId="62008A74" w:rsidR="002B4D46" w:rsidRPr="004B78F6" w:rsidRDefault="002B4D46" w:rsidP="002B4D46">
            <w:pPr>
              <w:pStyle w:val="ListParagraph"/>
              <w:ind w:left="0"/>
              <w:jc w:val="both"/>
              <w:rPr>
                <w:rFonts w:ascii="Arial" w:hAnsi="Arial" w:cs="Arial"/>
                <w:iCs/>
                <w:sz w:val="20"/>
                <w:szCs w:val="20"/>
              </w:rPr>
            </w:pPr>
          </w:p>
        </w:tc>
      </w:tr>
      <w:tr w:rsidR="00740A5A" w:rsidRPr="004B78F6" w14:paraId="1EBFDA54" w14:textId="77777777" w:rsidTr="00740A5A">
        <w:trPr>
          <w:trHeight w:val="2975"/>
        </w:trPr>
        <w:tc>
          <w:tcPr>
            <w:tcW w:w="2694" w:type="dxa"/>
            <w:vMerge w:val="restart"/>
            <w:tcMar>
              <w:top w:w="28" w:type="dxa"/>
              <w:bottom w:w="28" w:type="dxa"/>
            </w:tcMar>
          </w:tcPr>
          <w:p w14:paraId="19A29D8D" w14:textId="7FE5CEA9" w:rsidR="00740A5A" w:rsidRPr="00C73443" w:rsidRDefault="00740A5A" w:rsidP="00740A5A">
            <w:pPr>
              <w:rPr>
                <w:rFonts w:ascii="Arial" w:hAnsi="Arial" w:cs="Arial"/>
              </w:rPr>
            </w:pPr>
            <w:r w:rsidRPr="00C73443">
              <w:rPr>
                <w:rFonts w:ascii="Arial" w:hAnsi="Arial" w:cs="Arial"/>
                <w:color w:val="000000"/>
              </w:rPr>
              <w:lastRenderedPageBreak/>
              <w:t>CERTOLIZUMAB PEGOL</w:t>
            </w:r>
            <w:r w:rsidRPr="00C73443">
              <w:rPr>
                <w:rFonts w:ascii="Arial" w:hAnsi="Arial" w:cs="Arial"/>
                <w:color w:val="000000"/>
              </w:rPr>
              <w:br/>
            </w:r>
            <w:r w:rsidRPr="00C73443">
              <w:rPr>
                <w:rFonts w:ascii="Arial" w:hAnsi="Arial" w:cs="Arial"/>
                <w:color w:val="000000"/>
              </w:rPr>
              <w:br/>
              <w:t xml:space="preserve">Injection 200 mg in 1 mL single use pre-filled syringe </w:t>
            </w:r>
            <w:r w:rsidRPr="00C73443">
              <w:rPr>
                <w:rFonts w:ascii="Arial" w:hAnsi="Arial" w:cs="Arial"/>
                <w:color w:val="000000"/>
              </w:rPr>
              <w:br/>
              <w:t>Solution for injection 200 mg in 1 mL pre-filled pen</w:t>
            </w:r>
            <w:r w:rsidRPr="00C73443">
              <w:rPr>
                <w:rFonts w:ascii="Arial" w:hAnsi="Arial" w:cs="Arial"/>
                <w:color w:val="000000"/>
              </w:rPr>
              <w:br/>
            </w:r>
            <w:r w:rsidRPr="00C73443">
              <w:rPr>
                <w:rFonts w:ascii="Arial" w:hAnsi="Arial" w:cs="Arial"/>
                <w:color w:val="000000"/>
              </w:rPr>
              <w:br/>
            </w:r>
            <w:proofErr w:type="spellStart"/>
            <w:r w:rsidRPr="00C73443">
              <w:rPr>
                <w:rFonts w:ascii="Arial" w:hAnsi="Arial" w:cs="Arial"/>
                <w:color w:val="000000"/>
              </w:rPr>
              <w:t>Cimzia</w:t>
            </w:r>
            <w:proofErr w:type="spellEnd"/>
            <w:r w:rsidRPr="00C73443">
              <w:rPr>
                <w:rFonts w:ascii="Arial" w:hAnsi="Arial" w:cs="Arial"/>
                <w:color w:val="000000"/>
              </w:rPr>
              <w:t>®</w:t>
            </w:r>
            <w:r w:rsidRPr="00C73443">
              <w:rPr>
                <w:rFonts w:ascii="Arial" w:hAnsi="Arial" w:cs="Arial"/>
                <w:color w:val="000000"/>
              </w:rPr>
              <w:br/>
            </w:r>
            <w:r w:rsidRPr="00C73443">
              <w:rPr>
                <w:rFonts w:ascii="Arial" w:hAnsi="Arial" w:cs="Arial"/>
                <w:color w:val="000000"/>
              </w:rPr>
              <w:br/>
              <w:t>UCB Australia Proprietary Limited</w:t>
            </w:r>
            <w:r w:rsidRPr="00C73443">
              <w:rPr>
                <w:rFonts w:ascii="Arial" w:hAnsi="Arial" w:cs="Arial"/>
                <w:color w:val="000000"/>
              </w:rPr>
              <w:br/>
            </w:r>
            <w:r w:rsidRPr="00C73443">
              <w:rPr>
                <w:rFonts w:ascii="Arial" w:hAnsi="Arial" w:cs="Arial"/>
                <w:color w:val="000000"/>
              </w:rPr>
              <w:br/>
              <w:t>Change to recommended listing</w:t>
            </w:r>
            <w:r w:rsidRPr="00C73443">
              <w:rPr>
                <w:rFonts w:ascii="Arial" w:hAnsi="Arial" w:cs="Arial"/>
                <w:color w:val="000000"/>
              </w:rPr>
              <w:br/>
              <w:t>(Minor Submission)</w:t>
            </w:r>
          </w:p>
        </w:tc>
        <w:tc>
          <w:tcPr>
            <w:tcW w:w="2409" w:type="dxa"/>
            <w:vMerge w:val="restart"/>
          </w:tcPr>
          <w:p w14:paraId="2E36131F" w14:textId="77777777" w:rsidR="00740A5A" w:rsidRPr="00C73443" w:rsidRDefault="00740A5A" w:rsidP="00740A5A">
            <w:pPr>
              <w:rPr>
                <w:rFonts w:ascii="Arial" w:hAnsi="Arial" w:cs="Arial"/>
                <w:color w:val="000000"/>
              </w:rPr>
            </w:pPr>
            <w:r w:rsidRPr="00C73443">
              <w:rPr>
                <w:rFonts w:ascii="Arial" w:hAnsi="Arial" w:cs="Arial"/>
                <w:color w:val="000000"/>
              </w:rPr>
              <w:t>Chronic plaque psoriasis (CPP)</w:t>
            </w:r>
          </w:p>
          <w:p w14:paraId="0E82DE87" w14:textId="77777777" w:rsidR="00740A5A" w:rsidRPr="00C73443" w:rsidRDefault="00740A5A" w:rsidP="00740A5A">
            <w:pPr>
              <w:widowControl w:val="0"/>
              <w:rPr>
                <w:rFonts w:ascii="Arial" w:hAnsi="Arial" w:cs="Arial"/>
                <w:snapToGrid w:val="0"/>
                <w:lang w:eastAsia="en-US"/>
              </w:rPr>
            </w:pPr>
          </w:p>
        </w:tc>
        <w:tc>
          <w:tcPr>
            <w:tcW w:w="3261" w:type="dxa"/>
            <w:tcMar>
              <w:top w:w="28" w:type="dxa"/>
              <w:bottom w:w="28" w:type="dxa"/>
            </w:tcMar>
          </w:tcPr>
          <w:p w14:paraId="6B884B20" w14:textId="77777777" w:rsidR="00740A5A" w:rsidRPr="00C73443" w:rsidRDefault="00740A5A" w:rsidP="00740A5A">
            <w:pPr>
              <w:rPr>
                <w:rFonts w:ascii="Arial" w:hAnsi="Arial" w:cs="Arial"/>
                <w:color w:val="000000"/>
              </w:rPr>
            </w:pPr>
            <w:r w:rsidRPr="00C73443">
              <w:rPr>
                <w:rFonts w:ascii="Arial" w:hAnsi="Arial" w:cs="Arial"/>
                <w:color w:val="000000"/>
              </w:rPr>
              <w:t xml:space="preserve">Resubmission to request reconsideration of the basis of the PBAC’s March 2019 recommendation for the Authority Required listing for the treatment of patients with </w:t>
            </w:r>
            <w:r>
              <w:rPr>
                <w:rFonts w:ascii="Arial" w:hAnsi="Arial" w:cs="Arial"/>
                <w:color w:val="000000"/>
              </w:rPr>
              <w:t>CPP.</w:t>
            </w:r>
          </w:p>
          <w:p w14:paraId="4D9F8C47" w14:textId="77777777" w:rsidR="00740A5A" w:rsidRPr="00C73443" w:rsidRDefault="00740A5A" w:rsidP="00740A5A">
            <w:pPr>
              <w:pStyle w:val="ListParagraph"/>
              <w:ind w:left="0"/>
              <w:jc w:val="right"/>
              <w:rPr>
                <w:rFonts w:ascii="Arial" w:hAnsi="Arial" w:cs="Arial"/>
                <w:snapToGrid w:val="0"/>
                <w:sz w:val="20"/>
                <w:szCs w:val="20"/>
                <w:lang w:eastAsia="en-US"/>
              </w:rPr>
            </w:pPr>
          </w:p>
        </w:tc>
        <w:tc>
          <w:tcPr>
            <w:tcW w:w="6947" w:type="dxa"/>
          </w:tcPr>
          <w:p w14:paraId="66B6F3AC" w14:textId="77777777" w:rsidR="00740A5A" w:rsidRPr="00C73443" w:rsidRDefault="00740A5A" w:rsidP="00740A5A">
            <w:pPr>
              <w:spacing w:after="120"/>
              <w:rPr>
                <w:rFonts w:ascii="Arial" w:hAnsi="Arial" w:cs="Arial"/>
                <w:color w:val="000000"/>
              </w:rPr>
            </w:pPr>
            <w:r w:rsidRPr="00C73443">
              <w:rPr>
                <w:rFonts w:ascii="Arial" w:hAnsi="Arial" w:cs="Arial"/>
                <w:color w:val="000000"/>
              </w:rPr>
              <w:t xml:space="preserve">The PBAC did not recommend a change to the basis of its March 2019 recommendation for the Authority Required listing of </w:t>
            </w:r>
            <w:proofErr w:type="spellStart"/>
            <w:r w:rsidRPr="00C73443">
              <w:rPr>
                <w:rFonts w:ascii="Arial" w:hAnsi="Arial" w:cs="Arial"/>
                <w:color w:val="000000"/>
              </w:rPr>
              <w:t>certolizumab</w:t>
            </w:r>
            <w:proofErr w:type="spellEnd"/>
            <w:r w:rsidRPr="00C73443">
              <w:rPr>
                <w:rFonts w:ascii="Arial" w:hAnsi="Arial" w:cs="Arial"/>
                <w:color w:val="000000"/>
              </w:rPr>
              <w:t xml:space="preserve"> </w:t>
            </w:r>
            <w:proofErr w:type="spellStart"/>
            <w:r w:rsidRPr="00C73443">
              <w:rPr>
                <w:rFonts w:ascii="Arial" w:hAnsi="Arial" w:cs="Arial"/>
                <w:color w:val="000000"/>
              </w:rPr>
              <w:t>pegol</w:t>
            </w:r>
            <w:proofErr w:type="spellEnd"/>
            <w:r w:rsidRPr="00C73443">
              <w:rPr>
                <w:rFonts w:ascii="Arial" w:hAnsi="Arial" w:cs="Arial"/>
                <w:color w:val="000000"/>
              </w:rPr>
              <w:t xml:space="preserve"> </w:t>
            </w:r>
            <w:r>
              <w:rPr>
                <w:rFonts w:ascii="Arial" w:hAnsi="Arial" w:cs="Arial"/>
                <w:color w:val="000000"/>
              </w:rPr>
              <w:t>(</w:t>
            </w:r>
            <w:r w:rsidRPr="00C73443">
              <w:rPr>
                <w:rFonts w:ascii="Arial" w:hAnsi="Arial" w:cs="Arial"/>
                <w:color w:val="000000"/>
              </w:rPr>
              <w:t>CZP</w:t>
            </w:r>
            <w:r>
              <w:rPr>
                <w:rFonts w:ascii="Arial" w:hAnsi="Arial" w:cs="Arial"/>
                <w:color w:val="000000"/>
              </w:rPr>
              <w:t>)</w:t>
            </w:r>
            <w:r w:rsidRPr="00C73443">
              <w:rPr>
                <w:rFonts w:ascii="Arial" w:hAnsi="Arial" w:cs="Arial"/>
                <w:color w:val="000000"/>
              </w:rPr>
              <w:t xml:space="preserve"> for the treatment of patients with severe CPP. The PBAC reaffirmed its March 2019 recommendation that CZP 400 mg should be listed on a cost-minimisation basis with the least costly alternative biologic for this indication and that it would be appropriate to price CZP 200 mg on the same per mg basis as CZP 400 mg.</w:t>
            </w:r>
          </w:p>
          <w:p w14:paraId="7CD55236" w14:textId="77777777" w:rsidR="00740A5A" w:rsidRPr="00C73443" w:rsidRDefault="00740A5A" w:rsidP="00740A5A">
            <w:pPr>
              <w:pStyle w:val="ListParagraph"/>
              <w:ind w:left="0"/>
              <w:jc w:val="both"/>
              <w:rPr>
                <w:rFonts w:ascii="Arial" w:hAnsi="Arial" w:cs="Arial"/>
                <w:iCs/>
                <w:sz w:val="20"/>
                <w:szCs w:val="20"/>
              </w:rPr>
            </w:pPr>
          </w:p>
        </w:tc>
      </w:tr>
      <w:tr w:rsidR="00740A5A" w:rsidRPr="004B78F6" w14:paraId="033AC4B1" w14:textId="77777777" w:rsidTr="00FB3F01">
        <w:trPr>
          <w:trHeight w:val="251"/>
        </w:trPr>
        <w:tc>
          <w:tcPr>
            <w:tcW w:w="2694" w:type="dxa"/>
            <w:vMerge/>
            <w:tcMar>
              <w:top w:w="28" w:type="dxa"/>
              <w:bottom w:w="28" w:type="dxa"/>
            </w:tcMar>
          </w:tcPr>
          <w:p w14:paraId="2A0AFFB8" w14:textId="77777777" w:rsidR="00740A5A" w:rsidRPr="00C73443" w:rsidRDefault="00740A5A" w:rsidP="002B4D46">
            <w:pPr>
              <w:rPr>
                <w:rFonts w:ascii="Arial" w:hAnsi="Arial" w:cs="Arial"/>
              </w:rPr>
            </w:pPr>
          </w:p>
        </w:tc>
        <w:tc>
          <w:tcPr>
            <w:tcW w:w="2409" w:type="dxa"/>
            <w:vMerge/>
          </w:tcPr>
          <w:p w14:paraId="0300F670" w14:textId="77777777" w:rsidR="00740A5A" w:rsidRPr="00C73443" w:rsidRDefault="00740A5A" w:rsidP="002B4D46">
            <w:pPr>
              <w:widowControl w:val="0"/>
              <w:rPr>
                <w:rFonts w:ascii="Arial" w:hAnsi="Arial" w:cs="Arial"/>
                <w:snapToGrid w:val="0"/>
                <w:lang w:eastAsia="en-US"/>
              </w:rPr>
            </w:pPr>
          </w:p>
        </w:tc>
        <w:tc>
          <w:tcPr>
            <w:tcW w:w="3261" w:type="dxa"/>
            <w:tcMar>
              <w:top w:w="28" w:type="dxa"/>
              <w:bottom w:w="28" w:type="dxa"/>
            </w:tcMar>
          </w:tcPr>
          <w:p w14:paraId="56FAC9D4" w14:textId="16F4E6C0" w:rsidR="00740A5A" w:rsidRPr="00C73443" w:rsidRDefault="00740A5A" w:rsidP="00740A5A">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Comment:</w:t>
            </w:r>
          </w:p>
        </w:tc>
        <w:tc>
          <w:tcPr>
            <w:tcW w:w="6947" w:type="dxa"/>
          </w:tcPr>
          <w:p w14:paraId="6E1DAB1F" w14:textId="04ACE566" w:rsidR="00740A5A" w:rsidRPr="00C73443" w:rsidRDefault="00740A5A" w:rsidP="002B4D46">
            <w:pPr>
              <w:pStyle w:val="ListParagraph"/>
              <w:ind w:left="0"/>
              <w:jc w:val="both"/>
              <w:rPr>
                <w:rFonts w:ascii="Arial" w:hAnsi="Arial" w:cs="Arial"/>
                <w:iCs/>
                <w:sz w:val="20"/>
                <w:szCs w:val="20"/>
              </w:rPr>
            </w:pPr>
            <w:r>
              <w:rPr>
                <w:rFonts w:ascii="Arial" w:hAnsi="Arial" w:cs="Arial"/>
                <w:iCs/>
                <w:sz w:val="20"/>
                <w:szCs w:val="20"/>
              </w:rPr>
              <w:t xml:space="preserve">No comment </w:t>
            </w:r>
          </w:p>
        </w:tc>
      </w:tr>
      <w:tr w:rsidR="002B4D46" w:rsidRPr="004B78F6" w14:paraId="61009ED3" w14:textId="77777777" w:rsidTr="00692B2F">
        <w:trPr>
          <w:cantSplit/>
          <w:trHeight w:val="465"/>
        </w:trPr>
        <w:tc>
          <w:tcPr>
            <w:tcW w:w="2694" w:type="dxa"/>
            <w:vMerge w:val="restart"/>
            <w:tcMar>
              <w:top w:w="28" w:type="dxa"/>
              <w:bottom w:w="28" w:type="dxa"/>
            </w:tcMar>
          </w:tcPr>
          <w:p w14:paraId="57986405" w14:textId="1DF3648C" w:rsidR="008B2000" w:rsidRPr="004B78F6" w:rsidRDefault="008B2000" w:rsidP="004B6998">
            <w:pPr>
              <w:rPr>
                <w:rFonts w:ascii="Arial" w:hAnsi="Arial" w:cs="Arial"/>
                <w:color w:val="000000"/>
              </w:rPr>
            </w:pPr>
            <w:r w:rsidRPr="004B78F6">
              <w:rPr>
                <w:rFonts w:ascii="Arial" w:hAnsi="Arial" w:cs="Arial"/>
                <w:color w:val="000000"/>
              </w:rPr>
              <w:lastRenderedPageBreak/>
              <w:t>NUSINERSEN</w:t>
            </w:r>
            <w:r w:rsidRPr="004B78F6">
              <w:rPr>
                <w:rFonts w:ascii="Arial" w:hAnsi="Arial" w:cs="Arial"/>
                <w:color w:val="000000"/>
              </w:rPr>
              <w:br/>
            </w:r>
            <w:r w:rsidRPr="004B78F6">
              <w:rPr>
                <w:rFonts w:ascii="Arial" w:hAnsi="Arial" w:cs="Arial"/>
                <w:color w:val="000000"/>
              </w:rPr>
              <w:br/>
              <w:t>Solution for injection 12 mg in 5 mL</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Spinraza</w:t>
            </w:r>
            <w:proofErr w:type="spellEnd"/>
            <w:r w:rsidRPr="004B78F6">
              <w:rPr>
                <w:rFonts w:ascii="Arial" w:hAnsi="Arial" w:cs="Arial"/>
                <w:color w:val="000000"/>
              </w:rPr>
              <w:t>®</w:t>
            </w:r>
            <w:r w:rsidRPr="004B78F6">
              <w:rPr>
                <w:rFonts w:ascii="Arial" w:hAnsi="Arial" w:cs="Arial"/>
                <w:color w:val="000000"/>
              </w:rPr>
              <w:br/>
            </w:r>
            <w:r w:rsidRPr="004B78F6">
              <w:rPr>
                <w:rFonts w:ascii="Arial" w:hAnsi="Arial" w:cs="Arial"/>
                <w:color w:val="000000"/>
              </w:rPr>
              <w:br/>
              <w:t>Biogen Australia Pty Ltd</w:t>
            </w:r>
            <w:r w:rsidRPr="004B78F6">
              <w:rPr>
                <w:rFonts w:ascii="Arial" w:hAnsi="Arial" w:cs="Arial"/>
                <w:color w:val="000000"/>
              </w:rPr>
              <w:br/>
            </w:r>
            <w:r w:rsidRPr="004B78F6">
              <w:rPr>
                <w:rFonts w:ascii="Arial" w:hAnsi="Arial" w:cs="Arial"/>
                <w:color w:val="000000"/>
              </w:rPr>
              <w:br/>
              <w:t>Change to listing</w:t>
            </w:r>
            <w:r w:rsidRPr="004B78F6">
              <w:rPr>
                <w:rFonts w:ascii="Arial" w:hAnsi="Arial" w:cs="Arial"/>
                <w:color w:val="000000"/>
              </w:rPr>
              <w:br/>
              <w:t>(</w:t>
            </w:r>
            <w:r w:rsidR="002F73BE">
              <w:rPr>
                <w:rFonts w:ascii="Arial" w:hAnsi="Arial" w:cs="Arial"/>
                <w:color w:val="000000"/>
              </w:rPr>
              <w:t>Matters O</w:t>
            </w:r>
            <w:r w:rsidR="004B6998">
              <w:rPr>
                <w:rFonts w:ascii="Arial" w:hAnsi="Arial" w:cs="Arial"/>
                <w:color w:val="000000"/>
              </w:rPr>
              <w:t>utstanding</w:t>
            </w:r>
            <w:r w:rsidRPr="004B78F6">
              <w:rPr>
                <w:rFonts w:ascii="Arial" w:hAnsi="Arial" w:cs="Arial"/>
                <w:color w:val="000000"/>
              </w:rPr>
              <w:t>)</w:t>
            </w:r>
          </w:p>
        </w:tc>
        <w:tc>
          <w:tcPr>
            <w:tcW w:w="2409" w:type="dxa"/>
            <w:vMerge w:val="restart"/>
          </w:tcPr>
          <w:p w14:paraId="55F214F8" w14:textId="77777777" w:rsidR="002223CE" w:rsidRPr="004B78F6" w:rsidRDefault="002223CE" w:rsidP="002223CE">
            <w:pPr>
              <w:rPr>
                <w:rFonts w:ascii="Arial" w:hAnsi="Arial" w:cs="Arial"/>
              </w:rPr>
            </w:pPr>
            <w:r w:rsidRPr="004B78F6">
              <w:rPr>
                <w:rFonts w:ascii="Arial" w:hAnsi="Arial" w:cs="Arial"/>
              </w:rPr>
              <w:t>Spinal muscular atrophy</w:t>
            </w:r>
          </w:p>
          <w:p w14:paraId="0C41FCA5" w14:textId="1FC5D24B" w:rsidR="002B4D46" w:rsidRPr="004B78F6" w:rsidRDefault="002452F0" w:rsidP="002B4D46">
            <w:pPr>
              <w:rPr>
                <w:rFonts w:ascii="Arial" w:hAnsi="Arial" w:cs="Arial"/>
              </w:rPr>
            </w:pPr>
            <w:r w:rsidRPr="004B78F6">
              <w:rPr>
                <w:rFonts w:ascii="Arial" w:hAnsi="Arial" w:cs="Arial"/>
              </w:rPr>
              <w:t>(SMA)</w:t>
            </w:r>
          </w:p>
        </w:tc>
        <w:tc>
          <w:tcPr>
            <w:tcW w:w="3261" w:type="dxa"/>
            <w:tcMar>
              <w:top w:w="28" w:type="dxa"/>
              <w:bottom w:w="28" w:type="dxa"/>
            </w:tcMar>
          </w:tcPr>
          <w:p w14:paraId="7F6BDAF7" w14:textId="3A1018D8" w:rsidR="00013027" w:rsidRPr="004B78F6" w:rsidRDefault="00013027" w:rsidP="00B94D1A">
            <w:pPr>
              <w:rPr>
                <w:rFonts w:ascii="Arial" w:hAnsi="Arial" w:cs="Arial"/>
              </w:rPr>
            </w:pPr>
            <w:r w:rsidRPr="004B78F6">
              <w:rPr>
                <w:rFonts w:ascii="Arial" w:hAnsi="Arial" w:cs="Arial"/>
              </w:rPr>
              <w:t xml:space="preserve">Consider the deferred request for a Section 100 (Highly Specialised Drugs Program) Authority Required listing for the treatment of patients with pre-symptomatic, infantile and childhood-onset, </w:t>
            </w:r>
            <w:r w:rsidR="00B94D1A" w:rsidRPr="004B78F6">
              <w:rPr>
                <w:rFonts w:ascii="Arial" w:hAnsi="Arial" w:cs="Arial"/>
              </w:rPr>
              <w:t>SMA</w:t>
            </w:r>
            <w:r w:rsidRPr="004B78F6">
              <w:rPr>
                <w:rFonts w:ascii="Arial" w:hAnsi="Arial" w:cs="Arial"/>
              </w:rPr>
              <w:t>.</w:t>
            </w:r>
          </w:p>
          <w:p w14:paraId="5A85FDD6" w14:textId="16C47A3E" w:rsidR="002B4D46" w:rsidRPr="004B78F6" w:rsidRDefault="002B4D46" w:rsidP="00476F8F">
            <w:pPr>
              <w:rPr>
                <w:rFonts w:ascii="Arial" w:hAnsi="Arial" w:cs="Arial"/>
              </w:rPr>
            </w:pPr>
          </w:p>
        </w:tc>
        <w:tc>
          <w:tcPr>
            <w:tcW w:w="6947" w:type="dxa"/>
          </w:tcPr>
          <w:p w14:paraId="447C69F8" w14:textId="7E2B0346" w:rsidR="00B94D1A" w:rsidRPr="004B78F6" w:rsidRDefault="00B94D1A" w:rsidP="00B94D1A">
            <w:pPr>
              <w:spacing w:after="120"/>
              <w:rPr>
                <w:rFonts w:ascii="Arial" w:hAnsi="Arial" w:cs="Arial"/>
              </w:rPr>
            </w:pPr>
            <w:r w:rsidRPr="004B78F6">
              <w:rPr>
                <w:rFonts w:ascii="Arial" w:hAnsi="Arial" w:cs="Arial"/>
              </w:rPr>
              <w:t xml:space="preserve">The PBAC did not recommend extending the current listing of nusinersen to include the pre-symptomatic initiation of treatment of patients genetically diagnosed with a severe form of SMA. The PBAC noted the advice from the Medical Services Advisory Committee (MSAC) that </w:t>
            </w:r>
            <w:r w:rsidR="00151520">
              <w:rPr>
                <w:rFonts w:ascii="Arial" w:hAnsi="Arial" w:cs="Arial"/>
              </w:rPr>
              <w:t>Survival of motor neuron – 2 gene (</w:t>
            </w:r>
            <w:r w:rsidRPr="004B78F6">
              <w:rPr>
                <w:rFonts w:ascii="Arial" w:hAnsi="Arial" w:cs="Arial"/>
              </w:rPr>
              <w:t>SMN2</w:t>
            </w:r>
            <w:r w:rsidR="00151520">
              <w:rPr>
                <w:rFonts w:ascii="Arial" w:hAnsi="Arial" w:cs="Arial"/>
              </w:rPr>
              <w:t>)</w:t>
            </w:r>
            <w:r w:rsidRPr="004B78F6">
              <w:rPr>
                <w:rFonts w:ascii="Arial" w:hAnsi="Arial" w:cs="Arial"/>
              </w:rPr>
              <w:t xml:space="preserve"> copy number variation offers some prognostic value for SMA severity and that the prognostic information indicated reduced risk of overtreatment of infants with ≤2 copies of SMN2 compared with 3 copies of SMN2.</w:t>
            </w:r>
          </w:p>
          <w:p w14:paraId="73FA1CDE" w14:textId="77777777" w:rsidR="00B94D1A" w:rsidRPr="004B78F6" w:rsidRDefault="00B94D1A" w:rsidP="00B94D1A">
            <w:pPr>
              <w:spacing w:after="120"/>
              <w:rPr>
                <w:rFonts w:ascii="Arial" w:hAnsi="Arial" w:cs="Arial"/>
              </w:rPr>
            </w:pPr>
            <w:r w:rsidRPr="004B78F6">
              <w:rPr>
                <w:rFonts w:ascii="Arial" w:hAnsi="Arial" w:cs="Arial"/>
              </w:rPr>
              <w:t>Based on additional advice from clinical experts, the PBAC considered that pre-symptomatic initiation of treatment with nusinersen would likely provide an additional benefit for some patients compared with waiting for symptoms to appear before initiating treatment. However, the PBAC maintained that the magnitude of incremental benefit compared with symptomatic treatment could not be determined from the available evidence. Further, the PBAC considered the economic model did not provide a reliable basis to inform the cost-effectiveness of pre-symptomatic initiation of treatment with nusinersen.</w:t>
            </w:r>
          </w:p>
          <w:p w14:paraId="1F6E2EA8" w14:textId="2AFD3EF6" w:rsidR="002B4D46" w:rsidRPr="004B78F6" w:rsidRDefault="00B94D1A" w:rsidP="00367B35">
            <w:pPr>
              <w:spacing w:after="120"/>
              <w:rPr>
                <w:rFonts w:ascii="Arial" w:hAnsi="Arial" w:cs="Arial"/>
              </w:rPr>
            </w:pPr>
            <w:r w:rsidRPr="004B78F6">
              <w:rPr>
                <w:rFonts w:ascii="Arial" w:hAnsi="Arial" w:cs="Arial"/>
              </w:rPr>
              <w:t>The PBAC noted the advice from MSAC that the proportion of false positive patients (i.e. patients predicted based on the SMN2 result to progress to manifest SMA symptoms sufficient to qualify for the existing PBS listing, but who would not actually have progressed as predicted) who would be treated under a listing for pre-symptomatic initiation of treatment with nusinersen would be low. However, the PBAC considered the prospect of treating any such patient who would not sufficiently benefit from pre-symptomatic initiation</w:t>
            </w:r>
            <w:r w:rsidR="00367B35">
              <w:rPr>
                <w:rFonts w:ascii="Arial" w:hAnsi="Arial" w:cs="Arial"/>
              </w:rPr>
              <w:t xml:space="preserve"> of treatment was a </w:t>
            </w:r>
            <w:r w:rsidRPr="004B78F6">
              <w:rPr>
                <w:rFonts w:ascii="Arial" w:hAnsi="Arial" w:cs="Arial"/>
              </w:rPr>
              <w:t>risk given the long-term</w:t>
            </w:r>
            <w:r w:rsidR="00367B35">
              <w:rPr>
                <w:rFonts w:ascii="Arial" w:hAnsi="Arial" w:cs="Arial"/>
              </w:rPr>
              <w:t xml:space="preserve"> safety of repeated lumbar puncture in the context of a lifelong disease was unknown</w:t>
            </w:r>
            <w:r w:rsidRPr="004B78F6">
              <w:rPr>
                <w:rFonts w:ascii="Arial" w:hAnsi="Arial" w:cs="Arial"/>
              </w:rPr>
              <w:t>. The PBAC considered that it may be appropriate to restrict any future listing of nusinersen for the pre-symptomatic initiation of treatment for patients with SMA to those with ≤2 copies of SMN2.</w:t>
            </w:r>
          </w:p>
        </w:tc>
      </w:tr>
      <w:tr w:rsidR="002B4D46" w:rsidRPr="004B78F6" w14:paraId="4C21C5F8" w14:textId="77777777" w:rsidTr="00692B2F">
        <w:trPr>
          <w:cantSplit/>
          <w:trHeight w:val="465"/>
        </w:trPr>
        <w:tc>
          <w:tcPr>
            <w:tcW w:w="2694" w:type="dxa"/>
            <w:vMerge/>
            <w:tcMar>
              <w:top w:w="28" w:type="dxa"/>
              <w:bottom w:w="28" w:type="dxa"/>
            </w:tcMar>
          </w:tcPr>
          <w:p w14:paraId="6FD9DC8A" w14:textId="77777777" w:rsidR="002B4D46" w:rsidRPr="004B78F6" w:rsidRDefault="002B4D46" w:rsidP="002B4D46">
            <w:pPr>
              <w:rPr>
                <w:rFonts w:ascii="Arial" w:hAnsi="Arial" w:cs="Arial"/>
              </w:rPr>
            </w:pPr>
          </w:p>
        </w:tc>
        <w:tc>
          <w:tcPr>
            <w:tcW w:w="2409" w:type="dxa"/>
            <w:vMerge/>
          </w:tcPr>
          <w:p w14:paraId="13EE9CD0" w14:textId="77777777" w:rsidR="002B4D46" w:rsidRPr="004B78F6" w:rsidRDefault="002B4D46" w:rsidP="002B4D46">
            <w:pPr>
              <w:widowControl w:val="0"/>
              <w:rPr>
                <w:rFonts w:ascii="Arial" w:hAnsi="Arial" w:cs="Arial"/>
                <w:snapToGrid w:val="0"/>
                <w:lang w:eastAsia="en-US"/>
              </w:rPr>
            </w:pPr>
          </w:p>
        </w:tc>
        <w:tc>
          <w:tcPr>
            <w:tcW w:w="3261" w:type="dxa"/>
            <w:tcMar>
              <w:top w:w="28" w:type="dxa"/>
              <w:bottom w:w="28" w:type="dxa"/>
            </w:tcMar>
          </w:tcPr>
          <w:p w14:paraId="440282A5" w14:textId="77777777" w:rsidR="002B4D46" w:rsidRPr="004B78F6" w:rsidRDefault="002B4D46"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2F5ADECA" w14:textId="62B86C1F" w:rsidR="002B4D46" w:rsidRPr="00CB4FA7" w:rsidRDefault="00CB4FA7" w:rsidP="00D87458">
            <w:pPr>
              <w:pStyle w:val="ListParagraph"/>
              <w:ind w:left="0"/>
              <w:rPr>
                <w:rFonts w:ascii="Arial" w:hAnsi="Arial" w:cs="Arial"/>
                <w:sz w:val="20"/>
                <w:szCs w:val="20"/>
              </w:rPr>
            </w:pPr>
            <w:r w:rsidRPr="00CB4FA7">
              <w:rPr>
                <w:rFonts w:ascii="Arial" w:hAnsi="Arial" w:cs="Arial"/>
                <w:sz w:val="20"/>
                <w:szCs w:val="20"/>
                <w:lang w:val="en-US"/>
              </w:rPr>
              <w:t>Biogen is disappointed with the decision and looks forward to working with the PBAC to make nusinersen available for all patients with SMA who could benefit from it</w:t>
            </w:r>
            <w:r>
              <w:rPr>
                <w:rFonts w:ascii="Arial" w:hAnsi="Arial" w:cs="Arial"/>
                <w:sz w:val="20"/>
                <w:szCs w:val="20"/>
                <w:lang w:val="en-US"/>
              </w:rPr>
              <w:t>.</w:t>
            </w:r>
          </w:p>
        </w:tc>
      </w:tr>
      <w:tr w:rsidR="002B4D46" w:rsidRPr="004B78F6" w14:paraId="4489E03C" w14:textId="77777777" w:rsidTr="00692B2F">
        <w:trPr>
          <w:cantSplit/>
          <w:trHeight w:val="465"/>
        </w:trPr>
        <w:tc>
          <w:tcPr>
            <w:tcW w:w="2694" w:type="dxa"/>
            <w:vMerge w:val="restart"/>
            <w:tcMar>
              <w:top w:w="28" w:type="dxa"/>
              <w:bottom w:w="28" w:type="dxa"/>
            </w:tcMar>
          </w:tcPr>
          <w:p w14:paraId="2CF37C55" w14:textId="4A3D5B09" w:rsidR="008B2000" w:rsidRPr="004B78F6" w:rsidRDefault="008B2000" w:rsidP="005536D5">
            <w:pPr>
              <w:rPr>
                <w:rFonts w:ascii="Arial" w:hAnsi="Arial" w:cs="Arial"/>
              </w:rPr>
            </w:pPr>
            <w:r w:rsidRPr="004B78F6">
              <w:rPr>
                <w:rFonts w:ascii="Arial" w:hAnsi="Arial" w:cs="Arial"/>
                <w:color w:val="000000"/>
              </w:rPr>
              <w:lastRenderedPageBreak/>
              <w:t>OLAPARIB</w:t>
            </w:r>
            <w:r w:rsidRPr="004B78F6">
              <w:rPr>
                <w:rFonts w:ascii="Arial" w:hAnsi="Arial" w:cs="Arial"/>
                <w:color w:val="000000"/>
              </w:rPr>
              <w:br/>
            </w:r>
            <w:r w:rsidRPr="004B78F6">
              <w:rPr>
                <w:rFonts w:ascii="Arial" w:hAnsi="Arial" w:cs="Arial"/>
                <w:color w:val="000000"/>
              </w:rPr>
              <w:br/>
              <w:t>Tablet 100 mg</w:t>
            </w:r>
            <w:r w:rsidRPr="004B78F6">
              <w:rPr>
                <w:rFonts w:ascii="Arial" w:hAnsi="Arial" w:cs="Arial"/>
                <w:color w:val="000000"/>
              </w:rPr>
              <w:br/>
              <w:t xml:space="preserve">Tablet 150 mg </w:t>
            </w:r>
            <w:r w:rsidRPr="004B78F6">
              <w:rPr>
                <w:rFonts w:ascii="Arial" w:hAnsi="Arial" w:cs="Arial"/>
                <w:color w:val="000000"/>
              </w:rPr>
              <w:br/>
            </w:r>
            <w:r w:rsidRPr="004B78F6">
              <w:rPr>
                <w:rFonts w:ascii="Arial" w:hAnsi="Arial" w:cs="Arial"/>
                <w:color w:val="000000"/>
              </w:rPr>
              <w:br/>
              <w:t>Lynparza®</w:t>
            </w:r>
            <w:r w:rsidRPr="004B78F6">
              <w:rPr>
                <w:rFonts w:ascii="Arial" w:hAnsi="Arial" w:cs="Arial"/>
                <w:color w:val="000000"/>
              </w:rPr>
              <w:br/>
            </w:r>
            <w:r w:rsidRPr="004B78F6">
              <w:rPr>
                <w:rFonts w:ascii="Arial" w:hAnsi="Arial" w:cs="Arial"/>
                <w:color w:val="000000"/>
              </w:rPr>
              <w:br/>
              <w:t>AstraZeneca Pty Ltd</w:t>
            </w:r>
            <w:r w:rsidRPr="004B78F6">
              <w:rPr>
                <w:rFonts w:ascii="Arial" w:hAnsi="Arial" w:cs="Arial"/>
                <w:color w:val="000000"/>
              </w:rPr>
              <w:br/>
            </w:r>
            <w:r w:rsidRPr="004B78F6">
              <w:rPr>
                <w:rFonts w:ascii="Arial" w:hAnsi="Arial" w:cs="Arial"/>
                <w:color w:val="000000"/>
              </w:rPr>
              <w:br/>
              <w:t>Change to listing</w:t>
            </w:r>
            <w:r w:rsidRPr="004B78F6">
              <w:rPr>
                <w:rFonts w:ascii="Arial" w:hAnsi="Arial" w:cs="Arial"/>
                <w:color w:val="000000"/>
              </w:rPr>
              <w:br/>
              <w:t>(Major Submission)</w:t>
            </w:r>
          </w:p>
        </w:tc>
        <w:tc>
          <w:tcPr>
            <w:tcW w:w="2409" w:type="dxa"/>
            <w:vMerge w:val="restart"/>
          </w:tcPr>
          <w:p w14:paraId="16A5D2C0" w14:textId="77777777" w:rsidR="002223CE" w:rsidRPr="004B78F6" w:rsidRDefault="002223CE" w:rsidP="002223CE">
            <w:pPr>
              <w:rPr>
                <w:rFonts w:ascii="Arial" w:hAnsi="Arial" w:cs="Arial"/>
              </w:rPr>
            </w:pPr>
            <w:r w:rsidRPr="004B78F6">
              <w:rPr>
                <w:rFonts w:ascii="Arial" w:hAnsi="Arial" w:cs="Arial"/>
              </w:rPr>
              <w:t>Ovarian, fallopian tube or primary peritoneal cancer</w:t>
            </w:r>
          </w:p>
          <w:p w14:paraId="13F59396" w14:textId="11DC11AB" w:rsidR="002B4D46" w:rsidRPr="004B78F6" w:rsidRDefault="002B4D46" w:rsidP="002B4D46">
            <w:pPr>
              <w:rPr>
                <w:rFonts w:ascii="Arial" w:hAnsi="Arial" w:cs="Arial"/>
              </w:rPr>
            </w:pPr>
          </w:p>
        </w:tc>
        <w:tc>
          <w:tcPr>
            <w:tcW w:w="3261" w:type="dxa"/>
            <w:tcMar>
              <w:top w:w="28" w:type="dxa"/>
              <w:bottom w:w="28" w:type="dxa"/>
            </w:tcMar>
          </w:tcPr>
          <w:p w14:paraId="4F2B98A4" w14:textId="2BEEDE31" w:rsidR="002B4D46" w:rsidRPr="004B78F6" w:rsidRDefault="00013027" w:rsidP="00013027">
            <w:pPr>
              <w:rPr>
                <w:rFonts w:ascii="Arial" w:hAnsi="Arial" w:cs="Arial"/>
              </w:rPr>
            </w:pPr>
            <w:r w:rsidRPr="004B78F6">
              <w:rPr>
                <w:rFonts w:ascii="Arial" w:hAnsi="Arial" w:cs="Arial"/>
              </w:rPr>
              <w:t>To request an Authority Required listing for the maintenance treatment of advanced high grade epithelial ovarian, fallopian tube or primary peritoneal cancer, in class 4 or 5 BRCA1/2 mutation positive patients who are in response to platinum-based chemotherapy.</w:t>
            </w:r>
          </w:p>
        </w:tc>
        <w:tc>
          <w:tcPr>
            <w:tcW w:w="6947" w:type="dxa"/>
          </w:tcPr>
          <w:p w14:paraId="568B996D" w14:textId="3A40C768" w:rsidR="002B4D46" w:rsidRPr="004B78F6" w:rsidRDefault="00466866" w:rsidP="00466866">
            <w:pPr>
              <w:rPr>
                <w:rFonts w:ascii="Arial" w:hAnsi="Arial" w:cs="Arial"/>
                <w:iCs/>
              </w:rPr>
            </w:pPr>
            <w:r w:rsidRPr="00466866">
              <w:rPr>
                <w:rFonts w:ascii="Arial" w:hAnsi="Arial" w:cs="Arial"/>
                <w:iCs/>
              </w:rPr>
              <w:t>The PBAC did not recommend the listing of olaparib (Lynparza®) for the first-line maintenance treatment of ovarian, fallopian tube or primary peritoneal cancer. The PBAC acknowledged the ongoing clinical need for effective first-line treatments for ovarian cancer. The PBAC considered that olaparib provided a substantial benefit to some patients in delaying recurrence, which it considered is likely to be a clinically important outcome. The PBAC considered that the modelled cost-effectiveness was uncertain</w:t>
            </w:r>
            <w:r w:rsidR="00F074E3">
              <w:rPr>
                <w:rFonts w:ascii="Arial" w:hAnsi="Arial" w:cs="Arial"/>
                <w:iCs/>
              </w:rPr>
              <w:t xml:space="preserve"> </w:t>
            </w:r>
            <w:r w:rsidRPr="00466866">
              <w:rPr>
                <w:rFonts w:ascii="Arial" w:hAnsi="Arial" w:cs="Arial"/>
                <w:iCs/>
              </w:rPr>
              <w:t xml:space="preserve">due to an overly complex model including optimistic assumptions of the extent of the overall survival benefit which were not supported by the clinical evidence. The PBAC advised that the </w:t>
            </w:r>
            <w:r>
              <w:rPr>
                <w:rFonts w:ascii="Arial" w:hAnsi="Arial" w:cs="Arial"/>
                <w:iCs/>
              </w:rPr>
              <w:t>incremental cost-effectiveness ratio</w:t>
            </w:r>
            <w:r w:rsidRPr="00466866">
              <w:rPr>
                <w:rFonts w:ascii="Arial" w:hAnsi="Arial" w:cs="Arial"/>
                <w:iCs/>
              </w:rPr>
              <w:t xml:space="preserve"> was high at the sponsor’s proposed price. The PBAC considered the extent of use in the first-line setting was overestimated and the reduction in use in the second-line setting was underestimated.</w:t>
            </w:r>
          </w:p>
        </w:tc>
      </w:tr>
      <w:tr w:rsidR="002B4D46" w:rsidRPr="004B78F6" w14:paraId="5D7EE6DA" w14:textId="77777777" w:rsidTr="00692B2F">
        <w:trPr>
          <w:cantSplit/>
          <w:trHeight w:val="465"/>
        </w:trPr>
        <w:tc>
          <w:tcPr>
            <w:tcW w:w="2694" w:type="dxa"/>
            <w:vMerge/>
            <w:tcMar>
              <w:top w:w="28" w:type="dxa"/>
              <w:bottom w:w="28" w:type="dxa"/>
            </w:tcMar>
          </w:tcPr>
          <w:p w14:paraId="786C3E60" w14:textId="77777777" w:rsidR="002B4D46" w:rsidRPr="004B78F6" w:rsidRDefault="002B4D46" w:rsidP="002B4D46">
            <w:pPr>
              <w:rPr>
                <w:rFonts w:ascii="Arial" w:hAnsi="Arial" w:cs="Arial"/>
              </w:rPr>
            </w:pPr>
          </w:p>
        </w:tc>
        <w:tc>
          <w:tcPr>
            <w:tcW w:w="2409" w:type="dxa"/>
            <w:vMerge/>
          </w:tcPr>
          <w:p w14:paraId="6BA1EE3F" w14:textId="77777777" w:rsidR="002B4D46" w:rsidRPr="004B78F6" w:rsidRDefault="002B4D46" w:rsidP="002B4D46">
            <w:pPr>
              <w:widowControl w:val="0"/>
              <w:rPr>
                <w:rFonts w:ascii="Arial" w:hAnsi="Arial" w:cs="Arial"/>
                <w:snapToGrid w:val="0"/>
                <w:lang w:eastAsia="en-US"/>
              </w:rPr>
            </w:pPr>
          </w:p>
        </w:tc>
        <w:tc>
          <w:tcPr>
            <w:tcW w:w="3261" w:type="dxa"/>
            <w:tcMar>
              <w:top w:w="28" w:type="dxa"/>
              <w:bottom w:w="28" w:type="dxa"/>
            </w:tcMar>
          </w:tcPr>
          <w:p w14:paraId="3E3DCD04" w14:textId="77777777" w:rsidR="002B4D46" w:rsidRPr="004B78F6" w:rsidRDefault="002B4D46"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63EEDC1B" w14:textId="5C40E8A1" w:rsidR="002B4D46" w:rsidRPr="004B78F6" w:rsidRDefault="004711E4"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B4D46" w:rsidRPr="004B78F6" w14:paraId="3475C0E3" w14:textId="77777777" w:rsidTr="00692B2F">
        <w:trPr>
          <w:cantSplit/>
          <w:trHeight w:val="465"/>
        </w:trPr>
        <w:tc>
          <w:tcPr>
            <w:tcW w:w="2694" w:type="dxa"/>
            <w:vMerge w:val="restart"/>
            <w:tcMar>
              <w:top w:w="28" w:type="dxa"/>
              <w:bottom w:w="28" w:type="dxa"/>
            </w:tcMar>
          </w:tcPr>
          <w:p w14:paraId="17DE8068" w14:textId="46C37550" w:rsidR="008C7673" w:rsidRPr="004B78F6" w:rsidRDefault="008C7673" w:rsidP="008C7673">
            <w:pPr>
              <w:rPr>
                <w:rFonts w:ascii="Arial" w:hAnsi="Arial" w:cs="Arial"/>
                <w:color w:val="000000"/>
              </w:rPr>
            </w:pPr>
            <w:r w:rsidRPr="004B78F6">
              <w:rPr>
                <w:rFonts w:ascii="Arial" w:hAnsi="Arial" w:cs="Arial"/>
                <w:color w:val="000000"/>
              </w:rPr>
              <w:t>PATIROMER (AS SORBITEX CALCIUM)</w:t>
            </w:r>
            <w:r w:rsidRPr="004B78F6">
              <w:rPr>
                <w:rFonts w:ascii="Arial" w:hAnsi="Arial" w:cs="Arial"/>
                <w:color w:val="000000"/>
              </w:rPr>
              <w:br/>
            </w:r>
            <w:r w:rsidRPr="004B78F6">
              <w:rPr>
                <w:rFonts w:ascii="Arial" w:hAnsi="Arial" w:cs="Arial"/>
                <w:color w:val="000000"/>
              </w:rPr>
              <w:br/>
              <w:t>Powder for oral liquid 8.4 g</w:t>
            </w:r>
            <w:r w:rsidRPr="004B78F6">
              <w:rPr>
                <w:rFonts w:ascii="Arial" w:hAnsi="Arial" w:cs="Arial"/>
                <w:color w:val="000000"/>
              </w:rPr>
              <w:br/>
              <w:t>Powder for oral liquid 16.8</w:t>
            </w:r>
            <w:r w:rsidR="00F074E3">
              <w:rPr>
                <w:rFonts w:ascii="Arial" w:hAnsi="Arial" w:cs="Arial"/>
                <w:color w:val="000000"/>
              </w:rPr>
              <w:t> </w:t>
            </w:r>
            <w:r w:rsidRPr="004B78F6">
              <w:rPr>
                <w:rFonts w:ascii="Arial" w:hAnsi="Arial" w:cs="Arial"/>
                <w:color w:val="000000"/>
              </w:rPr>
              <w:t>g</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Veltassa</w:t>
            </w:r>
            <w:proofErr w:type="spellEnd"/>
            <w:r w:rsidRPr="004B78F6">
              <w:rPr>
                <w:rFonts w:ascii="Arial" w:hAnsi="Arial" w:cs="Arial"/>
                <w:color w:val="000000"/>
              </w:rPr>
              <w:t>®</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Vifor</w:t>
            </w:r>
            <w:proofErr w:type="spellEnd"/>
            <w:r w:rsidRPr="004B78F6">
              <w:rPr>
                <w:rFonts w:ascii="Arial" w:hAnsi="Arial" w:cs="Arial"/>
                <w:color w:val="000000"/>
              </w:rPr>
              <w:t xml:space="preserve"> Pharma Pty Limited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p w14:paraId="57C42435" w14:textId="493E267A" w:rsidR="008C7673" w:rsidRPr="004B78F6" w:rsidRDefault="008C7673" w:rsidP="005536D5">
            <w:pPr>
              <w:rPr>
                <w:rFonts w:ascii="Arial" w:hAnsi="Arial" w:cs="Arial"/>
              </w:rPr>
            </w:pPr>
          </w:p>
        </w:tc>
        <w:tc>
          <w:tcPr>
            <w:tcW w:w="2409" w:type="dxa"/>
            <w:vMerge w:val="restart"/>
          </w:tcPr>
          <w:p w14:paraId="45132E37" w14:textId="77777777" w:rsidR="002223CE" w:rsidRPr="004B78F6" w:rsidRDefault="002223CE" w:rsidP="002223CE">
            <w:pPr>
              <w:rPr>
                <w:rFonts w:ascii="Arial" w:hAnsi="Arial" w:cs="Arial"/>
              </w:rPr>
            </w:pPr>
            <w:r w:rsidRPr="004B78F6">
              <w:rPr>
                <w:rFonts w:ascii="Arial" w:hAnsi="Arial" w:cs="Arial"/>
              </w:rPr>
              <w:t>Hyperkalaemia</w:t>
            </w:r>
          </w:p>
          <w:p w14:paraId="1AADE278" w14:textId="4AE4F630" w:rsidR="002B4D46" w:rsidRPr="004B78F6" w:rsidRDefault="002B4D46" w:rsidP="002B4D46">
            <w:pPr>
              <w:rPr>
                <w:rFonts w:ascii="Arial" w:hAnsi="Arial" w:cs="Arial"/>
              </w:rPr>
            </w:pPr>
          </w:p>
        </w:tc>
        <w:tc>
          <w:tcPr>
            <w:tcW w:w="3261" w:type="dxa"/>
            <w:tcMar>
              <w:top w:w="28" w:type="dxa"/>
              <w:bottom w:w="28" w:type="dxa"/>
            </w:tcMar>
          </w:tcPr>
          <w:p w14:paraId="53C14A5B" w14:textId="77777777" w:rsidR="00F6072B" w:rsidRPr="004B78F6" w:rsidRDefault="00F6072B" w:rsidP="00F6072B">
            <w:pPr>
              <w:rPr>
                <w:rFonts w:ascii="Arial" w:hAnsi="Arial" w:cs="Arial"/>
              </w:rPr>
            </w:pPr>
            <w:r w:rsidRPr="004B78F6">
              <w:rPr>
                <w:rFonts w:ascii="Arial" w:hAnsi="Arial" w:cs="Arial"/>
              </w:rPr>
              <w:t>To request an Authority Required listing for the prevention of hyperkalaemia in patients with stage III or greater chronic kidney disease who have experienced a recent episode of hyperkalaemia requiring pharmacological intervention.</w:t>
            </w:r>
          </w:p>
          <w:p w14:paraId="1BD5C793" w14:textId="7832AB5D" w:rsidR="002B4D46" w:rsidRPr="004B78F6" w:rsidRDefault="002B4D46" w:rsidP="00555C08">
            <w:pPr>
              <w:rPr>
                <w:rFonts w:ascii="Arial" w:hAnsi="Arial" w:cs="Arial"/>
              </w:rPr>
            </w:pPr>
          </w:p>
        </w:tc>
        <w:tc>
          <w:tcPr>
            <w:tcW w:w="6947" w:type="dxa"/>
          </w:tcPr>
          <w:p w14:paraId="79628381" w14:textId="31B42FCF" w:rsidR="004B78F6" w:rsidRPr="004B78F6" w:rsidRDefault="008B2000" w:rsidP="008B2000">
            <w:pPr>
              <w:rPr>
                <w:rFonts w:ascii="Arial" w:hAnsi="Arial" w:cs="Arial"/>
                <w:color w:val="000000"/>
              </w:rPr>
            </w:pPr>
            <w:r w:rsidRPr="004B78F6">
              <w:rPr>
                <w:rFonts w:ascii="Arial" w:hAnsi="Arial" w:cs="Arial"/>
                <w:color w:val="000000"/>
              </w:rPr>
              <w:t xml:space="preserve">The PBAC did not recommend the listing of </w:t>
            </w:r>
            <w:proofErr w:type="spellStart"/>
            <w:r w:rsidRPr="004B78F6">
              <w:rPr>
                <w:rFonts w:ascii="Arial" w:hAnsi="Arial" w:cs="Arial"/>
                <w:color w:val="000000"/>
              </w:rPr>
              <w:t>patiromer</w:t>
            </w:r>
            <w:proofErr w:type="spellEnd"/>
            <w:r w:rsidRPr="004B78F6">
              <w:rPr>
                <w:rFonts w:ascii="Arial" w:hAnsi="Arial" w:cs="Arial"/>
                <w:color w:val="000000"/>
              </w:rPr>
              <w:t xml:space="preserve"> for the treatment of hyperkalaemia in patients with </w:t>
            </w:r>
            <w:r w:rsidR="009F5E6D">
              <w:rPr>
                <w:rFonts w:ascii="Arial" w:hAnsi="Arial" w:cs="Arial"/>
                <w:color w:val="000000"/>
              </w:rPr>
              <w:t>chronic kidney disease</w:t>
            </w:r>
            <w:r w:rsidR="009F5E6D" w:rsidRPr="004B78F6">
              <w:rPr>
                <w:rFonts w:ascii="Arial" w:hAnsi="Arial" w:cs="Arial"/>
                <w:color w:val="000000"/>
              </w:rPr>
              <w:t xml:space="preserve"> </w:t>
            </w:r>
            <w:r w:rsidRPr="004B78F6">
              <w:rPr>
                <w:rFonts w:ascii="Arial" w:hAnsi="Arial" w:cs="Arial"/>
                <w:color w:val="000000"/>
              </w:rPr>
              <w:t xml:space="preserve">Stage 3+ who are receiving one or more </w:t>
            </w:r>
            <w:r w:rsidR="009F5E6D" w:rsidRPr="009F5E6D">
              <w:rPr>
                <w:rFonts w:ascii="Arial" w:hAnsi="Arial" w:cs="Arial"/>
                <w:color w:val="000000"/>
              </w:rPr>
              <w:t xml:space="preserve">renin angiotensin aldosterone system inhibitor </w:t>
            </w:r>
            <w:r w:rsidR="009F5E6D">
              <w:rPr>
                <w:rFonts w:ascii="Arial" w:hAnsi="Arial" w:cs="Arial"/>
                <w:color w:val="000000"/>
              </w:rPr>
              <w:t>(</w:t>
            </w:r>
            <w:proofErr w:type="spellStart"/>
            <w:r w:rsidRPr="004B78F6">
              <w:rPr>
                <w:rFonts w:ascii="Arial" w:hAnsi="Arial" w:cs="Arial"/>
                <w:color w:val="000000"/>
              </w:rPr>
              <w:t>RAASi</w:t>
            </w:r>
            <w:proofErr w:type="spellEnd"/>
            <w:r w:rsidR="009F5E6D">
              <w:rPr>
                <w:rFonts w:ascii="Arial" w:hAnsi="Arial" w:cs="Arial"/>
                <w:color w:val="000000"/>
              </w:rPr>
              <w:t>)</w:t>
            </w:r>
            <w:r w:rsidRPr="004B78F6">
              <w:rPr>
                <w:rFonts w:ascii="Arial" w:hAnsi="Arial" w:cs="Arial"/>
                <w:color w:val="000000"/>
              </w:rPr>
              <w:t xml:space="preserve"> medicines (or are indicated for a </w:t>
            </w:r>
            <w:proofErr w:type="spellStart"/>
            <w:r w:rsidRPr="004B78F6">
              <w:rPr>
                <w:rFonts w:ascii="Arial" w:hAnsi="Arial" w:cs="Arial"/>
                <w:color w:val="000000"/>
              </w:rPr>
              <w:t>RAASi</w:t>
            </w:r>
            <w:proofErr w:type="spellEnd"/>
            <w:r w:rsidRPr="004B78F6">
              <w:rPr>
                <w:rFonts w:ascii="Arial" w:hAnsi="Arial" w:cs="Arial"/>
                <w:color w:val="000000"/>
              </w:rPr>
              <w:t xml:space="preserve"> medicine but are unable to tolerate this due to complications of hyperkalaemia), have experienced a recent episode of hyperkalaemia requiring pharmacological intervention and need chronic management of serum potassium in order to prevent subsequent hyperkalaemia episodes. </w:t>
            </w:r>
          </w:p>
          <w:p w14:paraId="042C4B85" w14:textId="77777777" w:rsidR="004B78F6" w:rsidRPr="004B78F6" w:rsidRDefault="004B78F6" w:rsidP="008B2000">
            <w:pPr>
              <w:rPr>
                <w:rFonts w:ascii="Arial" w:hAnsi="Arial" w:cs="Arial"/>
                <w:color w:val="000000"/>
              </w:rPr>
            </w:pPr>
          </w:p>
          <w:p w14:paraId="364FF4F9" w14:textId="7EC9A1BF" w:rsidR="00635EFB" w:rsidRPr="004B78F6" w:rsidRDefault="008B2000" w:rsidP="005714A7">
            <w:pPr>
              <w:rPr>
                <w:rFonts w:ascii="Arial" w:hAnsi="Arial" w:cs="Arial"/>
                <w:color w:val="000000"/>
              </w:rPr>
            </w:pPr>
            <w:r w:rsidRPr="004B78F6">
              <w:rPr>
                <w:rFonts w:ascii="Arial" w:hAnsi="Arial" w:cs="Arial"/>
                <w:color w:val="000000"/>
              </w:rPr>
              <w:t xml:space="preserve">The PBAC considered the proposed population was not adequately defined and, in order to target patients with the highest clinical need, there would need to be better definition and a substantial narrowing of the eligible population. The PBAC also considered the </w:t>
            </w:r>
            <w:r w:rsidR="005714A7">
              <w:rPr>
                <w:rFonts w:ascii="Arial" w:hAnsi="Arial" w:cs="Arial"/>
                <w:color w:val="000000"/>
              </w:rPr>
              <w:t>incremental cost-effectiveness ratio</w:t>
            </w:r>
            <w:r w:rsidR="005714A7" w:rsidRPr="004B78F6">
              <w:rPr>
                <w:rFonts w:ascii="Arial" w:hAnsi="Arial" w:cs="Arial"/>
                <w:color w:val="000000"/>
              </w:rPr>
              <w:t xml:space="preserve"> </w:t>
            </w:r>
            <w:r w:rsidRPr="004B78F6">
              <w:rPr>
                <w:rFonts w:ascii="Arial" w:hAnsi="Arial" w:cs="Arial"/>
                <w:color w:val="000000"/>
              </w:rPr>
              <w:t>and financial estimates were unacceptably high, uncertain and inadequately justified.</w:t>
            </w:r>
          </w:p>
        </w:tc>
      </w:tr>
      <w:tr w:rsidR="000B3688" w:rsidRPr="004B78F6" w14:paraId="5612F91C" w14:textId="77777777" w:rsidTr="00692B2F">
        <w:trPr>
          <w:cantSplit/>
          <w:trHeight w:val="454"/>
        </w:trPr>
        <w:tc>
          <w:tcPr>
            <w:tcW w:w="2694" w:type="dxa"/>
            <w:vMerge/>
            <w:tcMar>
              <w:top w:w="28" w:type="dxa"/>
              <w:bottom w:w="28" w:type="dxa"/>
            </w:tcMar>
          </w:tcPr>
          <w:p w14:paraId="2475826F" w14:textId="77777777" w:rsidR="000B3688" w:rsidRPr="004B78F6" w:rsidRDefault="000B3688" w:rsidP="002B4D46">
            <w:pPr>
              <w:rPr>
                <w:rFonts w:ascii="Arial" w:hAnsi="Arial" w:cs="Arial"/>
              </w:rPr>
            </w:pPr>
          </w:p>
        </w:tc>
        <w:tc>
          <w:tcPr>
            <w:tcW w:w="2409" w:type="dxa"/>
            <w:vMerge/>
          </w:tcPr>
          <w:p w14:paraId="4B19981E" w14:textId="77777777" w:rsidR="000B3688" w:rsidRPr="004B78F6" w:rsidRDefault="000B3688" w:rsidP="002B4D46">
            <w:pPr>
              <w:widowControl w:val="0"/>
              <w:rPr>
                <w:rFonts w:ascii="Arial" w:hAnsi="Arial" w:cs="Arial"/>
                <w:snapToGrid w:val="0"/>
                <w:lang w:eastAsia="en-US"/>
              </w:rPr>
            </w:pPr>
          </w:p>
        </w:tc>
        <w:tc>
          <w:tcPr>
            <w:tcW w:w="3261" w:type="dxa"/>
            <w:tcMar>
              <w:top w:w="28" w:type="dxa"/>
              <w:bottom w:w="28" w:type="dxa"/>
            </w:tcMar>
          </w:tcPr>
          <w:p w14:paraId="2FED8ECA" w14:textId="77777777" w:rsidR="000B3688" w:rsidRPr="004B78F6" w:rsidRDefault="000B3688"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478BB7B2" w14:textId="1406BA1C" w:rsidR="000B3688" w:rsidRPr="004B78F6" w:rsidRDefault="00D45A14" w:rsidP="002B4D46">
            <w:pPr>
              <w:pStyle w:val="ListParagraph"/>
              <w:ind w:left="0"/>
              <w:jc w:val="both"/>
              <w:rPr>
                <w:rFonts w:ascii="Arial" w:hAnsi="Arial" w:cs="Arial"/>
                <w:iCs/>
                <w:sz w:val="20"/>
                <w:szCs w:val="20"/>
              </w:rPr>
            </w:pPr>
            <w:r w:rsidRPr="004B78F6">
              <w:rPr>
                <w:rFonts w:ascii="Arial" w:hAnsi="Arial" w:cs="Arial"/>
                <w:iCs/>
                <w:sz w:val="20"/>
                <w:szCs w:val="20"/>
              </w:rPr>
              <w:t>No comment</w:t>
            </w:r>
          </w:p>
        </w:tc>
      </w:tr>
      <w:tr w:rsidR="002223CE" w:rsidRPr="004B78F6" w14:paraId="534AB63F" w14:textId="77777777" w:rsidTr="00692B2F">
        <w:trPr>
          <w:cantSplit/>
          <w:trHeight w:val="996"/>
        </w:trPr>
        <w:tc>
          <w:tcPr>
            <w:tcW w:w="2694" w:type="dxa"/>
            <w:vMerge w:val="restart"/>
            <w:tcMar>
              <w:top w:w="28" w:type="dxa"/>
              <w:bottom w:w="28" w:type="dxa"/>
            </w:tcMar>
          </w:tcPr>
          <w:p w14:paraId="48280C0D" w14:textId="2EA09FD3" w:rsidR="00487136" w:rsidRPr="00487136" w:rsidRDefault="00487136" w:rsidP="00487136">
            <w:pPr>
              <w:rPr>
                <w:rFonts w:ascii="Arial" w:hAnsi="Arial" w:cs="Arial"/>
                <w:color w:val="000000"/>
              </w:rPr>
            </w:pPr>
            <w:r w:rsidRPr="00487136">
              <w:rPr>
                <w:rFonts w:ascii="Arial" w:hAnsi="Arial" w:cs="Arial"/>
                <w:color w:val="000000"/>
              </w:rPr>
              <w:lastRenderedPageBreak/>
              <w:t>POLATUZUMAB VEDOTIN</w:t>
            </w:r>
            <w:r w:rsidRPr="00487136">
              <w:rPr>
                <w:rFonts w:ascii="Arial" w:hAnsi="Arial" w:cs="Arial"/>
                <w:color w:val="000000"/>
              </w:rPr>
              <w:br/>
            </w:r>
            <w:r w:rsidRPr="00487136">
              <w:rPr>
                <w:rFonts w:ascii="Arial" w:hAnsi="Arial" w:cs="Arial"/>
                <w:color w:val="000000"/>
              </w:rPr>
              <w:br/>
              <w:t>Powder for I.V. infusion 140 mg</w:t>
            </w:r>
            <w:r w:rsidRPr="00487136">
              <w:rPr>
                <w:rFonts w:ascii="Arial" w:hAnsi="Arial" w:cs="Arial"/>
                <w:color w:val="000000"/>
              </w:rPr>
              <w:br/>
            </w:r>
            <w:r w:rsidRPr="00487136">
              <w:rPr>
                <w:rFonts w:ascii="Arial" w:hAnsi="Arial" w:cs="Arial"/>
                <w:color w:val="000000"/>
              </w:rPr>
              <w:br/>
            </w:r>
            <w:proofErr w:type="spellStart"/>
            <w:r w:rsidRPr="00487136">
              <w:rPr>
                <w:rFonts w:ascii="Arial" w:hAnsi="Arial" w:cs="Arial"/>
                <w:color w:val="000000"/>
              </w:rPr>
              <w:t>Polivy</w:t>
            </w:r>
            <w:proofErr w:type="spellEnd"/>
            <w:r w:rsidRPr="00487136">
              <w:rPr>
                <w:rFonts w:ascii="Arial" w:hAnsi="Arial" w:cs="Arial"/>
                <w:color w:val="000000"/>
              </w:rPr>
              <w:t>®</w:t>
            </w:r>
            <w:r w:rsidRPr="00487136">
              <w:rPr>
                <w:rFonts w:ascii="Arial" w:hAnsi="Arial" w:cs="Arial"/>
                <w:color w:val="000000"/>
              </w:rPr>
              <w:br/>
            </w:r>
            <w:r w:rsidRPr="00487136">
              <w:rPr>
                <w:rFonts w:ascii="Arial" w:hAnsi="Arial" w:cs="Arial"/>
                <w:color w:val="000000"/>
              </w:rPr>
              <w:br/>
              <w:t>Roche Products Pty Ltd</w:t>
            </w:r>
            <w:r w:rsidRPr="00487136">
              <w:rPr>
                <w:rFonts w:ascii="Arial" w:hAnsi="Arial" w:cs="Arial"/>
                <w:color w:val="000000"/>
              </w:rPr>
              <w:br/>
            </w:r>
            <w:r w:rsidRPr="00487136">
              <w:rPr>
                <w:rFonts w:ascii="Arial" w:hAnsi="Arial" w:cs="Arial"/>
                <w:color w:val="000000"/>
              </w:rPr>
              <w:br/>
              <w:t>New listing</w:t>
            </w:r>
            <w:r w:rsidRPr="00487136">
              <w:rPr>
                <w:rFonts w:ascii="Arial" w:hAnsi="Arial" w:cs="Arial"/>
                <w:color w:val="000000"/>
              </w:rPr>
              <w:br/>
              <w:t>(Major Submission)</w:t>
            </w:r>
          </w:p>
        </w:tc>
        <w:tc>
          <w:tcPr>
            <w:tcW w:w="2409" w:type="dxa"/>
            <w:vMerge w:val="restart"/>
          </w:tcPr>
          <w:p w14:paraId="55E9CEC0" w14:textId="77777777" w:rsidR="002223CE" w:rsidRPr="00487136" w:rsidRDefault="002223CE" w:rsidP="002223CE">
            <w:pPr>
              <w:rPr>
                <w:rFonts w:ascii="Arial" w:hAnsi="Arial" w:cs="Arial"/>
              </w:rPr>
            </w:pPr>
            <w:r w:rsidRPr="00487136">
              <w:rPr>
                <w:rFonts w:ascii="Arial" w:hAnsi="Arial" w:cs="Arial"/>
              </w:rPr>
              <w:t>Diffuse large B-cell lymphoma (DLBCL)</w:t>
            </w:r>
          </w:p>
          <w:p w14:paraId="43633453" w14:textId="77777777" w:rsidR="002223CE" w:rsidRPr="00487136" w:rsidRDefault="002223CE" w:rsidP="002B4D46">
            <w:pPr>
              <w:widowControl w:val="0"/>
              <w:rPr>
                <w:rFonts w:ascii="Arial" w:hAnsi="Arial" w:cs="Arial"/>
                <w:snapToGrid w:val="0"/>
                <w:lang w:eastAsia="en-US"/>
              </w:rPr>
            </w:pPr>
          </w:p>
        </w:tc>
        <w:tc>
          <w:tcPr>
            <w:tcW w:w="3261" w:type="dxa"/>
            <w:tcMar>
              <w:top w:w="28" w:type="dxa"/>
              <w:bottom w:w="28" w:type="dxa"/>
            </w:tcMar>
          </w:tcPr>
          <w:p w14:paraId="0F24577C" w14:textId="435DD00C" w:rsidR="002223CE" w:rsidRPr="00487136" w:rsidRDefault="002223CE" w:rsidP="002223CE">
            <w:pPr>
              <w:rPr>
                <w:rFonts w:ascii="Arial" w:hAnsi="Arial" w:cs="Arial"/>
              </w:rPr>
            </w:pPr>
            <w:r w:rsidRPr="00487136">
              <w:rPr>
                <w:rFonts w:ascii="Arial" w:hAnsi="Arial" w:cs="Arial"/>
              </w:rPr>
              <w:t>To request a Section 100 (Efficient Funding of Chemotherapy) Authority Required (STREAMLINED) listing for the treatment of patients with relapsed or refractory</w:t>
            </w:r>
            <w:r w:rsidR="00487136">
              <w:rPr>
                <w:rFonts w:ascii="Arial" w:hAnsi="Arial" w:cs="Arial"/>
              </w:rPr>
              <w:t xml:space="preserve"> (R/R)</w:t>
            </w:r>
            <w:r w:rsidRPr="00487136">
              <w:rPr>
                <w:rFonts w:ascii="Arial" w:hAnsi="Arial" w:cs="Arial"/>
              </w:rPr>
              <w:t xml:space="preserve"> DLBCL who are ineligible for stem cell transplantation</w:t>
            </w:r>
            <w:r w:rsidR="00487136">
              <w:rPr>
                <w:rFonts w:ascii="Arial" w:hAnsi="Arial" w:cs="Arial"/>
              </w:rPr>
              <w:t xml:space="preserve"> </w:t>
            </w:r>
            <w:r w:rsidR="00487136" w:rsidRPr="00487136">
              <w:rPr>
                <w:rFonts w:ascii="Arial" w:hAnsi="Arial" w:cs="Arial"/>
                <w:iCs/>
              </w:rPr>
              <w:t>(SCT)</w:t>
            </w:r>
            <w:r w:rsidRPr="00487136">
              <w:rPr>
                <w:rFonts w:ascii="Arial" w:hAnsi="Arial" w:cs="Arial"/>
              </w:rPr>
              <w:t>.</w:t>
            </w:r>
          </w:p>
          <w:p w14:paraId="4FDB39AE" w14:textId="77777777" w:rsidR="002223CE" w:rsidRPr="00487136" w:rsidRDefault="002223CE" w:rsidP="002B4D46">
            <w:pPr>
              <w:pStyle w:val="ListParagraph"/>
              <w:ind w:left="0"/>
              <w:jc w:val="right"/>
              <w:rPr>
                <w:rFonts w:ascii="Arial" w:hAnsi="Arial" w:cs="Arial"/>
                <w:snapToGrid w:val="0"/>
                <w:sz w:val="20"/>
                <w:szCs w:val="20"/>
                <w:lang w:eastAsia="en-US"/>
              </w:rPr>
            </w:pPr>
          </w:p>
        </w:tc>
        <w:tc>
          <w:tcPr>
            <w:tcW w:w="6947" w:type="dxa"/>
          </w:tcPr>
          <w:p w14:paraId="2840A6C6" w14:textId="51C17148" w:rsidR="002223CE" w:rsidRPr="00487136" w:rsidRDefault="00487136" w:rsidP="002E60F4">
            <w:pPr>
              <w:pStyle w:val="ListParagraph"/>
              <w:ind w:left="0"/>
              <w:jc w:val="both"/>
              <w:rPr>
                <w:rFonts w:ascii="Arial" w:hAnsi="Arial" w:cs="Arial"/>
                <w:iCs/>
                <w:sz w:val="20"/>
                <w:szCs w:val="20"/>
              </w:rPr>
            </w:pPr>
            <w:r w:rsidRPr="00487136">
              <w:rPr>
                <w:rFonts w:ascii="Arial" w:hAnsi="Arial" w:cs="Arial"/>
                <w:iCs/>
                <w:sz w:val="20"/>
                <w:szCs w:val="20"/>
              </w:rPr>
              <w:t xml:space="preserve">The PBAC did not recommend the listing of </w:t>
            </w:r>
            <w:proofErr w:type="spellStart"/>
            <w:r w:rsidRPr="00487136">
              <w:rPr>
                <w:rFonts w:ascii="Arial" w:hAnsi="Arial" w:cs="Arial"/>
                <w:iCs/>
                <w:sz w:val="20"/>
                <w:szCs w:val="20"/>
              </w:rPr>
              <w:t>polatuzumab</w:t>
            </w:r>
            <w:proofErr w:type="spellEnd"/>
            <w:r w:rsidRPr="00487136">
              <w:rPr>
                <w:rFonts w:ascii="Arial" w:hAnsi="Arial" w:cs="Arial"/>
                <w:iCs/>
                <w:sz w:val="20"/>
                <w:szCs w:val="20"/>
              </w:rPr>
              <w:t xml:space="preserve"> </w:t>
            </w:r>
            <w:proofErr w:type="spellStart"/>
            <w:r w:rsidRPr="00487136">
              <w:rPr>
                <w:rFonts w:ascii="Arial" w:hAnsi="Arial" w:cs="Arial"/>
                <w:iCs/>
                <w:sz w:val="20"/>
                <w:szCs w:val="20"/>
              </w:rPr>
              <w:t>vedotin</w:t>
            </w:r>
            <w:proofErr w:type="spellEnd"/>
            <w:r w:rsidRPr="00487136">
              <w:rPr>
                <w:rFonts w:ascii="Arial" w:hAnsi="Arial" w:cs="Arial"/>
                <w:iCs/>
                <w:sz w:val="20"/>
                <w:szCs w:val="20"/>
              </w:rPr>
              <w:t xml:space="preserve"> in combination with </w:t>
            </w:r>
            <w:proofErr w:type="spellStart"/>
            <w:r w:rsidRPr="00487136">
              <w:rPr>
                <w:rFonts w:ascii="Arial" w:hAnsi="Arial" w:cs="Arial"/>
                <w:iCs/>
                <w:sz w:val="20"/>
                <w:szCs w:val="20"/>
              </w:rPr>
              <w:t>bendamustine</w:t>
            </w:r>
            <w:proofErr w:type="spellEnd"/>
            <w:r w:rsidRPr="00487136">
              <w:rPr>
                <w:rFonts w:ascii="Arial" w:hAnsi="Arial" w:cs="Arial"/>
                <w:iCs/>
                <w:sz w:val="20"/>
                <w:szCs w:val="20"/>
              </w:rPr>
              <w:t xml:space="preserve"> and rituximab (</w:t>
            </w:r>
            <w:proofErr w:type="spellStart"/>
            <w:r w:rsidRPr="00487136">
              <w:rPr>
                <w:rFonts w:ascii="Arial" w:hAnsi="Arial" w:cs="Arial"/>
                <w:iCs/>
                <w:sz w:val="20"/>
                <w:szCs w:val="20"/>
              </w:rPr>
              <w:t>Pola+BR</w:t>
            </w:r>
            <w:proofErr w:type="spellEnd"/>
            <w:r w:rsidRPr="00487136">
              <w:rPr>
                <w:rFonts w:ascii="Arial" w:hAnsi="Arial" w:cs="Arial"/>
                <w:iCs/>
                <w:sz w:val="20"/>
                <w:szCs w:val="20"/>
              </w:rPr>
              <w:t xml:space="preserve">) for the treatment of patients with </w:t>
            </w:r>
            <w:r>
              <w:rPr>
                <w:rFonts w:ascii="Arial" w:hAnsi="Arial" w:cs="Arial"/>
                <w:iCs/>
                <w:sz w:val="20"/>
                <w:szCs w:val="20"/>
              </w:rPr>
              <w:t>R/R DLBCL who are ineligible for SCT</w:t>
            </w:r>
            <w:r w:rsidRPr="00487136">
              <w:rPr>
                <w:rFonts w:ascii="Arial" w:hAnsi="Arial" w:cs="Arial"/>
                <w:iCs/>
                <w:sz w:val="20"/>
                <w:szCs w:val="20"/>
              </w:rPr>
              <w:t xml:space="preserve">. The PBAC did not accept </w:t>
            </w:r>
            <w:proofErr w:type="spellStart"/>
            <w:r w:rsidRPr="00487136">
              <w:rPr>
                <w:rFonts w:ascii="Arial" w:hAnsi="Arial" w:cs="Arial"/>
                <w:iCs/>
                <w:sz w:val="20"/>
                <w:szCs w:val="20"/>
              </w:rPr>
              <w:t>bendamustine</w:t>
            </w:r>
            <w:proofErr w:type="spellEnd"/>
            <w:r w:rsidRPr="00487136">
              <w:rPr>
                <w:rFonts w:ascii="Arial" w:hAnsi="Arial" w:cs="Arial"/>
                <w:iCs/>
                <w:sz w:val="20"/>
                <w:szCs w:val="20"/>
              </w:rPr>
              <w:t xml:space="preserve"> in combination with rituximab (BR), the nominated comparator, as an appropriate proxy for standard of care in R/R DLBCL because BR does not reflect current clinical practice in Australia as </w:t>
            </w:r>
            <w:proofErr w:type="spellStart"/>
            <w:r w:rsidRPr="00487136">
              <w:rPr>
                <w:rFonts w:ascii="Arial" w:hAnsi="Arial" w:cs="Arial"/>
                <w:iCs/>
                <w:sz w:val="20"/>
                <w:szCs w:val="20"/>
              </w:rPr>
              <w:t>bendamustine</w:t>
            </w:r>
            <w:proofErr w:type="spellEnd"/>
            <w:r w:rsidRPr="00487136">
              <w:rPr>
                <w:rFonts w:ascii="Arial" w:hAnsi="Arial" w:cs="Arial"/>
                <w:iCs/>
                <w:sz w:val="20"/>
                <w:szCs w:val="20"/>
              </w:rPr>
              <w:t xml:space="preserve"> is not TGA registered or PBS-listed for this indication. In addition, the PBAC considered that the validity of the clinical effectiveness data presented was </w:t>
            </w:r>
            <w:r w:rsidR="002E60F4">
              <w:rPr>
                <w:rFonts w:ascii="Arial" w:hAnsi="Arial" w:cs="Arial"/>
                <w:iCs/>
                <w:sz w:val="20"/>
                <w:szCs w:val="20"/>
              </w:rPr>
              <w:t>highly</w:t>
            </w:r>
            <w:r w:rsidR="002E60F4" w:rsidRPr="00487136">
              <w:rPr>
                <w:rFonts w:ascii="Arial" w:hAnsi="Arial" w:cs="Arial"/>
                <w:iCs/>
                <w:sz w:val="20"/>
                <w:szCs w:val="20"/>
              </w:rPr>
              <w:t xml:space="preserve"> </w:t>
            </w:r>
            <w:r w:rsidRPr="00487136">
              <w:rPr>
                <w:rFonts w:ascii="Arial" w:hAnsi="Arial" w:cs="Arial"/>
                <w:iCs/>
                <w:sz w:val="20"/>
                <w:szCs w:val="20"/>
              </w:rPr>
              <w:t xml:space="preserve">uncertain as the results were likely confounded in favour of </w:t>
            </w:r>
            <w:proofErr w:type="spellStart"/>
            <w:r w:rsidRPr="00487136">
              <w:rPr>
                <w:rFonts w:ascii="Arial" w:hAnsi="Arial" w:cs="Arial"/>
                <w:iCs/>
                <w:sz w:val="20"/>
                <w:szCs w:val="20"/>
              </w:rPr>
              <w:t>Pola+BR</w:t>
            </w:r>
            <w:proofErr w:type="spellEnd"/>
            <w:r w:rsidRPr="00487136">
              <w:rPr>
                <w:rFonts w:ascii="Arial" w:hAnsi="Arial" w:cs="Arial"/>
                <w:iCs/>
                <w:sz w:val="20"/>
                <w:szCs w:val="20"/>
              </w:rPr>
              <w:t>. Given these limitations with the clinical data, the PBAC considered the estimated cost-effectiveness ratio was very uncertain.</w:t>
            </w:r>
          </w:p>
        </w:tc>
      </w:tr>
      <w:tr w:rsidR="002223CE" w:rsidRPr="004B78F6" w14:paraId="404F7BD6" w14:textId="77777777" w:rsidTr="00692B2F">
        <w:trPr>
          <w:cantSplit/>
          <w:trHeight w:val="454"/>
        </w:trPr>
        <w:tc>
          <w:tcPr>
            <w:tcW w:w="2694" w:type="dxa"/>
            <w:vMerge/>
            <w:tcMar>
              <w:top w:w="28" w:type="dxa"/>
              <w:bottom w:w="28" w:type="dxa"/>
            </w:tcMar>
          </w:tcPr>
          <w:p w14:paraId="21950571" w14:textId="77777777" w:rsidR="002223CE" w:rsidRPr="00487136" w:rsidRDefault="002223CE" w:rsidP="002B4D46">
            <w:pPr>
              <w:rPr>
                <w:rFonts w:ascii="Arial" w:hAnsi="Arial" w:cs="Arial"/>
              </w:rPr>
            </w:pPr>
          </w:p>
        </w:tc>
        <w:tc>
          <w:tcPr>
            <w:tcW w:w="2409" w:type="dxa"/>
            <w:vMerge/>
          </w:tcPr>
          <w:p w14:paraId="6CFE81C3" w14:textId="77777777" w:rsidR="002223CE" w:rsidRPr="00487136" w:rsidRDefault="002223CE" w:rsidP="002B4D46">
            <w:pPr>
              <w:widowControl w:val="0"/>
              <w:rPr>
                <w:rFonts w:ascii="Arial" w:hAnsi="Arial" w:cs="Arial"/>
                <w:snapToGrid w:val="0"/>
                <w:lang w:eastAsia="en-US"/>
              </w:rPr>
            </w:pPr>
          </w:p>
        </w:tc>
        <w:tc>
          <w:tcPr>
            <w:tcW w:w="3261" w:type="dxa"/>
            <w:tcMar>
              <w:top w:w="28" w:type="dxa"/>
              <w:bottom w:w="28" w:type="dxa"/>
            </w:tcMar>
          </w:tcPr>
          <w:p w14:paraId="7AC4FB24" w14:textId="3175CDF1" w:rsidR="002223CE" w:rsidRPr="00487136" w:rsidRDefault="002223CE" w:rsidP="002B4D46">
            <w:pPr>
              <w:pStyle w:val="ListParagraph"/>
              <w:ind w:left="0"/>
              <w:jc w:val="right"/>
              <w:rPr>
                <w:rFonts w:ascii="Arial" w:hAnsi="Arial" w:cs="Arial"/>
                <w:snapToGrid w:val="0"/>
                <w:sz w:val="20"/>
                <w:szCs w:val="20"/>
                <w:lang w:eastAsia="en-US"/>
              </w:rPr>
            </w:pPr>
            <w:r w:rsidRPr="00487136">
              <w:rPr>
                <w:rFonts w:ascii="Arial" w:hAnsi="Arial" w:cs="Arial"/>
                <w:snapToGrid w:val="0"/>
                <w:sz w:val="20"/>
                <w:szCs w:val="20"/>
                <w:lang w:eastAsia="en-US"/>
              </w:rPr>
              <w:t>Sponsor’s Comment:</w:t>
            </w:r>
          </w:p>
        </w:tc>
        <w:tc>
          <w:tcPr>
            <w:tcW w:w="6947" w:type="dxa"/>
          </w:tcPr>
          <w:p w14:paraId="71E38418" w14:textId="0409C97D" w:rsidR="002223CE" w:rsidRPr="00487136" w:rsidRDefault="004711E4"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223CE" w:rsidRPr="004B78F6" w14:paraId="099CC7E2" w14:textId="77777777" w:rsidTr="004711E4">
        <w:trPr>
          <w:cantSplit/>
          <w:trHeight w:val="2647"/>
        </w:trPr>
        <w:tc>
          <w:tcPr>
            <w:tcW w:w="2694" w:type="dxa"/>
            <w:vMerge w:val="restart"/>
            <w:tcMar>
              <w:top w:w="28" w:type="dxa"/>
              <w:bottom w:w="28" w:type="dxa"/>
            </w:tcMar>
          </w:tcPr>
          <w:p w14:paraId="659C6C01" w14:textId="154CF87B" w:rsidR="002223CE" w:rsidRPr="00520900" w:rsidRDefault="008B2000" w:rsidP="00520900">
            <w:pPr>
              <w:rPr>
                <w:rFonts w:ascii="Arial" w:hAnsi="Arial" w:cs="Arial"/>
                <w:color w:val="000000"/>
              </w:rPr>
            </w:pPr>
            <w:r w:rsidRPr="004B78F6">
              <w:rPr>
                <w:rFonts w:ascii="Arial" w:hAnsi="Arial" w:cs="Arial"/>
                <w:color w:val="000000"/>
              </w:rPr>
              <w:t>RUXOLITINIB</w:t>
            </w:r>
            <w:r w:rsidRPr="004B78F6">
              <w:rPr>
                <w:rFonts w:ascii="Arial" w:hAnsi="Arial" w:cs="Arial"/>
                <w:color w:val="000000"/>
              </w:rPr>
              <w:br/>
            </w:r>
            <w:r w:rsidRPr="004B78F6">
              <w:rPr>
                <w:rFonts w:ascii="Arial" w:hAnsi="Arial" w:cs="Arial"/>
                <w:color w:val="000000"/>
              </w:rPr>
              <w:br/>
              <w:t>Tablet 5 mg</w:t>
            </w:r>
            <w:r w:rsidRPr="004B78F6">
              <w:rPr>
                <w:rFonts w:ascii="Arial" w:hAnsi="Arial" w:cs="Arial"/>
                <w:color w:val="000000"/>
              </w:rPr>
              <w:br/>
              <w:t>Tablet 10 mg</w:t>
            </w:r>
            <w:r w:rsidRPr="004B78F6">
              <w:rPr>
                <w:rFonts w:ascii="Arial" w:hAnsi="Arial" w:cs="Arial"/>
                <w:color w:val="000000"/>
              </w:rPr>
              <w:br/>
              <w:t>Tablet 15 mg</w:t>
            </w:r>
            <w:r w:rsidRPr="004B78F6">
              <w:rPr>
                <w:rFonts w:ascii="Arial" w:hAnsi="Arial" w:cs="Arial"/>
                <w:color w:val="000000"/>
              </w:rPr>
              <w:br/>
              <w:t>Tablet 20 mg</w:t>
            </w:r>
            <w:r w:rsidRPr="004B78F6">
              <w:rPr>
                <w:rFonts w:ascii="Arial" w:hAnsi="Arial" w:cs="Arial"/>
                <w:color w:val="000000"/>
              </w:rPr>
              <w:br/>
            </w:r>
            <w:r w:rsidRPr="004B78F6">
              <w:rPr>
                <w:rFonts w:ascii="Arial" w:hAnsi="Arial" w:cs="Arial"/>
                <w:color w:val="000000"/>
              </w:rPr>
              <w:br/>
              <w:t>Jakavi®</w:t>
            </w:r>
            <w:r w:rsidRPr="004B78F6">
              <w:rPr>
                <w:rFonts w:ascii="Arial" w:hAnsi="Arial" w:cs="Arial"/>
                <w:color w:val="000000"/>
              </w:rPr>
              <w:br/>
            </w:r>
            <w:r w:rsidRPr="004B78F6">
              <w:rPr>
                <w:rFonts w:ascii="Arial" w:hAnsi="Arial" w:cs="Arial"/>
                <w:color w:val="000000"/>
              </w:rPr>
              <w:br/>
              <w:t>Novartis Pharmaceuticals Australia Pty Limited</w:t>
            </w:r>
            <w:r w:rsidRPr="004B78F6">
              <w:rPr>
                <w:rFonts w:ascii="Arial" w:hAnsi="Arial" w:cs="Arial"/>
                <w:color w:val="000000"/>
              </w:rPr>
              <w:br/>
            </w:r>
            <w:r w:rsidRPr="004B78F6">
              <w:rPr>
                <w:rFonts w:ascii="Arial" w:hAnsi="Arial" w:cs="Arial"/>
                <w:color w:val="000000"/>
              </w:rPr>
              <w:br/>
              <w:t>Change to listing</w:t>
            </w:r>
            <w:r w:rsidRPr="004B78F6">
              <w:rPr>
                <w:rFonts w:ascii="Arial" w:hAnsi="Arial" w:cs="Arial"/>
                <w:color w:val="000000"/>
              </w:rPr>
              <w:br/>
              <w:t>(Major Submission)</w:t>
            </w:r>
          </w:p>
        </w:tc>
        <w:tc>
          <w:tcPr>
            <w:tcW w:w="2409" w:type="dxa"/>
            <w:vMerge w:val="restart"/>
          </w:tcPr>
          <w:p w14:paraId="7FEA4982" w14:textId="77777777" w:rsidR="002223CE" w:rsidRPr="004B78F6" w:rsidRDefault="002223CE" w:rsidP="002223CE">
            <w:pPr>
              <w:rPr>
                <w:rFonts w:ascii="Arial" w:hAnsi="Arial" w:cs="Arial"/>
              </w:rPr>
            </w:pPr>
            <w:proofErr w:type="spellStart"/>
            <w:r w:rsidRPr="004B78F6">
              <w:rPr>
                <w:rFonts w:ascii="Arial" w:hAnsi="Arial" w:cs="Arial"/>
              </w:rPr>
              <w:t>Polycythemia</w:t>
            </w:r>
            <w:proofErr w:type="spellEnd"/>
            <w:r w:rsidRPr="004B78F6">
              <w:rPr>
                <w:rFonts w:ascii="Arial" w:hAnsi="Arial" w:cs="Arial"/>
              </w:rPr>
              <w:t xml:space="preserve"> </w:t>
            </w:r>
            <w:proofErr w:type="spellStart"/>
            <w:r w:rsidRPr="004B78F6">
              <w:rPr>
                <w:rFonts w:ascii="Arial" w:hAnsi="Arial" w:cs="Arial"/>
              </w:rPr>
              <w:t>vera</w:t>
            </w:r>
            <w:proofErr w:type="spellEnd"/>
            <w:r w:rsidRPr="004B78F6">
              <w:rPr>
                <w:rFonts w:ascii="Arial" w:hAnsi="Arial" w:cs="Arial"/>
              </w:rPr>
              <w:t xml:space="preserve"> (PV)</w:t>
            </w:r>
          </w:p>
          <w:p w14:paraId="3CE85395" w14:textId="527321EE" w:rsidR="002223CE" w:rsidRPr="004B78F6" w:rsidRDefault="002223CE" w:rsidP="002B4D46">
            <w:pPr>
              <w:widowControl w:val="0"/>
              <w:rPr>
                <w:rFonts w:ascii="Arial" w:hAnsi="Arial" w:cs="Arial"/>
                <w:snapToGrid w:val="0"/>
                <w:lang w:eastAsia="en-US"/>
              </w:rPr>
            </w:pPr>
          </w:p>
          <w:p w14:paraId="25E980A1" w14:textId="77777777" w:rsidR="002223CE" w:rsidRPr="004B78F6" w:rsidRDefault="002223CE" w:rsidP="002223CE">
            <w:pPr>
              <w:jc w:val="center"/>
              <w:rPr>
                <w:rFonts w:ascii="Arial" w:hAnsi="Arial" w:cs="Arial"/>
                <w:lang w:eastAsia="en-US"/>
              </w:rPr>
            </w:pPr>
          </w:p>
        </w:tc>
        <w:tc>
          <w:tcPr>
            <w:tcW w:w="3261" w:type="dxa"/>
            <w:tcMar>
              <w:top w:w="28" w:type="dxa"/>
              <w:bottom w:w="28" w:type="dxa"/>
            </w:tcMar>
          </w:tcPr>
          <w:p w14:paraId="61D99BE2" w14:textId="77777777" w:rsidR="002223CE" w:rsidRPr="004B78F6" w:rsidRDefault="002223CE" w:rsidP="002223CE">
            <w:pPr>
              <w:rPr>
                <w:rFonts w:ascii="Arial" w:hAnsi="Arial" w:cs="Arial"/>
              </w:rPr>
            </w:pPr>
            <w:r w:rsidRPr="004B78F6">
              <w:rPr>
                <w:rFonts w:ascii="Arial" w:hAnsi="Arial" w:cs="Arial"/>
              </w:rPr>
              <w:t xml:space="preserve">To request an Authority Required listing for the treatment of patients with PV who are resistant to or intolerant of </w:t>
            </w:r>
            <w:proofErr w:type="spellStart"/>
            <w:r w:rsidRPr="004B78F6">
              <w:rPr>
                <w:rFonts w:ascii="Arial" w:hAnsi="Arial" w:cs="Arial"/>
              </w:rPr>
              <w:t>hydroxycabamide</w:t>
            </w:r>
            <w:proofErr w:type="spellEnd"/>
            <w:r w:rsidRPr="004B78F6">
              <w:rPr>
                <w:rFonts w:ascii="Arial" w:hAnsi="Arial" w:cs="Arial"/>
              </w:rPr>
              <w:t xml:space="preserve"> (hydroxyurea).</w:t>
            </w:r>
          </w:p>
          <w:p w14:paraId="37DB4037" w14:textId="77777777" w:rsidR="002223CE" w:rsidRPr="004B78F6" w:rsidRDefault="002223CE" w:rsidP="002B4D46">
            <w:pPr>
              <w:pStyle w:val="ListParagraph"/>
              <w:ind w:left="0"/>
              <w:jc w:val="right"/>
              <w:rPr>
                <w:rFonts w:ascii="Arial" w:hAnsi="Arial" w:cs="Arial"/>
                <w:snapToGrid w:val="0"/>
                <w:sz w:val="20"/>
                <w:szCs w:val="20"/>
                <w:lang w:eastAsia="en-US"/>
              </w:rPr>
            </w:pPr>
          </w:p>
        </w:tc>
        <w:tc>
          <w:tcPr>
            <w:tcW w:w="6947" w:type="dxa"/>
          </w:tcPr>
          <w:p w14:paraId="713B4396" w14:textId="12EB750C" w:rsidR="004B78F6" w:rsidRPr="004B78F6" w:rsidRDefault="008B2000" w:rsidP="004B78F6">
            <w:pPr>
              <w:widowControl w:val="0"/>
              <w:spacing w:after="120"/>
              <w:jc w:val="both"/>
              <w:rPr>
                <w:rFonts w:ascii="Arial" w:hAnsi="Arial" w:cs="Arial"/>
                <w:iCs/>
                <w:lang w:val="en-GB"/>
              </w:rPr>
            </w:pPr>
            <w:r w:rsidRPr="004B78F6">
              <w:rPr>
                <w:rFonts w:ascii="Arial" w:hAnsi="Arial" w:cs="Arial"/>
                <w:color w:val="000000"/>
              </w:rPr>
              <w:t xml:space="preserve">The PBAC did not recommend the listing of ruxolitinib for the treatment of patients with </w:t>
            </w:r>
            <w:r w:rsidR="004B78F6" w:rsidRPr="004B78F6">
              <w:rPr>
                <w:rFonts w:ascii="Arial" w:hAnsi="Arial" w:cs="Arial"/>
                <w:color w:val="000000"/>
              </w:rPr>
              <w:t>PV</w:t>
            </w:r>
            <w:r w:rsidRPr="004B78F6">
              <w:rPr>
                <w:rFonts w:ascii="Arial" w:hAnsi="Arial" w:cs="Arial"/>
                <w:color w:val="000000"/>
              </w:rPr>
              <w:t xml:space="preserve"> who are resistant to, or intolerant of, hydroxyurea. The PBAC considered that the evidence from the key trial did not clearly support a benefit in terms of clinically relevant outcomes or overall survival. Further, the PBAC considered that the economic model did not provide a reliable basis for assessing the cost-effectiveness of ruxolitinib as the clinical benefits modelled were not supported by evidence.</w:t>
            </w:r>
          </w:p>
        </w:tc>
      </w:tr>
      <w:tr w:rsidR="002223CE" w:rsidRPr="004B78F6" w14:paraId="2932855D" w14:textId="77777777" w:rsidTr="00692B2F">
        <w:trPr>
          <w:cantSplit/>
          <w:trHeight w:val="454"/>
        </w:trPr>
        <w:tc>
          <w:tcPr>
            <w:tcW w:w="2694" w:type="dxa"/>
            <w:vMerge/>
            <w:tcMar>
              <w:top w:w="28" w:type="dxa"/>
              <w:bottom w:w="28" w:type="dxa"/>
            </w:tcMar>
          </w:tcPr>
          <w:p w14:paraId="1E606105" w14:textId="77777777" w:rsidR="002223CE" w:rsidRPr="004B78F6" w:rsidRDefault="002223CE" w:rsidP="002B4D46">
            <w:pPr>
              <w:rPr>
                <w:rFonts w:ascii="Arial" w:hAnsi="Arial" w:cs="Arial"/>
              </w:rPr>
            </w:pPr>
          </w:p>
        </w:tc>
        <w:tc>
          <w:tcPr>
            <w:tcW w:w="2409" w:type="dxa"/>
            <w:vMerge/>
          </w:tcPr>
          <w:p w14:paraId="7276B65C" w14:textId="77777777" w:rsidR="002223CE" w:rsidRPr="004B78F6" w:rsidRDefault="002223CE" w:rsidP="002B4D46">
            <w:pPr>
              <w:widowControl w:val="0"/>
              <w:rPr>
                <w:rFonts w:ascii="Arial" w:hAnsi="Arial" w:cs="Arial"/>
                <w:snapToGrid w:val="0"/>
                <w:lang w:eastAsia="en-US"/>
              </w:rPr>
            </w:pPr>
          </w:p>
        </w:tc>
        <w:tc>
          <w:tcPr>
            <w:tcW w:w="3261" w:type="dxa"/>
            <w:tcMar>
              <w:top w:w="28" w:type="dxa"/>
              <w:bottom w:w="28" w:type="dxa"/>
            </w:tcMar>
          </w:tcPr>
          <w:p w14:paraId="4F3ED471" w14:textId="0D8FC6CA" w:rsidR="002223CE" w:rsidRPr="004B78F6" w:rsidRDefault="002223CE"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3868D7FB" w14:textId="446118E6" w:rsidR="002223CE" w:rsidRPr="004B78F6" w:rsidRDefault="004711E4" w:rsidP="002B4D46">
            <w:pPr>
              <w:pStyle w:val="ListParagraph"/>
              <w:ind w:left="0"/>
              <w:jc w:val="both"/>
              <w:rPr>
                <w:rFonts w:ascii="Arial" w:hAnsi="Arial" w:cs="Arial"/>
                <w:iCs/>
                <w:sz w:val="20"/>
                <w:szCs w:val="20"/>
              </w:rPr>
            </w:pPr>
            <w:r>
              <w:rPr>
                <w:rFonts w:ascii="Arial" w:hAnsi="Arial" w:cs="Arial"/>
                <w:iCs/>
                <w:sz w:val="20"/>
                <w:szCs w:val="20"/>
              </w:rPr>
              <w:t>No comment</w:t>
            </w:r>
          </w:p>
        </w:tc>
      </w:tr>
      <w:tr w:rsidR="002223CE" w:rsidRPr="004B78F6" w14:paraId="49EC43E7" w14:textId="77777777" w:rsidTr="00520900">
        <w:trPr>
          <w:cantSplit/>
          <w:trHeight w:val="996"/>
        </w:trPr>
        <w:tc>
          <w:tcPr>
            <w:tcW w:w="2694" w:type="dxa"/>
            <w:vMerge w:val="restart"/>
            <w:tcMar>
              <w:top w:w="28" w:type="dxa"/>
              <w:bottom w:w="28" w:type="dxa"/>
            </w:tcMar>
          </w:tcPr>
          <w:p w14:paraId="45C8083B" w14:textId="6818C83D" w:rsidR="002223CE" w:rsidRPr="004B78F6" w:rsidRDefault="008B2000" w:rsidP="00520900">
            <w:pPr>
              <w:keepNext/>
              <w:rPr>
                <w:rFonts w:ascii="Arial" w:hAnsi="Arial" w:cs="Arial"/>
                <w:color w:val="000000"/>
              </w:rPr>
            </w:pPr>
            <w:r w:rsidRPr="004B78F6">
              <w:rPr>
                <w:rFonts w:ascii="Arial" w:hAnsi="Arial" w:cs="Arial"/>
                <w:color w:val="000000"/>
              </w:rPr>
              <w:lastRenderedPageBreak/>
              <w:t>SIPONIMOD</w:t>
            </w:r>
            <w:r w:rsidRPr="004B78F6">
              <w:rPr>
                <w:rFonts w:ascii="Arial" w:hAnsi="Arial" w:cs="Arial"/>
                <w:color w:val="000000"/>
              </w:rPr>
              <w:br/>
            </w:r>
            <w:r w:rsidRPr="004B78F6">
              <w:rPr>
                <w:rFonts w:ascii="Arial" w:hAnsi="Arial" w:cs="Arial"/>
                <w:color w:val="000000"/>
              </w:rPr>
              <w:br/>
              <w:t xml:space="preserve">Tablet 250 micrograms </w:t>
            </w:r>
            <w:r w:rsidRPr="004B78F6">
              <w:rPr>
                <w:rFonts w:ascii="Arial" w:hAnsi="Arial" w:cs="Arial"/>
                <w:color w:val="000000"/>
              </w:rPr>
              <w:br/>
              <w:t xml:space="preserve">Tablet 2 mg </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Mayzent</w:t>
            </w:r>
            <w:proofErr w:type="spellEnd"/>
            <w:r w:rsidRPr="004B78F6">
              <w:rPr>
                <w:rFonts w:ascii="Arial" w:hAnsi="Arial" w:cs="Arial"/>
                <w:color w:val="000000"/>
              </w:rPr>
              <w:t>®</w:t>
            </w:r>
            <w:r w:rsidRPr="004B78F6">
              <w:rPr>
                <w:rFonts w:ascii="Arial" w:hAnsi="Arial" w:cs="Arial"/>
                <w:color w:val="000000"/>
              </w:rPr>
              <w:br/>
            </w:r>
            <w:r w:rsidRPr="004B78F6">
              <w:rPr>
                <w:rFonts w:ascii="Arial" w:hAnsi="Arial" w:cs="Arial"/>
                <w:color w:val="000000"/>
              </w:rPr>
              <w:br/>
              <w:t>Novartis Pharmaceuticals Australia Pty Limited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tc>
        <w:tc>
          <w:tcPr>
            <w:tcW w:w="2409" w:type="dxa"/>
            <w:vMerge w:val="restart"/>
          </w:tcPr>
          <w:p w14:paraId="25F09CF2" w14:textId="5A1A4DD2" w:rsidR="002223CE" w:rsidRPr="004B78F6" w:rsidRDefault="002223CE" w:rsidP="00520900">
            <w:pPr>
              <w:keepNext/>
              <w:rPr>
                <w:rFonts w:ascii="Arial" w:hAnsi="Arial" w:cs="Arial"/>
              </w:rPr>
            </w:pPr>
            <w:r w:rsidRPr="004B78F6">
              <w:rPr>
                <w:rFonts w:ascii="Arial" w:hAnsi="Arial" w:cs="Arial"/>
              </w:rPr>
              <w:t>Secondary progressive multiple sclerosis (SPMS)</w:t>
            </w:r>
          </w:p>
        </w:tc>
        <w:tc>
          <w:tcPr>
            <w:tcW w:w="3261" w:type="dxa"/>
            <w:tcMar>
              <w:top w:w="28" w:type="dxa"/>
              <w:bottom w:w="28" w:type="dxa"/>
            </w:tcMar>
          </w:tcPr>
          <w:p w14:paraId="2158E780" w14:textId="77777777" w:rsidR="002223CE" w:rsidRPr="004B78F6" w:rsidRDefault="002223CE" w:rsidP="00520900">
            <w:pPr>
              <w:keepNext/>
              <w:rPr>
                <w:rFonts w:ascii="Arial" w:hAnsi="Arial" w:cs="Arial"/>
              </w:rPr>
            </w:pPr>
            <w:r w:rsidRPr="004B78F6">
              <w:rPr>
                <w:rFonts w:ascii="Arial" w:hAnsi="Arial" w:cs="Arial"/>
              </w:rPr>
              <w:t xml:space="preserve">To request an Authority Required listing for the treatment of patients with SPMS. </w:t>
            </w:r>
          </w:p>
          <w:p w14:paraId="1AC1BDC4" w14:textId="77777777" w:rsidR="002223CE" w:rsidRPr="004B78F6" w:rsidRDefault="002223CE" w:rsidP="00520900">
            <w:pPr>
              <w:pStyle w:val="ListParagraph"/>
              <w:keepNext/>
              <w:ind w:left="0"/>
              <w:jc w:val="right"/>
              <w:rPr>
                <w:rFonts w:ascii="Arial" w:hAnsi="Arial" w:cs="Arial"/>
                <w:snapToGrid w:val="0"/>
                <w:sz w:val="20"/>
                <w:szCs w:val="20"/>
                <w:lang w:eastAsia="en-US"/>
              </w:rPr>
            </w:pPr>
          </w:p>
        </w:tc>
        <w:tc>
          <w:tcPr>
            <w:tcW w:w="6947" w:type="dxa"/>
          </w:tcPr>
          <w:p w14:paraId="1599D77B" w14:textId="0A13BB23" w:rsidR="002223CE" w:rsidRPr="008C5769" w:rsidRDefault="002E60F4" w:rsidP="008C5769">
            <w:pPr>
              <w:keepNext/>
              <w:jc w:val="both"/>
              <w:rPr>
                <w:rFonts w:ascii="Arial" w:hAnsi="Arial" w:cs="Arial"/>
              </w:rPr>
            </w:pPr>
            <w:r w:rsidRPr="008C5769">
              <w:rPr>
                <w:rFonts w:ascii="Arial" w:hAnsi="Arial" w:cs="Arial"/>
                <w:iCs/>
              </w:rPr>
              <w:t xml:space="preserve">The PBAC did not recommend the listing of </w:t>
            </w:r>
            <w:proofErr w:type="spellStart"/>
            <w:r w:rsidRPr="008C5769">
              <w:rPr>
                <w:rFonts w:ascii="Arial" w:hAnsi="Arial" w:cs="Arial"/>
                <w:iCs/>
              </w:rPr>
              <w:t>siponimod</w:t>
            </w:r>
            <w:proofErr w:type="spellEnd"/>
            <w:r w:rsidRPr="008C5769">
              <w:rPr>
                <w:rFonts w:ascii="Arial" w:hAnsi="Arial" w:cs="Arial"/>
                <w:iCs/>
              </w:rPr>
              <w:t xml:space="preserve"> for the treatment of SPMS. </w:t>
            </w:r>
            <w:r w:rsidRPr="008C5769">
              <w:rPr>
                <w:rFonts w:ascii="Arial" w:hAnsi="Arial" w:cs="Arial"/>
              </w:rPr>
              <w:t xml:space="preserve">The PBAC acknowledged the high clinical need for effective treatments in this therapeutic area. The PBAC considered the evidence presented supported the clinical claim that </w:t>
            </w:r>
            <w:proofErr w:type="spellStart"/>
            <w:r w:rsidRPr="008C5769">
              <w:rPr>
                <w:rFonts w:ascii="Arial" w:hAnsi="Arial" w:cs="Arial"/>
              </w:rPr>
              <w:t>siponimod</w:t>
            </w:r>
            <w:proofErr w:type="spellEnd"/>
            <w:r w:rsidRPr="008C5769">
              <w:rPr>
                <w:rFonts w:ascii="Arial" w:hAnsi="Arial" w:cs="Arial"/>
              </w:rPr>
              <w:t xml:space="preserve"> is superior </w:t>
            </w:r>
            <w:r w:rsidR="008C5769">
              <w:rPr>
                <w:rFonts w:ascii="Arial" w:hAnsi="Arial" w:cs="Arial"/>
              </w:rPr>
              <w:t>compared with</w:t>
            </w:r>
            <w:r w:rsidR="008C5769" w:rsidRPr="008C5769">
              <w:rPr>
                <w:rFonts w:ascii="Arial" w:hAnsi="Arial" w:cs="Arial"/>
              </w:rPr>
              <w:t xml:space="preserve"> </w:t>
            </w:r>
            <w:r w:rsidRPr="008C5769">
              <w:rPr>
                <w:rFonts w:ascii="Arial" w:hAnsi="Arial" w:cs="Arial"/>
              </w:rPr>
              <w:t xml:space="preserve">placebo with regards to confirmed disability progression and annualised relapse rate for patients with SPMS. However, the PBAC considered that the appropriate place of </w:t>
            </w:r>
            <w:proofErr w:type="spellStart"/>
            <w:r w:rsidRPr="008C5769">
              <w:rPr>
                <w:rFonts w:ascii="Arial" w:hAnsi="Arial" w:cs="Arial"/>
              </w:rPr>
              <w:t>siponimod</w:t>
            </w:r>
            <w:proofErr w:type="spellEnd"/>
            <w:r w:rsidRPr="008C5769">
              <w:rPr>
                <w:rFonts w:ascii="Arial" w:hAnsi="Arial" w:cs="Arial"/>
              </w:rPr>
              <w:t xml:space="preserve"> in the treatment algorithm for multiple sclerosis was uncertain, and the submission did not provide a reliable basis to assess the cost-effectiveness of </w:t>
            </w:r>
            <w:proofErr w:type="spellStart"/>
            <w:r w:rsidRPr="008C5769">
              <w:rPr>
                <w:rFonts w:ascii="Arial" w:hAnsi="Arial" w:cs="Arial"/>
              </w:rPr>
              <w:t>siponimod</w:t>
            </w:r>
            <w:proofErr w:type="spellEnd"/>
            <w:r w:rsidRPr="008C5769">
              <w:rPr>
                <w:rFonts w:ascii="Arial" w:hAnsi="Arial" w:cs="Arial"/>
              </w:rPr>
              <w:t>. The PBAC also considered the financial estimates to be uncertain.</w:t>
            </w:r>
          </w:p>
        </w:tc>
      </w:tr>
      <w:tr w:rsidR="002223CE" w:rsidRPr="004B78F6" w14:paraId="3C8CC3E0" w14:textId="77777777" w:rsidTr="00520900">
        <w:trPr>
          <w:cantSplit/>
          <w:trHeight w:val="454"/>
        </w:trPr>
        <w:tc>
          <w:tcPr>
            <w:tcW w:w="2694" w:type="dxa"/>
            <w:vMerge/>
            <w:tcMar>
              <w:top w:w="28" w:type="dxa"/>
              <w:bottom w:w="28" w:type="dxa"/>
            </w:tcMar>
          </w:tcPr>
          <w:p w14:paraId="228B1B66" w14:textId="77777777" w:rsidR="002223CE" w:rsidRPr="004B78F6" w:rsidRDefault="002223CE" w:rsidP="00520900">
            <w:pPr>
              <w:keepNext/>
              <w:rPr>
                <w:rFonts w:ascii="Arial" w:hAnsi="Arial" w:cs="Arial"/>
              </w:rPr>
            </w:pPr>
          </w:p>
        </w:tc>
        <w:tc>
          <w:tcPr>
            <w:tcW w:w="2409" w:type="dxa"/>
            <w:vMerge/>
          </w:tcPr>
          <w:p w14:paraId="4DA6D6D8" w14:textId="77777777" w:rsidR="002223CE" w:rsidRPr="004B78F6" w:rsidRDefault="002223CE" w:rsidP="00520900">
            <w:pPr>
              <w:keepNext/>
              <w:widowControl w:val="0"/>
              <w:rPr>
                <w:rFonts w:ascii="Arial" w:hAnsi="Arial" w:cs="Arial"/>
                <w:snapToGrid w:val="0"/>
                <w:lang w:eastAsia="en-US"/>
              </w:rPr>
            </w:pPr>
          </w:p>
        </w:tc>
        <w:tc>
          <w:tcPr>
            <w:tcW w:w="3261" w:type="dxa"/>
            <w:tcMar>
              <w:top w:w="28" w:type="dxa"/>
              <w:bottom w:w="28" w:type="dxa"/>
            </w:tcMar>
          </w:tcPr>
          <w:p w14:paraId="148CFE8E" w14:textId="00F7DC5C" w:rsidR="002223CE" w:rsidRPr="004B78F6" w:rsidRDefault="002223CE" w:rsidP="00520900">
            <w:pPr>
              <w:pStyle w:val="ListParagraph"/>
              <w:keepNext/>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000E3826" w14:textId="27D620BD" w:rsidR="002223CE" w:rsidRPr="005271AC" w:rsidRDefault="005271AC" w:rsidP="005271AC">
            <w:pPr>
              <w:pStyle w:val="NormalWeb"/>
              <w:spacing w:before="0" w:beforeAutospacing="0" w:after="0" w:afterAutospacing="0"/>
              <w:rPr>
                <w:rFonts w:ascii="Arial" w:hAnsi="Arial" w:cs="Arial"/>
                <w:sz w:val="20"/>
                <w:szCs w:val="20"/>
              </w:rPr>
            </w:pPr>
            <w:r w:rsidRPr="005271AC">
              <w:rPr>
                <w:rFonts w:ascii="Arial" w:hAnsi="Arial" w:cs="Arial"/>
                <w:sz w:val="20"/>
                <w:szCs w:val="20"/>
              </w:rPr>
              <w:t>Novartis is disappointed with the PBAC outcome but will continue to wor</w:t>
            </w:r>
            <w:r>
              <w:rPr>
                <w:rFonts w:ascii="Arial" w:hAnsi="Arial" w:cs="Arial"/>
                <w:sz w:val="20"/>
                <w:szCs w:val="20"/>
              </w:rPr>
              <w:t>k collaboratively with the PBAC and</w:t>
            </w:r>
            <w:r w:rsidRPr="005271AC">
              <w:rPr>
                <w:rFonts w:ascii="Arial" w:hAnsi="Arial" w:cs="Arial"/>
                <w:sz w:val="20"/>
                <w:szCs w:val="20"/>
              </w:rPr>
              <w:t xml:space="preserve"> the Department of Health to ensure that Australians with multiple sclerosis receive access to </w:t>
            </w:r>
            <w:proofErr w:type="spellStart"/>
            <w:r w:rsidRPr="005271AC">
              <w:rPr>
                <w:rFonts w:ascii="Arial" w:hAnsi="Arial" w:cs="Arial"/>
                <w:sz w:val="20"/>
                <w:szCs w:val="20"/>
              </w:rPr>
              <w:t>Mayzent</w:t>
            </w:r>
            <w:proofErr w:type="spellEnd"/>
            <w:r w:rsidRPr="005271AC">
              <w:rPr>
                <w:rFonts w:ascii="Arial" w:hAnsi="Arial" w:cs="Arial"/>
                <w:sz w:val="20"/>
                <w:szCs w:val="20"/>
                <w:vertAlign w:val="superscript"/>
              </w:rPr>
              <w:t>®</w:t>
            </w:r>
            <w:r w:rsidRPr="005271AC">
              <w:rPr>
                <w:rFonts w:ascii="Arial" w:hAnsi="Arial" w:cs="Arial"/>
                <w:sz w:val="20"/>
                <w:szCs w:val="20"/>
              </w:rPr>
              <w:t xml:space="preserve"> (</w:t>
            </w:r>
            <w:proofErr w:type="spellStart"/>
            <w:r w:rsidRPr="005271AC">
              <w:rPr>
                <w:rFonts w:ascii="Arial" w:hAnsi="Arial" w:cs="Arial"/>
                <w:sz w:val="20"/>
                <w:szCs w:val="20"/>
              </w:rPr>
              <w:t>siponimod</w:t>
            </w:r>
            <w:proofErr w:type="spellEnd"/>
            <w:r w:rsidRPr="005271AC">
              <w:rPr>
                <w:rFonts w:ascii="Arial" w:hAnsi="Arial" w:cs="Arial"/>
                <w:sz w:val="20"/>
                <w:szCs w:val="20"/>
              </w:rPr>
              <w:t xml:space="preserve">) through the </w:t>
            </w:r>
            <w:r>
              <w:rPr>
                <w:rFonts w:ascii="Arial" w:hAnsi="Arial" w:cs="Arial"/>
                <w:sz w:val="20"/>
                <w:szCs w:val="20"/>
              </w:rPr>
              <w:t>PBS</w:t>
            </w:r>
            <w:r w:rsidRPr="005271AC">
              <w:rPr>
                <w:rFonts w:ascii="Arial" w:hAnsi="Arial" w:cs="Arial"/>
                <w:sz w:val="20"/>
                <w:szCs w:val="20"/>
              </w:rPr>
              <w:t xml:space="preserve"> at the earliest opportunity.</w:t>
            </w:r>
          </w:p>
        </w:tc>
      </w:tr>
      <w:tr w:rsidR="002223CE" w:rsidRPr="004B78F6" w14:paraId="525F1FC0" w14:textId="77777777" w:rsidTr="00692B2F">
        <w:trPr>
          <w:cantSplit/>
          <w:trHeight w:val="996"/>
        </w:trPr>
        <w:tc>
          <w:tcPr>
            <w:tcW w:w="2694" w:type="dxa"/>
            <w:vMerge w:val="restart"/>
            <w:tcMar>
              <w:top w:w="28" w:type="dxa"/>
              <w:bottom w:w="28" w:type="dxa"/>
            </w:tcMar>
          </w:tcPr>
          <w:p w14:paraId="4187A87E" w14:textId="0198FDCF" w:rsidR="002223CE" w:rsidRPr="004B78F6" w:rsidRDefault="008B2000" w:rsidP="00693A98">
            <w:pPr>
              <w:rPr>
                <w:rFonts w:ascii="Arial" w:hAnsi="Arial" w:cs="Arial"/>
                <w:color w:val="000000"/>
              </w:rPr>
            </w:pPr>
            <w:r w:rsidRPr="004B78F6">
              <w:rPr>
                <w:rFonts w:ascii="Arial" w:hAnsi="Arial" w:cs="Arial"/>
                <w:color w:val="000000"/>
              </w:rPr>
              <w:t>TALAZOPARIB</w:t>
            </w:r>
            <w:r w:rsidRPr="004B78F6">
              <w:rPr>
                <w:rFonts w:ascii="Arial" w:hAnsi="Arial" w:cs="Arial"/>
                <w:color w:val="000000"/>
              </w:rPr>
              <w:br/>
            </w:r>
            <w:r w:rsidRPr="004B78F6">
              <w:rPr>
                <w:rFonts w:ascii="Arial" w:hAnsi="Arial" w:cs="Arial"/>
                <w:color w:val="000000"/>
              </w:rPr>
              <w:br/>
              <w:t xml:space="preserve">Capsule 250 micrograms (as </w:t>
            </w:r>
            <w:proofErr w:type="spellStart"/>
            <w:r w:rsidRPr="004B78F6">
              <w:rPr>
                <w:rFonts w:ascii="Arial" w:hAnsi="Arial" w:cs="Arial"/>
                <w:color w:val="000000"/>
              </w:rPr>
              <w:t>tosilate</w:t>
            </w:r>
            <w:proofErr w:type="spellEnd"/>
            <w:r w:rsidRPr="004B78F6">
              <w:rPr>
                <w:rFonts w:ascii="Arial" w:hAnsi="Arial" w:cs="Arial"/>
                <w:color w:val="000000"/>
              </w:rPr>
              <w:t>)</w:t>
            </w:r>
            <w:r w:rsidRPr="004B78F6">
              <w:rPr>
                <w:rFonts w:ascii="Arial" w:hAnsi="Arial" w:cs="Arial"/>
                <w:color w:val="000000"/>
              </w:rPr>
              <w:br/>
              <w:t xml:space="preserve">Capsule 1 mg (as </w:t>
            </w:r>
            <w:proofErr w:type="spellStart"/>
            <w:r w:rsidRPr="004B78F6">
              <w:rPr>
                <w:rFonts w:ascii="Arial" w:hAnsi="Arial" w:cs="Arial"/>
                <w:color w:val="000000"/>
              </w:rPr>
              <w:t>tosilate</w:t>
            </w:r>
            <w:proofErr w:type="spellEnd"/>
            <w:r w:rsidRPr="004B78F6">
              <w:rPr>
                <w:rFonts w:ascii="Arial" w:hAnsi="Arial" w:cs="Arial"/>
                <w:color w:val="000000"/>
              </w:rPr>
              <w:t xml:space="preserve">) </w:t>
            </w:r>
            <w:r w:rsidRPr="004B78F6">
              <w:rPr>
                <w:rFonts w:ascii="Arial" w:hAnsi="Arial" w:cs="Arial"/>
                <w:color w:val="000000"/>
              </w:rPr>
              <w:br/>
            </w:r>
            <w:r w:rsidRPr="004B78F6">
              <w:rPr>
                <w:rFonts w:ascii="Arial" w:hAnsi="Arial" w:cs="Arial"/>
                <w:color w:val="000000"/>
              </w:rPr>
              <w:br/>
            </w:r>
            <w:proofErr w:type="spellStart"/>
            <w:r w:rsidRPr="004B78F6">
              <w:rPr>
                <w:rFonts w:ascii="Arial" w:hAnsi="Arial" w:cs="Arial"/>
                <w:color w:val="000000"/>
              </w:rPr>
              <w:t>Talzenna</w:t>
            </w:r>
            <w:proofErr w:type="spellEnd"/>
            <w:r w:rsidRPr="004B78F6">
              <w:rPr>
                <w:rFonts w:ascii="Arial" w:hAnsi="Arial" w:cs="Arial"/>
                <w:color w:val="000000"/>
              </w:rPr>
              <w:t>®</w:t>
            </w:r>
            <w:r w:rsidRPr="004B78F6">
              <w:rPr>
                <w:rFonts w:ascii="Arial" w:hAnsi="Arial" w:cs="Arial"/>
                <w:color w:val="000000"/>
              </w:rPr>
              <w:br/>
            </w:r>
            <w:r w:rsidRPr="004B78F6">
              <w:rPr>
                <w:rFonts w:ascii="Arial" w:hAnsi="Arial" w:cs="Arial"/>
                <w:color w:val="000000"/>
              </w:rPr>
              <w:br/>
              <w:t>Pfizer Australia Pty Ltd</w:t>
            </w:r>
            <w:r w:rsidRPr="004B78F6">
              <w:rPr>
                <w:rFonts w:ascii="Arial" w:hAnsi="Arial" w:cs="Arial"/>
                <w:color w:val="000000"/>
              </w:rPr>
              <w:br/>
            </w:r>
            <w:r w:rsidRPr="004B78F6">
              <w:rPr>
                <w:rFonts w:ascii="Arial" w:hAnsi="Arial" w:cs="Arial"/>
                <w:color w:val="000000"/>
              </w:rPr>
              <w:br/>
              <w:t>New listing</w:t>
            </w:r>
            <w:r w:rsidRPr="004B78F6">
              <w:rPr>
                <w:rFonts w:ascii="Arial" w:hAnsi="Arial" w:cs="Arial"/>
                <w:color w:val="000000"/>
              </w:rPr>
              <w:br/>
              <w:t>(Major Submission)</w:t>
            </w:r>
          </w:p>
        </w:tc>
        <w:tc>
          <w:tcPr>
            <w:tcW w:w="2409" w:type="dxa"/>
            <w:vMerge w:val="restart"/>
          </w:tcPr>
          <w:p w14:paraId="57BCA50D" w14:textId="77777777" w:rsidR="002223CE" w:rsidRPr="004B78F6" w:rsidRDefault="002223CE" w:rsidP="002223CE">
            <w:pPr>
              <w:rPr>
                <w:rFonts w:ascii="Arial" w:hAnsi="Arial" w:cs="Arial"/>
              </w:rPr>
            </w:pPr>
            <w:r w:rsidRPr="004B78F6">
              <w:rPr>
                <w:rFonts w:ascii="Arial" w:hAnsi="Arial" w:cs="Arial"/>
              </w:rPr>
              <w:t>Advanced breast cancer</w:t>
            </w:r>
          </w:p>
          <w:p w14:paraId="0C57B59B" w14:textId="77777777" w:rsidR="002223CE" w:rsidRPr="004B78F6" w:rsidRDefault="002223CE" w:rsidP="002B4D46">
            <w:pPr>
              <w:widowControl w:val="0"/>
              <w:rPr>
                <w:rFonts w:ascii="Arial" w:hAnsi="Arial" w:cs="Arial"/>
                <w:snapToGrid w:val="0"/>
                <w:lang w:eastAsia="en-US"/>
              </w:rPr>
            </w:pPr>
          </w:p>
        </w:tc>
        <w:tc>
          <w:tcPr>
            <w:tcW w:w="3261" w:type="dxa"/>
            <w:tcMar>
              <w:top w:w="28" w:type="dxa"/>
              <w:bottom w:w="28" w:type="dxa"/>
            </w:tcMar>
          </w:tcPr>
          <w:p w14:paraId="1BDEA7E5" w14:textId="2296D096" w:rsidR="002223CE" w:rsidRPr="004B78F6" w:rsidRDefault="002223CE" w:rsidP="00693A98">
            <w:pPr>
              <w:rPr>
                <w:rFonts w:ascii="Arial" w:hAnsi="Arial" w:cs="Arial"/>
              </w:rPr>
            </w:pPr>
            <w:r w:rsidRPr="004B78F6">
              <w:rPr>
                <w:rFonts w:ascii="Arial" w:hAnsi="Arial" w:cs="Arial"/>
              </w:rPr>
              <w:t xml:space="preserve">To request an Authority Required listing for the treatment of patients with </w:t>
            </w:r>
            <w:r w:rsidR="00693A98" w:rsidRPr="004B78F6">
              <w:rPr>
                <w:rFonts w:ascii="Arial" w:hAnsi="Arial" w:cs="Arial"/>
                <w:bCs/>
              </w:rPr>
              <w:t>germline breast cancer susceptibility gene mutated (</w:t>
            </w:r>
            <w:proofErr w:type="spellStart"/>
            <w:r w:rsidR="00693A98" w:rsidRPr="004B78F6">
              <w:rPr>
                <w:rFonts w:ascii="Arial" w:hAnsi="Arial" w:cs="Arial"/>
                <w:bCs/>
              </w:rPr>
              <w:t>gBRCAm</w:t>
            </w:r>
            <w:proofErr w:type="spellEnd"/>
            <w:r w:rsidR="00693A98" w:rsidRPr="004B78F6">
              <w:rPr>
                <w:rFonts w:ascii="Arial" w:hAnsi="Arial" w:cs="Arial"/>
                <w:bCs/>
              </w:rPr>
              <w:t>)</w:t>
            </w:r>
            <w:r w:rsidRPr="004B78F6">
              <w:rPr>
                <w:rFonts w:ascii="Arial" w:hAnsi="Arial" w:cs="Arial"/>
              </w:rPr>
              <w:t xml:space="preserve"> </w:t>
            </w:r>
            <w:r w:rsidR="00693A98" w:rsidRPr="004B78F6">
              <w:rPr>
                <w:rFonts w:ascii="Arial" w:hAnsi="Arial" w:cs="Arial"/>
              </w:rPr>
              <w:t>human epidermal growth factor receptor negative (</w:t>
            </w:r>
            <w:r w:rsidRPr="004B78F6">
              <w:rPr>
                <w:rFonts w:ascii="Arial" w:hAnsi="Arial" w:cs="Arial"/>
              </w:rPr>
              <w:t>HER2-</w:t>
            </w:r>
            <w:r w:rsidR="00693A98" w:rsidRPr="004B78F6">
              <w:rPr>
                <w:rFonts w:ascii="Arial" w:hAnsi="Arial" w:cs="Arial"/>
              </w:rPr>
              <w:t>)</w:t>
            </w:r>
            <w:r w:rsidR="008B2000" w:rsidRPr="004B78F6">
              <w:rPr>
                <w:rFonts w:ascii="Arial" w:hAnsi="Arial" w:cs="Arial"/>
              </w:rPr>
              <w:t xml:space="preserve"> advanced breast cancer </w:t>
            </w:r>
            <w:r w:rsidRPr="004B78F6">
              <w:rPr>
                <w:rFonts w:ascii="Arial" w:hAnsi="Arial" w:cs="Arial"/>
              </w:rPr>
              <w:t xml:space="preserve">who have been previously treated with a </w:t>
            </w:r>
            <w:proofErr w:type="spellStart"/>
            <w:r w:rsidRPr="004B78F6">
              <w:rPr>
                <w:rFonts w:ascii="Arial" w:hAnsi="Arial" w:cs="Arial"/>
              </w:rPr>
              <w:t>taxane</w:t>
            </w:r>
            <w:proofErr w:type="spellEnd"/>
            <w:r w:rsidRPr="004B78F6">
              <w:rPr>
                <w:rFonts w:ascii="Arial" w:hAnsi="Arial" w:cs="Arial"/>
              </w:rPr>
              <w:t xml:space="preserve"> and/or an anthracycline.</w:t>
            </w:r>
          </w:p>
        </w:tc>
        <w:tc>
          <w:tcPr>
            <w:tcW w:w="6947" w:type="dxa"/>
          </w:tcPr>
          <w:p w14:paraId="0724161B" w14:textId="110330F1" w:rsidR="00693A98" w:rsidRPr="004B78F6" w:rsidRDefault="00693A98" w:rsidP="00693A98">
            <w:pPr>
              <w:contextualSpacing/>
              <w:rPr>
                <w:rFonts w:ascii="Arial" w:hAnsi="Arial" w:cs="Arial"/>
                <w:bCs/>
              </w:rPr>
            </w:pPr>
            <w:r w:rsidRPr="004B78F6">
              <w:rPr>
                <w:rFonts w:ascii="Arial" w:hAnsi="Arial" w:cs="Arial"/>
                <w:bCs/>
              </w:rPr>
              <w:t xml:space="preserve">The PBAC did not recommend the Authority Required listing of talazoparib for the treatment of patients with </w:t>
            </w:r>
            <w:proofErr w:type="spellStart"/>
            <w:r w:rsidRPr="004B78F6">
              <w:rPr>
                <w:rFonts w:ascii="Arial" w:hAnsi="Arial" w:cs="Arial"/>
                <w:bCs/>
              </w:rPr>
              <w:t>gBRCAm</w:t>
            </w:r>
            <w:proofErr w:type="spellEnd"/>
            <w:r w:rsidRPr="004B78F6">
              <w:rPr>
                <w:rFonts w:ascii="Arial" w:hAnsi="Arial" w:cs="Arial"/>
                <w:bCs/>
              </w:rPr>
              <w:t xml:space="preserve"> HER2- locally advanced inoperable or metastatic breast cancer. </w:t>
            </w:r>
          </w:p>
          <w:p w14:paraId="0E70AB4E" w14:textId="77777777" w:rsidR="00693A98" w:rsidRPr="004B78F6" w:rsidRDefault="00693A98" w:rsidP="00693A98">
            <w:pPr>
              <w:contextualSpacing/>
              <w:rPr>
                <w:rFonts w:ascii="Arial" w:hAnsi="Arial" w:cs="Arial"/>
                <w:bCs/>
              </w:rPr>
            </w:pPr>
          </w:p>
          <w:p w14:paraId="13688A3C" w14:textId="77777777" w:rsidR="00693A98" w:rsidRPr="004B78F6" w:rsidRDefault="00693A98" w:rsidP="00693A98">
            <w:pPr>
              <w:contextualSpacing/>
              <w:rPr>
                <w:rFonts w:ascii="Arial" w:hAnsi="Arial" w:cs="Arial"/>
                <w:bCs/>
              </w:rPr>
            </w:pPr>
            <w:r w:rsidRPr="004B78F6">
              <w:rPr>
                <w:rFonts w:ascii="Arial" w:hAnsi="Arial" w:cs="Arial"/>
                <w:bCs/>
              </w:rPr>
              <w:t xml:space="preserve">The PBAC noted there was a moderate benefit in terms of progression free survival however it was unclear whether talazoparib would lead to any gains in overall survival as the data provided were still immature. The PBAC expressed interest in reviewing updated survival data when it becomes available.  </w:t>
            </w:r>
          </w:p>
          <w:p w14:paraId="2C8BCA6F" w14:textId="77777777" w:rsidR="00693A98" w:rsidRPr="004B78F6" w:rsidRDefault="00693A98" w:rsidP="00693A98">
            <w:pPr>
              <w:contextualSpacing/>
              <w:rPr>
                <w:rFonts w:ascii="Arial" w:hAnsi="Arial" w:cs="Arial"/>
                <w:bCs/>
              </w:rPr>
            </w:pPr>
          </w:p>
          <w:p w14:paraId="47DBB297" w14:textId="4A1D53AF" w:rsidR="002223CE" w:rsidRPr="004B78F6" w:rsidRDefault="00693A98" w:rsidP="0066154E">
            <w:pPr>
              <w:contextualSpacing/>
              <w:rPr>
                <w:rFonts w:ascii="Arial" w:hAnsi="Arial" w:cs="Arial"/>
                <w:bCs/>
              </w:rPr>
            </w:pPr>
            <w:r w:rsidRPr="004B78F6">
              <w:rPr>
                <w:rFonts w:ascii="Arial" w:hAnsi="Arial" w:cs="Arial"/>
                <w:bCs/>
              </w:rPr>
              <w:t xml:space="preserve">The PBAC considered that the incremental cost-effectiveness ratio per quality adjusted life year </w:t>
            </w:r>
            <w:r w:rsidR="008C5769">
              <w:rPr>
                <w:rFonts w:ascii="Arial" w:hAnsi="Arial" w:cs="Arial"/>
                <w:bCs/>
              </w:rPr>
              <w:t xml:space="preserve">at the proposed price </w:t>
            </w:r>
            <w:r w:rsidRPr="004B78F6">
              <w:rPr>
                <w:rFonts w:ascii="Arial" w:hAnsi="Arial" w:cs="Arial"/>
                <w:bCs/>
              </w:rPr>
              <w:t xml:space="preserve">was unacceptably high and uncertain and potentially underestimated. Further, the PBAC considered that the financial impact of listing was underestimated as the submission did not account for </w:t>
            </w:r>
            <w:proofErr w:type="spellStart"/>
            <w:r w:rsidRPr="004B78F6">
              <w:rPr>
                <w:rFonts w:ascii="Arial" w:hAnsi="Arial" w:cs="Arial"/>
                <w:bCs/>
              </w:rPr>
              <w:t>gBRCA</w:t>
            </w:r>
            <w:proofErr w:type="spellEnd"/>
            <w:r w:rsidRPr="004B78F6">
              <w:rPr>
                <w:rFonts w:ascii="Arial" w:hAnsi="Arial" w:cs="Arial"/>
                <w:bCs/>
              </w:rPr>
              <w:t xml:space="preserve"> mutation testing costs for all patients who would be tested and underestimated the duration of treatment with talazoparib.</w:t>
            </w:r>
          </w:p>
        </w:tc>
      </w:tr>
      <w:tr w:rsidR="002223CE" w:rsidRPr="004B78F6" w14:paraId="52FDBC74" w14:textId="77777777" w:rsidTr="00692B2F">
        <w:trPr>
          <w:cantSplit/>
          <w:trHeight w:val="454"/>
        </w:trPr>
        <w:tc>
          <w:tcPr>
            <w:tcW w:w="2694" w:type="dxa"/>
            <w:vMerge/>
            <w:tcMar>
              <w:top w:w="28" w:type="dxa"/>
              <w:bottom w:w="28" w:type="dxa"/>
            </w:tcMar>
          </w:tcPr>
          <w:p w14:paraId="419AFDC8" w14:textId="77777777" w:rsidR="002223CE" w:rsidRPr="004B78F6" w:rsidRDefault="002223CE" w:rsidP="002B4D46">
            <w:pPr>
              <w:rPr>
                <w:rFonts w:ascii="Arial" w:hAnsi="Arial" w:cs="Arial"/>
              </w:rPr>
            </w:pPr>
          </w:p>
        </w:tc>
        <w:tc>
          <w:tcPr>
            <w:tcW w:w="2409" w:type="dxa"/>
            <w:vMerge/>
          </w:tcPr>
          <w:p w14:paraId="7206C72E" w14:textId="77777777" w:rsidR="002223CE" w:rsidRPr="004B78F6" w:rsidRDefault="002223CE" w:rsidP="002B4D46">
            <w:pPr>
              <w:widowControl w:val="0"/>
              <w:rPr>
                <w:rFonts w:ascii="Arial" w:hAnsi="Arial" w:cs="Arial"/>
                <w:snapToGrid w:val="0"/>
                <w:lang w:eastAsia="en-US"/>
              </w:rPr>
            </w:pPr>
          </w:p>
        </w:tc>
        <w:tc>
          <w:tcPr>
            <w:tcW w:w="3261" w:type="dxa"/>
            <w:tcMar>
              <w:top w:w="28" w:type="dxa"/>
              <w:bottom w:w="28" w:type="dxa"/>
            </w:tcMar>
          </w:tcPr>
          <w:p w14:paraId="091434A3" w14:textId="10E5B779" w:rsidR="002223CE" w:rsidRPr="004B78F6" w:rsidRDefault="002223CE" w:rsidP="002B4D46">
            <w:pPr>
              <w:pStyle w:val="ListParagraph"/>
              <w:ind w:left="0"/>
              <w:jc w:val="right"/>
              <w:rPr>
                <w:rFonts w:ascii="Arial" w:hAnsi="Arial" w:cs="Arial"/>
                <w:snapToGrid w:val="0"/>
                <w:sz w:val="20"/>
                <w:szCs w:val="20"/>
                <w:lang w:eastAsia="en-US"/>
              </w:rPr>
            </w:pPr>
            <w:r w:rsidRPr="004B78F6">
              <w:rPr>
                <w:rFonts w:ascii="Arial" w:hAnsi="Arial" w:cs="Arial"/>
                <w:snapToGrid w:val="0"/>
                <w:sz w:val="20"/>
                <w:szCs w:val="20"/>
                <w:lang w:eastAsia="en-US"/>
              </w:rPr>
              <w:t>Sponsor’s Comment:</w:t>
            </w:r>
          </w:p>
        </w:tc>
        <w:tc>
          <w:tcPr>
            <w:tcW w:w="6947" w:type="dxa"/>
          </w:tcPr>
          <w:p w14:paraId="67340DAE" w14:textId="5E3E9472" w:rsidR="002223CE" w:rsidRPr="004B78F6" w:rsidRDefault="004711E4" w:rsidP="002B4D46">
            <w:pPr>
              <w:pStyle w:val="ListParagraph"/>
              <w:ind w:left="0"/>
              <w:jc w:val="both"/>
              <w:rPr>
                <w:rFonts w:ascii="Arial" w:hAnsi="Arial" w:cs="Arial"/>
                <w:iCs/>
                <w:sz w:val="20"/>
                <w:szCs w:val="20"/>
              </w:rPr>
            </w:pPr>
            <w:r>
              <w:rPr>
                <w:rFonts w:ascii="Arial" w:hAnsi="Arial" w:cs="Arial"/>
                <w:iCs/>
                <w:sz w:val="20"/>
                <w:szCs w:val="20"/>
              </w:rPr>
              <w:t>No comment</w:t>
            </w:r>
          </w:p>
        </w:tc>
      </w:tr>
    </w:tbl>
    <w:p w14:paraId="4081BEC2" w14:textId="77777777" w:rsidR="00640C80" w:rsidRDefault="00640C80" w:rsidP="00640C80">
      <w:pPr>
        <w:tabs>
          <w:tab w:val="left" w:pos="5210"/>
        </w:tabs>
        <w:rPr>
          <w:rFonts w:ascii="Arial" w:hAnsi="Arial" w:cs="Arial"/>
          <w:lang w:val="en-US"/>
        </w:rPr>
      </w:pPr>
    </w:p>
    <w:sectPr w:rsidR="00640C8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8B2000" w:rsidRDefault="008B2000">
      <w:r>
        <w:separator/>
      </w:r>
    </w:p>
  </w:endnote>
  <w:endnote w:type="continuationSeparator" w:id="0">
    <w:p w14:paraId="0B94B43F" w14:textId="77777777" w:rsidR="008B2000" w:rsidRDefault="008B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8B2000" w:rsidRDefault="008B2000"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8B2000" w:rsidRDefault="008B2000"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569B2C57" w:rsidR="008B2000" w:rsidRPr="00287C89" w:rsidRDefault="008B2000"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1D69A0">
      <w:rPr>
        <w:rStyle w:val="PageNumber"/>
        <w:rFonts w:ascii="Arial" w:hAnsi="Arial" w:cs="Arial"/>
        <w:noProof/>
      </w:rPr>
      <w:t>3</w:t>
    </w:r>
    <w:r w:rsidRPr="00287C89">
      <w:rPr>
        <w:rStyle w:val="PageNumber"/>
        <w:rFonts w:ascii="Arial" w:hAnsi="Arial" w:cs="Arial"/>
      </w:rPr>
      <w:fldChar w:fldCharType="end"/>
    </w:r>
  </w:p>
  <w:p w14:paraId="5DEC0542" w14:textId="77777777" w:rsidR="008B2000" w:rsidRDefault="008B2000" w:rsidP="00FE2A81">
    <w:pPr>
      <w:pStyle w:val="Footer"/>
      <w:ind w:right="360"/>
    </w:pPr>
  </w:p>
  <w:p w14:paraId="429295B6" w14:textId="77777777" w:rsidR="008B2000" w:rsidRDefault="008B2000"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1DF3" w14:textId="77777777" w:rsidR="006E1F6C" w:rsidRDefault="006E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8B2000" w:rsidRDefault="008B2000">
      <w:r>
        <w:separator/>
      </w:r>
    </w:p>
  </w:footnote>
  <w:footnote w:type="continuationSeparator" w:id="0">
    <w:p w14:paraId="7F846E8F" w14:textId="77777777" w:rsidR="008B2000" w:rsidRDefault="008B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53F3" w14:textId="77777777" w:rsidR="006E1F6C" w:rsidRDefault="006E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0047E25D" w:rsidR="008B2000" w:rsidRDefault="008B2000" w:rsidP="0071356F">
    <w:pPr>
      <w:pStyle w:val="Header"/>
      <w:jc w:val="center"/>
      <w:rPr>
        <w:rFonts w:ascii="Arial" w:hAnsi="Arial" w:cs="Arial"/>
        <w:b/>
      </w:rPr>
    </w:pPr>
    <w:r>
      <w:rPr>
        <w:rFonts w:ascii="Arial" w:hAnsi="Arial" w:cs="Arial"/>
        <w:b/>
      </w:rPr>
      <w:t xml:space="preserve">NOVEMBER 2019 </w:t>
    </w:r>
    <w:r w:rsidRPr="0071356F">
      <w:rPr>
        <w:rFonts w:ascii="Arial" w:hAnsi="Arial" w:cs="Arial"/>
        <w:b/>
      </w:rPr>
      <w:t>PBAC OUTCOMES –</w:t>
    </w:r>
    <w:r>
      <w:rPr>
        <w:rFonts w:ascii="Arial" w:hAnsi="Arial" w:cs="Arial"/>
        <w:b/>
      </w:rPr>
      <w:t xml:space="preserve"> </w:t>
    </w:r>
    <w:r w:rsidRPr="0071356F">
      <w:rPr>
        <w:rFonts w:ascii="Arial" w:hAnsi="Arial" w:cs="Arial"/>
        <w:b/>
      </w:rPr>
      <w:t>1</w:t>
    </w:r>
    <w:r w:rsidRPr="0071356F">
      <w:rPr>
        <w:rFonts w:ascii="Arial" w:hAnsi="Arial" w:cs="Arial"/>
        <w:b/>
        <w:vertAlign w:val="superscript"/>
      </w:rPr>
      <w:t>ST</w:t>
    </w:r>
    <w:r>
      <w:rPr>
        <w:rFonts w:ascii="Arial" w:hAnsi="Arial" w:cs="Arial"/>
        <w:b/>
      </w:rPr>
      <w:t xml:space="preserve"> TIME</w:t>
    </w:r>
    <w:r w:rsidRPr="0071356F">
      <w:rPr>
        <w:rFonts w:ascii="Arial" w:hAnsi="Arial" w:cs="Arial"/>
        <w:b/>
      </w:rPr>
      <w:t xml:space="preserve"> DECISIONS NOT TO RECOMMEND</w:t>
    </w:r>
  </w:p>
  <w:p w14:paraId="0E28AC1B" w14:textId="77777777" w:rsidR="008B2000" w:rsidRPr="0071356F" w:rsidRDefault="008B2000"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6B00" w14:textId="77777777" w:rsidR="006E1F6C" w:rsidRDefault="006E1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7"/>
  </w:num>
  <w:num w:numId="4">
    <w:abstractNumId w:val="21"/>
  </w:num>
  <w:num w:numId="5">
    <w:abstractNumId w:val="11"/>
  </w:num>
  <w:num w:numId="6">
    <w:abstractNumId w:val="6"/>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2"/>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6"/>
  </w:num>
  <w:num w:numId="18">
    <w:abstractNumId w:val="38"/>
  </w:num>
  <w:num w:numId="19">
    <w:abstractNumId w:val="5"/>
  </w:num>
  <w:num w:numId="20">
    <w:abstractNumId w:val="12"/>
  </w:num>
  <w:num w:numId="21">
    <w:abstractNumId w:val="14"/>
  </w:num>
  <w:num w:numId="22">
    <w:abstractNumId w:val="34"/>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7"/>
  </w:num>
  <w:num w:numId="31">
    <w:abstractNumId w:val="15"/>
  </w:num>
  <w:num w:numId="32">
    <w:abstractNumId w:val="30"/>
  </w:num>
  <w:num w:numId="33">
    <w:abstractNumId w:val="35"/>
  </w:num>
  <w:num w:numId="34">
    <w:abstractNumId w:val="33"/>
  </w:num>
  <w:num w:numId="35">
    <w:abstractNumId w:val="3"/>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027"/>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8C8"/>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4038"/>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5A"/>
    <w:rsid w:val="00147FC1"/>
    <w:rsid w:val="001500C8"/>
    <w:rsid w:val="001502B0"/>
    <w:rsid w:val="00150381"/>
    <w:rsid w:val="0015080E"/>
    <w:rsid w:val="00151520"/>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69A0"/>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3CE"/>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2F0"/>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2B8"/>
    <w:rsid w:val="00265FE9"/>
    <w:rsid w:val="002664D2"/>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0F4"/>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3BE"/>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2C6F"/>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67B35"/>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866"/>
    <w:rsid w:val="00466912"/>
    <w:rsid w:val="00467686"/>
    <w:rsid w:val="00467792"/>
    <w:rsid w:val="004679AB"/>
    <w:rsid w:val="004711E4"/>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136"/>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6998"/>
    <w:rsid w:val="004B758A"/>
    <w:rsid w:val="004B78F6"/>
    <w:rsid w:val="004B7F9F"/>
    <w:rsid w:val="004C06CE"/>
    <w:rsid w:val="004C099B"/>
    <w:rsid w:val="004C0BAC"/>
    <w:rsid w:val="004C0DB4"/>
    <w:rsid w:val="004C16F5"/>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178C3"/>
    <w:rsid w:val="0052052F"/>
    <w:rsid w:val="00520571"/>
    <w:rsid w:val="00520900"/>
    <w:rsid w:val="00522C8A"/>
    <w:rsid w:val="00523AF8"/>
    <w:rsid w:val="00523F57"/>
    <w:rsid w:val="00523F8F"/>
    <w:rsid w:val="005248F8"/>
    <w:rsid w:val="00524E1E"/>
    <w:rsid w:val="0052565F"/>
    <w:rsid w:val="00526E9C"/>
    <w:rsid w:val="005271AC"/>
    <w:rsid w:val="0052731E"/>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4A7"/>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4BB8"/>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154E"/>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2B2F"/>
    <w:rsid w:val="006936CD"/>
    <w:rsid w:val="0069391C"/>
    <w:rsid w:val="00693A98"/>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6C"/>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A5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063"/>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29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67C2C"/>
    <w:rsid w:val="00870856"/>
    <w:rsid w:val="0087157B"/>
    <w:rsid w:val="008731E9"/>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2000"/>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769"/>
    <w:rsid w:val="008C5C81"/>
    <w:rsid w:val="008C6580"/>
    <w:rsid w:val="008C7375"/>
    <w:rsid w:val="008C7673"/>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5E6D"/>
    <w:rsid w:val="009F697A"/>
    <w:rsid w:val="009F6DAC"/>
    <w:rsid w:val="009F7309"/>
    <w:rsid w:val="009F763F"/>
    <w:rsid w:val="009F7748"/>
    <w:rsid w:val="009F7802"/>
    <w:rsid w:val="009F791B"/>
    <w:rsid w:val="009F79D5"/>
    <w:rsid w:val="009F7D96"/>
    <w:rsid w:val="00A007E7"/>
    <w:rsid w:val="00A00F2E"/>
    <w:rsid w:val="00A02A52"/>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1CA3"/>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6EEF"/>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4268"/>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04AB"/>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58F7"/>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D1A"/>
    <w:rsid w:val="00B952E7"/>
    <w:rsid w:val="00B95B2F"/>
    <w:rsid w:val="00B95E21"/>
    <w:rsid w:val="00B97356"/>
    <w:rsid w:val="00B97A6D"/>
    <w:rsid w:val="00BA0391"/>
    <w:rsid w:val="00BA0427"/>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42"/>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052"/>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5F45"/>
    <w:rsid w:val="00C46111"/>
    <w:rsid w:val="00C46822"/>
    <w:rsid w:val="00C46CE5"/>
    <w:rsid w:val="00C47CFC"/>
    <w:rsid w:val="00C50260"/>
    <w:rsid w:val="00C51395"/>
    <w:rsid w:val="00C51553"/>
    <w:rsid w:val="00C518A5"/>
    <w:rsid w:val="00C51A60"/>
    <w:rsid w:val="00C52334"/>
    <w:rsid w:val="00C52C65"/>
    <w:rsid w:val="00C53110"/>
    <w:rsid w:val="00C53474"/>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443"/>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4FA7"/>
    <w:rsid w:val="00CB5D5B"/>
    <w:rsid w:val="00CB6E94"/>
    <w:rsid w:val="00CB7060"/>
    <w:rsid w:val="00CB77F2"/>
    <w:rsid w:val="00CB7DD6"/>
    <w:rsid w:val="00CC0438"/>
    <w:rsid w:val="00CC0563"/>
    <w:rsid w:val="00CC140D"/>
    <w:rsid w:val="00CC1E56"/>
    <w:rsid w:val="00CC2270"/>
    <w:rsid w:val="00CC3277"/>
    <w:rsid w:val="00CC385B"/>
    <w:rsid w:val="00CC3E43"/>
    <w:rsid w:val="00CC4207"/>
    <w:rsid w:val="00CC5222"/>
    <w:rsid w:val="00CC5775"/>
    <w:rsid w:val="00CC62CD"/>
    <w:rsid w:val="00CC6C6A"/>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4BC"/>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458"/>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494"/>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3B5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83C"/>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074E3"/>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72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33D"/>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3F01"/>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3D25"/>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Numbered para,BulletPoints,List Paragraph1,Bullet point,List Paragraph11,Recommendation,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Numbered para Char,BulletPoints Char,List Paragraph1 Char,Bullet point Char,List Paragraph11 Char,Recommendation Char,L Char,Bullet Point Char,Bulletr List Paragraph Char,Content descriptions Char,FooterText Char,List Bullet 1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rsid w:val="00377360"/>
  </w:style>
  <w:style w:type="paragraph" w:customStyle="1" w:styleId="PBACHeading1">
    <w:name w:val="PBAC Heading 1"/>
    <w:qFormat/>
    <w:rsid w:val="00F7533D"/>
    <w:pPr>
      <w:ind w:left="720" w:hanging="720"/>
    </w:pPr>
    <w:rPr>
      <w:rFonts w:ascii="Calibri" w:hAnsi="Calibri" w:cs="Arial"/>
      <w:b/>
      <w:snapToGrid w:val="0"/>
      <w:sz w:val="32"/>
      <w:szCs w:val="22"/>
      <w:lang w:eastAsia="en-US"/>
    </w:rPr>
  </w:style>
  <w:style w:type="paragraph" w:customStyle="1" w:styleId="2-SectionHeading">
    <w:name w:val="2-Section Heading"/>
    <w:qFormat/>
    <w:rsid w:val="00DA7494"/>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link w:val="3-BodyTextChar"/>
    <w:qFormat/>
    <w:rsid w:val="00DA7494"/>
    <w:p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DA7494"/>
    <w:rPr>
      <w:rFonts w:asciiTheme="minorHAnsi" w:eastAsiaTheme="minorHAnsi" w:hAnsiTheme="minorHAnsi" w:cstheme="minorBidi"/>
      <w:sz w:val="24"/>
      <w:szCs w:val="22"/>
    </w:rPr>
  </w:style>
  <w:style w:type="paragraph" w:styleId="Revision">
    <w:name w:val="Revision"/>
    <w:hidden/>
    <w:uiPriority w:val="99"/>
    <w:semiHidden/>
    <w:rsid w:val="00EF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369">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462533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6708067">
      <w:bodyDiv w:val="1"/>
      <w:marLeft w:val="0"/>
      <w:marRight w:val="0"/>
      <w:marTop w:val="0"/>
      <w:marBottom w:val="0"/>
      <w:divBdr>
        <w:top w:val="none" w:sz="0" w:space="0" w:color="auto"/>
        <w:left w:val="none" w:sz="0" w:space="0" w:color="auto"/>
        <w:bottom w:val="none" w:sz="0" w:space="0" w:color="auto"/>
        <w:right w:val="none" w:sz="0" w:space="0" w:color="auto"/>
      </w:divBdr>
    </w:div>
    <w:div w:id="68623896">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2946">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5942422">
      <w:bodyDiv w:val="1"/>
      <w:marLeft w:val="0"/>
      <w:marRight w:val="0"/>
      <w:marTop w:val="0"/>
      <w:marBottom w:val="0"/>
      <w:divBdr>
        <w:top w:val="none" w:sz="0" w:space="0" w:color="auto"/>
        <w:left w:val="none" w:sz="0" w:space="0" w:color="auto"/>
        <w:bottom w:val="none" w:sz="0" w:space="0" w:color="auto"/>
        <w:right w:val="none" w:sz="0" w:space="0" w:color="auto"/>
      </w:divBdr>
    </w:div>
    <w:div w:id="26177039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20773">
      <w:bodyDiv w:val="1"/>
      <w:marLeft w:val="0"/>
      <w:marRight w:val="0"/>
      <w:marTop w:val="0"/>
      <w:marBottom w:val="0"/>
      <w:divBdr>
        <w:top w:val="none" w:sz="0" w:space="0" w:color="auto"/>
        <w:left w:val="none" w:sz="0" w:space="0" w:color="auto"/>
        <w:bottom w:val="none" w:sz="0" w:space="0" w:color="auto"/>
        <w:right w:val="none" w:sz="0" w:space="0" w:color="auto"/>
      </w:divBdr>
    </w:div>
    <w:div w:id="302392707">
      <w:bodyDiv w:val="1"/>
      <w:marLeft w:val="0"/>
      <w:marRight w:val="0"/>
      <w:marTop w:val="0"/>
      <w:marBottom w:val="0"/>
      <w:divBdr>
        <w:top w:val="none" w:sz="0" w:space="0" w:color="auto"/>
        <w:left w:val="none" w:sz="0" w:space="0" w:color="auto"/>
        <w:bottom w:val="none" w:sz="0" w:space="0" w:color="auto"/>
        <w:right w:val="none" w:sz="0" w:space="0" w:color="auto"/>
      </w:divBdr>
    </w:div>
    <w:div w:id="303314492">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570762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868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167099">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4249138">
      <w:bodyDiv w:val="1"/>
      <w:marLeft w:val="0"/>
      <w:marRight w:val="0"/>
      <w:marTop w:val="0"/>
      <w:marBottom w:val="0"/>
      <w:divBdr>
        <w:top w:val="none" w:sz="0" w:space="0" w:color="auto"/>
        <w:left w:val="none" w:sz="0" w:space="0" w:color="auto"/>
        <w:bottom w:val="none" w:sz="0" w:space="0" w:color="auto"/>
        <w:right w:val="none" w:sz="0" w:space="0" w:color="auto"/>
      </w:divBdr>
    </w:div>
    <w:div w:id="485123957">
      <w:bodyDiv w:val="1"/>
      <w:marLeft w:val="0"/>
      <w:marRight w:val="0"/>
      <w:marTop w:val="0"/>
      <w:marBottom w:val="0"/>
      <w:divBdr>
        <w:top w:val="none" w:sz="0" w:space="0" w:color="auto"/>
        <w:left w:val="none" w:sz="0" w:space="0" w:color="auto"/>
        <w:bottom w:val="none" w:sz="0" w:space="0" w:color="auto"/>
        <w:right w:val="none" w:sz="0" w:space="0" w:color="auto"/>
      </w:divBdr>
    </w:div>
    <w:div w:id="487022352">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102204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264157">
      <w:bodyDiv w:val="1"/>
      <w:marLeft w:val="0"/>
      <w:marRight w:val="0"/>
      <w:marTop w:val="0"/>
      <w:marBottom w:val="0"/>
      <w:divBdr>
        <w:top w:val="none" w:sz="0" w:space="0" w:color="auto"/>
        <w:left w:val="none" w:sz="0" w:space="0" w:color="auto"/>
        <w:bottom w:val="none" w:sz="0" w:space="0" w:color="auto"/>
        <w:right w:val="none" w:sz="0" w:space="0" w:color="auto"/>
      </w:divBdr>
    </w:div>
    <w:div w:id="623927247">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6981450">
      <w:bodyDiv w:val="1"/>
      <w:marLeft w:val="0"/>
      <w:marRight w:val="0"/>
      <w:marTop w:val="0"/>
      <w:marBottom w:val="0"/>
      <w:divBdr>
        <w:top w:val="none" w:sz="0" w:space="0" w:color="auto"/>
        <w:left w:val="none" w:sz="0" w:space="0" w:color="auto"/>
        <w:bottom w:val="none" w:sz="0" w:space="0" w:color="auto"/>
        <w:right w:val="none" w:sz="0" w:space="0" w:color="auto"/>
      </w:divBdr>
    </w:div>
    <w:div w:id="647898607">
      <w:bodyDiv w:val="1"/>
      <w:marLeft w:val="0"/>
      <w:marRight w:val="0"/>
      <w:marTop w:val="0"/>
      <w:marBottom w:val="0"/>
      <w:divBdr>
        <w:top w:val="none" w:sz="0" w:space="0" w:color="auto"/>
        <w:left w:val="none" w:sz="0" w:space="0" w:color="auto"/>
        <w:bottom w:val="none" w:sz="0" w:space="0" w:color="auto"/>
        <w:right w:val="none" w:sz="0" w:space="0" w:color="auto"/>
      </w:divBdr>
    </w:div>
    <w:div w:id="655887256">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5582885">
      <w:bodyDiv w:val="1"/>
      <w:marLeft w:val="0"/>
      <w:marRight w:val="0"/>
      <w:marTop w:val="0"/>
      <w:marBottom w:val="0"/>
      <w:divBdr>
        <w:top w:val="none" w:sz="0" w:space="0" w:color="auto"/>
        <w:left w:val="none" w:sz="0" w:space="0" w:color="auto"/>
        <w:bottom w:val="none" w:sz="0" w:space="0" w:color="auto"/>
        <w:right w:val="none" w:sz="0" w:space="0" w:color="auto"/>
      </w:divBdr>
    </w:div>
    <w:div w:id="79452549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7542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674202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3314972">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0095926">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354314">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414133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1971208">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072809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7419767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247864">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26754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3898617">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474276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1816506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65032915">
      <w:bodyDiv w:val="1"/>
      <w:marLeft w:val="0"/>
      <w:marRight w:val="0"/>
      <w:marTop w:val="0"/>
      <w:marBottom w:val="0"/>
      <w:divBdr>
        <w:top w:val="none" w:sz="0" w:space="0" w:color="auto"/>
        <w:left w:val="none" w:sz="0" w:space="0" w:color="auto"/>
        <w:bottom w:val="none" w:sz="0" w:space="0" w:color="auto"/>
        <w:right w:val="none" w:sz="0" w:space="0" w:color="auto"/>
      </w:divBdr>
    </w:div>
    <w:div w:id="1765109838">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4570231">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241602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1133124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66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9E0D-A7DE-4F82-906B-798C0538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2019-12-18T22:35:00Z</dcterms:created>
  <dcterms:modified xsi:type="dcterms:W3CDTF">2019-12-19T23:55:00Z</dcterms:modified>
</cp:coreProperties>
</file>