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379"/>
        <w:gridCol w:w="2759"/>
        <w:gridCol w:w="5880"/>
      </w:tblGrid>
      <w:tr w:rsidR="001F5154" w:rsidRPr="001F5154" w:rsidTr="001F5154">
        <w:trPr>
          <w:cantSplit/>
          <w:tblHeader/>
        </w:trPr>
        <w:tc>
          <w:tcPr>
            <w:tcW w:w="306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rsidR="001F5154" w:rsidRPr="001F5154" w:rsidRDefault="001F5154" w:rsidP="001F5154">
            <w:pPr>
              <w:widowControl w:val="0"/>
              <w:spacing w:after="0" w:line="240" w:lineRule="auto"/>
              <w:jc w:val="center"/>
              <w:rPr>
                <w:rFonts w:ascii="Arial" w:eastAsia="Times New Roman" w:hAnsi="Arial" w:cs="Arial"/>
                <w:b/>
                <w:sz w:val="20"/>
                <w:szCs w:val="20"/>
                <w:lang w:eastAsia="en-AU"/>
              </w:rPr>
            </w:pPr>
            <w:bookmarkStart w:id="0" w:name="_GoBack"/>
            <w:bookmarkEnd w:id="0"/>
            <w:r w:rsidRPr="001F5154">
              <w:rPr>
                <w:rFonts w:ascii="Arial" w:eastAsia="Times New Roman" w:hAnsi="Arial" w:cs="Arial"/>
                <w:b/>
                <w:sz w:val="20"/>
                <w:szCs w:val="20"/>
                <w:lang w:eastAsia="en-AU"/>
              </w:rPr>
              <w:t>DRUG, SPONSOR, TYPE OF SUBMISSION</w:t>
            </w:r>
          </w:p>
        </w:tc>
        <w:tc>
          <w:tcPr>
            <w:tcW w:w="241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rsidR="001F5154" w:rsidRPr="001F5154" w:rsidRDefault="001F5154" w:rsidP="001F5154">
            <w:pPr>
              <w:widowControl w:val="0"/>
              <w:spacing w:after="0" w:line="240" w:lineRule="auto"/>
              <w:jc w:val="center"/>
              <w:rPr>
                <w:rFonts w:ascii="Arial" w:eastAsia="Times New Roman" w:hAnsi="Arial" w:cs="Arial"/>
                <w:b/>
                <w:snapToGrid w:val="0"/>
                <w:sz w:val="20"/>
                <w:szCs w:val="20"/>
              </w:rPr>
            </w:pPr>
            <w:r w:rsidRPr="001F5154">
              <w:rPr>
                <w:rFonts w:ascii="Arial" w:eastAsia="Times New Roman" w:hAnsi="Arial" w:cs="Arial"/>
                <w:b/>
                <w:snapToGrid w:val="0"/>
                <w:sz w:val="20"/>
                <w:szCs w:val="20"/>
              </w:rPr>
              <w:t>DRUG TYPE OR USE</w:t>
            </w:r>
          </w:p>
          <w:p w:rsidR="001F5154" w:rsidRPr="001F5154" w:rsidRDefault="001F5154" w:rsidP="001F5154">
            <w:pPr>
              <w:widowControl w:val="0"/>
              <w:spacing w:after="0" w:line="240" w:lineRule="auto"/>
              <w:jc w:val="center"/>
              <w:rPr>
                <w:rFonts w:ascii="Arial" w:eastAsia="Times New Roman" w:hAnsi="Arial" w:cs="Arial"/>
                <w:b/>
                <w:snapToGrid w:val="0"/>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rsidR="001F5154" w:rsidRPr="001F5154" w:rsidRDefault="001F5154" w:rsidP="001F5154">
            <w:pPr>
              <w:widowControl w:val="0"/>
              <w:spacing w:after="0" w:line="240" w:lineRule="auto"/>
              <w:jc w:val="center"/>
              <w:rPr>
                <w:rFonts w:ascii="Arial" w:eastAsia="Times New Roman" w:hAnsi="Arial" w:cs="Arial"/>
                <w:b/>
                <w:snapToGrid w:val="0"/>
                <w:sz w:val="20"/>
                <w:szCs w:val="20"/>
              </w:rPr>
            </w:pPr>
            <w:r w:rsidRPr="001F5154">
              <w:rPr>
                <w:rFonts w:ascii="Arial" w:eastAsia="Times New Roman" w:hAnsi="Arial" w:cs="Arial"/>
                <w:b/>
                <w:snapToGrid w:val="0"/>
                <w:sz w:val="20"/>
                <w:szCs w:val="20"/>
              </w:rPr>
              <w:t>LISTING REQUESTED BY SPONSOR / PURPOSE OF SUBMISSION</w:t>
            </w: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1F5154" w:rsidRPr="001F5154" w:rsidRDefault="001F5154" w:rsidP="001F5154">
            <w:pPr>
              <w:widowControl w:val="0"/>
              <w:spacing w:after="0" w:line="240" w:lineRule="auto"/>
              <w:jc w:val="center"/>
              <w:rPr>
                <w:rFonts w:ascii="Arial" w:eastAsia="Times New Roman" w:hAnsi="Arial" w:cs="Arial"/>
                <w:b/>
                <w:snapToGrid w:val="0"/>
                <w:sz w:val="20"/>
                <w:szCs w:val="20"/>
              </w:rPr>
            </w:pPr>
            <w:r w:rsidRPr="001F5154">
              <w:rPr>
                <w:rFonts w:ascii="Arial" w:eastAsia="Times New Roman" w:hAnsi="Arial" w:cs="Arial"/>
                <w:b/>
                <w:snapToGrid w:val="0"/>
                <w:sz w:val="20"/>
                <w:szCs w:val="20"/>
              </w:rPr>
              <w:t>PBAC OUTCOME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ADALIMUMAB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80 mg in 0.8 mL pre-filled pen</w:t>
            </w:r>
            <w:r w:rsidRPr="001F5154">
              <w:rPr>
                <w:rFonts w:ascii="Arial" w:eastAsia="Times New Roman" w:hAnsi="Arial" w:cs="Arial"/>
                <w:sz w:val="20"/>
                <w:szCs w:val="20"/>
                <w:lang w:eastAsia="en-AU"/>
              </w:rPr>
              <w:br/>
              <w:t>Injection 80 mg in 0.8 mL pre-filled syringe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Humira®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AbbVie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Moderate to severe hidradenitis </w:t>
            </w:r>
            <w:proofErr w:type="spellStart"/>
            <w:r w:rsidRPr="001F5154">
              <w:rPr>
                <w:rFonts w:ascii="Arial" w:eastAsia="Times New Roman" w:hAnsi="Arial" w:cs="Arial"/>
                <w:snapToGrid w:val="0"/>
                <w:sz w:val="20"/>
                <w:szCs w:val="20"/>
              </w:rPr>
              <w:t>suppurativa</w:t>
            </w:r>
            <w:proofErr w:type="spellEnd"/>
            <w:r w:rsidRPr="001F5154">
              <w:rPr>
                <w:rFonts w:ascii="Arial" w:eastAsia="Times New Roman" w:hAnsi="Arial" w:cs="Arial"/>
                <w:snapToGrid w:val="0"/>
                <w:sz w:val="20"/>
                <w:szCs w:val="20"/>
              </w:rPr>
              <w:t xml:space="preserve"> (HS)</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Authority Required listing of a new form of adalimumab for the treatment of patients with HS under the same conditions as current listings.</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an Authority Required listing of adalimumab 80 mg/0.8 mL pre-filled pens and syringes for the treatment of moderate to severe HS at the same cost per milligram as the 40 mg/0.8mL form. The PBAC considered the listing was likely to be cost neutral to Government.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AMINO ACID FORMULA WITH CARBOHYDRATE, WITHOUT PHENYLALANINE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1.25 g, 462</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PKU Easy Tablet®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Orpharma</w:t>
            </w:r>
            <w:proofErr w:type="spellEnd"/>
            <w:r w:rsidRPr="001F5154">
              <w:rPr>
                <w:rFonts w:ascii="Arial" w:eastAsia="Times New Roman" w:hAnsi="Arial" w:cs="Arial"/>
                <w:sz w:val="20"/>
                <w:szCs w:val="20"/>
                <w:lang w:eastAsia="en-AU"/>
              </w:rPr>
              <w:t xml:space="preserv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Phenylketonuria (PKU)</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dietary management of patients with PKU.</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amino acid formula with carbohydrate without phenylalanine (</w:t>
            </w:r>
            <w:r w:rsidRPr="001F5154">
              <w:rPr>
                <w:rFonts w:ascii="Arial" w:eastAsia="Times New Roman" w:hAnsi="Arial" w:cs="Arial"/>
                <w:sz w:val="20"/>
                <w:szCs w:val="20"/>
                <w:lang w:eastAsia="en-AU"/>
              </w:rPr>
              <w:t>PKU Easy Tablet®</w:t>
            </w:r>
            <w:r w:rsidRPr="001F5154">
              <w:rPr>
                <w:rFonts w:ascii="Arial" w:eastAsia="Times New Roman" w:hAnsi="Arial" w:cs="Arial"/>
                <w:snapToGrid w:val="0"/>
                <w:sz w:val="20"/>
                <w:szCs w:val="20"/>
              </w:rPr>
              <w:t>) for the dietary management of PKU on a cost-minimisation basis to</w:t>
            </w:r>
            <w:r w:rsidRPr="001F5154">
              <w:rPr>
                <w:rFonts w:eastAsia="Times New Roman"/>
                <w:sz w:val="20"/>
                <w:szCs w:val="20"/>
                <w:lang w:eastAsia="en-AU"/>
              </w:rPr>
              <w:t xml:space="preserve"> </w:t>
            </w:r>
            <w:r w:rsidRPr="001F5154">
              <w:rPr>
                <w:rFonts w:ascii="Arial" w:eastAsia="Times New Roman" w:hAnsi="Arial" w:cs="Arial"/>
                <w:snapToGrid w:val="0"/>
                <w:sz w:val="20"/>
                <w:szCs w:val="20"/>
              </w:rPr>
              <w:t>Phlexy-10</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vertAlign w:val="superscript"/>
              </w:rPr>
              <w:t xml:space="preserve"> </w:t>
            </w:r>
            <w:r w:rsidRPr="001F5154">
              <w:rPr>
                <w:rFonts w:ascii="Arial" w:eastAsia="Times New Roman" w:hAnsi="Arial" w:cs="Arial"/>
                <w:snapToGrid w:val="0"/>
                <w:sz w:val="20"/>
                <w:szCs w:val="20"/>
              </w:rPr>
              <w:t xml:space="preserve">at an equivalent cost per gram of protein equivalent.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AMINO ACID FORMULA WITH FAT, CARBOHYDRATE, WITHOUT METHIONINE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Tablets 0.91 g, 462</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HCU Easy Tablet®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Orpharma</w:t>
            </w:r>
            <w:proofErr w:type="spellEnd"/>
            <w:r w:rsidRPr="001F5154">
              <w:rPr>
                <w:rFonts w:ascii="Arial" w:eastAsia="Times New Roman" w:hAnsi="Arial" w:cs="Arial"/>
                <w:sz w:val="20"/>
                <w:szCs w:val="20"/>
                <w:lang w:eastAsia="en-AU"/>
              </w:rPr>
              <w:t xml:space="preserv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Pyridoxine non-responsive homocystinuria (HCU)</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dietary management of patients with pyridoxine non-responsive HCU.</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amino acid formula with fat, carbohydrate without methionine (</w:t>
            </w:r>
            <w:r w:rsidRPr="001F5154">
              <w:rPr>
                <w:rFonts w:ascii="Arial" w:eastAsia="Times New Roman" w:hAnsi="Arial" w:cs="Arial"/>
                <w:sz w:val="20"/>
                <w:szCs w:val="20"/>
                <w:lang w:eastAsia="en-AU"/>
              </w:rPr>
              <w:t>HCU Easy Tablet®)</w:t>
            </w:r>
            <w:r w:rsidRPr="001F5154">
              <w:rPr>
                <w:rFonts w:ascii="Arial" w:eastAsia="Times New Roman" w:hAnsi="Arial" w:cs="Arial"/>
                <w:snapToGrid w:val="0"/>
                <w:sz w:val="20"/>
                <w:szCs w:val="20"/>
              </w:rPr>
              <w:t xml:space="preserve"> for the dietary management of pyridoxine non-responsive HCU on a cost-minimisation basis to HCU Cooler 20</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at an equivalent cost per gram of protein equivalent.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AMINO ACID FORMULA WITH FAT, CARBOHYDRATE, WITHOUT PHENYLALANINE AND TYROSINE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Tablets 0.91 g, 462</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TYR Easy Tablet®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Orpharma</w:t>
            </w:r>
            <w:proofErr w:type="spellEnd"/>
            <w:r w:rsidRPr="001F5154">
              <w:rPr>
                <w:rFonts w:ascii="Arial" w:eastAsia="Times New Roman" w:hAnsi="Arial" w:cs="Arial"/>
                <w:sz w:val="20"/>
                <w:szCs w:val="20"/>
                <w:lang w:eastAsia="en-AU"/>
              </w:rPr>
              <w:t xml:space="preserv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proofErr w:type="spellStart"/>
            <w:r w:rsidRPr="001F5154">
              <w:rPr>
                <w:rFonts w:ascii="Arial" w:eastAsia="Times New Roman" w:hAnsi="Arial" w:cs="Arial"/>
                <w:snapToGrid w:val="0"/>
                <w:sz w:val="20"/>
                <w:szCs w:val="20"/>
              </w:rPr>
              <w:t>Tyrosinaemia</w:t>
            </w:r>
            <w:proofErr w:type="spellEnd"/>
            <w:r w:rsidRPr="001F5154">
              <w:rPr>
                <w:rFonts w:ascii="Arial" w:eastAsia="Times New Roman" w:hAnsi="Arial" w:cs="Arial"/>
                <w:snapToGrid w:val="0"/>
                <w:sz w:val="20"/>
                <w:szCs w:val="20"/>
              </w:rPr>
              <w:t xml:space="preserve"> (TYR)</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dietary management of patients with TYR.</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amino acid formula with fat, carbohydrate without phenylalanine and tyrosine (TYR Easy Tablet®) for the dietary management of TYR</w:t>
            </w:r>
            <w:r w:rsidRPr="001F5154">
              <w:rPr>
                <w:rFonts w:eastAsia="Times New Roman"/>
                <w:sz w:val="20"/>
                <w:szCs w:val="20"/>
                <w:lang w:eastAsia="en-AU"/>
              </w:rPr>
              <w:t xml:space="preserve"> </w:t>
            </w:r>
            <w:r w:rsidRPr="001F5154">
              <w:rPr>
                <w:rFonts w:ascii="Arial" w:eastAsia="Times New Roman" w:hAnsi="Arial" w:cs="Arial"/>
                <w:snapToGrid w:val="0"/>
                <w:sz w:val="20"/>
                <w:szCs w:val="20"/>
              </w:rPr>
              <w:t>on a cost-minimisation basis to TYR Cooler 15</w:t>
            </w:r>
            <w:r w:rsidRPr="001F5154">
              <w:rPr>
                <w:rFonts w:ascii="Arial" w:eastAsia="Times New Roman" w:hAnsi="Arial" w:cs="Arial"/>
                <w:snapToGrid w:val="0"/>
                <w:sz w:val="20"/>
                <w:szCs w:val="20"/>
                <w:vertAlign w:val="superscript"/>
              </w:rPr>
              <w:t>®</w:t>
            </w:r>
            <w:r w:rsidRPr="001F5154">
              <w:rPr>
                <w:rFonts w:ascii="Arial" w:eastAsia="Times New Roman" w:hAnsi="Arial" w:cs="Arial"/>
                <w:snapToGrid w:val="0"/>
                <w:sz w:val="20"/>
                <w:szCs w:val="20"/>
              </w:rPr>
              <w:t xml:space="preserve"> at an equivalent cost per gram of protein equivalent. The proposed listing was supported by the Nutritional Products Working Party.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AMINO ACID FORMULA WITH FAT, CARBOHYDRATE, WITHOUT VALINE, LEUCINE AND ISOLEUCINE</w:t>
            </w:r>
            <w:r w:rsidRPr="001F5154">
              <w:rPr>
                <w:rFonts w:ascii="Arial" w:eastAsia="Times New Roman" w:hAnsi="Arial" w:cs="Arial"/>
                <w:sz w:val="20"/>
                <w:szCs w:val="20"/>
                <w:lang w:eastAsia="en-AU"/>
              </w:rPr>
              <w:br/>
            </w: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Tablets 1.25 g, 462</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MSUD Easy Tablet®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Orpharma</w:t>
            </w:r>
            <w:proofErr w:type="spellEnd"/>
            <w:r w:rsidRPr="001F5154">
              <w:rPr>
                <w:rFonts w:ascii="Arial" w:eastAsia="Times New Roman" w:hAnsi="Arial" w:cs="Arial"/>
                <w:sz w:val="20"/>
                <w:szCs w:val="20"/>
                <w:lang w:eastAsia="en-AU"/>
              </w:rPr>
              <w:t xml:space="preserv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Maple syrup urine disease (MSUD)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dietary management of patients with MSUD.</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amino acid formula (MSUD Easy Tablet®) for the dietary management of MSUD</w:t>
            </w:r>
            <w:r w:rsidRPr="001F5154">
              <w:rPr>
                <w:rFonts w:eastAsia="Times New Roman"/>
                <w:sz w:val="20"/>
                <w:szCs w:val="20"/>
                <w:lang w:eastAsia="en-AU"/>
              </w:rPr>
              <w:t xml:space="preserve"> </w:t>
            </w:r>
            <w:r w:rsidRPr="001F5154">
              <w:rPr>
                <w:rFonts w:ascii="Arial" w:eastAsia="Times New Roman" w:hAnsi="Arial" w:cs="Arial"/>
                <w:snapToGrid w:val="0"/>
                <w:sz w:val="20"/>
                <w:szCs w:val="20"/>
              </w:rPr>
              <w:t>on a cost-minimisation basis to MSUD Express 20</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at an equivalent cost per gram of protein equivalent.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AMINO ACID FORMULA WITH VITAMINS AND MINERALS WITHOUT VALINE, LEUCINE AND ISOLEUCINE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Sachets containing oral powder 12.5 g, 30</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MSUD Explore 5®</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Vitaflo Australia Pty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Maple syrup urine disease (MSUD)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dietary management of patients with MSUD.</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amino acid formula (</w:t>
            </w:r>
            <w:r w:rsidRPr="001F5154">
              <w:rPr>
                <w:rFonts w:ascii="Arial" w:eastAsia="Times New Roman" w:hAnsi="Arial" w:cs="Arial"/>
                <w:sz w:val="20"/>
                <w:szCs w:val="20"/>
                <w:lang w:eastAsia="en-AU"/>
              </w:rPr>
              <w:t>MSUD Explore 5®)</w:t>
            </w:r>
            <w:r w:rsidRPr="001F5154">
              <w:rPr>
                <w:rFonts w:ascii="Arial" w:eastAsia="Times New Roman" w:hAnsi="Arial" w:cs="Arial"/>
                <w:snapToGrid w:val="0"/>
                <w:sz w:val="20"/>
                <w:szCs w:val="20"/>
              </w:rPr>
              <w:t xml:space="preserve"> for the dietary management of MSUD, on a cost-minimisation basis with MSUD Ge</w:t>
            </w:r>
            <w:r w:rsidRPr="001F5154">
              <w:rPr>
                <w:rFonts w:ascii="Arial" w:eastAsia="Times New Roman" w:hAnsi="Arial" w:cs="Arial"/>
                <w:snapToGrid w:val="0"/>
                <w:color w:val="000000"/>
                <w:sz w:val="20"/>
                <w:szCs w:val="20"/>
              </w:rPr>
              <w:t>l</w:t>
            </w:r>
            <w:r w:rsidRPr="001F5154">
              <w:rPr>
                <w:rFonts w:ascii="Arial" w:eastAsia="Times New Roman" w:hAnsi="Arial" w:cs="Arial"/>
                <w:sz w:val="20"/>
                <w:szCs w:val="20"/>
                <w:lang w:eastAsia="en-AU"/>
              </w:rPr>
              <w:t>®</w:t>
            </w:r>
            <w:r w:rsidRPr="001F5154">
              <w:rPr>
                <w:rFonts w:ascii="Arial" w:eastAsia="Times New Roman" w:hAnsi="Arial" w:cs="Arial"/>
                <w:snapToGrid w:val="0"/>
                <w:color w:val="000000"/>
                <w:sz w:val="20"/>
                <w:szCs w:val="20"/>
              </w:rPr>
              <w:t xml:space="preserve"> </w:t>
            </w:r>
            <w:r w:rsidRPr="001F5154">
              <w:rPr>
                <w:rFonts w:ascii="Arial" w:eastAsia="Times New Roman" w:hAnsi="Arial" w:cs="Arial"/>
                <w:snapToGrid w:val="0"/>
                <w:sz w:val="20"/>
                <w:szCs w:val="20"/>
              </w:rPr>
              <w:t>at an equivalent cost per gram of protein equivalent.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ATEZOLIZUMAB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Solution concentrate for I.V. infusion 840 mg in 14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Tecentriq</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Roche Products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Non-small cell lung cancer (NSCLC)</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the addition of a new vial size and to amend the current dosing regimens of atezolizumab for second-line (2L) and first-line (1L) NSCLC to allow clinician choice of either:</w:t>
            </w:r>
            <w:r w:rsidRPr="001F5154">
              <w:rPr>
                <w:rFonts w:ascii="Arial" w:eastAsia="Times New Roman" w:hAnsi="Arial" w:cs="Arial"/>
                <w:snapToGrid w:val="0"/>
                <w:sz w:val="20"/>
                <w:szCs w:val="20"/>
              </w:rPr>
              <w:br/>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1,200 mg Q3W dosing, or</w:t>
            </w:r>
            <w:r w:rsidRPr="001F5154">
              <w:rPr>
                <w:rFonts w:ascii="Arial" w:eastAsia="Times New Roman" w:hAnsi="Arial" w:cs="Arial"/>
                <w:snapToGrid w:val="0"/>
                <w:sz w:val="20"/>
                <w:szCs w:val="20"/>
              </w:rPr>
              <w:br/>
              <w:t>• 1,680 mg Q4W dosing.</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Section 100 (Efficient Funding of Chemotherapy) Authority Required (STREAMLINED) listing of a new form of atezolizumab (840 mg in 14 mL) and addition of a new dosing regimen 1680 mg every four weeks (Q4W) to the existing dosing regimen</w:t>
            </w:r>
            <w:proofErr w:type="gramStart"/>
            <w:r w:rsidRPr="001F5154">
              <w:rPr>
                <w:rFonts w:ascii="Arial" w:eastAsia="Times New Roman" w:hAnsi="Arial" w:cs="Arial"/>
                <w:snapToGrid w:val="0"/>
                <w:sz w:val="20"/>
                <w:szCs w:val="20"/>
              </w:rPr>
              <w:t>,1200</w:t>
            </w:r>
            <w:proofErr w:type="gramEnd"/>
            <w:r w:rsidRPr="001F5154">
              <w:rPr>
                <w:rFonts w:ascii="Arial" w:eastAsia="Times New Roman" w:hAnsi="Arial" w:cs="Arial"/>
                <w:snapToGrid w:val="0"/>
                <w:sz w:val="20"/>
                <w:szCs w:val="20"/>
              </w:rPr>
              <w:t xml:space="preserve"> mg every three weeks (Q3W),  for the PBS indications for 2L treatment of locally advanced or metastatic NSCLC and 1L treatment of stage IV metastatic non-squamous NSCLC. The PBAC recommended 1680 mg Q4W dosing of atezolizumab when administered as monotherapy in 2L NSCLC, and for continuing treatment after cessation of platinum doublet-chemotherapy and bevacizumab in 1L NSCLC.</w:t>
            </w:r>
            <w:r w:rsidRPr="001F5154">
              <w:rPr>
                <w:rFonts w:ascii="Arial" w:eastAsia="Times New Roman" w:hAnsi="Arial" w:cs="Arial"/>
                <w:snapToGrid w:val="0"/>
                <w:sz w:val="20"/>
                <w:szCs w:val="20"/>
              </w:rPr>
              <w:br/>
              <w:t xml:space="preserve">The PBAC considered that atezolizumab 840 mg injection would need to be included within the existing subsidisation caps of the Risk Sharing Arrangement in place for the currently listed indications.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ATEZOLIZUMAB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Solution concentrate for I.V. infusion 1200 mg in 20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Tecentriq</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Roche Products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Small cell lung cancer (SCLC)</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a Section 100 (Efficient Funding of Chemotherapy) Authority Required (STREAMLINED) listing for the first-line treatment of patients with extensive stage (ES) SCLC. </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Section 100 (Efficient Funding of Chemotherapy) Authority Required (STREAMLINED) listing of atezolizumab, for use in combination with a platinum-based chemotherapy and etoposide, for previously untreated patients with ES SCLC and an Eastern Cooperative Oncology Group score of 0-1.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considered there is a high clinical need for effective treatments for ES-SCLC. The PBAC was satisfied that atezolizumab + a platinum-based chemotherapy + etoposide</w:t>
            </w:r>
            <w:r w:rsidRPr="001F5154" w:rsidDel="0095549E">
              <w:rPr>
                <w:rFonts w:ascii="Arial" w:eastAsia="Times New Roman" w:hAnsi="Arial" w:cs="Arial"/>
                <w:snapToGrid w:val="0"/>
                <w:sz w:val="20"/>
                <w:szCs w:val="20"/>
              </w:rPr>
              <w:t xml:space="preserve"> </w:t>
            </w:r>
            <w:r w:rsidRPr="001F5154">
              <w:rPr>
                <w:rFonts w:ascii="Arial" w:eastAsia="Times New Roman" w:hAnsi="Arial" w:cs="Arial"/>
                <w:snapToGrid w:val="0"/>
                <w:sz w:val="20"/>
                <w:szCs w:val="20"/>
              </w:rPr>
              <w:t>provides, for some patients, a significant improvement in efficacy over platinum-based chemotherapy + etoposide alone. However, the PBAC considered that the magnitude and durability of the benefit was uncertain, especially given the short duration of follow-up in the trial.</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noted that the resubmission had amended the economic model and proposed a lower price and reduced total financial expenditure compared with the previous submission. The PBAC considered these changes adequately addressed the Committee’s previous concerns. The PBAC was satisfied that the incremental cost-effectiveness ratio was acceptable at the price applied in the economic model, and with the proposed Risk Sharing Arrangement.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BOTULINUM TOXIN TYPE 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Lyophilised powder for injection 100 units</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Botox®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Allergan Australia Pty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Spasticity of the upper limb </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extension to the current Section 100 (Botulinum Toxin Program) Authority Required (STREAMLINED) listing for moderate to severe spasticity of the upper limb following a stroke to include the treatment of patients with moderate to severe spasticity of the upper limb following an acute event, consistent with the March 2019 PBAC recommendation for clostridium botulinum type A (Dysport®).</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extension of the current Section 100 (Botulinum Toxin Program) Authority Required (STREAMLINED) listing for botulinum toxin type A (Botox®) for the treatment of moderate to severe focal spasticity of the upper limb following a stroke, to also include spasticity following acute events other than stroke. </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Although it was not feasible to conduct an indirect comparison between Botox® and Dysport® due to small patient numbers and varying patient and trial characteristics in the available trials, the PBAC was satisfied that Botox® was non-inferior to Dysport® in terms of comparative-effectiveness and safety, given the established interchangeability between them in post-stroke upper limb spasticity.</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Based on the maximum dispensed quantity of Botox® for upper limb spasticity, the PBAC considered that the equi-effective doses of Botox® and Dysport® were: Botox® 1U = Dysport® 3.75U. The PBAC considered that the extension of the listing for Botox® should be cost neutral to the PBS and recommended that Botox® should be included in the Risk Sharing Arrangement in place for Dysport®.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BRIGATINIB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30 mg</w:t>
            </w:r>
            <w:r w:rsidRPr="001F5154">
              <w:rPr>
                <w:rFonts w:ascii="Arial" w:eastAsia="Times New Roman" w:hAnsi="Arial" w:cs="Arial"/>
                <w:sz w:val="20"/>
                <w:szCs w:val="20"/>
                <w:lang w:eastAsia="en-AU"/>
              </w:rPr>
              <w:br/>
              <w:t>Tablet 90 mg</w:t>
            </w:r>
            <w:r w:rsidRPr="001F5154">
              <w:rPr>
                <w:rFonts w:ascii="Arial" w:eastAsia="Times New Roman" w:hAnsi="Arial" w:cs="Arial"/>
                <w:sz w:val="20"/>
                <w:szCs w:val="20"/>
                <w:lang w:eastAsia="en-AU"/>
              </w:rPr>
              <w:br/>
              <w:t>Tablet 180 mg</w:t>
            </w:r>
            <w:r w:rsidRPr="001F5154">
              <w:rPr>
                <w:rFonts w:ascii="Arial" w:eastAsia="Times New Roman" w:hAnsi="Arial" w:cs="Arial"/>
                <w:sz w:val="20"/>
                <w:szCs w:val="20"/>
                <w:lang w:eastAsia="en-AU"/>
              </w:rPr>
              <w:br/>
              <w:t>Pack containing 7 tablets containing brigatinib 90 mg and 21 tablets containing brigatinib 180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Alunbrig</w:t>
            </w:r>
            <w:proofErr w:type="spellEnd"/>
            <w:r w:rsidRPr="001F5154">
              <w:rPr>
                <w:rFonts w:ascii="Arial" w:eastAsia="Times New Roman" w:hAnsi="Arial" w:cs="Arial"/>
                <w:sz w:val="20"/>
                <w:szCs w:val="20"/>
                <w:lang w:eastAsia="en-AU"/>
              </w:rPr>
              <w:t xml:space="preserve">®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Takeda Pharmaceuticals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New listing </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Non-small cell lung cancer (NSCLC)</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an Authority Required listing for the treatment of patients with locally advanced or metastatic anaplastic lymphoma kinase (ALK)-positive NSCLC. </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listing of brigatinib as monotherapy for the treatment of patients with locally advanced (Stage IIIB) or metastatic (Stage IV) ALK-positive non-squamous or not otherwise specified NSCLC. The PBAC’s recommendation for listing was based on, among other matters, its assessment that the cost-effectiveness of brigatinib would be acceptable if it were cost-minimised against alectinib. In making this recommendation, the PBAC considered that the listing of brigatinib would provide an alternative ALK-tyrosine kinase inhibitor with intracranial activity and a different profile in terms of safety and tolerability.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BRIVARACETAM</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25 mg</w:t>
            </w:r>
            <w:r w:rsidRPr="001F5154">
              <w:rPr>
                <w:rFonts w:ascii="Arial" w:eastAsia="Times New Roman" w:hAnsi="Arial" w:cs="Arial"/>
                <w:sz w:val="20"/>
                <w:szCs w:val="20"/>
                <w:lang w:eastAsia="en-AU"/>
              </w:rPr>
              <w:br/>
              <w:t>Tablet 50 mg</w:t>
            </w:r>
            <w:r w:rsidRPr="001F5154">
              <w:rPr>
                <w:rFonts w:ascii="Arial" w:eastAsia="Times New Roman" w:hAnsi="Arial" w:cs="Arial"/>
                <w:sz w:val="20"/>
                <w:szCs w:val="20"/>
                <w:lang w:eastAsia="en-AU"/>
              </w:rPr>
              <w:br/>
              <w:t>Tablet 75 mg</w:t>
            </w:r>
            <w:r w:rsidRPr="001F5154">
              <w:rPr>
                <w:rFonts w:ascii="Arial" w:eastAsia="Times New Roman" w:hAnsi="Arial" w:cs="Arial"/>
                <w:sz w:val="20"/>
                <w:szCs w:val="20"/>
                <w:lang w:eastAsia="en-AU"/>
              </w:rPr>
              <w:br/>
              <w:t>Tablet 100 mg</w:t>
            </w:r>
            <w:r w:rsidRPr="001F5154">
              <w:rPr>
                <w:rFonts w:ascii="Arial" w:eastAsia="Times New Roman" w:hAnsi="Arial" w:cs="Arial"/>
                <w:sz w:val="20"/>
                <w:szCs w:val="20"/>
                <w:lang w:eastAsia="en-AU"/>
              </w:rPr>
              <w:br/>
              <w:t>Oral solution 10 mg per mL, 300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Briviact®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UCB Australia Proprietary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Epilepsy</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change to the current Authority Required (STREAMLINED) listings for the treatment of patients with intractable partial epileptic seizures, to allow use in patients aged less than 16 years.</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changing the Authority Required (STREAMLINED) listings for </w:t>
            </w:r>
            <w:proofErr w:type="spellStart"/>
            <w:r w:rsidRPr="001F5154">
              <w:rPr>
                <w:rFonts w:ascii="Arial" w:eastAsia="Times New Roman" w:hAnsi="Arial" w:cs="Arial"/>
                <w:snapToGrid w:val="0"/>
                <w:sz w:val="20"/>
                <w:szCs w:val="20"/>
              </w:rPr>
              <w:t>brivaracetam</w:t>
            </w:r>
            <w:proofErr w:type="spellEnd"/>
            <w:r w:rsidRPr="001F5154">
              <w:rPr>
                <w:rFonts w:ascii="Arial" w:eastAsia="Times New Roman" w:hAnsi="Arial" w:cs="Arial"/>
                <w:snapToGrid w:val="0"/>
                <w:sz w:val="20"/>
                <w:szCs w:val="20"/>
              </w:rPr>
              <w:t xml:space="preserve"> for the treatment of intractable partial onset epileptic seizures, to include patients aged 4 to 15 years. Its recommendation was based on, among other matters, its assessment that the cost-effectiveness of </w:t>
            </w:r>
            <w:proofErr w:type="spellStart"/>
            <w:r w:rsidRPr="001F5154">
              <w:rPr>
                <w:rFonts w:ascii="Arial" w:eastAsia="Times New Roman" w:hAnsi="Arial" w:cs="Arial"/>
                <w:snapToGrid w:val="0"/>
                <w:sz w:val="20"/>
                <w:szCs w:val="20"/>
              </w:rPr>
              <w:t>brivaracetam</w:t>
            </w:r>
            <w:proofErr w:type="spellEnd"/>
            <w:r w:rsidRPr="001F5154">
              <w:rPr>
                <w:rFonts w:ascii="Arial" w:eastAsia="Times New Roman" w:hAnsi="Arial" w:cs="Arial"/>
                <w:snapToGrid w:val="0"/>
                <w:sz w:val="20"/>
                <w:szCs w:val="20"/>
              </w:rPr>
              <w:t xml:space="preserve"> would remain acceptable with the extended listing implemented at the current price, where the listing results in an overall saving to Government. In making its recommendation, the PBAC acknowledged the clinical need for drugs that are effective in reducing seizure frequency in patients who have failed other lines of anti-epileptic drug treatment.</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 xml:space="preserve">The PBAC noted that the TGA registered indications for both </w:t>
            </w:r>
            <w:proofErr w:type="spellStart"/>
            <w:r w:rsidRPr="001F5154">
              <w:rPr>
                <w:rFonts w:ascii="Arial" w:eastAsia="Times New Roman" w:hAnsi="Arial" w:cs="Arial"/>
                <w:snapToGrid w:val="0"/>
                <w:sz w:val="20"/>
                <w:szCs w:val="20"/>
              </w:rPr>
              <w:t>brivaracetam</w:t>
            </w:r>
            <w:proofErr w:type="spellEnd"/>
            <w:r w:rsidRPr="001F5154">
              <w:rPr>
                <w:rFonts w:ascii="Arial" w:eastAsia="Times New Roman" w:hAnsi="Arial" w:cs="Arial"/>
                <w:snapToGrid w:val="0"/>
                <w:sz w:val="20"/>
                <w:szCs w:val="20"/>
              </w:rPr>
              <w:t xml:space="preserve"> and lacosamide are as add-on therapy in the treatment of partial seizures in patients with epilepsy who are aged 4 years and older. The PBAC recommended removing the age criterion from the </w:t>
            </w:r>
            <w:proofErr w:type="spellStart"/>
            <w:r w:rsidRPr="001F5154">
              <w:rPr>
                <w:rFonts w:ascii="Arial" w:eastAsia="Times New Roman" w:hAnsi="Arial" w:cs="Arial"/>
                <w:snapToGrid w:val="0"/>
                <w:sz w:val="20"/>
                <w:szCs w:val="20"/>
              </w:rPr>
              <w:t>brivaracetam</w:t>
            </w:r>
            <w:proofErr w:type="spellEnd"/>
            <w:r w:rsidRPr="001F5154">
              <w:rPr>
                <w:rFonts w:ascii="Arial" w:eastAsia="Times New Roman" w:hAnsi="Arial" w:cs="Arial"/>
                <w:snapToGrid w:val="0"/>
                <w:sz w:val="20"/>
                <w:szCs w:val="20"/>
              </w:rPr>
              <w:t xml:space="preserve"> restriction, in line with the restriction for lacosamide.</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 xml:space="preserve">The PBAC further recommended that the continuation criteria ‘treatment must be in combination with two or more anti-epileptic drugs which includes one second-line adjunctive agent’ be removed from listings for this drug. It noted this change would enable patients to use </w:t>
            </w:r>
            <w:proofErr w:type="spellStart"/>
            <w:r w:rsidRPr="001F5154">
              <w:rPr>
                <w:rFonts w:ascii="Arial" w:eastAsia="Times New Roman" w:hAnsi="Arial" w:cs="Arial"/>
                <w:snapToGrid w:val="0"/>
                <w:sz w:val="20"/>
                <w:szCs w:val="20"/>
              </w:rPr>
              <w:t>brivaracetam</w:t>
            </w:r>
            <w:proofErr w:type="spellEnd"/>
            <w:r w:rsidRPr="001F5154">
              <w:rPr>
                <w:rFonts w:ascii="Arial" w:eastAsia="Times New Roman" w:hAnsi="Arial" w:cs="Arial"/>
                <w:snapToGrid w:val="0"/>
                <w:sz w:val="20"/>
                <w:szCs w:val="20"/>
              </w:rPr>
              <w:t xml:space="preserve"> as eventual dual or monotherapy, and considered this would also allow ineffective medications to be ceased, reducing treatment burden and treatment-related toxicity.</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BUDESONIDE + FORMOTEROL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Powder for oral inhalation in breath actuated device containing budesonide 200 micrograms with </w:t>
            </w:r>
            <w:proofErr w:type="spellStart"/>
            <w:r w:rsidRPr="001F5154">
              <w:rPr>
                <w:rFonts w:ascii="Arial" w:eastAsia="Times New Roman" w:hAnsi="Arial" w:cs="Arial"/>
                <w:sz w:val="20"/>
                <w:szCs w:val="20"/>
                <w:lang w:eastAsia="en-AU"/>
              </w:rPr>
              <w:t>formoterol</w:t>
            </w:r>
            <w:proofErr w:type="spellEnd"/>
            <w:r w:rsidRPr="001F5154">
              <w:rPr>
                <w:rFonts w:ascii="Arial" w:eastAsia="Times New Roman" w:hAnsi="Arial" w:cs="Arial"/>
                <w:sz w:val="20"/>
                <w:szCs w:val="20"/>
                <w:lang w:eastAsia="en-AU"/>
              </w:rPr>
              <w:t xml:space="preserve"> fumarate </w:t>
            </w:r>
            <w:proofErr w:type="spellStart"/>
            <w:r w:rsidRPr="001F5154">
              <w:rPr>
                <w:rFonts w:ascii="Arial" w:eastAsia="Times New Roman" w:hAnsi="Arial" w:cs="Arial"/>
                <w:sz w:val="20"/>
                <w:szCs w:val="20"/>
                <w:lang w:eastAsia="en-AU"/>
              </w:rPr>
              <w:t>dihydrate</w:t>
            </w:r>
            <w:proofErr w:type="spellEnd"/>
            <w:r w:rsidRPr="001F5154">
              <w:rPr>
                <w:rFonts w:ascii="Arial" w:eastAsia="Times New Roman" w:hAnsi="Arial" w:cs="Arial"/>
                <w:sz w:val="20"/>
                <w:szCs w:val="20"/>
                <w:lang w:eastAsia="en-AU"/>
              </w:rPr>
              <w:t xml:space="preserve"> 6 micrograms per dose, 120 doses</w:t>
            </w:r>
            <w:r w:rsidRPr="001F5154">
              <w:rPr>
                <w:rFonts w:ascii="Arial" w:eastAsia="Times New Roman" w:hAnsi="Arial" w:cs="Arial"/>
                <w:sz w:val="20"/>
                <w:szCs w:val="20"/>
                <w:lang w:eastAsia="en-AU"/>
              </w:rPr>
              <w:br/>
              <w:t xml:space="preserve">Pressurised inhalation containing budesonide 100 micrograms with </w:t>
            </w:r>
            <w:proofErr w:type="spellStart"/>
            <w:r w:rsidRPr="001F5154">
              <w:rPr>
                <w:rFonts w:ascii="Arial" w:eastAsia="Times New Roman" w:hAnsi="Arial" w:cs="Arial"/>
                <w:sz w:val="20"/>
                <w:szCs w:val="20"/>
                <w:lang w:eastAsia="en-AU"/>
              </w:rPr>
              <w:t>formoterol</w:t>
            </w:r>
            <w:proofErr w:type="spellEnd"/>
            <w:r w:rsidRPr="001F5154">
              <w:rPr>
                <w:rFonts w:ascii="Arial" w:eastAsia="Times New Roman" w:hAnsi="Arial" w:cs="Arial"/>
                <w:sz w:val="20"/>
                <w:szCs w:val="20"/>
                <w:lang w:eastAsia="en-AU"/>
              </w:rPr>
              <w:t xml:space="preserve"> fumarate </w:t>
            </w:r>
            <w:proofErr w:type="spellStart"/>
            <w:r w:rsidRPr="001F5154">
              <w:rPr>
                <w:rFonts w:ascii="Arial" w:eastAsia="Times New Roman" w:hAnsi="Arial" w:cs="Arial"/>
                <w:sz w:val="20"/>
                <w:szCs w:val="20"/>
                <w:lang w:eastAsia="en-AU"/>
              </w:rPr>
              <w:t>dihydrate</w:t>
            </w:r>
            <w:proofErr w:type="spellEnd"/>
            <w:r w:rsidRPr="001F5154">
              <w:rPr>
                <w:rFonts w:ascii="Arial" w:eastAsia="Times New Roman" w:hAnsi="Arial" w:cs="Arial"/>
                <w:sz w:val="20"/>
                <w:szCs w:val="20"/>
                <w:lang w:eastAsia="en-AU"/>
              </w:rPr>
              <w:t xml:space="preserve"> 3 micrograms per dose, 120 doses</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Symbicort</w:t>
            </w:r>
            <w:proofErr w:type="spellEnd"/>
            <w:r w:rsidRPr="001F5154">
              <w:rPr>
                <w:rFonts w:ascii="Arial" w:eastAsia="Times New Roman" w:hAnsi="Arial" w:cs="Arial"/>
                <w:sz w:val="20"/>
                <w:szCs w:val="20"/>
                <w:lang w:eastAsia="en-AU"/>
              </w:rPr>
              <w:t xml:space="preserve">® </w:t>
            </w:r>
            <w:proofErr w:type="spellStart"/>
            <w:r w:rsidRPr="001F5154">
              <w:rPr>
                <w:rFonts w:ascii="Arial" w:eastAsia="Times New Roman" w:hAnsi="Arial" w:cs="Arial"/>
                <w:sz w:val="20"/>
                <w:szCs w:val="20"/>
                <w:lang w:eastAsia="en-AU"/>
              </w:rPr>
              <w:t>Turbuhaler</w:t>
            </w:r>
            <w:proofErr w:type="spellEnd"/>
            <w:r w:rsidRPr="001F5154">
              <w:rPr>
                <w:rFonts w:ascii="Arial" w:eastAsia="Times New Roman" w:hAnsi="Arial" w:cs="Arial"/>
                <w:sz w:val="20"/>
                <w:szCs w:val="20"/>
                <w:lang w:eastAsia="en-AU"/>
              </w:rPr>
              <w:t>® 200/6;</w:t>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Symbicort</w:t>
            </w:r>
            <w:proofErr w:type="spellEnd"/>
            <w:r w:rsidRPr="001F5154">
              <w:rPr>
                <w:rFonts w:ascii="Arial" w:eastAsia="Times New Roman" w:hAnsi="Arial" w:cs="Arial"/>
                <w:sz w:val="20"/>
                <w:szCs w:val="20"/>
                <w:lang w:eastAsia="en-AU"/>
              </w:rPr>
              <w:t xml:space="preserve">® </w:t>
            </w:r>
            <w:proofErr w:type="spellStart"/>
            <w:r w:rsidRPr="001F5154">
              <w:rPr>
                <w:rFonts w:ascii="Arial" w:eastAsia="Times New Roman" w:hAnsi="Arial" w:cs="Arial"/>
                <w:sz w:val="20"/>
                <w:szCs w:val="20"/>
                <w:lang w:eastAsia="en-AU"/>
              </w:rPr>
              <w:t>Rapihaler</w:t>
            </w:r>
            <w:proofErr w:type="spellEnd"/>
            <w:r w:rsidRPr="001F5154">
              <w:rPr>
                <w:rFonts w:ascii="Arial" w:eastAsia="Times New Roman" w:hAnsi="Arial" w:cs="Arial"/>
                <w:sz w:val="20"/>
                <w:szCs w:val="20"/>
                <w:lang w:eastAsia="en-AU"/>
              </w:rPr>
              <w:t>® 100/3</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AstraZeneca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Asthma </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Resubmission to request an Authority Required (STREAMLINED) listing for the first-line treatment of patients with mild asthma.</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(STREAMLINED) listing of budesonide with </w:t>
            </w:r>
            <w:proofErr w:type="spellStart"/>
            <w:r w:rsidRPr="001F5154">
              <w:rPr>
                <w:rFonts w:ascii="Arial" w:eastAsia="Times New Roman" w:hAnsi="Arial" w:cs="Arial"/>
                <w:snapToGrid w:val="0"/>
                <w:sz w:val="20"/>
                <w:szCs w:val="20"/>
              </w:rPr>
              <w:t>formoterol</w:t>
            </w:r>
            <w:proofErr w:type="spellEnd"/>
            <w:r w:rsidRPr="001F5154">
              <w:rPr>
                <w:rFonts w:ascii="Arial" w:eastAsia="Times New Roman" w:hAnsi="Arial" w:cs="Arial"/>
                <w:snapToGrid w:val="0"/>
                <w:sz w:val="20"/>
                <w:szCs w:val="20"/>
              </w:rPr>
              <w:t xml:space="preserve"> fixed dose combination (</w:t>
            </w:r>
            <w:proofErr w:type="spellStart"/>
            <w:r w:rsidRPr="001F5154">
              <w:rPr>
                <w:rFonts w:ascii="Arial" w:eastAsia="Times New Roman" w:hAnsi="Arial" w:cs="Arial"/>
                <w:snapToGrid w:val="0"/>
                <w:sz w:val="20"/>
                <w:szCs w:val="20"/>
              </w:rPr>
              <w:t>Symbicort</w:t>
            </w:r>
            <w:proofErr w:type="spellEnd"/>
            <w:r w:rsidRPr="001F5154">
              <w:rPr>
                <w:rFonts w:ascii="Arial" w:eastAsia="Times New Roman" w:hAnsi="Arial" w:cs="Arial"/>
                <w:snapToGrid w:val="0"/>
                <w:sz w:val="20"/>
                <w:szCs w:val="20"/>
              </w:rPr>
              <w:t xml:space="preserve">®) for use as an anti-inflammatory reliever therapy administered as needed for adolescent and adult patients with mild asthma. The PBAC’s recommendation for listing was based on, among other matters, its assessment that the cost-effectiveness of </w:t>
            </w:r>
            <w:proofErr w:type="spellStart"/>
            <w:r w:rsidRPr="001F5154">
              <w:rPr>
                <w:rFonts w:ascii="Arial" w:eastAsia="Times New Roman" w:hAnsi="Arial" w:cs="Arial"/>
                <w:snapToGrid w:val="0"/>
                <w:sz w:val="20"/>
                <w:szCs w:val="20"/>
              </w:rPr>
              <w:t>Symbicort</w:t>
            </w:r>
            <w:proofErr w:type="spellEnd"/>
            <w:r w:rsidRPr="001F5154">
              <w:rPr>
                <w:rFonts w:ascii="Arial" w:eastAsia="Times New Roman" w:hAnsi="Arial" w:cs="Arial"/>
                <w:snapToGrid w:val="0"/>
                <w:sz w:val="20"/>
                <w:szCs w:val="20"/>
              </w:rPr>
              <w:t xml:space="preserve">® would be acceptable if it were cost-minimised to inhaled corticosteroid maintenance regimen plus short-acting beta2-agonist as needed. </w:t>
            </w:r>
          </w:p>
          <w:p w:rsidR="001F5154" w:rsidRPr="001F5154" w:rsidRDefault="001F5154" w:rsidP="001F5154">
            <w:pPr>
              <w:widowControl w:val="0"/>
              <w:spacing w:after="0" w:line="240" w:lineRule="auto"/>
              <w:rPr>
                <w:rFonts w:ascii="Arial" w:eastAsia="Times New Roman" w:hAnsi="Arial" w:cs="Arial"/>
                <w:snapToGrid w:val="0"/>
                <w:sz w:val="20"/>
                <w:szCs w:val="20"/>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BUPRENORPHINE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(modified release) 100 mg in 0.5 mL pre-filled syringe</w:t>
            </w:r>
            <w:r w:rsidRPr="001F5154">
              <w:rPr>
                <w:rFonts w:ascii="Arial" w:eastAsia="Times New Roman" w:hAnsi="Arial" w:cs="Arial"/>
                <w:sz w:val="20"/>
                <w:szCs w:val="20"/>
                <w:lang w:eastAsia="en-AU"/>
              </w:rPr>
              <w:br/>
              <w:t>Injection (modified release) 300 mg in 1.5 mL pre-filled syringe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Sublocade</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Indivior</w:t>
            </w:r>
            <w:proofErr w:type="spellEnd"/>
            <w:r w:rsidRPr="001F5154">
              <w:rPr>
                <w:rFonts w:ascii="Arial" w:eastAsia="Times New Roman" w:hAnsi="Arial" w:cs="Arial"/>
                <w:sz w:val="20"/>
                <w:szCs w:val="20"/>
                <w:lang w:eastAsia="en-AU"/>
              </w:rPr>
              <w:t xml:space="preserv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(Matters Outstanding)</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Opiate use disorder (OUD)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Consider the deferred request for a Section 100 (Opiate Dependence Treatment Program) listing for the treatment of patients OUD.  </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Section 100 (Opiate Dependence Treatment Program) Restricted Benefit listing of buprenorphine modified release injection (</w:t>
            </w:r>
            <w:proofErr w:type="spellStart"/>
            <w:r w:rsidRPr="001F5154">
              <w:rPr>
                <w:rFonts w:ascii="Arial" w:eastAsia="Times New Roman" w:hAnsi="Arial" w:cs="Arial"/>
                <w:snapToGrid w:val="0"/>
                <w:sz w:val="20"/>
                <w:szCs w:val="20"/>
              </w:rPr>
              <w:t>Sublocade</w:t>
            </w:r>
            <w:proofErr w:type="spellEnd"/>
            <w:r w:rsidRPr="001F5154">
              <w:rPr>
                <w:rFonts w:ascii="Arial" w:eastAsia="Times New Roman" w:hAnsi="Arial" w:cs="Arial"/>
                <w:snapToGrid w:val="0"/>
                <w:sz w:val="20"/>
                <w:szCs w:val="20"/>
              </w:rPr>
              <w:t xml:space="preserve">®) for the treatment of OUD. The PBAC’s recommendation was based on, among other matters, its assessment that the cost-effectiveness of </w:t>
            </w:r>
            <w:proofErr w:type="spellStart"/>
            <w:r w:rsidRPr="001F5154">
              <w:rPr>
                <w:rFonts w:ascii="Arial" w:eastAsia="Times New Roman" w:hAnsi="Arial" w:cs="Arial"/>
                <w:snapToGrid w:val="0"/>
                <w:sz w:val="20"/>
                <w:szCs w:val="20"/>
              </w:rPr>
              <w:t>Sublocade</w:t>
            </w:r>
            <w:proofErr w:type="spellEnd"/>
            <w:r w:rsidRPr="001F5154">
              <w:rPr>
                <w:rFonts w:ascii="Arial" w:eastAsia="Times New Roman" w:hAnsi="Arial" w:cs="Arial"/>
                <w:snapToGrid w:val="0"/>
                <w:sz w:val="20"/>
                <w:szCs w:val="20"/>
              </w:rPr>
              <w:t xml:space="preserve">® would be acceptable if it were cost-minimised to </w:t>
            </w:r>
            <w:proofErr w:type="spellStart"/>
            <w:r w:rsidRPr="001F5154">
              <w:rPr>
                <w:rFonts w:ascii="Arial" w:eastAsia="Times New Roman" w:hAnsi="Arial" w:cs="Arial"/>
                <w:snapToGrid w:val="0"/>
                <w:sz w:val="20"/>
                <w:szCs w:val="20"/>
              </w:rPr>
              <w:t>Buvidal</w:t>
            </w:r>
            <w:proofErr w:type="spellEnd"/>
            <w:r w:rsidRPr="001F5154">
              <w:rPr>
                <w:rFonts w:ascii="Arial" w:eastAsia="Times New Roman" w:hAnsi="Arial" w:cs="Arial"/>
                <w:snapToGrid w:val="0"/>
                <w:sz w:val="20"/>
                <w:szCs w:val="20"/>
              </w:rPr>
              <w:t>® on a cost per patient per day basis.</w:t>
            </w:r>
            <w:r w:rsidRPr="001F5154">
              <w:rPr>
                <w:rFonts w:ascii="Arial" w:eastAsia="Times New Roman" w:hAnsi="Arial" w:cs="Arial"/>
                <w:bCs/>
                <w:snapToGrid w:val="0"/>
                <w:sz w:val="20"/>
                <w:szCs w:val="20"/>
                <w:lang w:eastAsia="en-AU"/>
              </w:rPr>
              <w:t xml:space="preserve">  </w:t>
            </w:r>
            <w:r w:rsidRPr="001F5154">
              <w:rPr>
                <w:rFonts w:ascii="Arial" w:eastAsia="Times New Roman" w:hAnsi="Arial" w:cs="Arial"/>
                <w:snapToGrid w:val="0"/>
                <w:sz w:val="20"/>
                <w:szCs w:val="20"/>
              </w:rPr>
              <w:t xml:space="preserve">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CERTOLIZUMAB PEGOL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Solution for injection 200 mg in 1 mL pre-filled pen</w:t>
            </w:r>
            <w:r w:rsidRPr="001F5154">
              <w:rPr>
                <w:rFonts w:ascii="Arial" w:eastAsia="Times New Roman" w:hAnsi="Arial" w:cs="Arial"/>
                <w:sz w:val="20"/>
                <w:szCs w:val="20"/>
                <w:lang w:eastAsia="en-AU"/>
              </w:rPr>
              <w:br/>
              <w:t>Solution for injection 200 mg in 1 mL single use pre-filled syringe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Cimzia</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UCB Australia Proprietary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Non-radiographic axial </w:t>
            </w:r>
            <w:proofErr w:type="spellStart"/>
            <w:r w:rsidRPr="001F5154">
              <w:rPr>
                <w:rFonts w:ascii="Arial" w:eastAsia="Times New Roman" w:hAnsi="Arial" w:cs="Arial"/>
                <w:snapToGrid w:val="0"/>
                <w:sz w:val="20"/>
                <w:szCs w:val="20"/>
              </w:rPr>
              <w:t>spondyloarthritis</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nr</w:t>
            </w:r>
            <w:r w:rsidRPr="001F5154">
              <w:rPr>
                <w:rFonts w:ascii="Arial" w:eastAsia="Times New Roman" w:hAnsi="Arial" w:cs="Arial"/>
                <w:snapToGrid w:val="0"/>
                <w:sz w:val="20"/>
                <w:szCs w:val="20"/>
              </w:rPr>
              <w:noBreakHyphen/>
              <w:t>axSpA</w:t>
            </w:r>
            <w:proofErr w:type="spellEnd"/>
            <w:r w:rsidRPr="001F5154">
              <w:rPr>
                <w:rFonts w:ascii="Arial" w:eastAsia="Times New Roman" w:hAnsi="Arial" w:cs="Arial"/>
                <w:snapToGrid w:val="0"/>
                <w:sz w:val="20"/>
                <w:szCs w:val="20"/>
              </w:rPr>
              <w:t>)</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an Authority Required listing for the treatment of patients with </w:t>
            </w:r>
            <w:proofErr w:type="spellStart"/>
            <w:r w:rsidRPr="001F5154">
              <w:rPr>
                <w:rFonts w:ascii="Arial" w:eastAsia="Times New Roman" w:hAnsi="Arial" w:cs="Arial"/>
                <w:snapToGrid w:val="0"/>
                <w:sz w:val="20"/>
                <w:szCs w:val="20"/>
              </w:rPr>
              <w:t>nr</w:t>
            </w:r>
            <w:r w:rsidRPr="001F5154">
              <w:rPr>
                <w:rFonts w:ascii="Arial" w:eastAsia="Times New Roman" w:hAnsi="Arial" w:cs="Arial"/>
                <w:snapToGrid w:val="0"/>
                <w:sz w:val="20"/>
                <w:szCs w:val="20"/>
              </w:rPr>
              <w:noBreakHyphen/>
              <w:t>axSpA</w:t>
            </w:r>
            <w:proofErr w:type="spellEnd"/>
            <w:r w:rsidRPr="001F5154">
              <w:rPr>
                <w:rFonts w:ascii="Arial" w:eastAsia="Times New Roman" w:hAnsi="Arial" w:cs="Arial"/>
                <w:snapToGrid w:val="0"/>
                <w:sz w:val="20"/>
                <w:szCs w:val="20"/>
              </w:rPr>
              <w:t xml:space="preserve"> who meet certain conditions.</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listing of </w:t>
            </w:r>
            <w:proofErr w:type="spellStart"/>
            <w:r w:rsidRPr="001F5154">
              <w:rPr>
                <w:rFonts w:ascii="Arial" w:eastAsia="Times New Roman" w:hAnsi="Arial" w:cs="Arial"/>
                <w:snapToGrid w:val="0"/>
                <w:sz w:val="20"/>
                <w:szCs w:val="20"/>
              </w:rPr>
              <w:t>certolizumab</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pegol</w:t>
            </w:r>
            <w:proofErr w:type="spellEnd"/>
            <w:r w:rsidRPr="001F5154">
              <w:rPr>
                <w:rFonts w:ascii="Arial" w:eastAsia="Times New Roman" w:hAnsi="Arial" w:cs="Arial"/>
                <w:snapToGrid w:val="0"/>
                <w:sz w:val="20"/>
                <w:szCs w:val="20"/>
              </w:rPr>
              <w:t xml:space="preserve"> for the treatment of </w:t>
            </w:r>
            <w:proofErr w:type="spellStart"/>
            <w:r w:rsidRPr="001F5154">
              <w:rPr>
                <w:rFonts w:ascii="Arial" w:eastAsia="Times New Roman" w:hAnsi="Arial" w:cs="Arial"/>
                <w:snapToGrid w:val="0"/>
                <w:sz w:val="20"/>
                <w:szCs w:val="20"/>
              </w:rPr>
              <w:t>nr-axSpA</w:t>
            </w:r>
            <w:proofErr w:type="spellEnd"/>
            <w:r w:rsidRPr="001F5154">
              <w:rPr>
                <w:rFonts w:ascii="Arial" w:eastAsia="Times New Roman" w:hAnsi="Arial" w:cs="Arial"/>
                <w:snapToGrid w:val="0"/>
                <w:sz w:val="20"/>
                <w:szCs w:val="20"/>
              </w:rPr>
              <w:t xml:space="preserve">. The PBAC’s recommendation for listing was based on, among other matters, its assessment that the cost-effectiveness of </w:t>
            </w:r>
            <w:proofErr w:type="spellStart"/>
            <w:r w:rsidRPr="001F5154">
              <w:rPr>
                <w:rFonts w:ascii="Arial" w:eastAsia="Times New Roman" w:hAnsi="Arial" w:cs="Arial"/>
                <w:snapToGrid w:val="0"/>
                <w:sz w:val="20"/>
                <w:szCs w:val="20"/>
              </w:rPr>
              <w:t>certolizumab</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pegol</w:t>
            </w:r>
            <w:proofErr w:type="spellEnd"/>
            <w:r w:rsidRPr="001F5154" w:rsidDel="00C854AF">
              <w:rPr>
                <w:rFonts w:ascii="Arial" w:eastAsia="Times New Roman" w:hAnsi="Arial" w:cs="Arial"/>
                <w:snapToGrid w:val="0"/>
                <w:sz w:val="20"/>
                <w:szCs w:val="20"/>
              </w:rPr>
              <w:t xml:space="preserve"> </w:t>
            </w:r>
            <w:r w:rsidRPr="001F5154">
              <w:rPr>
                <w:rFonts w:ascii="Arial" w:eastAsia="Times New Roman" w:hAnsi="Arial" w:cs="Arial"/>
                <w:snapToGrid w:val="0"/>
                <w:sz w:val="20"/>
                <w:szCs w:val="20"/>
              </w:rPr>
              <w:t xml:space="preserve">would be acceptable if it were cost-minimised to </w:t>
            </w:r>
            <w:proofErr w:type="spellStart"/>
            <w:r w:rsidRPr="001F5154">
              <w:rPr>
                <w:rFonts w:ascii="Arial" w:eastAsia="Times New Roman" w:hAnsi="Arial" w:cs="Arial"/>
                <w:snapToGrid w:val="0"/>
                <w:sz w:val="20"/>
                <w:szCs w:val="20"/>
              </w:rPr>
              <w:t>golimumab</w:t>
            </w:r>
            <w:proofErr w:type="spellEnd"/>
            <w:r w:rsidRPr="001F5154">
              <w:rPr>
                <w:rFonts w:ascii="Arial" w:eastAsia="Times New Roman" w:hAnsi="Arial" w:cs="Arial"/>
                <w:snapToGrid w:val="0"/>
                <w:sz w:val="20"/>
                <w:szCs w:val="20"/>
              </w:rPr>
              <w:t xml:space="preserve">. The PBAC advised the equi-effective doses were </w:t>
            </w:r>
            <w:proofErr w:type="spellStart"/>
            <w:r w:rsidRPr="001F5154">
              <w:rPr>
                <w:rFonts w:ascii="Arial" w:eastAsia="Times New Roman" w:hAnsi="Arial" w:cs="Arial"/>
                <w:snapToGrid w:val="0"/>
                <w:sz w:val="20"/>
                <w:szCs w:val="20"/>
              </w:rPr>
              <w:t>certolizumab</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pegol</w:t>
            </w:r>
            <w:proofErr w:type="spellEnd"/>
            <w:r w:rsidRPr="001F5154" w:rsidDel="00C854AF">
              <w:rPr>
                <w:rFonts w:ascii="Arial" w:eastAsia="Times New Roman" w:hAnsi="Arial" w:cs="Arial"/>
                <w:snapToGrid w:val="0"/>
                <w:sz w:val="20"/>
                <w:szCs w:val="20"/>
              </w:rPr>
              <w:t xml:space="preserve"> </w:t>
            </w:r>
            <w:r w:rsidRPr="001F5154">
              <w:rPr>
                <w:rFonts w:ascii="Arial" w:eastAsia="Times New Roman" w:hAnsi="Arial" w:cs="Arial"/>
                <w:snapToGrid w:val="0"/>
                <w:sz w:val="20"/>
                <w:szCs w:val="20"/>
              </w:rPr>
              <w:t xml:space="preserve">400 mg at Week 0, 2, 4 followed by 200 mg every 2 weeks or 400 mg every 4 weeks and </w:t>
            </w:r>
            <w:proofErr w:type="spellStart"/>
            <w:r w:rsidRPr="001F5154">
              <w:rPr>
                <w:rFonts w:ascii="Arial" w:eastAsia="Times New Roman" w:hAnsi="Arial" w:cs="Arial"/>
                <w:snapToGrid w:val="0"/>
                <w:sz w:val="20"/>
                <w:szCs w:val="20"/>
              </w:rPr>
              <w:t>golimumab</w:t>
            </w:r>
            <w:proofErr w:type="spellEnd"/>
            <w:r w:rsidRPr="001F5154" w:rsidDel="00C854AF">
              <w:rPr>
                <w:rFonts w:ascii="Arial" w:eastAsia="Times New Roman" w:hAnsi="Arial" w:cs="Arial"/>
                <w:snapToGrid w:val="0"/>
                <w:sz w:val="20"/>
                <w:szCs w:val="20"/>
              </w:rPr>
              <w:t xml:space="preserve"> </w:t>
            </w:r>
            <w:r w:rsidRPr="001F5154">
              <w:rPr>
                <w:rFonts w:ascii="Arial" w:eastAsia="Times New Roman" w:hAnsi="Arial" w:cs="Arial"/>
                <w:snapToGrid w:val="0"/>
                <w:sz w:val="20"/>
                <w:szCs w:val="20"/>
              </w:rPr>
              <w:t xml:space="preserve">50 mg once a month.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DARUNAVIR + COBICISTAT+ EMTRICITABINE + TENOFOVIR ALAFENAMIDE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Tablet containing </w:t>
            </w:r>
            <w:proofErr w:type="spellStart"/>
            <w:r w:rsidRPr="001F5154">
              <w:rPr>
                <w:rFonts w:ascii="Arial" w:eastAsia="Times New Roman" w:hAnsi="Arial" w:cs="Arial"/>
                <w:sz w:val="20"/>
                <w:szCs w:val="20"/>
                <w:lang w:eastAsia="en-AU"/>
              </w:rPr>
              <w:t>darunavir</w:t>
            </w:r>
            <w:proofErr w:type="spellEnd"/>
            <w:r w:rsidRPr="001F5154">
              <w:rPr>
                <w:rFonts w:ascii="Arial" w:eastAsia="Times New Roman" w:hAnsi="Arial" w:cs="Arial"/>
                <w:sz w:val="20"/>
                <w:szCs w:val="20"/>
                <w:lang w:eastAsia="en-AU"/>
              </w:rPr>
              <w:t xml:space="preserve"> 800 mg with </w:t>
            </w:r>
            <w:proofErr w:type="spellStart"/>
            <w:r w:rsidRPr="001F5154">
              <w:rPr>
                <w:rFonts w:ascii="Arial" w:eastAsia="Times New Roman" w:hAnsi="Arial" w:cs="Arial"/>
                <w:sz w:val="20"/>
                <w:szCs w:val="20"/>
                <w:lang w:eastAsia="en-AU"/>
              </w:rPr>
              <w:t>cobicistat</w:t>
            </w:r>
            <w:proofErr w:type="spellEnd"/>
            <w:r w:rsidRPr="001F5154">
              <w:rPr>
                <w:rFonts w:ascii="Arial" w:eastAsia="Times New Roman" w:hAnsi="Arial" w:cs="Arial"/>
                <w:sz w:val="20"/>
                <w:szCs w:val="20"/>
                <w:lang w:eastAsia="en-AU"/>
              </w:rPr>
              <w:t xml:space="preserve"> 150 mg with </w:t>
            </w:r>
            <w:proofErr w:type="spellStart"/>
            <w:r w:rsidRPr="001F5154">
              <w:rPr>
                <w:rFonts w:ascii="Arial" w:eastAsia="Times New Roman" w:hAnsi="Arial" w:cs="Arial"/>
                <w:sz w:val="20"/>
                <w:szCs w:val="20"/>
                <w:lang w:eastAsia="en-AU"/>
              </w:rPr>
              <w:t>emtricitabine</w:t>
            </w:r>
            <w:proofErr w:type="spellEnd"/>
            <w:r w:rsidRPr="001F5154">
              <w:rPr>
                <w:rFonts w:ascii="Arial" w:eastAsia="Times New Roman" w:hAnsi="Arial" w:cs="Arial"/>
                <w:sz w:val="20"/>
                <w:szCs w:val="20"/>
                <w:lang w:eastAsia="en-AU"/>
              </w:rPr>
              <w:t xml:space="preserve"> 200 mg and </w:t>
            </w:r>
            <w:proofErr w:type="spellStart"/>
            <w:r w:rsidRPr="001F5154">
              <w:rPr>
                <w:rFonts w:ascii="Arial" w:eastAsia="Times New Roman" w:hAnsi="Arial" w:cs="Arial"/>
                <w:sz w:val="20"/>
                <w:szCs w:val="20"/>
                <w:lang w:eastAsia="en-AU"/>
              </w:rPr>
              <w:t>tenofovir</w:t>
            </w:r>
            <w:proofErr w:type="spellEnd"/>
            <w:r w:rsidRPr="001F5154">
              <w:rPr>
                <w:rFonts w:ascii="Arial" w:eastAsia="Times New Roman" w:hAnsi="Arial" w:cs="Arial"/>
                <w:sz w:val="20"/>
                <w:szCs w:val="20"/>
                <w:lang w:eastAsia="en-AU"/>
              </w:rPr>
              <w:t xml:space="preserve"> </w:t>
            </w:r>
            <w:proofErr w:type="spellStart"/>
            <w:r w:rsidRPr="001F5154">
              <w:rPr>
                <w:rFonts w:ascii="Arial" w:eastAsia="Times New Roman" w:hAnsi="Arial" w:cs="Arial"/>
                <w:sz w:val="20"/>
                <w:szCs w:val="20"/>
                <w:lang w:eastAsia="en-AU"/>
              </w:rPr>
              <w:t>alafenamide</w:t>
            </w:r>
            <w:proofErr w:type="spellEnd"/>
            <w:r w:rsidRPr="001F5154">
              <w:rPr>
                <w:rFonts w:ascii="Arial" w:eastAsia="Times New Roman" w:hAnsi="Arial" w:cs="Arial"/>
                <w:sz w:val="20"/>
                <w:szCs w:val="20"/>
                <w:lang w:eastAsia="en-AU"/>
              </w:rPr>
              <w:t xml:space="preserve"> 10 mg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Symtuza</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Janssen-Cilag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New listing </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Human immunodeficiency virus (HIV) infection</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Section 100 (Highly Specialised Drugs Program - Community Access) Authority Required (STREAMLINED) listing for the treatment of patients with HIV infection.</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Section 100 (Highly Specialised Drugs Program – Community Access), Authority Required (STREAMLINED) listing of the combination drug </w:t>
            </w:r>
            <w:proofErr w:type="spellStart"/>
            <w:r w:rsidRPr="001F5154">
              <w:rPr>
                <w:rFonts w:ascii="Arial" w:eastAsia="Times New Roman" w:hAnsi="Arial" w:cs="Arial"/>
                <w:snapToGrid w:val="0"/>
                <w:sz w:val="20"/>
                <w:szCs w:val="20"/>
              </w:rPr>
              <w:t>darunavir</w:t>
            </w:r>
            <w:proofErr w:type="spellEnd"/>
            <w:r w:rsidRPr="001F5154">
              <w:rPr>
                <w:rFonts w:ascii="Arial" w:eastAsia="Times New Roman" w:hAnsi="Arial" w:cs="Arial"/>
                <w:snapToGrid w:val="0"/>
                <w:sz w:val="20"/>
                <w:szCs w:val="20"/>
              </w:rPr>
              <w:t xml:space="preserve"> with </w:t>
            </w:r>
            <w:proofErr w:type="spellStart"/>
            <w:r w:rsidRPr="001F5154">
              <w:rPr>
                <w:rFonts w:ascii="Arial" w:eastAsia="Times New Roman" w:hAnsi="Arial" w:cs="Arial"/>
                <w:snapToGrid w:val="0"/>
                <w:sz w:val="20"/>
                <w:szCs w:val="20"/>
              </w:rPr>
              <w:t>cobicistat</w:t>
            </w:r>
            <w:proofErr w:type="spellEnd"/>
            <w:r w:rsidRPr="001F5154">
              <w:rPr>
                <w:rFonts w:ascii="Arial" w:eastAsia="Times New Roman" w:hAnsi="Arial" w:cs="Arial"/>
                <w:snapToGrid w:val="0"/>
                <w:sz w:val="20"/>
                <w:szCs w:val="20"/>
              </w:rPr>
              <w:t xml:space="preserve"> with </w:t>
            </w:r>
            <w:proofErr w:type="spellStart"/>
            <w:r w:rsidRPr="001F5154">
              <w:rPr>
                <w:rFonts w:ascii="Arial" w:eastAsia="Times New Roman" w:hAnsi="Arial" w:cs="Arial"/>
                <w:snapToGrid w:val="0"/>
                <w:sz w:val="20"/>
                <w:szCs w:val="20"/>
              </w:rPr>
              <w:t>emtricitabine</w:t>
            </w:r>
            <w:proofErr w:type="spellEnd"/>
            <w:r w:rsidRPr="001F5154">
              <w:rPr>
                <w:rFonts w:ascii="Arial" w:eastAsia="Times New Roman" w:hAnsi="Arial" w:cs="Arial"/>
                <w:snapToGrid w:val="0"/>
                <w:sz w:val="20"/>
                <w:szCs w:val="20"/>
              </w:rPr>
              <w:t xml:space="preserve"> and </w:t>
            </w:r>
            <w:proofErr w:type="spellStart"/>
            <w:r w:rsidRPr="001F5154">
              <w:rPr>
                <w:rFonts w:ascii="Arial" w:eastAsia="Times New Roman" w:hAnsi="Arial" w:cs="Arial"/>
                <w:snapToGrid w:val="0"/>
                <w:sz w:val="20"/>
                <w:szCs w:val="20"/>
              </w:rPr>
              <w:t>tenofovir</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alafenamide</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Symtuza</w:t>
            </w:r>
            <w:proofErr w:type="spellEnd"/>
            <w:r w:rsidRPr="001F5154">
              <w:rPr>
                <w:rFonts w:ascii="Arial" w:eastAsia="Times New Roman" w:hAnsi="Arial" w:cs="Arial"/>
                <w:snapToGrid w:val="0"/>
                <w:sz w:val="20"/>
                <w:szCs w:val="20"/>
              </w:rPr>
              <w:t xml:space="preserve">®) for the treatment of HIV infection, on a weighted cost minimisation basis with alternative treatments.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considered the alternative treatments for the cost-minimisation to be </w:t>
            </w:r>
            <w:proofErr w:type="spellStart"/>
            <w:r w:rsidRPr="001F5154">
              <w:rPr>
                <w:rFonts w:ascii="Arial" w:eastAsia="Times New Roman" w:hAnsi="Arial" w:cs="Arial"/>
                <w:snapToGrid w:val="0"/>
                <w:sz w:val="20"/>
                <w:szCs w:val="20"/>
              </w:rPr>
              <w:t>Prezcobix</w:t>
            </w:r>
            <w:proofErr w:type="spellEnd"/>
            <w:r w:rsidRPr="001F5154">
              <w:rPr>
                <w:rFonts w:ascii="Arial" w:eastAsia="Times New Roman" w:hAnsi="Arial" w:cs="Arial"/>
                <w:snapToGrid w:val="0"/>
                <w:sz w:val="20"/>
                <w:szCs w:val="20"/>
              </w:rPr>
              <w:t>® (</w:t>
            </w:r>
            <w:proofErr w:type="spellStart"/>
            <w:r w:rsidRPr="001F5154">
              <w:rPr>
                <w:rFonts w:ascii="Arial" w:eastAsia="Times New Roman" w:hAnsi="Arial" w:cs="Arial"/>
                <w:snapToGrid w:val="0"/>
                <w:sz w:val="20"/>
                <w:szCs w:val="20"/>
              </w:rPr>
              <w:t>darunavir</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cobicistat</w:t>
            </w:r>
            <w:proofErr w:type="spellEnd"/>
            <w:r w:rsidRPr="001F5154">
              <w:rPr>
                <w:rFonts w:ascii="Arial" w:eastAsia="Times New Roman" w:hAnsi="Arial" w:cs="Arial"/>
                <w:snapToGrid w:val="0"/>
                <w:sz w:val="20"/>
                <w:szCs w:val="20"/>
              </w:rPr>
              <w:t xml:space="preserve">) and </w:t>
            </w:r>
            <w:proofErr w:type="spellStart"/>
            <w:r w:rsidRPr="001F5154">
              <w:rPr>
                <w:rFonts w:ascii="Arial" w:eastAsia="Times New Roman" w:hAnsi="Arial" w:cs="Arial"/>
                <w:snapToGrid w:val="0"/>
                <w:sz w:val="20"/>
                <w:szCs w:val="20"/>
              </w:rPr>
              <w:t>Truvada</w:t>
            </w:r>
            <w:proofErr w:type="spellEnd"/>
            <w:r w:rsidRPr="001F5154">
              <w:rPr>
                <w:rFonts w:ascii="Arial" w:eastAsia="Times New Roman" w:hAnsi="Arial" w:cs="Arial"/>
                <w:snapToGrid w:val="0"/>
                <w:sz w:val="20"/>
                <w:szCs w:val="20"/>
              </w:rPr>
              <w:t>® (</w:t>
            </w:r>
            <w:proofErr w:type="spellStart"/>
            <w:r w:rsidRPr="001F5154">
              <w:rPr>
                <w:rFonts w:ascii="Arial" w:eastAsia="Times New Roman" w:hAnsi="Arial" w:cs="Arial"/>
                <w:snapToGrid w:val="0"/>
                <w:sz w:val="20"/>
                <w:szCs w:val="20"/>
              </w:rPr>
              <w:t>tenofovir</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disoproxil</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emtricitabine</w:t>
            </w:r>
            <w:proofErr w:type="spellEnd"/>
            <w:r w:rsidRPr="001F5154">
              <w:rPr>
                <w:rFonts w:ascii="Arial" w:eastAsia="Times New Roman" w:hAnsi="Arial" w:cs="Arial"/>
                <w:snapToGrid w:val="0"/>
                <w:sz w:val="20"/>
                <w:szCs w:val="20"/>
              </w:rPr>
              <w:t xml:space="preserve">) for most patients, and </w:t>
            </w:r>
            <w:proofErr w:type="spellStart"/>
            <w:r w:rsidRPr="001F5154">
              <w:rPr>
                <w:rFonts w:ascii="Arial" w:eastAsia="Times New Roman" w:hAnsi="Arial" w:cs="Arial"/>
                <w:snapToGrid w:val="0"/>
                <w:sz w:val="20"/>
                <w:szCs w:val="20"/>
              </w:rPr>
              <w:t>Prezcobix</w:t>
            </w:r>
            <w:proofErr w:type="spellEnd"/>
            <w:r w:rsidRPr="001F5154">
              <w:rPr>
                <w:rFonts w:ascii="Arial" w:eastAsia="Times New Roman" w:hAnsi="Arial" w:cs="Arial"/>
                <w:snapToGrid w:val="0"/>
                <w:sz w:val="20"/>
                <w:szCs w:val="20"/>
              </w:rPr>
              <w:t xml:space="preserve">® and </w:t>
            </w:r>
            <w:proofErr w:type="spellStart"/>
            <w:r w:rsidRPr="001F5154">
              <w:rPr>
                <w:rFonts w:ascii="Arial" w:eastAsia="Times New Roman" w:hAnsi="Arial" w:cs="Arial"/>
                <w:snapToGrid w:val="0"/>
                <w:sz w:val="20"/>
                <w:szCs w:val="20"/>
              </w:rPr>
              <w:t>Descovy</w:t>
            </w:r>
            <w:proofErr w:type="spellEnd"/>
            <w:r w:rsidRPr="001F5154">
              <w:rPr>
                <w:rFonts w:ascii="Arial" w:eastAsia="Times New Roman" w:hAnsi="Arial" w:cs="Arial"/>
                <w:snapToGrid w:val="0"/>
                <w:sz w:val="20"/>
                <w:szCs w:val="20"/>
              </w:rPr>
              <w:t>® (</w:t>
            </w:r>
            <w:proofErr w:type="spellStart"/>
            <w:r w:rsidRPr="001F5154">
              <w:rPr>
                <w:rFonts w:ascii="Arial" w:eastAsia="Times New Roman" w:hAnsi="Arial" w:cs="Arial"/>
                <w:snapToGrid w:val="0"/>
                <w:sz w:val="20"/>
                <w:szCs w:val="20"/>
              </w:rPr>
              <w:t>tenofovir</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alafenamide</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emtricitabine</w:t>
            </w:r>
            <w:proofErr w:type="spellEnd"/>
            <w:r w:rsidRPr="001F5154">
              <w:rPr>
                <w:rFonts w:ascii="Arial" w:eastAsia="Times New Roman" w:hAnsi="Arial" w:cs="Arial"/>
                <w:snapToGrid w:val="0"/>
                <w:sz w:val="20"/>
                <w:szCs w:val="20"/>
              </w:rPr>
              <w:t xml:space="preserve">) for patients with renal impairment who cannot use </w:t>
            </w:r>
            <w:proofErr w:type="spellStart"/>
            <w:r w:rsidRPr="001F5154">
              <w:rPr>
                <w:rFonts w:ascii="Arial" w:eastAsia="Times New Roman" w:hAnsi="Arial" w:cs="Arial"/>
                <w:snapToGrid w:val="0"/>
                <w:sz w:val="20"/>
                <w:szCs w:val="20"/>
              </w:rPr>
              <w:t>Truvada</w:t>
            </w:r>
            <w:proofErr w:type="spellEnd"/>
            <w:r w:rsidRPr="001F5154">
              <w:rPr>
                <w:rFonts w:ascii="Arial" w:eastAsia="Times New Roman" w:hAnsi="Arial" w:cs="Arial"/>
                <w:snapToGrid w:val="0"/>
                <w:sz w:val="20"/>
                <w:szCs w:val="20"/>
              </w:rPr>
              <w:t xml:space="preserve">®. The PBAC considered the safety and effectiveness of </w:t>
            </w:r>
            <w:proofErr w:type="spellStart"/>
            <w:r w:rsidRPr="001F5154">
              <w:rPr>
                <w:rFonts w:ascii="Arial" w:eastAsia="Times New Roman" w:hAnsi="Arial" w:cs="Arial"/>
                <w:snapToGrid w:val="0"/>
                <w:sz w:val="20"/>
                <w:szCs w:val="20"/>
              </w:rPr>
              <w:t>Symtuza</w:t>
            </w:r>
            <w:proofErr w:type="spellEnd"/>
            <w:r w:rsidRPr="001F5154">
              <w:rPr>
                <w:rFonts w:ascii="Arial" w:eastAsia="Times New Roman" w:hAnsi="Arial" w:cs="Arial"/>
                <w:snapToGrid w:val="0"/>
                <w:sz w:val="20"/>
                <w:szCs w:val="20"/>
              </w:rPr>
              <w:t xml:space="preserve">® to be similar to the known profiles of its component drugs, taken concomitantly.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DIMETHYL FUMARATE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Capsule (modified release) 120 mg</w:t>
            </w:r>
            <w:r w:rsidRPr="001F5154">
              <w:rPr>
                <w:rFonts w:ascii="Arial" w:eastAsia="Times New Roman" w:hAnsi="Arial" w:cs="Arial"/>
                <w:sz w:val="20"/>
                <w:szCs w:val="20"/>
                <w:lang w:eastAsia="en-AU"/>
              </w:rPr>
              <w:br/>
              <w:t>Capsule (modified release) 240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Tecfidera</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Biogen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Relapsing-remitting multiple sclerosis (RRMS)</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the current Authority Required listings of dimethyl fumarate for the treatment of patients with RRMS be changed to Authority Required (STREAMLINED).</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amending the existing listings of dimethyl fumarate to Authority Required (STREAMLINED) for the treatment of RRMS.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br/>
              <w:t xml:space="preserve">The PBAC also recommended changing the authority level of the current listings for </w:t>
            </w:r>
            <w:proofErr w:type="spellStart"/>
            <w:r w:rsidRPr="001F5154">
              <w:rPr>
                <w:rFonts w:ascii="Arial" w:eastAsia="Times New Roman" w:hAnsi="Arial" w:cs="Arial"/>
                <w:snapToGrid w:val="0"/>
                <w:sz w:val="20"/>
                <w:szCs w:val="20"/>
              </w:rPr>
              <w:t>fingolimod</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teriflunomide</w:t>
            </w:r>
            <w:proofErr w:type="spellEnd"/>
            <w:r w:rsidRPr="001F5154">
              <w:rPr>
                <w:rFonts w:ascii="Arial" w:eastAsia="Times New Roman" w:hAnsi="Arial" w:cs="Arial"/>
                <w:snapToGrid w:val="0"/>
                <w:sz w:val="20"/>
                <w:szCs w:val="20"/>
              </w:rPr>
              <w:t xml:space="preserve"> and </w:t>
            </w:r>
            <w:proofErr w:type="spellStart"/>
            <w:r w:rsidRPr="001F5154">
              <w:rPr>
                <w:rFonts w:ascii="Arial" w:eastAsia="Times New Roman" w:hAnsi="Arial" w:cs="Arial"/>
                <w:snapToGrid w:val="0"/>
                <w:sz w:val="20"/>
                <w:szCs w:val="20"/>
              </w:rPr>
              <w:t>cladribine</w:t>
            </w:r>
            <w:proofErr w:type="spellEnd"/>
            <w:r w:rsidRPr="001F5154">
              <w:rPr>
                <w:rFonts w:ascii="Arial" w:eastAsia="Times New Roman" w:hAnsi="Arial" w:cs="Arial"/>
                <w:snapToGrid w:val="0"/>
                <w:sz w:val="20"/>
                <w:szCs w:val="20"/>
              </w:rPr>
              <w:t xml:space="preserve"> for the treatment of RRMS to Authority Required (STREAMLINED).</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DURVALUMAB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Solution concentrate for I.V. infusion 120 mg in 2.4 mL</w:t>
            </w:r>
            <w:r w:rsidRPr="001F5154">
              <w:rPr>
                <w:rFonts w:ascii="Arial" w:eastAsia="Times New Roman" w:hAnsi="Arial" w:cs="Arial"/>
                <w:sz w:val="20"/>
                <w:szCs w:val="20"/>
                <w:lang w:eastAsia="en-AU"/>
              </w:rPr>
              <w:br/>
              <w:t>Solution concentrate for I.V. infusion 500 mg in 10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Imfinzi®</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AstraZeneca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Non-small cell lung cancer (NSCLC)</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a Section 100 (Efficient Funding of Chemotherapy) Authority Required (STREAMLINED) listing for the treatment of patients with </w:t>
            </w:r>
            <w:proofErr w:type="spellStart"/>
            <w:r w:rsidRPr="001F5154">
              <w:rPr>
                <w:rFonts w:ascii="Arial" w:eastAsia="Times New Roman" w:hAnsi="Arial" w:cs="Arial"/>
                <w:snapToGrid w:val="0"/>
                <w:sz w:val="20"/>
                <w:szCs w:val="20"/>
              </w:rPr>
              <w:t>unresectable</w:t>
            </w:r>
            <w:proofErr w:type="spellEnd"/>
            <w:r w:rsidRPr="001F5154">
              <w:rPr>
                <w:rFonts w:ascii="Arial" w:eastAsia="Times New Roman" w:hAnsi="Arial" w:cs="Arial"/>
                <w:snapToGrid w:val="0"/>
                <w:sz w:val="20"/>
                <w:szCs w:val="20"/>
              </w:rPr>
              <w:t xml:space="preserve"> Stage III NSCLC whose disease has not progressed following platinum-based </w:t>
            </w:r>
            <w:proofErr w:type="spellStart"/>
            <w:r w:rsidRPr="001F5154">
              <w:rPr>
                <w:rFonts w:ascii="Arial" w:eastAsia="Times New Roman" w:hAnsi="Arial" w:cs="Arial"/>
                <w:snapToGrid w:val="0"/>
                <w:sz w:val="20"/>
                <w:szCs w:val="20"/>
              </w:rPr>
              <w:t>chemoradiation</w:t>
            </w:r>
            <w:proofErr w:type="spellEnd"/>
            <w:r w:rsidRPr="001F5154">
              <w:rPr>
                <w:rFonts w:ascii="Arial" w:eastAsia="Times New Roman" w:hAnsi="Arial" w:cs="Arial"/>
                <w:snapToGrid w:val="0"/>
                <w:sz w:val="20"/>
                <w:szCs w:val="20"/>
              </w:rPr>
              <w:t xml:space="preserve"> therapy.</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Section 100 (Efficient Funding of Chemotherapy) Authority Required (STREAMLINED) listing of </w:t>
            </w:r>
            <w:proofErr w:type="spellStart"/>
            <w:r w:rsidRPr="001F5154">
              <w:rPr>
                <w:rFonts w:ascii="Arial" w:eastAsia="Times New Roman" w:hAnsi="Arial" w:cs="Arial"/>
                <w:snapToGrid w:val="0"/>
                <w:sz w:val="20"/>
                <w:szCs w:val="20"/>
              </w:rPr>
              <w:t>durvalumab</w:t>
            </w:r>
            <w:proofErr w:type="spellEnd"/>
            <w:r w:rsidRPr="001F5154">
              <w:rPr>
                <w:rFonts w:ascii="Arial" w:eastAsia="Times New Roman" w:hAnsi="Arial" w:cs="Arial"/>
                <w:snapToGrid w:val="0"/>
                <w:sz w:val="20"/>
                <w:szCs w:val="20"/>
              </w:rPr>
              <w:t xml:space="preserve"> for the treatment of Stage III </w:t>
            </w:r>
            <w:proofErr w:type="spellStart"/>
            <w:r w:rsidRPr="001F5154">
              <w:rPr>
                <w:rFonts w:ascii="Arial" w:eastAsia="Times New Roman" w:hAnsi="Arial" w:cs="Arial"/>
                <w:snapToGrid w:val="0"/>
                <w:sz w:val="20"/>
                <w:szCs w:val="20"/>
              </w:rPr>
              <w:t>unresectable</w:t>
            </w:r>
            <w:proofErr w:type="spellEnd"/>
            <w:r w:rsidRPr="001F5154">
              <w:rPr>
                <w:rFonts w:ascii="Arial" w:eastAsia="Times New Roman" w:hAnsi="Arial" w:cs="Arial"/>
                <w:snapToGrid w:val="0"/>
                <w:sz w:val="20"/>
                <w:szCs w:val="20"/>
              </w:rPr>
              <w:t xml:space="preserve"> NSCLC in patients who have not progressed after platinum-based </w:t>
            </w:r>
            <w:proofErr w:type="spellStart"/>
            <w:r w:rsidRPr="001F5154">
              <w:rPr>
                <w:rFonts w:ascii="Arial" w:eastAsia="Times New Roman" w:hAnsi="Arial" w:cs="Arial"/>
                <w:snapToGrid w:val="0"/>
                <w:sz w:val="20"/>
                <w:szCs w:val="20"/>
              </w:rPr>
              <w:t>chemoradiation</w:t>
            </w:r>
            <w:proofErr w:type="spellEnd"/>
            <w:r w:rsidRPr="001F5154">
              <w:rPr>
                <w:rFonts w:ascii="Arial" w:eastAsia="Times New Roman" w:hAnsi="Arial" w:cs="Arial"/>
                <w:snapToGrid w:val="0"/>
                <w:sz w:val="20"/>
                <w:szCs w:val="20"/>
              </w:rPr>
              <w:t xml:space="preserve"> therapy. The PBAC’s recommendation for listing was based on, among other matters, its assessment that the cost-effectiveness of </w:t>
            </w:r>
            <w:proofErr w:type="spellStart"/>
            <w:r w:rsidRPr="001F5154">
              <w:rPr>
                <w:rFonts w:ascii="Arial" w:eastAsia="Times New Roman" w:hAnsi="Arial" w:cs="Arial"/>
                <w:snapToGrid w:val="0"/>
                <w:sz w:val="20"/>
                <w:szCs w:val="20"/>
              </w:rPr>
              <w:t>durvalumab</w:t>
            </w:r>
            <w:proofErr w:type="spellEnd"/>
            <w:r w:rsidRPr="001F5154">
              <w:rPr>
                <w:rFonts w:ascii="Arial" w:eastAsia="Times New Roman" w:hAnsi="Arial" w:cs="Arial"/>
                <w:snapToGrid w:val="0"/>
                <w:sz w:val="20"/>
                <w:szCs w:val="20"/>
              </w:rPr>
              <w:t xml:space="preserve"> would be acceptable with a small reduction to the price proposed in the resubmission. </w:t>
            </w:r>
          </w:p>
          <w:p w:rsidR="001F5154" w:rsidRPr="001F5154" w:rsidRDefault="001F5154" w:rsidP="001F5154">
            <w:pPr>
              <w:widowControl w:val="0"/>
              <w:spacing w:after="0" w:line="240" w:lineRule="auto"/>
              <w:rPr>
                <w:rFonts w:ascii="Arial" w:eastAsia="Times New Roman" w:hAnsi="Arial" w:cs="Arial"/>
                <w:snapToGrid w:val="0"/>
                <w:sz w:val="20"/>
                <w:szCs w:val="20"/>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EVOLOCUMAB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Injection 420 mg in 3.5 mL single use pre-filled cartridge </w:t>
            </w:r>
            <w:r w:rsidRPr="001F5154">
              <w:rPr>
                <w:rFonts w:ascii="Arial" w:eastAsia="Times New Roman" w:hAnsi="Arial" w:cs="Arial"/>
                <w:sz w:val="20"/>
                <w:szCs w:val="20"/>
                <w:lang w:eastAsia="en-AU"/>
              </w:rPr>
              <w:br/>
              <w:t xml:space="preserve">Injection 140 mg in 1 mL single use pre-filled pen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Repatha</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Amgen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proofErr w:type="spellStart"/>
            <w:r w:rsidRPr="001F5154">
              <w:rPr>
                <w:rFonts w:ascii="Arial" w:eastAsia="Times New Roman" w:hAnsi="Arial" w:cs="Arial"/>
                <w:snapToGrid w:val="0"/>
                <w:sz w:val="20"/>
                <w:szCs w:val="20"/>
              </w:rPr>
              <w:t>Hypercholesterolaemia</w:t>
            </w:r>
            <w:proofErr w:type="spellEnd"/>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an Authority Required listing for the treatment of patients with </w:t>
            </w:r>
            <w:proofErr w:type="spellStart"/>
            <w:r w:rsidRPr="001F5154">
              <w:rPr>
                <w:rFonts w:ascii="Arial" w:eastAsia="Times New Roman" w:hAnsi="Arial" w:cs="Arial"/>
                <w:snapToGrid w:val="0"/>
                <w:sz w:val="20"/>
                <w:szCs w:val="20"/>
              </w:rPr>
              <w:t>hypercholesterolaemia</w:t>
            </w:r>
            <w:proofErr w:type="spellEnd"/>
            <w:r w:rsidRPr="001F5154">
              <w:rPr>
                <w:rFonts w:ascii="Arial" w:eastAsia="Times New Roman" w:hAnsi="Arial" w:cs="Arial"/>
                <w:snapToGrid w:val="0"/>
                <w:sz w:val="20"/>
                <w:szCs w:val="20"/>
              </w:rPr>
              <w:t xml:space="preserve"> who are very high risk for atherosclerotic cardiovascular disease (ASCVD) and who are inadequately controlled on optimal doses of high potency statins and ezetimibe.</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listing of </w:t>
            </w:r>
            <w:proofErr w:type="spellStart"/>
            <w:r w:rsidRPr="001F5154">
              <w:rPr>
                <w:rFonts w:ascii="Arial" w:eastAsia="Times New Roman" w:hAnsi="Arial" w:cs="Arial"/>
                <w:snapToGrid w:val="0"/>
                <w:sz w:val="20"/>
                <w:szCs w:val="20"/>
              </w:rPr>
              <w:t>evolocumab</w:t>
            </w:r>
            <w:proofErr w:type="spellEnd"/>
            <w:r w:rsidRPr="001F5154">
              <w:rPr>
                <w:rFonts w:ascii="Arial" w:eastAsia="Times New Roman" w:hAnsi="Arial" w:cs="Arial"/>
                <w:snapToGrid w:val="0"/>
                <w:sz w:val="20"/>
                <w:szCs w:val="20"/>
              </w:rPr>
              <w:t xml:space="preserve"> for the treatment of non-familial </w:t>
            </w:r>
            <w:proofErr w:type="spellStart"/>
            <w:r w:rsidRPr="001F5154">
              <w:rPr>
                <w:rFonts w:ascii="Arial" w:eastAsia="Times New Roman" w:hAnsi="Arial" w:cs="Arial"/>
                <w:snapToGrid w:val="0"/>
                <w:sz w:val="20"/>
                <w:szCs w:val="20"/>
              </w:rPr>
              <w:t>hypercholesterolaemia</w:t>
            </w:r>
            <w:proofErr w:type="spellEnd"/>
            <w:r w:rsidRPr="001F5154">
              <w:rPr>
                <w:rFonts w:ascii="Arial" w:eastAsia="Times New Roman" w:hAnsi="Arial" w:cs="Arial"/>
                <w:snapToGrid w:val="0"/>
                <w:sz w:val="20"/>
                <w:szCs w:val="20"/>
              </w:rPr>
              <w:t xml:space="preserve"> in patients who have ASCVD and additional high-risk factors. The PBAC also recommended an extension to the current listings of </w:t>
            </w:r>
            <w:proofErr w:type="spellStart"/>
            <w:r w:rsidRPr="001F5154">
              <w:rPr>
                <w:rFonts w:ascii="Arial" w:eastAsia="Times New Roman" w:hAnsi="Arial" w:cs="Arial"/>
                <w:snapToGrid w:val="0"/>
                <w:sz w:val="20"/>
                <w:szCs w:val="20"/>
              </w:rPr>
              <w:t>evolocumab</w:t>
            </w:r>
            <w:proofErr w:type="spellEnd"/>
            <w:r w:rsidRPr="001F5154">
              <w:rPr>
                <w:rFonts w:ascii="Arial" w:eastAsia="Times New Roman" w:hAnsi="Arial" w:cs="Arial"/>
                <w:snapToGrid w:val="0"/>
                <w:sz w:val="20"/>
                <w:szCs w:val="20"/>
              </w:rPr>
              <w:t xml:space="preserve"> for the treatment of familial </w:t>
            </w:r>
            <w:proofErr w:type="spellStart"/>
            <w:r w:rsidRPr="001F5154">
              <w:rPr>
                <w:rFonts w:ascii="Arial" w:eastAsia="Times New Roman" w:hAnsi="Arial" w:cs="Arial"/>
                <w:snapToGrid w:val="0"/>
                <w:sz w:val="20"/>
                <w:szCs w:val="20"/>
              </w:rPr>
              <w:t>hypercholesterolaemia</w:t>
            </w:r>
            <w:proofErr w:type="spellEnd"/>
            <w:r w:rsidRPr="001F5154">
              <w:rPr>
                <w:rFonts w:ascii="Arial" w:eastAsia="Times New Roman" w:hAnsi="Arial" w:cs="Arial"/>
                <w:snapToGrid w:val="0"/>
                <w:sz w:val="20"/>
                <w:szCs w:val="20"/>
              </w:rPr>
              <w:t xml:space="preserve"> to include patients with ASCVD who have an LDL level between 2.6 and 3.3 </w:t>
            </w:r>
            <w:proofErr w:type="spellStart"/>
            <w:r w:rsidRPr="001F5154">
              <w:rPr>
                <w:rFonts w:ascii="Arial" w:eastAsia="Times New Roman" w:hAnsi="Arial" w:cs="Arial"/>
                <w:snapToGrid w:val="0"/>
                <w:sz w:val="20"/>
                <w:szCs w:val="20"/>
              </w:rPr>
              <w:t>mmol</w:t>
            </w:r>
            <w:proofErr w:type="spellEnd"/>
            <w:r w:rsidRPr="001F5154">
              <w:rPr>
                <w:rFonts w:ascii="Arial" w:eastAsia="Times New Roman" w:hAnsi="Arial" w:cs="Arial"/>
                <w:snapToGrid w:val="0"/>
                <w:sz w:val="20"/>
                <w:szCs w:val="20"/>
              </w:rPr>
              <w:t xml:space="preserve">/L.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considered that there is a moderate unmet clinical need in this patient population, and that there are important clinical benefits associated with </w:t>
            </w:r>
            <w:proofErr w:type="spellStart"/>
            <w:r w:rsidRPr="001F5154">
              <w:rPr>
                <w:rFonts w:ascii="Arial" w:eastAsia="Times New Roman" w:hAnsi="Arial" w:cs="Arial"/>
                <w:snapToGrid w:val="0"/>
                <w:sz w:val="20"/>
                <w:szCs w:val="20"/>
              </w:rPr>
              <w:t>evolocumab</w:t>
            </w:r>
            <w:proofErr w:type="spellEnd"/>
            <w:r w:rsidRPr="001F5154">
              <w:rPr>
                <w:rFonts w:ascii="Arial" w:eastAsia="Times New Roman" w:hAnsi="Arial" w:cs="Arial"/>
                <w:snapToGrid w:val="0"/>
                <w:sz w:val="20"/>
                <w:szCs w:val="20"/>
              </w:rPr>
              <w:t xml:space="preserve"> therapy including a reduction in non-fatal heart attacks and strokes, which would result in a likely reduction in the risk of death.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considered that the cost-effectiveness of </w:t>
            </w:r>
            <w:proofErr w:type="spellStart"/>
            <w:r w:rsidRPr="001F5154">
              <w:rPr>
                <w:rFonts w:ascii="Arial" w:eastAsia="Times New Roman" w:hAnsi="Arial" w:cs="Arial"/>
                <w:snapToGrid w:val="0"/>
                <w:sz w:val="20"/>
                <w:szCs w:val="20"/>
              </w:rPr>
              <w:t>evolocumab</w:t>
            </w:r>
            <w:proofErr w:type="spellEnd"/>
            <w:r w:rsidRPr="001F5154">
              <w:rPr>
                <w:rFonts w:ascii="Arial" w:eastAsia="Times New Roman" w:hAnsi="Arial" w:cs="Arial"/>
                <w:snapToGrid w:val="0"/>
                <w:sz w:val="20"/>
                <w:szCs w:val="20"/>
              </w:rPr>
              <w:t xml:space="preserve"> would be acceptable at the price proposed in the minor resubmission, and if use is confined to this high-risk population.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GLYCOMACROPEPTIDE AND ESSENTIAL AMINO ACIDS WITH VITAMINS AND MINERALS</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Sachets containing oral powder 16 g, 60</w:t>
            </w:r>
            <w:r w:rsidRPr="001F5154">
              <w:rPr>
                <w:rFonts w:ascii="Arial" w:eastAsia="Times New Roman" w:hAnsi="Arial" w:cs="Arial"/>
                <w:sz w:val="20"/>
                <w:szCs w:val="20"/>
                <w:lang w:eastAsia="en-AU"/>
              </w:rPr>
              <w:br/>
              <w:t>Sachets containing oral powder 32 g, 30</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PKU Build 10® </w:t>
            </w:r>
            <w:r w:rsidRPr="001F5154">
              <w:rPr>
                <w:rFonts w:ascii="Arial" w:eastAsia="Times New Roman" w:hAnsi="Arial" w:cs="Arial"/>
                <w:sz w:val="20"/>
                <w:szCs w:val="20"/>
                <w:lang w:eastAsia="en-AU"/>
              </w:rPr>
              <w:br/>
              <w:t>PKU Build 20®</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Cortex Health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Phenylketonuria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changes to the formulation of PKU Build 10</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and PKU Build 20</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continuing the listing of the </w:t>
            </w:r>
            <w:proofErr w:type="spellStart"/>
            <w:r w:rsidRPr="001F5154">
              <w:rPr>
                <w:rFonts w:ascii="Arial" w:eastAsia="Times New Roman" w:hAnsi="Arial" w:cs="Arial"/>
                <w:snapToGrid w:val="0"/>
                <w:sz w:val="20"/>
                <w:szCs w:val="20"/>
              </w:rPr>
              <w:t>glycomacropeptide</w:t>
            </w:r>
            <w:proofErr w:type="spellEnd"/>
            <w:r w:rsidRPr="001F5154">
              <w:rPr>
                <w:rFonts w:ascii="Arial" w:eastAsia="Times New Roman" w:hAnsi="Arial" w:cs="Arial"/>
                <w:snapToGrid w:val="0"/>
                <w:sz w:val="20"/>
                <w:szCs w:val="20"/>
              </w:rPr>
              <w:t xml:space="preserve"> formula, PKU Build®, on the PBS following its reformulation. The PBAC noted the low levels of dietary folate, choline and methionine and recommended adding an administrative note to that effect to the listing.</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HIGH DOSE INACTIVATED TRIVALENT INFLUENZA VACCINE (SPLIT VIRION)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0.5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Fluzone</w:t>
            </w:r>
            <w:proofErr w:type="spellEnd"/>
            <w:r w:rsidRPr="001F5154">
              <w:rPr>
                <w:rFonts w:ascii="Arial" w:eastAsia="Times New Roman" w:hAnsi="Arial" w:cs="Arial"/>
                <w:sz w:val="20"/>
                <w:szCs w:val="20"/>
                <w:lang w:eastAsia="en-AU"/>
              </w:rPr>
              <w:t>® High-Dose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Sanofi-Aventis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Prevention of seasonal influenza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that the PBAC review the circumstances of the recommended National Immunisation Program (NIP) listing for the prevention of seasonal influenza in patients aged 65 years and over. </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an increase in the price of inactivated trivalent influenza vaccine (</w:t>
            </w:r>
            <w:proofErr w:type="spellStart"/>
            <w:r w:rsidRPr="001F5154">
              <w:rPr>
                <w:rFonts w:ascii="Arial" w:eastAsia="Times New Roman" w:hAnsi="Arial" w:cs="Arial"/>
                <w:snapToGrid w:val="0"/>
                <w:sz w:val="20"/>
                <w:szCs w:val="20"/>
              </w:rPr>
              <w:t>Fluzone</w:t>
            </w:r>
            <w:proofErr w:type="spellEnd"/>
            <w:r w:rsidRPr="001F5154">
              <w:rPr>
                <w:rFonts w:ascii="Arial" w:eastAsia="Times New Roman" w:hAnsi="Arial" w:cs="Arial"/>
                <w:snapToGrid w:val="0"/>
                <w:sz w:val="20"/>
                <w:szCs w:val="20"/>
              </w:rPr>
              <w:t xml:space="preserve">® High-Dose, TIV-HD), on the NIP for active immunisation against influenza in adults aged ≥ 65 years. The PBAC recommendation was on the basis that, on balance, TIV-HD was at least as effective as </w:t>
            </w:r>
            <w:proofErr w:type="spellStart"/>
            <w:r w:rsidRPr="001F5154">
              <w:rPr>
                <w:rFonts w:ascii="Arial" w:eastAsia="Times New Roman" w:hAnsi="Arial" w:cs="Arial"/>
                <w:snapToGrid w:val="0"/>
                <w:sz w:val="20"/>
                <w:szCs w:val="20"/>
              </w:rPr>
              <w:t>adjuvanted</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quadrivalent</w:t>
            </w:r>
            <w:proofErr w:type="spellEnd"/>
            <w:r w:rsidRPr="001F5154">
              <w:rPr>
                <w:rFonts w:ascii="Arial" w:eastAsia="Times New Roman" w:hAnsi="Arial" w:cs="Arial"/>
                <w:snapToGrid w:val="0"/>
                <w:sz w:val="20"/>
                <w:szCs w:val="20"/>
              </w:rPr>
              <w:t xml:space="preserve"> influenza vaccine (</w:t>
            </w:r>
            <w:proofErr w:type="spellStart"/>
            <w:r w:rsidRPr="001F5154">
              <w:rPr>
                <w:rFonts w:ascii="Arial" w:eastAsia="Times New Roman" w:hAnsi="Arial" w:cs="Arial"/>
                <w:snapToGrid w:val="0"/>
                <w:sz w:val="20"/>
                <w:szCs w:val="20"/>
              </w:rPr>
              <w:t>Fluad</w:t>
            </w:r>
            <w:proofErr w:type="spellEnd"/>
            <w:r w:rsidRPr="001F5154">
              <w:rPr>
                <w:rFonts w:ascii="Arial" w:eastAsia="Times New Roman" w:hAnsi="Arial" w:cs="Arial"/>
                <w:snapToGrid w:val="0"/>
                <w:sz w:val="20"/>
                <w:szCs w:val="20"/>
              </w:rPr>
              <w:t xml:space="preserve">® Quad, </w:t>
            </w:r>
            <w:proofErr w:type="spellStart"/>
            <w:r w:rsidRPr="001F5154">
              <w:rPr>
                <w:rFonts w:ascii="Arial" w:eastAsia="Times New Roman" w:hAnsi="Arial" w:cs="Arial"/>
                <w:snapToGrid w:val="0"/>
                <w:sz w:val="20"/>
                <w:szCs w:val="20"/>
              </w:rPr>
              <w:t>aQIV</w:t>
            </w:r>
            <w:proofErr w:type="spellEnd"/>
            <w:r w:rsidRPr="001F5154">
              <w:rPr>
                <w:rFonts w:ascii="Arial" w:eastAsia="Times New Roman" w:hAnsi="Arial" w:cs="Arial"/>
                <w:snapToGrid w:val="0"/>
                <w:sz w:val="20"/>
                <w:szCs w:val="20"/>
              </w:rPr>
              <w:t xml:space="preserve">). The PBAC considered a claim of superior effectiveness  compared with </w:t>
            </w:r>
            <w:proofErr w:type="spellStart"/>
            <w:r w:rsidRPr="001F5154">
              <w:rPr>
                <w:rFonts w:ascii="Arial" w:eastAsia="Times New Roman" w:hAnsi="Arial" w:cs="Arial"/>
                <w:snapToGrid w:val="0"/>
                <w:sz w:val="20"/>
                <w:szCs w:val="20"/>
              </w:rPr>
              <w:t>aQIV</w:t>
            </w:r>
            <w:proofErr w:type="spellEnd"/>
            <w:r w:rsidRPr="001F5154">
              <w:rPr>
                <w:rFonts w:ascii="Arial" w:eastAsia="Times New Roman" w:hAnsi="Arial" w:cs="Arial"/>
                <w:snapToGrid w:val="0"/>
                <w:sz w:val="20"/>
                <w:szCs w:val="20"/>
              </w:rPr>
              <w:t xml:space="preserve"> could not be adequately supported by the clinical evidence presented and therefore a cost-minimisation approach in which TIV-HD was the same price as </w:t>
            </w:r>
            <w:proofErr w:type="spellStart"/>
            <w:r w:rsidRPr="001F5154">
              <w:rPr>
                <w:rFonts w:ascii="Arial" w:eastAsia="Times New Roman" w:hAnsi="Arial" w:cs="Arial"/>
                <w:snapToGrid w:val="0"/>
                <w:sz w:val="20"/>
                <w:szCs w:val="20"/>
              </w:rPr>
              <w:t>aQIV</w:t>
            </w:r>
            <w:proofErr w:type="spellEnd"/>
            <w:r w:rsidRPr="001F5154">
              <w:rPr>
                <w:rFonts w:ascii="Arial" w:eastAsia="Times New Roman" w:hAnsi="Arial" w:cs="Arial"/>
                <w:snapToGrid w:val="0"/>
                <w:sz w:val="20"/>
                <w:szCs w:val="20"/>
              </w:rPr>
              <w:t xml:space="preserve"> would be appropriate.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IBRUTINIB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Capsule 140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Imbruvica®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Janssen-Cilag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Chronic lymphocytic leukaemia (CLL) or small lymphocytic lymphoma (SLL)</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Resubmission to request an Authority Required listing for the treatment of patients with previously untreated CLL or SLL with evidence of one or more 17p chromosome deletions.</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listing of ibrutinib for first-line treatment of CLL/SLL patients with deletion 17p. The PBAC recognised the high clinical need for effective treatments in this population and was satisfied that ibrutinib provides, for some patients, a significant improvement in progression-free survival over obinutuzumab + chlorambucil. In addition, the PBAC considered that it was reasonable to assume non-inferior safety of ibrutinib monotherapy compared with obinutuzumab + chlorambucil during the first 9 months of treatment and inferior safety thereafter. The PBAC considered ibrutinib was cost-effective in the proposed population if the price of ibrutinib was the same as for the relapsed/refractory CLL/SLL PBS listing.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INACTIVATED QUADRIVALENT INFLUENZA VACCINE (SPLIT VIRION)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Injection 0.5 mL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FluQuadri</w:t>
            </w:r>
            <w:r w:rsidRPr="001F5154">
              <w:rPr>
                <w:rFonts w:ascii="Arial" w:eastAsia="Times New Roman" w:hAnsi="Arial" w:cs="Arial"/>
                <w:sz w:val="20"/>
                <w:szCs w:val="20"/>
                <w:vertAlign w:val="superscript"/>
                <w:lang w:eastAsia="en-AU"/>
              </w:rPr>
              <w:t>TM</w:t>
            </w:r>
            <w:proofErr w:type="spellEnd"/>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Sanofi-aventis</w:t>
            </w:r>
            <w:proofErr w:type="spellEnd"/>
            <w:r w:rsidRPr="001F5154">
              <w:rPr>
                <w:rFonts w:ascii="Arial" w:eastAsia="Times New Roman" w:hAnsi="Arial" w:cs="Arial"/>
                <w:sz w:val="20"/>
                <w:szCs w:val="20"/>
                <w:lang w:eastAsia="en-AU"/>
              </w:rPr>
              <w:t xml:space="preserve"> Healthcare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Prevention of seasonal influenza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an extension to the current National Immunisation Program (NIP) listing of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to include all people aged 6 months and older currently eligible for seasonal influenza vaccination under the NIP for the prevention of seasonal influenza.</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extending the current listing of </w:t>
            </w:r>
            <w:proofErr w:type="spellStart"/>
            <w:r w:rsidRPr="001F5154">
              <w:rPr>
                <w:rFonts w:ascii="Arial" w:eastAsia="Times New Roman" w:hAnsi="Arial" w:cs="Arial"/>
                <w:snapToGrid w:val="0"/>
                <w:sz w:val="20"/>
                <w:szCs w:val="20"/>
              </w:rPr>
              <w:t>quadrivalent</w:t>
            </w:r>
            <w:proofErr w:type="spellEnd"/>
            <w:r w:rsidRPr="001F5154">
              <w:rPr>
                <w:rFonts w:ascii="Arial" w:eastAsia="Times New Roman" w:hAnsi="Arial" w:cs="Arial"/>
                <w:snapToGrid w:val="0"/>
                <w:sz w:val="20"/>
                <w:szCs w:val="20"/>
              </w:rPr>
              <w:t xml:space="preserve"> influenza vaccine (QIV) (split </w:t>
            </w:r>
            <w:proofErr w:type="spellStart"/>
            <w:r w:rsidRPr="001F5154">
              <w:rPr>
                <w:rFonts w:ascii="Arial" w:eastAsia="Times New Roman" w:hAnsi="Arial" w:cs="Arial"/>
                <w:snapToGrid w:val="0"/>
                <w:sz w:val="20"/>
                <w:szCs w:val="20"/>
              </w:rPr>
              <w:t>virion</w:t>
            </w:r>
            <w:proofErr w:type="spellEnd"/>
            <w:r w:rsidRPr="001F5154">
              <w:rPr>
                <w:rFonts w:ascii="Arial" w:eastAsia="Times New Roman" w:hAnsi="Arial" w:cs="Arial"/>
                <w:snapToGrid w:val="0"/>
                <w:sz w:val="20"/>
                <w:szCs w:val="20"/>
              </w:rPr>
              <w:t xml:space="preserve">, inactivated),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on the NIP for the prevention of influenza, to at-risk children (i.e. children with certain medical conditions putting them at increased risk of severe influenza and complications, and all Aboriginal and Torres Strait Islander children) aged 6-35 months, and all healthy children aged 6 months to &lt;5 years.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PBAC’s recommendation for listing was based on, among other matters, its assessment, that:</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 the cost-effectiveness of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would be acceptable if it were cost-minimised against an alternative QIV such as </w:t>
            </w:r>
            <w:proofErr w:type="spellStart"/>
            <w:r w:rsidRPr="001F5154">
              <w:rPr>
                <w:rFonts w:ascii="Arial" w:eastAsia="Times New Roman" w:hAnsi="Arial" w:cs="Arial"/>
                <w:snapToGrid w:val="0"/>
                <w:sz w:val="20"/>
                <w:szCs w:val="20"/>
              </w:rPr>
              <w:t>FluQuadri</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Junior</w:t>
            </w:r>
            <w:r w:rsidRPr="001F5154">
              <w:rPr>
                <w:rFonts w:ascii="Arial" w:eastAsia="Times New Roman" w:hAnsi="Arial" w:cs="Arial"/>
                <w:sz w:val="20"/>
                <w:szCs w:val="20"/>
                <w:vertAlign w:val="superscript"/>
                <w:lang w:eastAsia="en-AU"/>
              </w:rPr>
              <w:t>TM</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Fluarix</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Tetra</w:t>
            </w:r>
            <w:r w:rsidRPr="001F5154">
              <w:rPr>
                <w:rFonts w:ascii="Arial" w:eastAsia="Times New Roman" w:hAnsi="Arial" w:cs="Arial"/>
                <w:sz w:val="20"/>
                <w:szCs w:val="20"/>
                <w:vertAlign w:val="superscript"/>
                <w:lang w:eastAsia="en-AU"/>
              </w:rPr>
              <w:t>TM</w:t>
            </w:r>
            <w:proofErr w:type="spellEnd"/>
            <w:r w:rsidRPr="001F5154">
              <w:rPr>
                <w:rFonts w:ascii="Arial" w:eastAsia="Times New Roman" w:hAnsi="Arial" w:cs="Arial"/>
                <w:snapToGrid w:val="0"/>
                <w:sz w:val="20"/>
                <w:szCs w:val="20"/>
              </w:rPr>
              <w:t xml:space="preserve"> or </w:t>
            </w:r>
            <w:proofErr w:type="spellStart"/>
            <w:r w:rsidRPr="001F5154">
              <w:rPr>
                <w:rFonts w:ascii="Arial" w:eastAsia="Times New Roman" w:hAnsi="Arial" w:cs="Arial"/>
                <w:snapToGrid w:val="0"/>
                <w:sz w:val="20"/>
                <w:szCs w:val="20"/>
              </w:rPr>
              <w:t>Vaxigrip</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Tetra</w:t>
            </w:r>
            <w:r w:rsidRPr="001F5154">
              <w:rPr>
                <w:rFonts w:ascii="Arial" w:eastAsia="Times New Roman" w:hAnsi="Arial" w:cs="Arial"/>
                <w:sz w:val="20"/>
                <w:szCs w:val="20"/>
                <w:vertAlign w:val="superscript"/>
                <w:lang w:eastAsia="en-AU"/>
              </w:rPr>
              <w:t>TM</w:t>
            </w:r>
            <w:proofErr w:type="spellEnd"/>
            <w:r w:rsidRPr="001F5154">
              <w:rPr>
                <w:rFonts w:ascii="Arial" w:eastAsia="Times New Roman" w:hAnsi="Arial" w:cs="Arial"/>
                <w:snapToGrid w:val="0"/>
                <w:sz w:val="20"/>
                <w:szCs w:val="20"/>
              </w:rPr>
              <w:t xml:space="preserve">, on the basis that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is non-inferior to currently listed and recommended QIVs for at-risk children aged 6-35 months; and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 • the cost-effectiveness of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would be acceptable if it were cost-minimised against </w:t>
            </w:r>
            <w:proofErr w:type="spellStart"/>
            <w:r w:rsidRPr="001F5154">
              <w:rPr>
                <w:rFonts w:ascii="Arial" w:eastAsia="Times New Roman" w:hAnsi="Arial" w:cs="Arial"/>
                <w:snapToGrid w:val="0"/>
                <w:sz w:val="20"/>
                <w:szCs w:val="20"/>
              </w:rPr>
              <w:t>Vaxigrip</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Tetra</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on the basis that </w:t>
            </w:r>
            <w:proofErr w:type="spellStart"/>
            <w:r w:rsidRPr="001F5154">
              <w:rPr>
                <w:rFonts w:ascii="Arial" w:eastAsia="Times New Roman" w:hAnsi="Arial" w:cs="Arial"/>
                <w:snapToGrid w:val="0"/>
                <w:sz w:val="20"/>
                <w:szCs w:val="20"/>
              </w:rPr>
              <w:t>FluQuadri</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is non-inferior to </w:t>
            </w:r>
            <w:proofErr w:type="spellStart"/>
            <w:r w:rsidRPr="001F5154">
              <w:rPr>
                <w:rFonts w:ascii="Arial" w:eastAsia="Times New Roman" w:hAnsi="Arial" w:cs="Arial"/>
                <w:snapToGrid w:val="0"/>
                <w:sz w:val="20"/>
                <w:szCs w:val="20"/>
              </w:rPr>
              <w:t>Vaxigrip</w:t>
            </w:r>
            <w:proofErr w:type="spellEnd"/>
            <w:r w:rsidRPr="001F5154">
              <w:rPr>
                <w:rFonts w:ascii="Arial" w:eastAsia="Times New Roman" w:hAnsi="Arial" w:cs="Arial"/>
                <w:snapToGrid w:val="0"/>
                <w:sz w:val="20"/>
                <w:szCs w:val="20"/>
              </w:rPr>
              <w:t xml:space="preserve"> </w:t>
            </w:r>
            <w:proofErr w:type="spellStart"/>
            <w:r w:rsidRPr="001F5154">
              <w:rPr>
                <w:rFonts w:ascii="Arial" w:eastAsia="Times New Roman" w:hAnsi="Arial" w:cs="Arial"/>
                <w:snapToGrid w:val="0"/>
                <w:sz w:val="20"/>
                <w:szCs w:val="20"/>
              </w:rPr>
              <w:t>Tetra</w:t>
            </w:r>
            <w:r w:rsidRPr="001F5154">
              <w:rPr>
                <w:rFonts w:ascii="Arial" w:eastAsia="Times New Roman" w:hAnsi="Arial" w:cs="Arial"/>
                <w:snapToGrid w:val="0"/>
                <w:sz w:val="20"/>
                <w:szCs w:val="20"/>
                <w:vertAlign w:val="superscript"/>
              </w:rPr>
              <w:t>TM</w:t>
            </w:r>
            <w:proofErr w:type="spellEnd"/>
            <w:r w:rsidRPr="001F5154">
              <w:rPr>
                <w:rFonts w:ascii="Arial" w:eastAsia="Times New Roman" w:hAnsi="Arial" w:cs="Arial"/>
                <w:snapToGrid w:val="0"/>
                <w:sz w:val="20"/>
                <w:szCs w:val="20"/>
              </w:rPr>
              <w:t xml:space="preserve"> for healthy children aged 6 months to &lt;5 years.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INCOBOTULINUMTOXIN 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Lyophilised powder for injection 100 units</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Xeomin®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Merz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Spasticity of the upper limb </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extension to the current Section 100 (Botulinum Toxin Program) Authority Required (STREAMLINED) listing for moderate to severe spasticity of the upper limb following a stroke to include the treatment of patients with moderate to severe spasticity of the upper limb following an acute event, consistent with the March 2019 PBAC recommendation for clostridium botulinum type A (Dysport®).</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extension of the current Section 100 (Botulinum Toxin Program), Authority Required (STREAMLINED) listing for </w:t>
            </w:r>
            <w:proofErr w:type="spellStart"/>
            <w:r w:rsidRPr="001F5154">
              <w:rPr>
                <w:rFonts w:ascii="Arial" w:eastAsia="Times New Roman" w:hAnsi="Arial" w:cs="Arial"/>
                <w:snapToGrid w:val="0"/>
                <w:sz w:val="20"/>
                <w:szCs w:val="20"/>
              </w:rPr>
              <w:t>incobotulinumtoxin</w:t>
            </w:r>
            <w:proofErr w:type="spellEnd"/>
            <w:r w:rsidRPr="001F5154">
              <w:rPr>
                <w:rFonts w:ascii="Arial" w:eastAsia="Times New Roman" w:hAnsi="Arial" w:cs="Arial"/>
                <w:snapToGrid w:val="0"/>
                <w:sz w:val="20"/>
                <w:szCs w:val="20"/>
              </w:rPr>
              <w:t xml:space="preserve"> A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for the treatment of moderate to severe focal spasticity of the upper limb following a stroke, to also include spasticity following acute events other than stroke. </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The PBAC was satisfied that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was non-inferior to Dysport</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in terms of comparative effectiveness and safety given the established interchangeability between both drugs in post-stroke upper limb spasticity.</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Based on the maximum dispensed quantity of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for upper limb spasticity, the PBAC considered that the equi-effective doses of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and Dysport</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were: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1U = Dysport</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3.75U. The PBAC considered that the extension of the listing for Xeomin should be cost neutral to the PBS and recommended that Xeomin</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be included in the current Risk Sharing Arrangement in place for Dysport</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ISOTRETINOIN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Capsule 30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Oratane®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Oraderm</w:t>
            </w:r>
            <w:proofErr w:type="spellEnd"/>
            <w:r w:rsidRPr="001F5154">
              <w:rPr>
                <w:rFonts w:ascii="Arial" w:eastAsia="Times New Roman" w:hAnsi="Arial" w:cs="Arial"/>
                <w:sz w:val="20"/>
                <w:szCs w:val="20"/>
                <w:lang w:eastAsia="en-AU"/>
              </w:rPr>
              <w:t xml:space="preserve"> Pharmaceuticals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Severe cystic acne</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an Authority Required (STREAMLINED) listing of a new form of </w:t>
            </w:r>
            <w:proofErr w:type="spellStart"/>
            <w:r w:rsidRPr="001F5154">
              <w:rPr>
                <w:rFonts w:ascii="Arial" w:eastAsia="Times New Roman" w:hAnsi="Arial" w:cs="Arial"/>
                <w:snapToGrid w:val="0"/>
                <w:sz w:val="20"/>
                <w:szCs w:val="20"/>
              </w:rPr>
              <w:t>isotretinoin</w:t>
            </w:r>
            <w:proofErr w:type="spellEnd"/>
            <w:r w:rsidRPr="001F5154">
              <w:rPr>
                <w:rFonts w:ascii="Arial" w:eastAsia="Times New Roman" w:hAnsi="Arial" w:cs="Arial"/>
                <w:snapToGrid w:val="0"/>
                <w:sz w:val="20"/>
                <w:szCs w:val="20"/>
              </w:rPr>
              <w:t xml:space="preserve"> for the treatment of patients with severe cystic acne. </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(STREAMLINED) listing of </w:t>
            </w:r>
            <w:proofErr w:type="spellStart"/>
            <w:r w:rsidRPr="001F5154">
              <w:rPr>
                <w:rFonts w:ascii="Arial" w:eastAsia="Times New Roman" w:hAnsi="Arial" w:cs="Arial"/>
                <w:snapToGrid w:val="0"/>
                <w:sz w:val="20"/>
                <w:szCs w:val="20"/>
              </w:rPr>
              <w:t>isotretinoin</w:t>
            </w:r>
            <w:proofErr w:type="spellEnd"/>
            <w:r w:rsidRPr="001F5154">
              <w:rPr>
                <w:rFonts w:ascii="Arial" w:eastAsia="Times New Roman" w:hAnsi="Arial" w:cs="Arial"/>
                <w:snapToGrid w:val="0"/>
                <w:sz w:val="20"/>
                <w:szCs w:val="20"/>
              </w:rPr>
              <w:t xml:space="preserve">, in the form of 30 mg capsule, for the treatment of patients with severe cystic acne. The PBAC considered it would be appropriate to list the 30 mg strength at a price per milligram equivalent to the lowest price per milligram </w:t>
            </w:r>
            <w:proofErr w:type="spellStart"/>
            <w:r w:rsidRPr="001F5154">
              <w:rPr>
                <w:rFonts w:ascii="Arial" w:eastAsia="Times New Roman" w:hAnsi="Arial" w:cs="Arial"/>
                <w:snapToGrid w:val="0"/>
                <w:sz w:val="20"/>
                <w:szCs w:val="20"/>
              </w:rPr>
              <w:t>isotretinoin</w:t>
            </w:r>
            <w:proofErr w:type="spellEnd"/>
            <w:r w:rsidRPr="001F5154">
              <w:rPr>
                <w:rFonts w:ascii="Arial" w:eastAsia="Times New Roman" w:hAnsi="Arial" w:cs="Arial"/>
                <w:snapToGrid w:val="0"/>
                <w:sz w:val="20"/>
                <w:szCs w:val="20"/>
              </w:rPr>
              <w:t xml:space="preserve"> capsule currently listed on the PBS.</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LEVODOPA + CARBIDOPA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Intestinal gel containing levodopa 20 mg with carbidopa monohydrate 5 mg per mL, 100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Duodopa®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AbbVie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Parkinson disease</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w:t>
            </w:r>
            <w:r w:rsidRPr="001F5154">
              <w:rPr>
                <w:rFonts w:ascii="Arial" w:eastAsia="Times New Roman" w:hAnsi="Arial" w:cs="Arial"/>
                <w:snapToGrid w:val="0"/>
                <w:sz w:val="20"/>
                <w:szCs w:val="20"/>
              </w:rPr>
              <w:br/>
              <w:t xml:space="preserve">• General Schedule and Section 100 (Highly Specialised Drugs Program) Authority Required (STREAMLINED) listings with a new maximum quantity of 4 packs, with the same listing conditions as the current listings. </w:t>
            </w:r>
            <w:r w:rsidRPr="001F5154">
              <w:rPr>
                <w:rFonts w:ascii="Arial" w:eastAsia="Times New Roman" w:hAnsi="Arial" w:cs="Arial"/>
                <w:snapToGrid w:val="0"/>
                <w:sz w:val="20"/>
                <w:szCs w:val="20"/>
              </w:rPr>
              <w:br/>
              <w:t xml:space="preserve">• An additional clinical criterion for the current listings: 'patient must require continuous administration without an overnight break or a total dose per day of </w:t>
            </w:r>
            <w:proofErr w:type="spellStart"/>
            <w:r w:rsidRPr="001F5154">
              <w:rPr>
                <w:rFonts w:ascii="Arial" w:eastAsia="Times New Roman" w:hAnsi="Arial" w:cs="Arial"/>
                <w:snapToGrid w:val="0"/>
                <w:sz w:val="20"/>
                <w:szCs w:val="20"/>
              </w:rPr>
              <w:t>levodpa</w:t>
            </w:r>
            <w:proofErr w:type="spellEnd"/>
            <w:r w:rsidRPr="001F5154">
              <w:rPr>
                <w:rFonts w:ascii="Arial" w:eastAsia="Times New Roman" w:hAnsi="Arial" w:cs="Arial"/>
                <w:snapToGrid w:val="0"/>
                <w:sz w:val="20"/>
                <w:szCs w:val="20"/>
              </w:rPr>
              <w:t xml:space="preserve"> &gt; 2000 mg'</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additional General Schedule and Section 100 (Highly Specialised Drugs Program) Authority Required (STREAMLINED) listings for levodopa with carbidopa monohydrate intestinal gel (Duodopa</w:t>
            </w:r>
            <w:r w:rsidRPr="001F5154">
              <w:rPr>
                <w:rFonts w:ascii="Arial" w:eastAsia="Times New Roman" w:hAnsi="Arial" w:cs="Arial"/>
                <w:sz w:val="20"/>
                <w:szCs w:val="20"/>
                <w:lang w:eastAsia="en-AU"/>
              </w:rPr>
              <w:t xml:space="preserve">®) </w:t>
            </w:r>
            <w:r w:rsidRPr="001F5154">
              <w:rPr>
                <w:rFonts w:ascii="Arial" w:eastAsia="Times New Roman" w:hAnsi="Arial" w:cs="Arial"/>
                <w:snapToGrid w:val="0"/>
                <w:sz w:val="20"/>
                <w:szCs w:val="20"/>
              </w:rPr>
              <w:t xml:space="preserve">for the treatment of advanced Parkinson’s disease, with a reduced maximum quantity of 4 packs.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addition of a clinical criterion to the current listings for Duodopa</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with a maximum quantity of 8 packs to restrict access to patients requiring more than 1 cassette per day.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considered the proposed changes would reduce the risk of some patients using Duodopa</w:t>
            </w:r>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beyond its limited shelf-life.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 xml:space="preserve">LORLATINIB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25 mg</w:t>
            </w:r>
            <w:r w:rsidRPr="001F5154">
              <w:rPr>
                <w:rFonts w:ascii="Arial" w:eastAsia="Times New Roman" w:hAnsi="Arial" w:cs="Arial"/>
                <w:sz w:val="20"/>
                <w:szCs w:val="20"/>
                <w:lang w:eastAsia="en-AU"/>
              </w:rPr>
              <w:br/>
              <w:t xml:space="preserve">Tablet 100 mg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Lorviqua®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Pfizer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Non-small cell lung cancer (NSCLC) </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Authority Required listing for the treatment of patients with anaplastic lymphoma kinase (ALK)-positive NSCLC who previously treated with one or more ALK-tyrosine kinase inhibitors (TKI).</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listing of lorlatinib as monotherapy for the treatment of patients with metastatic (Stage IV) ALK-positive NSCLC who have disease progression either following treatment with crizotinib and at least one other ALK-TKI, or an ALK-TKI other than crizotinib in the second-line and subsequent-line settings. The PBAC’s recommendation for listing was based on, among other matters, its assessment that the cost-effectiveness of lorlatinib would be acceptable if it were cost-minimised to alectinib. In making this recommendation, the PBAC considered that there is a high unmet clinical need for effective treatments with broader mutational coverage and intracranial activity for this patient population.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 xml:space="preserve">MULTICOMPONENT MENINGOCOCCAL GROUP B VACCINE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Injection 0.5 mL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Bexsero</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GlaxoSmithKline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Prevention of meningococcal B disease</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listing on the National Immunisation Program (NIP) for the routine immunisation of infants and adolescents, and catch-up programs for high risk populations for the prevention of invasive meningococcal disease (IMD) caused by Neisseria (N.) </w:t>
            </w:r>
            <w:proofErr w:type="spellStart"/>
            <w:r w:rsidRPr="001F5154">
              <w:rPr>
                <w:rFonts w:ascii="Arial" w:eastAsia="Times New Roman" w:hAnsi="Arial" w:cs="Arial"/>
                <w:snapToGrid w:val="0"/>
                <w:sz w:val="20"/>
                <w:szCs w:val="20"/>
              </w:rPr>
              <w:t>meningitidis</w:t>
            </w:r>
            <w:proofErr w:type="spellEnd"/>
            <w:r w:rsidRPr="001F5154">
              <w:rPr>
                <w:rFonts w:ascii="Arial" w:eastAsia="Times New Roman" w:hAnsi="Arial" w:cs="Arial"/>
                <w:snapToGrid w:val="0"/>
                <w:sz w:val="20"/>
                <w:szCs w:val="20"/>
              </w:rPr>
              <w:t xml:space="preserve"> group B strains.</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listing of multicomponent meningococcal group B vaccine (4CMenB, </w:t>
            </w:r>
            <w:proofErr w:type="spellStart"/>
            <w:r w:rsidRPr="001F5154">
              <w:rPr>
                <w:rFonts w:ascii="Arial" w:eastAsia="Times New Roman" w:hAnsi="Arial" w:cs="Arial"/>
                <w:snapToGrid w:val="0"/>
                <w:sz w:val="20"/>
                <w:szCs w:val="20"/>
              </w:rPr>
              <w:t>Bexsero</w:t>
            </w:r>
            <w:proofErr w:type="spellEnd"/>
            <w:r w:rsidRPr="001F5154">
              <w:rPr>
                <w:rFonts w:ascii="Arial" w:eastAsia="Times New Roman" w:hAnsi="Arial" w:cs="Arial"/>
                <w:snapToGrid w:val="0"/>
                <w:sz w:val="20"/>
                <w:szCs w:val="20"/>
              </w:rPr>
              <w:t xml:space="preserve">®), on the NIP, for the prevention of IMD caused by N. </w:t>
            </w:r>
            <w:proofErr w:type="spellStart"/>
            <w:r w:rsidRPr="001F5154">
              <w:rPr>
                <w:rFonts w:ascii="Arial" w:eastAsia="Times New Roman" w:hAnsi="Arial" w:cs="Arial"/>
                <w:snapToGrid w:val="0"/>
                <w:sz w:val="20"/>
                <w:szCs w:val="20"/>
              </w:rPr>
              <w:t>meningitidis</w:t>
            </w:r>
            <w:proofErr w:type="spellEnd"/>
            <w:r w:rsidRPr="001F5154">
              <w:rPr>
                <w:rFonts w:ascii="Arial" w:eastAsia="Times New Roman" w:hAnsi="Arial" w:cs="Arial"/>
                <w:snapToGrid w:val="0"/>
                <w:sz w:val="20"/>
                <w:szCs w:val="20"/>
              </w:rPr>
              <w:t xml:space="preserve"> group B strain in Aboriginal and Torres Strait Islander children.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noted the cost-effectiveness of the vaccine was highly dependent on the incidence of IMD caused by the group B strain and the incidence was more than 6 times higher in Aboriginal and Torres Strait Islander children under 5 years of age compared with non-Indigenous children. The PBAC considered 4CMenB was likely to be cost-effective for the routine vaccination of Aboriginal and Torres Strait Islander infants at the price proposed in the resubmission given the high and disproportionate burden of disease in this population. The PBAC recommended implementation of a catch-up program for Aboriginal and Torres Strait Islander children up to 2 years of age.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A52A4E" w:rsidRPr="003B17E4" w:rsidRDefault="001F5154" w:rsidP="00A52A4E">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also considered 4CMenB was likely to be cost-effective in children and adults with medical conditions associated with increased risk of IMD (specifically, people with asplenia and </w:t>
            </w:r>
            <w:proofErr w:type="spellStart"/>
            <w:r w:rsidRPr="001F5154">
              <w:rPr>
                <w:rFonts w:ascii="Arial" w:eastAsia="Times New Roman" w:hAnsi="Arial" w:cs="Arial"/>
                <w:snapToGrid w:val="0"/>
                <w:sz w:val="20"/>
                <w:szCs w:val="20"/>
              </w:rPr>
              <w:t>hyposplenia</w:t>
            </w:r>
            <w:proofErr w:type="spellEnd"/>
            <w:r w:rsidRPr="001F5154">
              <w:rPr>
                <w:rFonts w:ascii="Arial" w:eastAsia="Times New Roman" w:hAnsi="Arial" w:cs="Arial"/>
                <w:snapToGrid w:val="0"/>
                <w:sz w:val="20"/>
                <w:szCs w:val="20"/>
              </w:rPr>
              <w:t xml:space="preserve">, complement deficiency and those undergoing treatment with eculizumab) and recommended listing on the NIP for routine vaccination of this population. </w:t>
            </w:r>
          </w:p>
          <w:p w:rsidR="00F43CB7" w:rsidRPr="00F43CB7" w:rsidRDefault="00F43CB7" w:rsidP="00F43CB7">
            <w:pPr>
              <w:widowControl w:val="0"/>
              <w:spacing w:after="0" w:line="240" w:lineRule="auto"/>
              <w:rPr>
                <w:rFonts w:ascii="Arial" w:eastAsia="Times New Roman" w:hAnsi="Arial" w:cs="Arial"/>
                <w:snapToGrid w:val="0"/>
                <w:sz w:val="20"/>
                <w:szCs w:val="20"/>
              </w:rPr>
            </w:pPr>
          </w:p>
          <w:p w:rsidR="00F43CB7" w:rsidRPr="001F5154" w:rsidRDefault="00F43CB7" w:rsidP="003B17E4">
            <w:pPr>
              <w:widowControl w:val="0"/>
              <w:spacing w:after="0" w:line="240" w:lineRule="auto"/>
              <w:rPr>
                <w:rFonts w:ascii="Arial" w:eastAsia="Times New Roman" w:hAnsi="Arial" w:cs="Arial"/>
                <w:snapToGrid w:val="0"/>
                <w:sz w:val="20"/>
                <w:szCs w:val="20"/>
              </w:rPr>
            </w:pPr>
            <w:r w:rsidRPr="00F43CB7">
              <w:rPr>
                <w:rFonts w:ascii="Arial" w:eastAsia="Times New Roman" w:hAnsi="Arial" w:cs="Arial"/>
                <w:snapToGrid w:val="0"/>
                <w:sz w:val="20"/>
                <w:szCs w:val="20"/>
              </w:rPr>
              <w:t xml:space="preserve">The PBAC did not recommended listing for a broader population of infants or for adolescents due to the remaining uncertainties </w:t>
            </w:r>
            <w:r>
              <w:rPr>
                <w:rFonts w:ascii="Arial" w:eastAsia="Times New Roman" w:hAnsi="Arial" w:cs="Arial"/>
                <w:snapToGrid w:val="0"/>
                <w:sz w:val="20"/>
                <w:szCs w:val="20"/>
              </w:rPr>
              <w:t>regarding</w:t>
            </w:r>
            <w:r w:rsidRPr="00F43CB7">
              <w:rPr>
                <w:rFonts w:ascii="Arial" w:eastAsia="Times New Roman" w:hAnsi="Arial" w:cs="Arial"/>
                <w:snapToGrid w:val="0"/>
                <w:sz w:val="20"/>
                <w:szCs w:val="20"/>
              </w:rPr>
              <w:t xml:space="preserve"> the</w:t>
            </w:r>
            <w:r>
              <w:rPr>
                <w:rFonts w:ascii="Arial" w:eastAsia="Times New Roman" w:hAnsi="Arial" w:cs="Arial"/>
                <w:snapToGrid w:val="0"/>
                <w:sz w:val="20"/>
                <w:szCs w:val="20"/>
              </w:rPr>
              <w:t xml:space="preserve"> magnitude of</w:t>
            </w:r>
            <w:r w:rsidRPr="00F43CB7">
              <w:rPr>
                <w:rFonts w:ascii="Arial" w:eastAsia="Times New Roman" w:hAnsi="Arial" w:cs="Arial"/>
                <w:snapToGrid w:val="0"/>
                <w:sz w:val="20"/>
                <w:szCs w:val="20"/>
              </w:rPr>
              <w:t xml:space="preserve"> clinical effectiveness of 4CMenB, and the lack of any herd protective effects</w:t>
            </w:r>
            <w:r>
              <w:rPr>
                <w:rFonts w:ascii="Arial" w:eastAsia="Times New Roman" w:hAnsi="Arial" w:cs="Arial"/>
                <w:snapToGrid w:val="0"/>
                <w:sz w:val="20"/>
                <w:szCs w:val="20"/>
              </w:rPr>
              <w:t>, which inform the cost effectiveness</w:t>
            </w:r>
            <w:r w:rsidRPr="00F43CB7">
              <w:rPr>
                <w:rFonts w:ascii="Arial" w:eastAsia="Times New Roman" w:hAnsi="Arial" w:cs="Arial"/>
                <w:snapToGrid w:val="0"/>
                <w:sz w:val="20"/>
                <w:szCs w:val="20"/>
              </w:rPr>
              <w: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NIVOLUMAB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concentrate for I.V. infusion 40 mg in 4 mL</w:t>
            </w:r>
            <w:r w:rsidRPr="001F5154">
              <w:rPr>
                <w:rFonts w:ascii="Arial" w:eastAsia="Times New Roman" w:hAnsi="Arial" w:cs="Arial"/>
                <w:sz w:val="20"/>
                <w:szCs w:val="20"/>
                <w:lang w:eastAsia="en-AU"/>
              </w:rPr>
              <w:br/>
              <w:t>Injection concentrate for I.V. infusion 100 mg in 10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Opdivo</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Bristol-Myers Squibb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(Matters Outstanding)</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Melanoma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Resubmission to request a Section 100 (Efficient Funding of Chemotherapy), Authority Required (STREAMLINED) listing for the adjuvant treatment of patients who have had completely surgically resected Stage III or Stage IV malignant melanoma.</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Section 100 (Efficient Funding of Chemotherapy), Authority Required (STREAMLINED) listing of nivolumab for the adjuvant treatment of completely resected Stage IIIB, IIIC, IIID or Stage IV malignant melanoma.</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noted changes made to the economic analysis and considered that the uncertainty surrounding uptake in the adjuvant setting and changes to use in the </w:t>
            </w:r>
            <w:proofErr w:type="spellStart"/>
            <w:r w:rsidRPr="001F5154">
              <w:rPr>
                <w:rFonts w:ascii="Arial" w:eastAsia="Times New Roman" w:hAnsi="Arial" w:cs="Arial"/>
                <w:snapToGrid w:val="0"/>
                <w:sz w:val="20"/>
                <w:szCs w:val="20"/>
              </w:rPr>
              <w:t>unresectable</w:t>
            </w:r>
            <w:proofErr w:type="spellEnd"/>
            <w:r w:rsidRPr="001F5154">
              <w:rPr>
                <w:rFonts w:ascii="Arial" w:eastAsia="Times New Roman" w:hAnsi="Arial" w:cs="Arial"/>
                <w:snapToGrid w:val="0"/>
                <w:sz w:val="20"/>
                <w:szCs w:val="20"/>
              </w:rPr>
              <w:t xml:space="preserve"> or metastatic setting would be managed by subsidisation caps through a Risk Sharing Arrangement.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NIVOLUMAB AND IPILIMUMAB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nivolumab: </w:t>
            </w: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 xml:space="preserve">Injection concentrate for I.V. infusion 40 mg in 4 mL </w:t>
            </w:r>
            <w:r w:rsidRPr="001F5154">
              <w:rPr>
                <w:rFonts w:ascii="Arial" w:eastAsia="Times New Roman" w:hAnsi="Arial" w:cs="Arial"/>
                <w:sz w:val="20"/>
                <w:szCs w:val="20"/>
                <w:lang w:eastAsia="en-AU"/>
              </w:rPr>
              <w:br/>
              <w:t xml:space="preserve">Injection concentrate for I.V. infusion 100 mg in 10 mL </w:t>
            </w:r>
            <w:proofErr w:type="spellStart"/>
            <w:r w:rsidRPr="001F5154">
              <w:rPr>
                <w:rFonts w:ascii="Arial" w:eastAsia="Times New Roman" w:hAnsi="Arial" w:cs="Arial"/>
                <w:sz w:val="20"/>
                <w:szCs w:val="20"/>
                <w:lang w:eastAsia="en-AU"/>
              </w:rPr>
              <w:t>ipilimumab</w:t>
            </w:r>
            <w:proofErr w:type="spellEnd"/>
            <w:r w:rsidRPr="001F5154">
              <w:rPr>
                <w:rFonts w:ascii="Arial" w:eastAsia="Times New Roman" w:hAnsi="Arial" w:cs="Arial"/>
                <w:sz w:val="20"/>
                <w:szCs w:val="20"/>
                <w:lang w:eastAsia="en-AU"/>
              </w:rPr>
              <w:t xml:space="preserve">: </w:t>
            </w: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 xml:space="preserve">Injection concentrate for I.V. infusion 50 mg in 10 mL </w:t>
            </w:r>
            <w:r w:rsidRPr="001F5154">
              <w:rPr>
                <w:rFonts w:ascii="Arial" w:eastAsia="Times New Roman" w:hAnsi="Arial" w:cs="Arial"/>
                <w:sz w:val="20"/>
                <w:szCs w:val="20"/>
                <w:lang w:eastAsia="en-AU"/>
              </w:rPr>
              <w:br/>
              <w:t>Injection concentrate for I.V. infusion 200 mg in 40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Opdivo</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Yervoy</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Bristol-Myers Squibb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Melanoma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Resubmission to request an extension of the existing Section 100 (Efficient Funding of Chemotherapy) Authority Required (STREAMLINED) listings for nivolumab and </w:t>
            </w:r>
            <w:proofErr w:type="spellStart"/>
            <w:r w:rsidRPr="001F5154">
              <w:rPr>
                <w:rFonts w:ascii="Arial" w:eastAsia="Times New Roman" w:hAnsi="Arial" w:cs="Arial"/>
                <w:snapToGrid w:val="0"/>
                <w:sz w:val="20"/>
                <w:szCs w:val="20"/>
              </w:rPr>
              <w:t>ipilimumab</w:t>
            </w:r>
            <w:proofErr w:type="spellEnd"/>
            <w:r w:rsidRPr="001F5154">
              <w:rPr>
                <w:rFonts w:ascii="Arial" w:eastAsia="Times New Roman" w:hAnsi="Arial" w:cs="Arial"/>
                <w:snapToGrid w:val="0"/>
                <w:sz w:val="20"/>
                <w:szCs w:val="20"/>
              </w:rPr>
              <w:t xml:space="preserve"> for the treatment of </w:t>
            </w:r>
            <w:proofErr w:type="spellStart"/>
            <w:r w:rsidRPr="001F5154">
              <w:rPr>
                <w:rFonts w:ascii="Arial" w:eastAsia="Times New Roman" w:hAnsi="Arial" w:cs="Arial"/>
                <w:snapToGrid w:val="0"/>
                <w:sz w:val="20"/>
                <w:szCs w:val="20"/>
              </w:rPr>
              <w:t>unresectable</w:t>
            </w:r>
            <w:proofErr w:type="spellEnd"/>
            <w:r w:rsidRPr="001F5154">
              <w:rPr>
                <w:rFonts w:ascii="Arial" w:eastAsia="Times New Roman" w:hAnsi="Arial" w:cs="Arial"/>
                <w:snapToGrid w:val="0"/>
                <w:sz w:val="20"/>
                <w:szCs w:val="20"/>
              </w:rPr>
              <w:t xml:space="preserve">  Stage III or IV malignant melanoma to allow use as first-line therapies in patients who are BRAF V600 mutation positive. </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extension of the current Section 100 (Efficient Funding of Chemotherapy) Authority Required (STREAMLINED) listings for nivolumab (NIVO) monotherapy and nivolumab in combination with </w:t>
            </w:r>
            <w:proofErr w:type="spellStart"/>
            <w:r w:rsidRPr="001F5154">
              <w:rPr>
                <w:rFonts w:ascii="Arial" w:eastAsia="Times New Roman" w:hAnsi="Arial" w:cs="Arial"/>
                <w:snapToGrid w:val="0"/>
                <w:sz w:val="20"/>
                <w:szCs w:val="20"/>
              </w:rPr>
              <w:t>ipilimumab</w:t>
            </w:r>
            <w:proofErr w:type="spellEnd"/>
            <w:r w:rsidRPr="001F5154">
              <w:rPr>
                <w:rFonts w:ascii="Arial" w:eastAsia="Times New Roman" w:hAnsi="Arial" w:cs="Arial"/>
                <w:snapToGrid w:val="0"/>
                <w:sz w:val="20"/>
                <w:szCs w:val="20"/>
              </w:rPr>
              <w:t xml:space="preserve"> (NIVO+IPI) to allow their use as first-line therapies in the treatment of BRAF V600 mutant positive Stage III or Stage IV </w:t>
            </w:r>
            <w:proofErr w:type="spellStart"/>
            <w:r w:rsidRPr="001F5154">
              <w:rPr>
                <w:rFonts w:ascii="Arial" w:eastAsia="Times New Roman" w:hAnsi="Arial" w:cs="Arial"/>
                <w:snapToGrid w:val="0"/>
                <w:sz w:val="20"/>
                <w:szCs w:val="20"/>
              </w:rPr>
              <w:t>unresectable</w:t>
            </w:r>
            <w:proofErr w:type="spellEnd"/>
            <w:r w:rsidRPr="001F5154">
              <w:rPr>
                <w:rFonts w:ascii="Arial" w:eastAsia="Times New Roman" w:hAnsi="Arial" w:cs="Arial"/>
                <w:snapToGrid w:val="0"/>
                <w:sz w:val="20"/>
                <w:szCs w:val="20"/>
              </w:rPr>
              <w:t xml:space="preserve"> or metastatic melanoma. The PBAC considered the claim of non-inferior efficacy between NIVO monotherapy, NIVO+IPI combination therapy and DAB+TRAM was likely to be supported by the data, and advised that there should be no additional cost to the PBS as a result of the restriction changes.</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PEGFILGRASTIM</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6 mg in 0.6 mL single use pre-filled syringe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Ziextenzo</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Sandoz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Chemotherapy-induced neutropenia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Section 100 (Highly Specialised Drugs Program) Authority Required (STREAMLINED) listing of a biosimilar pegfilgrastim under the same conditions as the reference biologic.</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Authority Required (STREAMLINED) listing of the biosimilar brand of pegfilgrastim, (</w:t>
            </w:r>
            <w:proofErr w:type="spellStart"/>
            <w:r w:rsidRPr="001F5154">
              <w:rPr>
                <w:rFonts w:ascii="Arial" w:eastAsia="Times New Roman" w:hAnsi="Arial" w:cs="Arial"/>
                <w:snapToGrid w:val="0"/>
                <w:sz w:val="20"/>
                <w:szCs w:val="20"/>
              </w:rPr>
              <w:t>Ziextenzo</w:t>
            </w:r>
            <w:proofErr w:type="spellEnd"/>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on the Section 100 (Highly Specialised Drugs Program) for all indications for which the reference brand (</w:t>
            </w:r>
            <w:proofErr w:type="spellStart"/>
            <w:r w:rsidRPr="001F5154">
              <w:rPr>
                <w:rFonts w:ascii="Arial" w:eastAsia="Times New Roman" w:hAnsi="Arial" w:cs="Arial"/>
                <w:snapToGrid w:val="0"/>
                <w:sz w:val="20"/>
                <w:szCs w:val="20"/>
              </w:rPr>
              <w:t>Neulasta</w:t>
            </w:r>
            <w:proofErr w:type="spellEnd"/>
            <w:r w:rsidRPr="001F5154">
              <w:rPr>
                <w:rFonts w:ascii="Arial" w:eastAsia="Times New Roman" w:hAnsi="Arial" w:cs="Arial"/>
                <w:snapToGrid w:val="0"/>
                <w:sz w:val="20"/>
                <w:szCs w:val="20"/>
              </w:rPr>
              <w:t xml:space="preserve">®) is currently PBS-listed. The PBAC advised that </w:t>
            </w:r>
            <w:proofErr w:type="spellStart"/>
            <w:r w:rsidRPr="001F5154">
              <w:rPr>
                <w:rFonts w:ascii="Arial" w:eastAsia="Times New Roman" w:hAnsi="Arial" w:cs="Arial"/>
                <w:snapToGrid w:val="0"/>
                <w:sz w:val="20"/>
                <w:szCs w:val="20"/>
              </w:rPr>
              <w:t>Ziextenzo</w:t>
            </w:r>
            <w:proofErr w:type="spellEnd"/>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should be ‘a’ flagged in the Schedule of Pharmaceutical Benefits with the other brands of pegfilgrastim. The PBAC recommended the addition of an administrative note to encourage the uptake of biosimilar prescribing for treatment-naïve patients, in accordance with the Australian Government’s Biosimilar Uptake Driver policy.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POMALIDOMIDE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Capsule 3 mg</w:t>
            </w:r>
            <w:r w:rsidRPr="001F5154">
              <w:rPr>
                <w:rFonts w:ascii="Arial" w:eastAsia="Times New Roman" w:hAnsi="Arial" w:cs="Arial"/>
                <w:sz w:val="20"/>
                <w:szCs w:val="20"/>
                <w:lang w:eastAsia="en-AU"/>
              </w:rPr>
              <w:br/>
              <w:t>Capsule 4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Pomalyst</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Celgene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Multiple myeloma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Resubmission to request a Section 100 (Highly Specialised Drugs Program) Authority Required listing in combination with bortezomib and dexamethasone for the treatment of patients with relapsed or refractory multiple myeloma (RRMM) who have received at least one prior treatment regimen (including lenalidomide).</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Section 100 (Highly Specialised Drug Program) Authority Required listing of pomalidomide, for use in combination with bortezomib and dexamethasone (</w:t>
            </w:r>
            <w:proofErr w:type="spellStart"/>
            <w:r w:rsidRPr="001F5154">
              <w:rPr>
                <w:rFonts w:ascii="Arial" w:eastAsia="Times New Roman" w:hAnsi="Arial" w:cs="Arial"/>
                <w:snapToGrid w:val="0"/>
                <w:sz w:val="20"/>
                <w:szCs w:val="20"/>
              </w:rPr>
              <w:t>PBd</w:t>
            </w:r>
            <w:proofErr w:type="spellEnd"/>
            <w:r w:rsidRPr="001F5154">
              <w:rPr>
                <w:rFonts w:ascii="Arial" w:eastAsia="Times New Roman" w:hAnsi="Arial" w:cs="Arial"/>
                <w:snapToGrid w:val="0"/>
                <w:sz w:val="20"/>
                <w:szCs w:val="20"/>
              </w:rPr>
              <w:t xml:space="preserve">), for the treatment of patients with RRMM who have been previously treated with lenalidomide. The PBAC noted the strong consumer support and considered that </w:t>
            </w:r>
            <w:proofErr w:type="spellStart"/>
            <w:r w:rsidRPr="001F5154">
              <w:rPr>
                <w:rFonts w:ascii="Arial" w:eastAsia="Times New Roman" w:hAnsi="Arial" w:cs="Arial"/>
                <w:snapToGrid w:val="0"/>
                <w:sz w:val="20"/>
                <w:szCs w:val="20"/>
              </w:rPr>
              <w:t>PBd</w:t>
            </w:r>
            <w:proofErr w:type="spellEnd"/>
            <w:r w:rsidRPr="001F5154">
              <w:rPr>
                <w:rFonts w:ascii="Arial" w:eastAsia="Times New Roman" w:hAnsi="Arial" w:cs="Arial"/>
                <w:snapToGrid w:val="0"/>
                <w:sz w:val="20"/>
                <w:szCs w:val="20"/>
              </w:rPr>
              <w:t xml:space="preserve"> will deliver similar clinical outcomes to carfilzomib and dexamethasone (Cd).</w:t>
            </w:r>
            <w:r w:rsidRPr="001F5154">
              <w:rPr>
                <w:rFonts w:ascii="Arial" w:eastAsia="Times New Roman" w:hAnsi="Arial" w:cs="Arial"/>
                <w:snapToGrid w:val="0"/>
                <w:sz w:val="20"/>
                <w:szCs w:val="20"/>
              </w:rPr>
              <w:br/>
            </w:r>
            <w:r w:rsidRPr="001F5154">
              <w:rPr>
                <w:rFonts w:ascii="Arial" w:eastAsia="Times New Roman" w:hAnsi="Arial" w:cs="Arial"/>
                <w:snapToGrid w:val="0"/>
                <w:sz w:val="20"/>
                <w:szCs w:val="20"/>
              </w:rPr>
              <w:br/>
              <w:t xml:space="preserve">The PBAC’s recommendation for listing was based on, among other matters, its assessment that the cost-effectiveness of </w:t>
            </w:r>
            <w:proofErr w:type="spellStart"/>
            <w:r w:rsidRPr="001F5154">
              <w:rPr>
                <w:rFonts w:ascii="Arial" w:eastAsia="Times New Roman" w:hAnsi="Arial" w:cs="Arial"/>
                <w:snapToGrid w:val="0"/>
                <w:sz w:val="20"/>
                <w:szCs w:val="20"/>
              </w:rPr>
              <w:t>PBd</w:t>
            </w:r>
            <w:proofErr w:type="spellEnd"/>
            <w:r w:rsidRPr="001F5154">
              <w:rPr>
                <w:rFonts w:ascii="Arial" w:eastAsia="Times New Roman" w:hAnsi="Arial" w:cs="Arial"/>
                <w:snapToGrid w:val="0"/>
                <w:sz w:val="20"/>
                <w:szCs w:val="20"/>
              </w:rPr>
              <w:t xml:space="preserve"> would be acceptable if it were cost-minimised to Cd, with the analysis accounting for the differences in adverse events across the treatments.</w:t>
            </w:r>
            <w:r w:rsidRPr="001F5154">
              <w:rPr>
                <w:rFonts w:ascii="Arial" w:eastAsia="Times New Roman" w:hAnsi="Arial" w:cs="Arial"/>
                <w:snapToGrid w:val="0"/>
                <w:sz w:val="20"/>
                <w:szCs w:val="20"/>
              </w:rPr>
              <w:br/>
              <w:t xml:space="preserve">The PBAC considered that the equi-effective doses of </w:t>
            </w:r>
            <w:proofErr w:type="spellStart"/>
            <w:r w:rsidRPr="001F5154">
              <w:rPr>
                <w:rFonts w:ascii="Arial" w:eastAsia="Times New Roman" w:hAnsi="Arial" w:cs="Arial"/>
                <w:snapToGrid w:val="0"/>
                <w:sz w:val="20"/>
                <w:szCs w:val="20"/>
              </w:rPr>
              <w:t>PBd</w:t>
            </w:r>
            <w:proofErr w:type="spellEnd"/>
            <w:r w:rsidRPr="001F5154">
              <w:rPr>
                <w:rFonts w:ascii="Arial" w:eastAsia="Times New Roman" w:hAnsi="Arial" w:cs="Arial"/>
                <w:snapToGrid w:val="0"/>
                <w:sz w:val="20"/>
                <w:szCs w:val="20"/>
              </w:rPr>
              <w:t xml:space="preserve"> and Cd should be equal in terms of treatment duration and relative dose intensity. The PBAC considered that the listing should be cost neutral to the PBS.</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PREDNISOLONE ACETATE + PHENYLEPHRINE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Eye drops containing prednisolone acetate 10 mg with phenylephrine hydrochloride 1.2 mg per mL, 10 mL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Prednefrin</w:t>
            </w:r>
            <w:proofErr w:type="spellEnd"/>
            <w:r w:rsidRPr="001F5154">
              <w:rPr>
                <w:rFonts w:ascii="Arial" w:eastAsia="Times New Roman" w:hAnsi="Arial" w:cs="Arial"/>
                <w:sz w:val="20"/>
                <w:szCs w:val="20"/>
                <w:lang w:eastAsia="en-AU"/>
              </w:rPr>
              <w:t>® Forte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National Aboriginal Community Controlled Health Organisation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Severe eye inflammation</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Restricted Benefit listing for the treatment of severe inflammation of the eye following cataract surgery for patients who identify as Aboriginal and Torres Strait Islander.</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Restricted Benefit listing of prednisolone with phenylephrine (</w:t>
            </w:r>
            <w:proofErr w:type="spellStart"/>
            <w:r w:rsidRPr="001F5154">
              <w:rPr>
                <w:rFonts w:ascii="Arial" w:eastAsia="Times New Roman" w:hAnsi="Arial" w:cs="Arial"/>
                <w:sz w:val="20"/>
                <w:szCs w:val="20"/>
                <w:lang w:eastAsia="en-AU"/>
              </w:rPr>
              <w:t>Prednefrin</w:t>
            </w:r>
            <w:proofErr w:type="spellEnd"/>
            <w:r w:rsidRPr="001F5154">
              <w:rPr>
                <w:rFonts w:ascii="Arial" w:eastAsia="Times New Roman" w:hAnsi="Arial" w:cs="Arial"/>
                <w:sz w:val="20"/>
                <w:szCs w:val="20"/>
                <w:lang w:eastAsia="en-AU"/>
              </w:rPr>
              <w:t>® Forte)</w:t>
            </w:r>
            <w:r w:rsidRPr="001F5154">
              <w:rPr>
                <w:rFonts w:ascii="Arial" w:eastAsia="Times New Roman" w:hAnsi="Arial" w:cs="Arial"/>
                <w:snapToGrid w:val="0"/>
                <w:sz w:val="20"/>
                <w:szCs w:val="20"/>
              </w:rPr>
              <w:t xml:space="preserve"> for severe eye inflammation following cataract surgery for patients who identify as Aboriginal and Torres Strait Islander. In making its recommendation, the PBAC took into consideration, among other matters, the high clinical need of this patient population and that the listing would likely be cost neutral to Government. The recommended listing will allow eligible Aboriginal and Torres Strait Islander people living with chronic disease to access </w:t>
            </w:r>
            <w:proofErr w:type="spellStart"/>
            <w:r w:rsidRPr="001F5154">
              <w:rPr>
                <w:rFonts w:ascii="Arial" w:eastAsia="Times New Roman" w:hAnsi="Arial" w:cs="Arial"/>
                <w:sz w:val="20"/>
                <w:szCs w:val="20"/>
                <w:lang w:eastAsia="en-AU"/>
              </w:rPr>
              <w:t>Prednefrin</w:t>
            </w:r>
            <w:proofErr w:type="spellEnd"/>
            <w:r w:rsidRPr="001F5154">
              <w:rPr>
                <w:rFonts w:ascii="Arial" w:eastAsia="Times New Roman" w:hAnsi="Arial" w:cs="Arial"/>
                <w:sz w:val="20"/>
                <w:szCs w:val="20"/>
                <w:lang w:eastAsia="en-AU"/>
              </w:rPr>
              <w:t>® Forte</w:t>
            </w:r>
            <w:r w:rsidRPr="001F5154">
              <w:rPr>
                <w:rFonts w:ascii="Arial" w:eastAsia="Times New Roman" w:hAnsi="Arial" w:cs="Arial"/>
                <w:snapToGrid w:val="0"/>
                <w:sz w:val="20"/>
                <w:szCs w:val="20"/>
              </w:rPr>
              <w:t xml:space="preserve"> through the Closing the Gap Copayment Scheme.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PRIMIDONE</w:t>
            </w:r>
          </w:p>
          <w:p w:rsidR="001F5154" w:rsidRPr="001F5154" w:rsidRDefault="001F5154" w:rsidP="001F5154">
            <w:pPr>
              <w:widowControl w:val="0"/>
              <w:spacing w:after="0" w:line="240" w:lineRule="auto"/>
              <w:rPr>
                <w:rFonts w:ascii="Arial" w:eastAsia="Times New Roman" w:hAnsi="Arial" w:cs="Arial"/>
                <w:sz w:val="20"/>
                <w:szCs w:val="20"/>
                <w:lang w:eastAsia="en-AU"/>
              </w:rPr>
            </w:pP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 xml:space="preserve">Tablet 250 mg </w:t>
            </w:r>
          </w:p>
          <w:p w:rsidR="001F5154" w:rsidRPr="001F5154" w:rsidRDefault="001F5154" w:rsidP="001F5154">
            <w:pPr>
              <w:widowControl w:val="0"/>
              <w:spacing w:after="0" w:line="240" w:lineRule="auto"/>
              <w:rPr>
                <w:rFonts w:ascii="Arial" w:eastAsia="Times New Roman" w:hAnsi="Arial" w:cs="Arial"/>
                <w:sz w:val="20"/>
                <w:szCs w:val="20"/>
                <w:lang w:eastAsia="en-AU"/>
              </w:rPr>
            </w:pP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APO</w:t>
            </w:r>
            <w:r w:rsidRPr="001F5154">
              <w:rPr>
                <w:rFonts w:ascii="Arial" w:eastAsia="Times New Roman" w:hAnsi="Arial" w:cs="Arial"/>
                <w:sz w:val="20"/>
                <w:szCs w:val="20"/>
                <w:lang w:eastAsia="en-AU"/>
              </w:rPr>
              <w:noBreakHyphen/>
            </w:r>
            <w:proofErr w:type="spellStart"/>
            <w:r w:rsidRPr="001F5154">
              <w:rPr>
                <w:rFonts w:ascii="Arial" w:eastAsia="Times New Roman" w:hAnsi="Arial" w:cs="Arial"/>
                <w:sz w:val="20"/>
                <w:szCs w:val="20"/>
                <w:lang w:eastAsia="en-AU"/>
              </w:rPr>
              <w:t>Primidone</w:t>
            </w:r>
            <w:proofErr w:type="spellEnd"/>
            <w:r w:rsidRPr="001F5154">
              <w:rPr>
                <w:rFonts w:ascii="Arial" w:eastAsia="Times New Roman" w:hAnsi="Arial" w:cs="Arial"/>
                <w:sz w:val="20"/>
                <w:szCs w:val="20"/>
                <w:lang w:eastAsia="en-AU"/>
              </w:rPr>
              <w:t>®</w:t>
            </w:r>
          </w:p>
          <w:p w:rsidR="001F5154" w:rsidRPr="001F5154" w:rsidRDefault="001F5154" w:rsidP="001F5154">
            <w:pPr>
              <w:widowControl w:val="0"/>
              <w:spacing w:after="0" w:line="240" w:lineRule="auto"/>
              <w:rPr>
                <w:rFonts w:ascii="Arial" w:eastAsia="Times New Roman" w:hAnsi="Arial" w:cs="Arial"/>
                <w:sz w:val="20"/>
                <w:szCs w:val="20"/>
                <w:lang w:eastAsia="en-AU"/>
              </w:rPr>
            </w:pPr>
          </w:p>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Apotex Pty Ltd</w:t>
            </w:r>
          </w:p>
          <w:p w:rsidR="001F5154" w:rsidRPr="001F5154" w:rsidRDefault="001F5154" w:rsidP="001F5154">
            <w:pPr>
              <w:widowControl w:val="0"/>
              <w:spacing w:after="0" w:line="240" w:lineRule="auto"/>
              <w:rPr>
                <w:rFonts w:ascii="Arial" w:eastAsia="Times New Roman" w:hAnsi="Arial" w:cs="Arial"/>
                <w:sz w:val="20"/>
                <w:szCs w:val="20"/>
                <w:lang w:eastAsia="en-AU"/>
              </w:rPr>
            </w:pPr>
          </w:p>
          <w:p w:rsidR="001F5154" w:rsidRPr="001F5154" w:rsidRDefault="001F5154" w:rsidP="001F5154">
            <w:pPr>
              <w:spacing w:after="0" w:line="240" w:lineRule="auto"/>
              <w:rPr>
                <w:rFonts w:ascii="Arial" w:eastAsia="Times New Roman" w:hAnsi="Arial" w:cs="Arial"/>
                <w:color w:val="000000"/>
                <w:sz w:val="20"/>
                <w:szCs w:val="20"/>
                <w:lang w:eastAsia="en-AU"/>
              </w:rPr>
            </w:pPr>
            <w:r w:rsidRPr="001F5154">
              <w:rPr>
                <w:rFonts w:ascii="Arial" w:eastAsia="Times New Roman" w:hAnsi="Arial" w:cs="Arial"/>
                <w:sz w:val="20"/>
                <w:szCs w:val="20"/>
                <w:lang w:eastAsia="en-AU"/>
              </w:rPr>
              <w:t>New listing</w:t>
            </w:r>
            <w:r w:rsidRPr="001F5154">
              <w:rPr>
                <w:rFonts w:ascii="Arial" w:eastAsia="Times New Roman" w:hAnsi="Arial" w:cs="Arial"/>
                <w:sz w:val="20"/>
                <w:szCs w:val="20"/>
                <w:lang w:eastAsia="en-AU"/>
              </w:rPr>
              <w:br/>
              <w:t>(Other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Epilepsy</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 xml:space="preserve">To seek PBAC advice on temporary PBS listing of an alternative brand of </w:t>
            </w:r>
            <w:proofErr w:type="spellStart"/>
            <w:r w:rsidRPr="001F5154">
              <w:rPr>
                <w:rFonts w:ascii="Arial" w:eastAsia="Times New Roman" w:hAnsi="Arial" w:cs="Arial"/>
                <w:sz w:val="20"/>
                <w:szCs w:val="20"/>
                <w:lang w:eastAsia="en-AU"/>
              </w:rPr>
              <w:t>primidone</w:t>
            </w:r>
            <w:proofErr w:type="spellEnd"/>
            <w:r w:rsidRPr="001F5154">
              <w:rPr>
                <w:rFonts w:ascii="Arial" w:eastAsia="Times New Roman" w:hAnsi="Arial" w:cs="Arial"/>
                <w:sz w:val="20"/>
                <w:szCs w:val="20"/>
                <w:lang w:eastAsia="en-AU"/>
              </w:rPr>
              <w:t xml:space="preserve"> 250 mg tablets.</w:t>
            </w:r>
          </w:p>
          <w:p w:rsidR="001F5154" w:rsidRPr="001F5154" w:rsidRDefault="001F5154" w:rsidP="001F5154">
            <w:pPr>
              <w:widowControl w:val="0"/>
              <w:spacing w:after="0" w:line="240" w:lineRule="auto"/>
              <w:rPr>
                <w:rFonts w:ascii="Arial" w:eastAsia="Times New Roman" w:hAnsi="Arial" w:cs="Arial"/>
                <w:sz w:val="20"/>
                <w:szCs w:val="20"/>
                <w:lang w:eastAsia="en-AU"/>
              </w:rPr>
            </w:pP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The PBAC recommended the temporary listing of the APO-</w:t>
            </w:r>
            <w:proofErr w:type="spellStart"/>
            <w:r w:rsidRPr="001F5154">
              <w:rPr>
                <w:rFonts w:ascii="Arial" w:eastAsia="Times New Roman" w:hAnsi="Arial" w:cs="Arial"/>
                <w:sz w:val="20"/>
                <w:szCs w:val="20"/>
                <w:lang w:eastAsia="en-AU"/>
              </w:rPr>
              <w:t>Primidone</w:t>
            </w:r>
            <w:proofErr w:type="spellEnd"/>
            <w:r w:rsidRPr="001F5154">
              <w:rPr>
                <w:rFonts w:ascii="Arial" w:eastAsia="Times New Roman" w:hAnsi="Arial" w:cs="Arial"/>
                <w:sz w:val="20"/>
                <w:szCs w:val="20"/>
                <w:lang w:eastAsia="en-AU"/>
              </w:rPr>
              <w:t xml:space="preserve">® brand to address the current shortage of the PBS-listed </w:t>
            </w:r>
            <w:proofErr w:type="spellStart"/>
            <w:r w:rsidRPr="001F5154">
              <w:rPr>
                <w:rFonts w:ascii="Arial" w:eastAsia="Times New Roman" w:hAnsi="Arial" w:cs="Arial"/>
                <w:sz w:val="20"/>
                <w:szCs w:val="20"/>
                <w:lang w:eastAsia="en-AU"/>
              </w:rPr>
              <w:t>Mysoline</w:t>
            </w:r>
            <w:proofErr w:type="spellEnd"/>
            <w:r w:rsidRPr="001F5154">
              <w:rPr>
                <w:rFonts w:ascii="Arial" w:eastAsia="Times New Roman" w:hAnsi="Arial" w:cs="Arial"/>
                <w:sz w:val="20"/>
                <w:szCs w:val="20"/>
                <w:lang w:eastAsia="en-AU"/>
              </w:rPr>
              <w:t xml:space="preserve">® brand of </w:t>
            </w:r>
            <w:proofErr w:type="spellStart"/>
            <w:r w:rsidRPr="001F5154">
              <w:rPr>
                <w:rFonts w:ascii="Arial" w:eastAsia="Times New Roman" w:hAnsi="Arial" w:cs="Arial"/>
                <w:sz w:val="20"/>
                <w:szCs w:val="20"/>
                <w:lang w:eastAsia="en-AU"/>
              </w:rPr>
              <w:t>primidone</w:t>
            </w:r>
            <w:proofErr w:type="spellEnd"/>
            <w:r w:rsidRPr="001F5154">
              <w:rPr>
                <w:rFonts w:ascii="Arial" w:eastAsia="Times New Roman" w:hAnsi="Arial" w:cs="Arial"/>
                <w:sz w:val="20"/>
                <w:szCs w:val="20"/>
                <w:lang w:eastAsia="en-AU"/>
              </w:rPr>
              <w:t xml:space="preserve">. </w:t>
            </w:r>
          </w:p>
          <w:p w:rsidR="001F5154" w:rsidRPr="001F5154" w:rsidRDefault="001F5154" w:rsidP="001F5154">
            <w:pPr>
              <w:widowControl w:val="0"/>
              <w:spacing w:after="0" w:line="240" w:lineRule="auto"/>
              <w:rPr>
                <w:rFonts w:ascii="Arial" w:eastAsia="Times New Roman" w:hAnsi="Arial" w:cs="Arial"/>
                <w:sz w:val="20"/>
                <w:szCs w:val="20"/>
                <w:lang w:eastAsia="en-AU"/>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PROTEIN FORMULA WITH VITAMINS AND MINERALS, AND LOW IN POTASSIUM, PHOSPHORUS, CALCIUM, CHLORIDE AND VITAMIN A</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Oral liquid 125 mL, 24</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Renastep</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Vitaflo Australia Pty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Chronic kidney disease (CKD)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Authority Required (STREAMLINED) listing for the dietary management of paediatric CKD in patients aged 3 years and over who require a modified protein diet.</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Authority Required (STREAMLINED) listing of protein formula with vitamins and minerals and low in potassium (</w:t>
            </w:r>
            <w:proofErr w:type="spellStart"/>
            <w:r w:rsidRPr="001F5154">
              <w:rPr>
                <w:rFonts w:ascii="Arial" w:eastAsia="Times New Roman" w:hAnsi="Arial" w:cs="Arial"/>
                <w:snapToGrid w:val="0"/>
                <w:sz w:val="20"/>
                <w:szCs w:val="20"/>
              </w:rPr>
              <w:t>Renastep</w:t>
            </w:r>
            <w:proofErr w:type="spellEnd"/>
            <w:r w:rsidRPr="001F5154">
              <w:rPr>
                <w:rFonts w:ascii="Arial" w:eastAsia="Times New Roman" w:hAnsi="Arial" w:cs="Arial"/>
                <w:sz w:val="20"/>
                <w:szCs w:val="20"/>
                <w:lang w:eastAsia="en-AU"/>
              </w:rPr>
              <w:t>®</w:t>
            </w:r>
            <w:r w:rsidRPr="001F5154">
              <w:rPr>
                <w:rFonts w:ascii="Arial" w:eastAsia="Times New Roman" w:hAnsi="Arial" w:cs="Arial"/>
                <w:snapToGrid w:val="0"/>
                <w:sz w:val="20"/>
                <w:szCs w:val="20"/>
              </w:rPr>
              <w:t xml:space="preserve">) for the treatment of chronic renal failure for infant and young children on a cost minimisation-basis per calorie of energy equivalent against the cheapest alternative PBS listed whey protein formula indicated for chronic renal failure.  </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SALBUTAMOL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Pressurised inhalation 100 micrograms (as </w:t>
            </w:r>
            <w:proofErr w:type="spellStart"/>
            <w:r w:rsidRPr="001F5154">
              <w:rPr>
                <w:rFonts w:ascii="Arial" w:eastAsia="Times New Roman" w:hAnsi="Arial" w:cs="Arial"/>
                <w:sz w:val="20"/>
                <w:szCs w:val="20"/>
                <w:lang w:eastAsia="en-AU"/>
              </w:rPr>
              <w:t>sulfate</w:t>
            </w:r>
            <w:proofErr w:type="spellEnd"/>
            <w:r w:rsidRPr="001F5154">
              <w:rPr>
                <w:rFonts w:ascii="Arial" w:eastAsia="Times New Roman" w:hAnsi="Arial" w:cs="Arial"/>
                <w:sz w:val="20"/>
                <w:szCs w:val="20"/>
                <w:lang w:eastAsia="en-AU"/>
              </w:rPr>
              <w:t>) per dose, 200 doses (CFC-free formulation)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Ventolin®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GlaxoSmithKline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Asthma and chronic obstructive pulmonary disease (COPD)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Unrestricted Benefit listing of a new presentation of salbutamol metered dose inhaler with a dose counter (DC).</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Unrestricted Benefit listing of salbutamol, in the form of pressurised inhalation 100 micrograms (as </w:t>
            </w:r>
            <w:proofErr w:type="spellStart"/>
            <w:r w:rsidRPr="001F5154">
              <w:rPr>
                <w:rFonts w:ascii="Arial" w:eastAsia="Times New Roman" w:hAnsi="Arial" w:cs="Arial"/>
                <w:snapToGrid w:val="0"/>
                <w:sz w:val="20"/>
                <w:szCs w:val="20"/>
              </w:rPr>
              <w:t>sulfate</w:t>
            </w:r>
            <w:proofErr w:type="spellEnd"/>
            <w:r w:rsidRPr="001F5154">
              <w:rPr>
                <w:rFonts w:ascii="Arial" w:eastAsia="Times New Roman" w:hAnsi="Arial" w:cs="Arial"/>
                <w:snapToGrid w:val="0"/>
                <w:sz w:val="20"/>
                <w:szCs w:val="20"/>
              </w:rPr>
              <w:t>) per dose with a DC, 200 doses (CFC-free formulation). The PBAC’s recommendation for listing was based on, among other matters, the potential health benefits related to the likely risk of having sub-therapeutic or negligible drug being available at a time of acute bronchoconstriction and the role of a DC in this specific context to act as a reminder to replace medication. The PBAC considered that the cost-effectiveness of Ventolin DC would be acceptable if it was priced with a small premium over the current Ventolin MDI price.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SEMAGLUTIDE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Injection 2 mg in 1.5 mL pre-filled syringe</w:t>
            </w:r>
            <w:r w:rsidRPr="001F5154">
              <w:rPr>
                <w:rFonts w:ascii="Arial" w:eastAsia="Times New Roman" w:hAnsi="Arial" w:cs="Arial"/>
                <w:sz w:val="20"/>
                <w:szCs w:val="20"/>
                <w:lang w:eastAsia="en-AU"/>
              </w:rPr>
              <w:br/>
              <w:t>Injection 4 mg in 3 mL pre-filled syringe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Ozempic</w:t>
            </w:r>
            <w:proofErr w:type="spellEnd"/>
            <w:r w:rsidRPr="001F5154">
              <w:rPr>
                <w:rFonts w:ascii="Arial" w:eastAsia="Times New Roman" w:hAnsi="Arial" w:cs="Arial"/>
                <w:sz w:val="20"/>
                <w:szCs w:val="20"/>
                <w:lang w:eastAsia="en-AU"/>
              </w:rPr>
              <w:t xml:space="preserve">®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Novo Nordisk Pharmaceuticals Pty Limited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Type 2 diabetes mellitus (T2DM)</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Authority Required (STREAMLINED) listing for use in combination with metformin and/or a sulfonylurea for the treatment of patients with T2DM.</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(STREAMLINED) listing of </w:t>
            </w:r>
            <w:proofErr w:type="spellStart"/>
            <w:r w:rsidRPr="001F5154">
              <w:rPr>
                <w:rFonts w:ascii="Arial" w:eastAsia="Times New Roman" w:hAnsi="Arial" w:cs="Arial"/>
                <w:snapToGrid w:val="0"/>
                <w:sz w:val="20"/>
                <w:szCs w:val="20"/>
              </w:rPr>
              <w:t>semaglutide</w:t>
            </w:r>
            <w:proofErr w:type="spellEnd"/>
            <w:r w:rsidRPr="001F5154">
              <w:rPr>
                <w:rFonts w:ascii="Arial" w:eastAsia="Times New Roman" w:hAnsi="Arial" w:cs="Arial"/>
                <w:snapToGrid w:val="0"/>
                <w:sz w:val="20"/>
                <w:szCs w:val="20"/>
              </w:rPr>
              <w:t xml:space="preserve"> (injectable) for the treatment of patients with T2DM who have inadequate glycaemic control, as dual therapy in combination with metformin or a sulfonylurea where either of these is contraindicated or not tolerated; or triple therapy in combination with metformin and a sulfonylurea.</w:t>
            </w:r>
            <w:r w:rsidRPr="001F5154">
              <w:rPr>
                <w:rFonts w:ascii="Arial" w:eastAsia="Times New Roman" w:hAnsi="Arial" w:cs="Arial"/>
                <w:snapToGrid w:val="0"/>
                <w:sz w:val="20"/>
                <w:szCs w:val="20"/>
              </w:rPr>
              <w:br/>
              <w:t>The PBAC’s recommendation for listing was based on a cost-minimisation to dulaglutide.</w:t>
            </w:r>
          </w:p>
          <w:p w:rsidR="001F5154" w:rsidRPr="001F5154" w:rsidRDefault="001F5154" w:rsidP="001F5154">
            <w:pPr>
              <w:widowControl w:val="0"/>
              <w:spacing w:after="0" w:line="240" w:lineRule="auto"/>
              <w:rPr>
                <w:rFonts w:ascii="Arial" w:eastAsia="Times New Roman" w:hAnsi="Arial" w:cs="Arial"/>
                <w:snapToGrid w:val="0"/>
                <w:sz w:val="20"/>
                <w:szCs w:val="20"/>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TACROLIMUS</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Capsule 3 mg (once daily prolonged release)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Advagraf</w:t>
            </w:r>
            <w:proofErr w:type="spellEnd"/>
            <w:r w:rsidRPr="001F5154">
              <w:rPr>
                <w:rFonts w:ascii="Arial" w:eastAsia="Times New Roman" w:hAnsi="Arial" w:cs="Arial"/>
                <w:sz w:val="20"/>
                <w:szCs w:val="20"/>
                <w:lang w:eastAsia="en-AU"/>
              </w:rPr>
              <w:t xml:space="preserve"> XL®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Astellas</w:t>
            </w:r>
            <w:proofErr w:type="spellEnd"/>
            <w:r w:rsidRPr="001F5154">
              <w:rPr>
                <w:rFonts w:ascii="Arial" w:eastAsia="Times New Roman" w:hAnsi="Arial" w:cs="Arial"/>
                <w:sz w:val="20"/>
                <w:szCs w:val="20"/>
                <w:lang w:eastAsia="en-AU"/>
              </w:rPr>
              <w:t xml:space="preserve"> Pharma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Prevention of transplant rejection</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unrestricted Benefit listing and a Section 100 (Highly Specialised Drugs Program) Authority Required (STREAMLINED) listing of a new form of tacrolimus under the same conditions as the current 500 microgram, 1 mg and 5 mg prolonged-release listings.</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the Unrestricted Benefit and the Section 100 (Highly Specialised Drugs Program) Authority Required (STREAMLINED) listings of a new form of tacrolimus (3 mg capsule), under the same conditions as the currently listed strengths of tacrolimus and the same price per milligram as the 1 mg capsule.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TEZACAFTOR + IVACAFTOR</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containing tezacaftor 100 mg with ivacaftor 150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Symdeko</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Vertex Pharmaceuticals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recommended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Cystic Fibrosis (CF)</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Resubmission to request an extension to the PBAC’s March 2019 recommendation for Section 100 (Highly Specialised Drugs Program) Authority Required listing for the treatment of CF in patients aged 12 years or older who have one copy of the F508del mutation and another residual function (RF) mutation in the CF transmembrane conductance regulator (CFTR) gene to be for patients aged 12 years or older who have at least one copy of the RF mutation in the CFTR gene.</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The PBAC recommended extending the March 2019 recommendation for the listing of tezacaftor with ivacaftor to include all patients with at least one RF mutation.</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 </w:t>
            </w:r>
            <w:r w:rsidRPr="001F5154">
              <w:rPr>
                <w:rFonts w:ascii="Arial" w:eastAsia="Times New Roman" w:hAnsi="Arial" w:cs="Arial"/>
                <w:snapToGrid w:val="0"/>
                <w:sz w:val="20"/>
                <w:szCs w:val="20"/>
              </w:rPr>
              <w:br/>
              <w:t>The PBAC noted that no clinical data for patients with an RF mutation without an F508del mutation in the CFTR gene was available but acknowledged difficulty in obtaining clinical data for these rare CFTR genotypes. The PBAC considered that the incremental benefit of treatment with tezacaftor with ivacaftor compared with best supportive care across all known RF mutations in this patient population is uncertain and therefore, the cost-effectiveness tezacaftor with ivacaftor in this patient population is uncertain. On this basis, the PBAC advised that the additional patients with an RF mutation without an F508del mutation to be treated with tezacaftor with ivacaftor should be included under the current Risk Sharing Arrangement for lumacaftor with ivacaftor and tezacaftor with ivacaftor at no additional cost to Government.</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TOLVAPTAN</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Tablets 15 mg </w:t>
            </w:r>
            <w:r w:rsidRPr="001F5154">
              <w:rPr>
                <w:rFonts w:ascii="Arial" w:eastAsia="Times New Roman" w:hAnsi="Arial" w:cs="Arial"/>
                <w:sz w:val="20"/>
                <w:szCs w:val="20"/>
                <w:lang w:eastAsia="en-AU"/>
              </w:rPr>
              <w:br/>
              <w:t xml:space="preserve">Tablets 30 mg </w:t>
            </w:r>
            <w:r w:rsidRPr="001F5154">
              <w:rPr>
                <w:rFonts w:ascii="Arial" w:eastAsia="Times New Roman" w:hAnsi="Arial" w:cs="Arial"/>
                <w:sz w:val="20"/>
                <w:szCs w:val="20"/>
                <w:lang w:eastAsia="en-AU"/>
              </w:rPr>
              <w:br/>
              <w:t xml:space="preserve">Pack containing 28 tablets 15 mg and 28 tablets 45 mg </w:t>
            </w:r>
            <w:r w:rsidRPr="001F5154">
              <w:rPr>
                <w:rFonts w:ascii="Arial" w:eastAsia="Times New Roman" w:hAnsi="Arial" w:cs="Arial"/>
                <w:sz w:val="20"/>
                <w:szCs w:val="20"/>
                <w:lang w:eastAsia="en-AU"/>
              </w:rPr>
              <w:br/>
              <w:t>Pack containing 28 tablets 30 mg and 28 tablets 60 mg</w:t>
            </w:r>
            <w:r w:rsidRPr="001F5154">
              <w:rPr>
                <w:rFonts w:ascii="Arial" w:eastAsia="Times New Roman" w:hAnsi="Arial" w:cs="Arial"/>
                <w:sz w:val="20"/>
                <w:szCs w:val="20"/>
                <w:lang w:eastAsia="en-AU"/>
              </w:rPr>
              <w:br/>
              <w:t>Pack containing 28 tablets 30 mg and 28 tablets 90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Jinarc</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Otsuka Australia Pharmaceutical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Autosomal dominant polycystic kidney disease (ADPKD)</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w:t>
            </w:r>
            <w:r w:rsidRPr="001F5154">
              <w:rPr>
                <w:rFonts w:ascii="Arial" w:eastAsia="Times New Roman" w:hAnsi="Arial" w:cs="Arial"/>
                <w:snapToGrid w:val="0"/>
                <w:sz w:val="20"/>
                <w:szCs w:val="20"/>
              </w:rPr>
              <w:br/>
              <w:t xml:space="preserve">• listing of two new forms (15 mg and 30 mg tablets) of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for the treatment of patients with ADPKD;</w:t>
            </w:r>
            <w:r w:rsidRPr="001F5154">
              <w:rPr>
                <w:rFonts w:ascii="Arial" w:eastAsia="Times New Roman" w:hAnsi="Arial" w:cs="Arial"/>
                <w:snapToGrid w:val="0"/>
                <w:sz w:val="20"/>
                <w:szCs w:val="20"/>
              </w:rPr>
              <w:br/>
              <w:t xml:space="preserve">• to change the current General Schedule listings of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to Section 100 (Highly Specialised Drugs Program - Community Access); and </w:t>
            </w:r>
            <w:r w:rsidRPr="001F5154">
              <w:rPr>
                <w:rFonts w:ascii="Arial" w:eastAsia="Times New Roman" w:hAnsi="Arial" w:cs="Arial"/>
                <w:snapToGrid w:val="0"/>
                <w:sz w:val="20"/>
                <w:szCs w:val="20"/>
              </w:rPr>
              <w:br/>
              <w:t>• to change the authority level for initial treatment from a written to telephone authority.</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listing of two new forms of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for the treatment of ADPKD, on a cost-minimisation basis and under the same conditions as current listings, to improve dose flexibility for patients requiring dose modification. The PBAC also recommended amending the authority level for initial treatment from a written authority to telephone/electronic authority, as the restriction criteria are not complex.</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br/>
              <w:t xml:space="preserve">The PBAC did not recommend the request to amend the listings of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to Section 100 (Highly Specialised Drugs Program (HSD) – Community Access), as it did not consider the administration or patient monitoring requirements for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were sufficiently complex to consider the drug to be highly specialised. The PBAC noted that in general drugs in the Section 100 HSD – Community Access stream have been limited to continuation therapy for patients who have commenced treatment in a hospital setting. The PBAC considered that given there was no clinical need for patients to receive initial treatment with </w:t>
            </w:r>
            <w:proofErr w:type="spellStart"/>
            <w:r w:rsidRPr="001F5154">
              <w:rPr>
                <w:rFonts w:ascii="Arial" w:eastAsia="Times New Roman" w:hAnsi="Arial" w:cs="Arial"/>
                <w:snapToGrid w:val="0"/>
                <w:sz w:val="20"/>
                <w:szCs w:val="20"/>
              </w:rPr>
              <w:t>tolvaptan</w:t>
            </w:r>
            <w:proofErr w:type="spellEnd"/>
            <w:r w:rsidRPr="001F5154">
              <w:rPr>
                <w:rFonts w:ascii="Arial" w:eastAsia="Times New Roman" w:hAnsi="Arial" w:cs="Arial"/>
                <w:snapToGrid w:val="0"/>
                <w:sz w:val="20"/>
                <w:szCs w:val="20"/>
              </w:rPr>
              <w:t xml:space="preserve"> in a hospital setting, the requested change to the program was not adequately justified.</w:t>
            </w:r>
          </w:p>
          <w:p w:rsidR="001F5154" w:rsidRPr="001F5154" w:rsidRDefault="001F5154" w:rsidP="001F5154">
            <w:pPr>
              <w:widowControl w:val="0"/>
              <w:spacing w:after="0" w:line="240" w:lineRule="auto"/>
              <w:rPr>
                <w:rFonts w:ascii="Arial" w:eastAsia="Times New Roman" w:hAnsi="Arial" w:cs="Arial"/>
                <w:snapToGrid w:val="0"/>
                <w:sz w:val="20"/>
                <w:szCs w:val="20"/>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TRASTUZUMAB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Powder for I.V. infusion 60 mg</w:t>
            </w:r>
            <w:r w:rsidRPr="001F5154">
              <w:rPr>
                <w:rFonts w:ascii="Arial" w:eastAsia="Times New Roman" w:hAnsi="Arial" w:cs="Arial"/>
                <w:sz w:val="20"/>
                <w:szCs w:val="20"/>
                <w:lang w:eastAsia="en-AU"/>
              </w:rPr>
              <w:br/>
              <w:t>Powder for I.V. infusion 150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Trazimera® </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Pfizer Australia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(Minor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Human epidermal growth</w:t>
            </w:r>
            <w:r w:rsidRPr="001F5154">
              <w:rPr>
                <w:rFonts w:ascii="Arial" w:eastAsia="Times New Roman" w:hAnsi="Arial" w:cs="Arial"/>
                <w:snapToGrid w:val="0"/>
                <w:sz w:val="20"/>
                <w:szCs w:val="20"/>
              </w:rPr>
              <w:br/>
              <w:t xml:space="preserve">factor receptor-2 (HER2) positive breast cancer </w:t>
            </w:r>
            <w:r w:rsidRPr="001F5154">
              <w:rPr>
                <w:rFonts w:ascii="Arial" w:eastAsia="Times New Roman" w:hAnsi="Arial" w:cs="Arial"/>
                <w:snapToGrid w:val="0"/>
                <w:sz w:val="20"/>
                <w:szCs w:val="20"/>
              </w:rPr>
              <w:br/>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HER positive gastric cancer</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 Section 100 (Efficient Funding of Chemotherapy), Authority Required (STREAMLINED) listing of a biosimilar trastuzumab under the same conditions as the reference biologic.</w:t>
            </w: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Section 100 (Efficient Funding of Chemotherapy) Authority Required (STREAMLINED) listing of the biosimilar brand of trastuzumab (Trazimera®), for all indications for which the reference brand Herceptin® is currently PBS listed. </w:t>
            </w:r>
          </w:p>
          <w:p w:rsidR="001F5154" w:rsidRPr="001F5154" w:rsidRDefault="001F5154" w:rsidP="001F5154">
            <w:pPr>
              <w:widowControl w:val="0"/>
              <w:spacing w:after="0" w:line="240" w:lineRule="auto"/>
              <w:rPr>
                <w:rFonts w:ascii="Arial" w:eastAsia="Times New Roman" w:hAnsi="Arial" w:cs="Arial"/>
                <w:snapToGrid w:val="0"/>
                <w:sz w:val="20"/>
                <w:szCs w:val="20"/>
              </w:rPr>
            </w:pP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noted that Efficient Funding of Chemotherapy medicines are governed by the </w:t>
            </w:r>
            <w:r w:rsidRPr="001F5154">
              <w:rPr>
                <w:rFonts w:ascii="Arial" w:eastAsia="Times New Roman" w:hAnsi="Arial" w:cs="Arial"/>
                <w:i/>
                <w:iCs/>
                <w:snapToGrid w:val="0"/>
                <w:sz w:val="20"/>
                <w:szCs w:val="20"/>
              </w:rPr>
              <w:t>National Health (Efficient Funding of Chemotherapy) Special Arrangement 2011</w:t>
            </w:r>
            <w:r w:rsidRPr="001F5154">
              <w:rPr>
                <w:rFonts w:ascii="Arial" w:eastAsia="Times New Roman" w:hAnsi="Arial" w:cs="Arial"/>
                <w:snapToGrid w:val="0"/>
                <w:sz w:val="20"/>
                <w:szCs w:val="20"/>
              </w:rPr>
              <w:t xml:space="preserve">, and that Section 33(2) allows substitution of brands under the same item code. </w:t>
            </w:r>
          </w:p>
          <w:p w:rsidR="001F5154" w:rsidRPr="001F5154" w:rsidRDefault="001F5154" w:rsidP="001F5154">
            <w:pPr>
              <w:widowControl w:val="0"/>
              <w:spacing w:after="0" w:line="240" w:lineRule="auto"/>
              <w:rPr>
                <w:rFonts w:ascii="Arial" w:eastAsia="Times New Roman" w:hAnsi="Arial" w:cs="Arial"/>
                <w:snapToGrid w:val="0"/>
                <w:sz w:val="20"/>
                <w:szCs w:val="20"/>
              </w:rPr>
            </w:pP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TRASTUZUMAB EMTANSINE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Powder for I.V. infusion 100 mg</w:t>
            </w:r>
            <w:r w:rsidRPr="001F5154">
              <w:rPr>
                <w:rFonts w:ascii="Arial" w:eastAsia="Times New Roman" w:hAnsi="Arial" w:cs="Arial"/>
                <w:sz w:val="20"/>
                <w:szCs w:val="20"/>
                <w:lang w:eastAsia="en-AU"/>
              </w:rPr>
              <w:br/>
              <w:t>Powder for I.V. infusion 160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Kadcyla</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Roche Products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Early breast cancer</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 Section 100 (Efficient Funding of Chemotherapy) Authority Required listing for the adjuvant treatment of patients with Human epidermal growth factor receptor-2 positive (HER2+) early breast cancer with residual disease following neoadjuvant treatment with HER2-targeted therapy.  </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Section 100 (Efficient Funding of Chemotherapy) Authority Required listing of trastuzumab </w:t>
            </w:r>
            <w:proofErr w:type="spellStart"/>
            <w:r w:rsidRPr="001F5154">
              <w:rPr>
                <w:rFonts w:ascii="Arial" w:eastAsia="Times New Roman" w:hAnsi="Arial" w:cs="Arial"/>
                <w:snapToGrid w:val="0"/>
                <w:sz w:val="20"/>
                <w:szCs w:val="20"/>
              </w:rPr>
              <w:t>emtansine</w:t>
            </w:r>
            <w:proofErr w:type="spellEnd"/>
            <w:r w:rsidRPr="001F5154">
              <w:rPr>
                <w:rFonts w:ascii="Arial" w:eastAsia="Times New Roman" w:hAnsi="Arial" w:cs="Arial"/>
                <w:snapToGrid w:val="0"/>
                <w:sz w:val="20"/>
                <w:szCs w:val="20"/>
              </w:rPr>
              <w:t xml:space="preserve"> for the treatment of adjuvant therapy of patients with HER2+ early breast cancer with residual disease following HER2-targeted neoadjuvant therapy that included trastuzumab and </w:t>
            </w:r>
            <w:proofErr w:type="spellStart"/>
            <w:r w:rsidRPr="001F5154">
              <w:rPr>
                <w:rFonts w:ascii="Arial" w:eastAsia="Times New Roman" w:hAnsi="Arial" w:cs="Arial"/>
                <w:snapToGrid w:val="0"/>
                <w:sz w:val="20"/>
                <w:szCs w:val="20"/>
              </w:rPr>
              <w:t>taxane</w:t>
            </w:r>
            <w:proofErr w:type="spellEnd"/>
            <w:r w:rsidRPr="001F5154">
              <w:rPr>
                <w:rFonts w:ascii="Arial" w:eastAsia="Times New Roman" w:hAnsi="Arial" w:cs="Arial"/>
                <w:snapToGrid w:val="0"/>
                <w:sz w:val="20"/>
                <w:szCs w:val="20"/>
              </w:rPr>
              <w:t xml:space="preserve">-based chemotherapy. The PBAC acknowledged the high clinical need of patients in this population.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was satisfied that trastuzumab </w:t>
            </w:r>
            <w:proofErr w:type="spellStart"/>
            <w:r w:rsidRPr="001F5154">
              <w:rPr>
                <w:rFonts w:ascii="Arial" w:eastAsia="Times New Roman" w:hAnsi="Arial" w:cs="Arial"/>
                <w:snapToGrid w:val="0"/>
                <w:sz w:val="20"/>
                <w:szCs w:val="20"/>
              </w:rPr>
              <w:t>emtansine</w:t>
            </w:r>
            <w:proofErr w:type="spellEnd"/>
            <w:r w:rsidRPr="001F5154">
              <w:rPr>
                <w:rFonts w:ascii="Arial" w:eastAsia="Times New Roman" w:hAnsi="Arial" w:cs="Arial"/>
                <w:snapToGrid w:val="0"/>
                <w:sz w:val="20"/>
                <w:szCs w:val="20"/>
              </w:rPr>
              <w:t xml:space="preserve"> provides, for some patients, a significant improvement in invasive disease-free survival over trastuzumab. Although the data for overall survival were immature, the PBAC considered that there was moderate certainty that the invasive disease-free survival benefits would translate into overall survival benefits based on the KATHERINE trial data. The PBAC’s recommendation for listing was based on, among other matters, its assessment that the cost-effectiveness of trastuzumab </w:t>
            </w:r>
            <w:proofErr w:type="spellStart"/>
            <w:r w:rsidRPr="001F5154">
              <w:rPr>
                <w:rFonts w:ascii="Arial" w:eastAsia="Times New Roman" w:hAnsi="Arial" w:cs="Arial"/>
                <w:snapToGrid w:val="0"/>
                <w:sz w:val="20"/>
                <w:szCs w:val="20"/>
              </w:rPr>
              <w:t>emtansine</w:t>
            </w:r>
            <w:proofErr w:type="spellEnd"/>
            <w:r w:rsidRPr="001F5154">
              <w:rPr>
                <w:rFonts w:ascii="Arial" w:eastAsia="Times New Roman" w:hAnsi="Arial" w:cs="Arial"/>
                <w:snapToGrid w:val="0"/>
                <w:sz w:val="20"/>
                <w:szCs w:val="20"/>
              </w:rPr>
              <w:t xml:space="preserve"> over trastuzumab was within an acceptable range.</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t>TRIFLURIDINE + TIPIRACIL</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 xml:space="preserve">Tablet containing 15 mg </w:t>
            </w:r>
            <w:proofErr w:type="spellStart"/>
            <w:r w:rsidRPr="001F5154">
              <w:rPr>
                <w:rFonts w:ascii="Arial" w:eastAsia="Times New Roman" w:hAnsi="Arial" w:cs="Arial"/>
                <w:sz w:val="20"/>
                <w:szCs w:val="20"/>
                <w:lang w:eastAsia="en-AU"/>
              </w:rPr>
              <w:t>trifluridine</w:t>
            </w:r>
            <w:proofErr w:type="spellEnd"/>
            <w:r w:rsidRPr="001F5154">
              <w:rPr>
                <w:rFonts w:ascii="Arial" w:eastAsia="Times New Roman" w:hAnsi="Arial" w:cs="Arial"/>
                <w:sz w:val="20"/>
                <w:szCs w:val="20"/>
                <w:lang w:eastAsia="en-AU"/>
              </w:rPr>
              <w:t xml:space="preserve"> with 6.14 mg </w:t>
            </w:r>
            <w:proofErr w:type="spellStart"/>
            <w:r w:rsidRPr="001F5154">
              <w:rPr>
                <w:rFonts w:ascii="Arial" w:eastAsia="Times New Roman" w:hAnsi="Arial" w:cs="Arial"/>
                <w:sz w:val="20"/>
                <w:szCs w:val="20"/>
                <w:lang w:eastAsia="en-AU"/>
              </w:rPr>
              <w:t>tipiracil</w:t>
            </w:r>
            <w:proofErr w:type="spellEnd"/>
            <w:r w:rsidRPr="001F5154">
              <w:rPr>
                <w:rFonts w:ascii="Arial" w:eastAsia="Times New Roman" w:hAnsi="Arial" w:cs="Arial"/>
                <w:sz w:val="20"/>
                <w:szCs w:val="20"/>
                <w:lang w:eastAsia="en-AU"/>
              </w:rPr>
              <w:t xml:space="preserve"> (as hydrochloride)</w:t>
            </w:r>
            <w:r w:rsidRPr="001F5154">
              <w:rPr>
                <w:rFonts w:ascii="Arial" w:eastAsia="Times New Roman" w:hAnsi="Arial" w:cs="Arial"/>
                <w:sz w:val="20"/>
                <w:szCs w:val="20"/>
                <w:lang w:eastAsia="en-AU"/>
              </w:rPr>
              <w:br/>
              <w:t xml:space="preserve">Tablet containing 20 mg </w:t>
            </w:r>
            <w:proofErr w:type="spellStart"/>
            <w:r w:rsidRPr="001F5154">
              <w:rPr>
                <w:rFonts w:ascii="Arial" w:eastAsia="Times New Roman" w:hAnsi="Arial" w:cs="Arial"/>
                <w:sz w:val="20"/>
                <w:szCs w:val="20"/>
                <w:lang w:eastAsia="en-AU"/>
              </w:rPr>
              <w:t>trifluridine</w:t>
            </w:r>
            <w:proofErr w:type="spellEnd"/>
            <w:r w:rsidRPr="001F5154">
              <w:rPr>
                <w:rFonts w:ascii="Arial" w:eastAsia="Times New Roman" w:hAnsi="Arial" w:cs="Arial"/>
                <w:sz w:val="20"/>
                <w:szCs w:val="20"/>
                <w:lang w:eastAsia="en-AU"/>
              </w:rPr>
              <w:t xml:space="preserve"> with 8.19 mg </w:t>
            </w:r>
            <w:proofErr w:type="spellStart"/>
            <w:r w:rsidRPr="001F5154">
              <w:rPr>
                <w:rFonts w:ascii="Arial" w:eastAsia="Times New Roman" w:hAnsi="Arial" w:cs="Arial"/>
                <w:sz w:val="20"/>
                <w:szCs w:val="20"/>
                <w:lang w:eastAsia="en-AU"/>
              </w:rPr>
              <w:t>tipiracil</w:t>
            </w:r>
            <w:proofErr w:type="spellEnd"/>
            <w:r w:rsidRPr="001F5154">
              <w:rPr>
                <w:rFonts w:ascii="Arial" w:eastAsia="Times New Roman" w:hAnsi="Arial" w:cs="Arial"/>
                <w:sz w:val="20"/>
                <w:szCs w:val="20"/>
                <w:lang w:eastAsia="en-AU"/>
              </w:rPr>
              <w:t xml:space="preserve"> (as hydrochloride)</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Lonsurf</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Servier</w:t>
            </w:r>
            <w:proofErr w:type="spellEnd"/>
            <w:r w:rsidRPr="001F5154">
              <w:rPr>
                <w:rFonts w:ascii="Arial" w:eastAsia="Times New Roman" w:hAnsi="Arial" w:cs="Arial"/>
                <w:sz w:val="20"/>
                <w:szCs w:val="20"/>
                <w:lang w:eastAsia="en-AU"/>
              </w:rPr>
              <w:t xml:space="preserve"> Laboratories (Aust.)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Change to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Gastric cancer</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To request an Authority Required (STREAMLINED) listing for the treatment of patients with metastatic gastric cancer who have been previously treated with, or are not considered candidates for, currently available therapies. </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Authority Required (STREAMLINED) listing of </w:t>
            </w:r>
            <w:proofErr w:type="spellStart"/>
            <w:r w:rsidRPr="001F5154">
              <w:rPr>
                <w:rFonts w:ascii="Arial" w:eastAsia="Times New Roman" w:hAnsi="Arial" w:cs="Arial"/>
                <w:snapToGrid w:val="0"/>
                <w:sz w:val="20"/>
                <w:szCs w:val="20"/>
              </w:rPr>
              <w:t>trifluridine</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tipiracil</w:t>
            </w:r>
            <w:proofErr w:type="spellEnd"/>
            <w:r w:rsidRPr="001F5154">
              <w:rPr>
                <w:rFonts w:ascii="Arial" w:eastAsia="Times New Roman" w:hAnsi="Arial" w:cs="Arial"/>
                <w:snapToGrid w:val="0"/>
                <w:sz w:val="20"/>
                <w:szCs w:val="20"/>
              </w:rPr>
              <w:t xml:space="preserve">, in fixed dose combinations, for the treatment of patients with metastatic gastric adenocarcinoma, including adenocarcinoma of the gastroesophageal junction previously treated with at least two prior lines of chemotherapy. </w:t>
            </w:r>
          </w:p>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br/>
              <w:t xml:space="preserve">The PBAC acknowledged that there is a high and unmet clinical need for additional therapies for patients with refractory metastatic gastric adenocarcinoma and good performance status. The PBAC was satisfied that </w:t>
            </w:r>
            <w:proofErr w:type="spellStart"/>
            <w:r w:rsidRPr="001F5154">
              <w:rPr>
                <w:rFonts w:ascii="Arial" w:eastAsia="Times New Roman" w:hAnsi="Arial" w:cs="Arial"/>
                <w:snapToGrid w:val="0"/>
                <w:sz w:val="20"/>
                <w:szCs w:val="20"/>
              </w:rPr>
              <w:t>trifluridine</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tipiracil</w:t>
            </w:r>
            <w:proofErr w:type="spellEnd"/>
            <w:r w:rsidRPr="001F5154">
              <w:rPr>
                <w:rFonts w:ascii="Arial" w:eastAsia="Times New Roman" w:hAnsi="Arial" w:cs="Arial"/>
                <w:snapToGrid w:val="0"/>
                <w:sz w:val="20"/>
                <w:szCs w:val="20"/>
              </w:rPr>
              <w:t xml:space="preserve">, for some patients, provides some improvement in overall survival over best supportive care, which needs to be balanced against an increase in toxicity. The PBAC’s recommendation for listing was based on, among other matters, its assessment that the cost-effectiveness of </w:t>
            </w:r>
            <w:proofErr w:type="spellStart"/>
            <w:r w:rsidRPr="001F5154">
              <w:rPr>
                <w:rFonts w:ascii="Arial" w:eastAsia="Times New Roman" w:hAnsi="Arial" w:cs="Arial"/>
                <w:snapToGrid w:val="0"/>
                <w:sz w:val="20"/>
                <w:szCs w:val="20"/>
              </w:rPr>
              <w:t>trifluridne</w:t>
            </w:r>
            <w:proofErr w:type="spellEnd"/>
            <w:r w:rsidRPr="001F5154">
              <w:rPr>
                <w:rFonts w:ascii="Arial" w:eastAsia="Times New Roman" w:hAnsi="Arial" w:cs="Arial"/>
                <w:snapToGrid w:val="0"/>
                <w:sz w:val="20"/>
                <w:szCs w:val="20"/>
              </w:rPr>
              <w:t>/</w:t>
            </w:r>
            <w:proofErr w:type="spellStart"/>
            <w:r w:rsidRPr="001F5154">
              <w:rPr>
                <w:rFonts w:ascii="Arial" w:eastAsia="Times New Roman" w:hAnsi="Arial" w:cs="Arial"/>
                <w:snapToGrid w:val="0"/>
                <w:sz w:val="20"/>
                <w:szCs w:val="20"/>
              </w:rPr>
              <w:t>tipiracil</w:t>
            </w:r>
            <w:proofErr w:type="spellEnd"/>
            <w:r w:rsidRPr="001F5154">
              <w:rPr>
                <w:rFonts w:ascii="Arial" w:eastAsia="Times New Roman" w:hAnsi="Arial" w:cs="Arial"/>
                <w:snapToGrid w:val="0"/>
                <w:sz w:val="20"/>
                <w:szCs w:val="20"/>
              </w:rPr>
              <w:t xml:space="preserve"> would be acceptable at the price proposed in the submission.</w:t>
            </w:r>
          </w:p>
        </w:tc>
      </w:tr>
      <w:tr w:rsidR="001F5154" w:rsidRPr="001F5154" w:rsidTr="00BB212D">
        <w:trPr>
          <w:cantSplit/>
        </w:trPr>
        <w:tc>
          <w:tcPr>
            <w:tcW w:w="30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z w:val="20"/>
                <w:szCs w:val="20"/>
                <w:lang w:eastAsia="en-AU"/>
              </w:rPr>
            </w:pPr>
            <w:r w:rsidRPr="001F5154">
              <w:rPr>
                <w:rFonts w:ascii="Arial" w:eastAsia="Times New Roman" w:hAnsi="Arial" w:cs="Arial"/>
                <w:sz w:val="20"/>
                <w:szCs w:val="20"/>
                <w:lang w:eastAsia="en-AU"/>
              </w:rPr>
              <w:lastRenderedPageBreak/>
              <w:t>UPADACITINIB</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Tablet (modified release) 15 mg</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r>
            <w:proofErr w:type="spellStart"/>
            <w:r w:rsidRPr="001F5154">
              <w:rPr>
                <w:rFonts w:ascii="Arial" w:eastAsia="Times New Roman" w:hAnsi="Arial" w:cs="Arial"/>
                <w:sz w:val="20"/>
                <w:szCs w:val="20"/>
                <w:lang w:eastAsia="en-AU"/>
              </w:rPr>
              <w:t>Rinvoq</w:t>
            </w:r>
            <w:proofErr w:type="spellEnd"/>
            <w:r w:rsidRPr="001F5154">
              <w:rPr>
                <w:rFonts w:ascii="Arial" w:eastAsia="Times New Roman" w:hAnsi="Arial" w:cs="Arial"/>
                <w:sz w:val="20"/>
                <w:szCs w:val="20"/>
                <w:lang w:eastAsia="en-AU"/>
              </w:rPr>
              <w:t>®</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AbbVie Pty Ltd</w:t>
            </w:r>
            <w:r w:rsidRPr="001F5154">
              <w:rPr>
                <w:rFonts w:ascii="Arial" w:eastAsia="Times New Roman" w:hAnsi="Arial" w:cs="Arial"/>
                <w:sz w:val="20"/>
                <w:szCs w:val="20"/>
                <w:lang w:eastAsia="en-AU"/>
              </w:rPr>
              <w:br/>
            </w:r>
            <w:r w:rsidRPr="001F5154">
              <w:rPr>
                <w:rFonts w:ascii="Arial" w:eastAsia="Times New Roman" w:hAnsi="Arial" w:cs="Arial"/>
                <w:sz w:val="20"/>
                <w:szCs w:val="20"/>
                <w:lang w:eastAsia="en-AU"/>
              </w:rPr>
              <w:br/>
              <w:t>New listing</w:t>
            </w:r>
            <w:r w:rsidRPr="001F5154">
              <w:rPr>
                <w:rFonts w:ascii="Arial" w:eastAsia="Times New Roman" w:hAnsi="Arial" w:cs="Arial"/>
                <w:sz w:val="20"/>
                <w:szCs w:val="20"/>
                <w:lang w:eastAsia="en-AU"/>
              </w:rPr>
              <w:br/>
              <w:t>(Major Submission)</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Rheumatoid arthritis (RA)</w:t>
            </w:r>
          </w:p>
        </w:tc>
        <w:tc>
          <w:tcPr>
            <w:tcW w:w="293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To request an Authority Required listing for the treatment of patients with severe active RA.</w:t>
            </w:r>
          </w:p>
        </w:tc>
        <w:tc>
          <w:tcPr>
            <w:tcW w:w="6971" w:type="dxa"/>
            <w:tcBorders>
              <w:top w:val="single" w:sz="4" w:space="0" w:color="auto"/>
              <w:left w:val="single" w:sz="4" w:space="0" w:color="auto"/>
              <w:bottom w:val="single" w:sz="4" w:space="0" w:color="auto"/>
              <w:right w:val="single" w:sz="4" w:space="0" w:color="auto"/>
            </w:tcBorders>
            <w:shd w:val="clear" w:color="000000" w:fill="FFFFFF"/>
          </w:tcPr>
          <w:p w:rsidR="001F5154" w:rsidRPr="001F5154" w:rsidRDefault="001F5154" w:rsidP="001F5154">
            <w:pPr>
              <w:widowControl w:val="0"/>
              <w:spacing w:after="0" w:line="240" w:lineRule="auto"/>
              <w:rPr>
                <w:rFonts w:ascii="Arial" w:eastAsia="Times New Roman" w:hAnsi="Arial" w:cs="Arial"/>
                <w:snapToGrid w:val="0"/>
                <w:sz w:val="20"/>
                <w:szCs w:val="20"/>
              </w:rPr>
            </w:pPr>
            <w:r w:rsidRPr="001F5154">
              <w:rPr>
                <w:rFonts w:ascii="Arial" w:eastAsia="Times New Roman" w:hAnsi="Arial" w:cs="Arial"/>
                <w:snapToGrid w:val="0"/>
                <w:sz w:val="20"/>
                <w:szCs w:val="20"/>
              </w:rPr>
              <w:t xml:space="preserve">The PBAC recommended the listing of </w:t>
            </w:r>
            <w:proofErr w:type="spellStart"/>
            <w:r w:rsidRPr="001F5154">
              <w:rPr>
                <w:rFonts w:ascii="Arial" w:eastAsia="Times New Roman" w:hAnsi="Arial" w:cs="Arial"/>
                <w:snapToGrid w:val="0"/>
                <w:sz w:val="20"/>
                <w:szCs w:val="20"/>
              </w:rPr>
              <w:t>upadacitinib</w:t>
            </w:r>
            <w:proofErr w:type="spellEnd"/>
            <w:r w:rsidRPr="001F5154">
              <w:rPr>
                <w:rFonts w:ascii="Arial" w:eastAsia="Times New Roman" w:hAnsi="Arial" w:cs="Arial"/>
                <w:snapToGrid w:val="0"/>
                <w:sz w:val="20"/>
                <w:szCs w:val="20"/>
              </w:rPr>
              <w:t xml:space="preserve"> for the treatment of RA on a cost-minimisation basis to the least costly biological disease modifying anti-rheumatic drug  listed on the PBS for RA. </w:t>
            </w:r>
          </w:p>
        </w:tc>
      </w:tr>
    </w:tbl>
    <w:p w:rsidR="00280050" w:rsidRDefault="00280050"/>
    <w:sectPr w:rsidR="00280050" w:rsidSect="001F5154">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54" w:rsidRDefault="001F5154" w:rsidP="001F5154">
      <w:pPr>
        <w:spacing w:after="0" w:line="240" w:lineRule="auto"/>
      </w:pPr>
      <w:r>
        <w:separator/>
      </w:r>
    </w:p>
  </w:endnote>
  <w:endnote w:type="continuationSeparator" w:id="0">
    <w:p w:rsidR="001F5154" w:rsidRDefault="001F5154" w:rsidP="001F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F6" w:rsidRDefault="0063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F6" w:rsidRDefault="0063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F6" w:rsidRDefault="0063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54" w:rsidRDefault="001F5154" w:rsidP="001F5154">
      <w:pPr>
        <w:spacing w:after="0" w:line="240" w:lineRule="auto"/>
      </w:pPr>
      <w:r>
        <w:separator/>
      </w:r>
    </w:p>
  </w:footnote>
  <w:footnote w:type="continuationSeparator" w:id="0">
    <w:p w:rsidR="001F5154" w:rsidRDefault="001F5154" w:rsidP="001F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F6" w:rsidRDefault="0063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154" w:rsidRDefault="001F5154" w:rsidP="001F5154">
    <w:pPr>
      <w:tabs>
        <w:tab w:val="center" w:pos="4153"/>
        <w:tab w:val="right" w:pos="8306"/>
      </w:tabs>
      <w:spacing w:after="0" w:line="240" w:lineRule="auto"/>
      <w:rPr>
        <w:rFonts w:ascii="Arial" w:eastAsia="Times New Roman" w:hAnsi="Arial" w:cs="Arial"/>
        <w:b/>
        <w:snapToGrid w:val="0"/>
        <w:sz w:val="20"/>
        <w:szCs w:val="20"/>
      </w:rPr>
    </w:pPr>
  </w:p>
  <w:p w:rsidR="001F5154" w:rsidRPr="001F5154" w:rsidRDefault="001F5154" w:rsidP="001F5154">
    <w:pPr>
      <w:tabs>
        <w:tab w:val="center" w:pos="4153"/>
        <w:tab w:val="right" w:pos="8306"/>
      </w:tabs>
      <w:spacing w:after="0" w:line="240" w:lineRule="auto"/>
      <w:jc w:val="center"/>
      <w:rPr>
        <w:rFonts w:ascii="Arial" w:eastAsia="Times New Roman" w:hAnsi="Arial" w:cs="Arial"/>
        <w:b/>
        <w:snapToGrid w:val="0"/>
        <w:sz w:val="20"/>
        <w:szCs w:val="20"/>
      </w:rPr>
    </w:pPr>
    <w:r w:rsidRPr="001F5154">
      <w:rPr>
        <w:rFonts w:ascii="Arial" w:eastAsia="Times New Roman" w:hAnsi="Arial" w:cs="Arial"/>
        <w:b/>
        <w:snapToGrid w:val="0"/>
        <w:sz w:val="20"/>
        <w:szCs w:val="20"/>
      </w:rPr>
      <w:t>NOVEMBER 2019 PBAC MEETING – POSITIVE RECOMMENDATIONS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F6" w:rsidRDefault="00630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54"/>
    <w:rsid w:val="001F5154"/>
    <w:rsid w:val="00231847"/>
    <w:rsid w:val="00280050"/>
    <w:rsid w:val="003B17E4"/>
    <w:rsid w:val="006304F6"/>
    <w:rsid w:val="00A52A4E"/>
    <w:rsid w:val="00F14D6C"/>
    <w:rsid w:val="00F43CB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54"/>
  </w:style>
  <w:style w:type="paragraph" w:styleId="Footer">
    <w:name w:val="footer"/>
    <w:basedOn w:val="Normal"/>
    <w:link w:val="FooterChar"/>
    <w:uiPriority w:val="99"/>
    <w:unhideWhenUsed/>
    <w:rsid w:val="001F5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54"/>
  </w:style>
  <w:style w:type="paragraph" w:styleId="Revision">
    <w:name w:val="Revision"/>
    <w:hidden/>
    <w:uiPriority w:val="99"/>
    <w:semiHidden/>
    <w:rsid w:val="00630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2019-12-18T22:37:00Z</dcterms:created>
  <dcterms:modified xsi:type="dcterms:W3CDTF">2019-12-19T23:43:00Z</dcterms:modified>
</cp:coreProperties>
</file>