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2742"/>
        <w:gridCol w:w="4278"/>
        <w:gridCol w:w="5327"/>
      </w:tblGrid>
      <w:tr w:rsidR="00987FDA" w:rsidRPr="00191589" w14:paraId="2CCE65E2" w14:textId="77777777" w:rsidTr="00EF18DD">
        <w:trPr>
          <w:cantSplit/>
          <w:tblHeader/>
        </w:trPr>
        <w:tc>
          <w:tcPr>
            <w:tcW w:w="988" w:type="pct"/>
            <w:tcMar>
              <w:top w:w="28" w:type="dxa"/>
              <w:bottom w:w="28" w:type="dxa"/>
            </w:tcMar>
          </w:tcPr>
          <w:p w14:paraId="55E51764" w14:textId="77777777" w:rsidR="0065234B" w:rsidRPr="00191589" w:rsidRDefault="00E836AC" w:rsidP="0065234B">
            <w:pPr>
              <w:widowControl w:val="0"/>
              <w:jc w:val="center"/>
              <w:rPr>
                <w:rFonts w:ascii="Arial" w:hAnsi="Arial" w:cs="Arial"/>
                <w:b/>
              </w:rPr>
            </w:pPr>
            <w:r w:rsidRPr="00191589">
              <w:rPr>
                <w:rFonts w:ascii="Arial" w:hAnsi="Arial" w:cs="Arial"/>
                <w:b/>
              </w:rPr>
              <w:t>DRUG NAME, FORM(S), STRENGTH(S), SPONSOR, TYPE OF SUBMISSION</w:t>
            </w:r>
          </w:p>
          <w:p w14:paraId="50BF40E7" w14:textId="77777777" w:rsidR="00E836AC" w:rsidRPr="00191589" w:rsidRDefault="00E836AC" w:rsidP="0065234B">
            <w:pPr>
              <w:widowControl w:val="0"/>
              <w:jc w:val="center"/>
              <w:rPr>
                <w:rFonts w:ascii="Arial" w:hAnsi="Arial" w:cs="Arial"/>
                <w:b/>
              </w:rPr>
            </w:pPr>
          </w:p>
        </w:tc>
        <w:tc>
          <w:tcPr>
            <w:tcW w:w="891" w:type="pct"/>
            <w:tcMar>
              <w:top w:w="28" w:type="dxa"/>
              <w:bottom w:w="28" w:type="dxa"/>
            </w:tcMar>
          </w:tcPr>
          <w:p w14:paraId="5429B522" w14:textId="77777777" w:rsidR="00987FDA" w:rsidRPr="00191589" w:rsidRDefault="00E836AC" w:rsidP="0065234B">
            <w:pPr>
              <w:widowControl w:val="0"/>
              <w:jc w:val="center"/>
              <w:rPr>
                <w:rFonts w:ascii="Arial" w:hAnsi="Arial" w:cs="Arial"/>
                <w:b/>
                <w:snapToGrid w:val="0"/>
                <w:lang w:eastAsia="en-US"/>
              </w:rPr>
            </w:pPr>
            <w:r w:rsidRPr="00191589">
              <w:rPr>
                <w:rFonts w:ascii="Arial" w:hAnsi="Arial" w:cs="Arial"/>
                <w:b/>
                <w:snapToGrid w:val="0"/>
                <w:lang w:eastAsia="en-US"/>
              </w:rPr>
              <w:t>DRUG TYPE AND USE</w:t>
            </w:r>
          </w:p>
          <w:p w14:paraId="5F16C3AC" w14:textId="77777777" w:rsidR="00987FDA" w:rsidRPr="00191589" w:rsidRDefault="00987FDA" w:rsidP="0065234B">
            <w:pPr>
              <w:widowControl w:val="0"/>
              <w:jc w:val="center"/>
              <w:rPr>
                <w:rFonts w:ascii="Arial" w:hAnsi="Arial" w:cs="Arial"/>
                <w:b/>
                <w:snapToGrid w:val="0"/>
                <w:lang w:eastAsia="en-US"/>
              </w:rPr>
            </w:pPr>
          </w:p>
        </w:tc>
        <w:tc>
          <w:tcPr>
            <w:tcW w:w="1390" w:type="pct"/>
            <w:tcMar>
              <w:top w:w="28" w:type="dxa"/>
              <w:bottom w:w="28" w:type="dxa"/>
            </w:tcMar>
          </w:tcPr>
          <w:p w14:paraId="075D9406" w14:textId="77777777" w:rsidR="00987FDA" w:rsidRPr="00191589" w:rsidRDefault="00E836AC" w:rsidP="0065234B">
            <w:pPr>
              <w:widowControl w:val="0"/>
              <w:jc w:val="center"/>
              <w:rPr>
                <w:rFonts w:ascii="Arial" w:hAnsi="Arial" w:cs="Arial"/>
                <w:b/>
                <w:snapToGrid w:val="0"/>
                <w:lang w:eastAsia="en-US"/>
              </w:rPr>
            </w:pPr>
            <w:r w:rsidRPr="00191589">
              <w:rPr>
                <w:rFonts w:ascii="Arial" w:hAnsi="Arial" w:cs="Arial"/>
                <w:b/>
                <w:snapToGrid w:val="0"/>
                <w:lang w:eastAsia="en-US"/>
              </w:rPr>
              <w:t>LISTING REQUESTED BY SPONSOR / PURPOSE OF SUBMISSION</w:t>
            </w:r>
          </w:p>
          <w:p w14:paraId="2C046B4B" w14:textId="77777777" w:rsidR="00E836AC" w:rsidRPr="00191589" w:rsidRDefault="00E836AC" w:rsidP="0065234B">
            <w:pPr>
              <w:widowControl w:val="0"/>
              <w:jc w:val="center"/>
              <w:rPr>
                <w:rFonts w:ascii="Arial" w:hAnsi="Arial" w:cs="Arial"/>
                <w:b/>
                <w:snapToGrid w:val="0"/>
                <w:lang w:eastAsia="en-US"/>
              </w:rPr>
            </w:pPr>
          </w:p>
        </w:tc>
        <w:tc>
          <w:tcPr>
            <w:tcW w:w="1731" w:type="pct"/>
          </w:tcPr>
          <w:p w14:paraId="4094F02B" w14:textId="77777777" w:rsidR="00987FDA" w:rsidRPr="00191589" w:rsidRDefault="00E836AC" w:rsidP="00E836AC">
            <w:pPr>
              <w:pStyle w:val="Header"/>
              <w:jc w:val="center"/>
              <w:rPr>
                <w:rFonts w:ascii="Arial" w:hAnsi="Arial" w:cs="Arial"/>
                <w:b/>
                <w:snapToGrid w:val="0"/>
                <w:lang w:eastAsia="en-US"/>
              </w:rPr>
            </w:pPr>
            <w:r w:rsidRPr="00191589">
              <w:rPr>
                <w:rFonts w:ascii="Arial" w:hAnsi="Arial" w:cs="Arial"/>
                <w:b/>
                <w:snapToGrid w:val="0"/>
                <w:lang w:eastAsia="en-US"/>
              </w:rPr>
              <w:t>PBAC OUTCOME</w:t>
            </w:r>
          </w:p>
        </w:tc>
      </w:tr>
      <w:tr w:rsidR="00EF18DD" w:rsidRPr="00191589" w14:paraId="0111868E" w14:textId="77777777" w:rsidTr="00EF18DD">
        <w:trPr>
          <w:trHeight w:val="477"/>
        </w:trPr>
        <w:tc>
          <w:tcPr>
            <w:tcW w:w="988" w:type="pct"/>
            <w:vMerge w:val="restart"/>
            <w:tcMar>
              <w:top w:w="28" w:type="dxa"/>
              <w:bottom w:w="28" w:type="dxa"/>
            </w:tcMar>
          </w:tcPr>
          <w:p w14:paraId="0D2D530F" w14:textId="77777777" w:rsidR="00EF18DD" w:rsidRDefault="00EF18DD" w:rsidP="00EF18DD">
            <w:pPr>
              <w:rPr>
                <w:rFonts w:ascii="Arial" w:hAnsi="Arial" w:cs="Arial"/>
                <w:color w:val="000000"/>
              </w:rPr>
            </w:pPr>
            <w:r w:rsidRPr="00191589">
              <w:rPr>
                <w:rFonts w:ascii="Arial" w:hAnsi="Arial" w:cs="Arial"/>
                <w:color w:val="000000"/>
              </w:rPr>
              <w:t>OZANIMOD</w:t>
            </w:r>
            <w:r w:rsidRPr="00191589">
              <w:rPr>
                <w:rFonts w:ascii="Arial" w:hAnsi="Arial" w:cs="Arial"/>
                <w:color w:val="000000"/>
              </w:rPr>
              <w:br/>
            </w:r>
            <w:r w:rsidRPr="00191589">
              <w:rPr>
                <w:rFonts w:ascii="Arial" w:hAnsi="Arial" w:cs="Arial"/>
                <w:color w:val="000000"/>
              </w:rPr>
              <w:br/>
              <w:t>Capsule 230 micrograms</w:t>
            </w:r>
            <w:r w:rsidRPr="00191589">
              <w:rPr>
                <w:rFonts w:ascii="Arial" w:hAnsi="Arial" w:cs="Arial"/>
                <w:color w:val="000000"/>
              </w:rPr>
              <w:br/>
              <w:t>Capsule 460 micrograms</w:t>
            </w:r>
            <w:r w:rsidRPr="00191589">
              <w:rPr>
                <w:rFonts w:ascii="Arial" w:hAnsi="Arial" w:cs="Arial"/>
                <w:color w:val="000000"/>
              </w:rPr>
              <w:br/>
              <w:t>Capsule 920 micrograms</w:t>
            </w:r>
            <w:r w:rsidRPr="00191589">
              <w:rPr>
                <w:rFonts w:ascii="Arial" w:hAnsi="Arial" w:cs="Arial"/>
                <w:color w:val="000000"/>
              </w:rPr>
              <w:br/>
            </w:r>
            <w:r w:rsidRPr="00191589">
              <w:rPr>
                <w:rFonts w:ascii="Arial" w:hAnsi="Arial" w:cs="Arial"/>
                <w:color w:val="000000"/>
              </w:rPr>
              <w:br/>
            </w:r>
            <w:proofErr w:type="spellStart"/>
            <w:r w:rsidRPr="00191589">
              <w:rPr>
                <w:rFonts w:ascii="Arial" w:hAnsi="Arial" w:cs="Arial"/>
                <w:color w:val="000000"/>
              </w:rPr>
              <w:t>Zeposia</w:t>
            </w:r>
            <w:proofErr w:type="spellEnd"/>
            <w:r w:rsidRPr="00191589">
              <w:rPr>
                <w:rFonts w:ascii="Arial" w:hAnsi="Arial" w:cs="Arial"/>
                <w:color w:val="000000"/>
              </w:rPr>
              <w:t>®</w:t>
            </w:r>
            <w:r w:rsidRPr="00191589">
              <w:rPr>
                <w:rFonts w:ascii="Arial" w:hAnsi="Arial" w:cs="Arial"/>
                <w:color w:val="000000"/>
              </w:rPr>
              <w:br/>
            </w:r>
            <w:r w:rsidRPr="00191589">
              <w:rPr>
                <w:rFonts w:ascii="Arial" w:hAnsi="Arial" w:cs="Arial"/>
                <w:color w:val="000000"/>
              </w:rPr>
              <w:br/>
              <w:t>Celgene Pty Ltd</w:t>
            </w:r>
            <w:r w:rsidRPr="00191589">
              <w:rPr>
                <w:rFonts w:ascii="Arial" w:hAnsi="Arial" w:cs="Arial"/>
                <w:color w:val="000000"/>
              </w:rPr>
              <w:br/>
            </w:r>
            <w:r w:rsidRPr="00191589">
              <w:rPr>
                <w:rFonts w:ascii="Arial" w:hAnsi="Arial" w:cs="Arial"/>
                <w:color w:val="000000"/>
              </w:rPr>
              <w:br/>
              <w:t xml:space="preserve">New listing </w:t>
            </w:r>
            <w:r w:rsidRPr="00191589">
              <w:rPr>
                <w:rFonts w:ascii="Arial" w:hAnsi="Arial" w:cs="Arial"/>
                <w:color w:val="000000"/>
              </w:rPr>
              <w:br/>
              <w:t>(Major  Submission)</w:t>
            </w:r>
          </w:p>
          <w:p w14:paraId="4FF4A593" w14:textId="4BB8D76D" w:rsidR="002505B4" w:rsidRPr="00191589" w:rsidRDefault="002505B4" w:rsidP="00EF18DD">
            <w:pPr>
              <w:rPr>
                <w:rFonts w:ascii="Arial" w:hAnsi="Arial" w:cs="Arial"/>
                <w:color w:val="000000"/>
              </w:rPr>
            </w:pPr>
          </w:p>
        </w:tc>
        <w:tc>
          <w:tcPr>
            <w:tcW w:w="891" w:type="pct"/>
            <w:vMerge w:val="restart"/>
          </w:tcPr>
          <w:p w14:paraId="0BAE7A70" w14:textId="77777777" w:rsidR="00EF18DD" w:rsidRPr="00191589" w:rsidRDefault="00EF18DD" w:rsidP="00EF18DD">
            <w:pPr>
              <w:rPr>
                <w:rFonts w:ascii="Arial" w:hAnsi="Arial" w:cs="Arial"/>
                <w:color w:val="000000"/>
              </w:rPr>
            </w:pPr>
            <w:r w:rsidRPr="00191589">
              <w:rPr>
                <w:rFonts w:ascii="Arial" w:hAnsi="Arial" w:cs="Arial"/>
                <w:color w:val="000000"/>
              </w:rPr>
              <w:t>Relapsing-remitting multiple sclerosis (RRMS)</w:t>
            </w:r>
          </w:p>
          <w:p w14:paraId="7780D23D" w14:textId="77777777" w:rsidR="00EF18DD" w:rsidRPr="00191589" w:rsidRDefault="00EF18DD" w:rsidP="00EF18DD">
            <w:pPr>
              <w:rPr>
                <w:rFonts w:ascii="Arial" w:hAnsi="Arial" w:cs="Arial"/>
                <w:color w:val="000000"/>
              </w:rPr>
            </w:pPr>
          </w:p>
        </w:tc>
        <w:tc>
          <w:tcPr>
            <w:tcW w:w="1390" w:type="pct"/>
            <w:tcMar>
              <w:top w:w="28" w:type="dxa"/>
              <w:bottom w:w="28" w:type="dxa"/>
            </w:tcMar>
          </w:tcPr>
          <w:p w14:paraId="240E6633" w14:textId="3F9BC89E" w:rsidR="00EF18DD" w:rsidRPr="00191589" w:rsidRDefault="00EF18DD" w:rsidP="00EF18DD">
            <w:pPr>
              <w:rPr>
                <w:rFonts w:ascii="Arial" w:hAnsi="Arial" w:cs="Arial"/>
                <w:color w:val="000000"/>
              </w:rPr>
            </w:pPr>
            <w:r w:rsidRPr="00191589">
              <w:rPr>
                <w:rFonts w:ascii="Arial" w:hAnsi="Arial" w:cs="Arial"/>
                <w:color w:val="000000"/>
              </w:rPr>
              <w:t xml:space="preserve">To request an Authority Required </w:t>
            </w:r>
            <w:r>
              <w:rPr>
                <w:rFonts w:ascii="Arial" w:hAnsi="Arial" w:cs="Arial"/>
                <w:color w:val="000000"/>
              </w:rPr>
              <w:t xml:space="preserve">(STREAMLINED) </w:t>
            </w:r>
            <w:r w:rsidRPr="00191589">
              <w:rPr>
                <w:rFonts w:ascii="Arial" w:hAnsi="Arial" w:cs="Arial"/>
                <w:color w:val="000000"/>
              </w:rPr>
              <w:t>listing for the treatment of patients with RRMS.</w:t>
            </w:r>
          </w:p>
        </w:tc>
        <w:tc>
          <w:tcPr>
            <w:tcW w:w="1731" w:type="pct"/>
          </w:tcPr>
          <w:p w14:paraId="577365B4" w14:textId="566C3C80" w:rsidR="00EF18DD" w:rsidRPr="00191589" w:rsidRDefault="00EF18DD" w:rsidP="00EF18DD">
            <w:pPr>
              <w:spacing w:after="120"/>
              <w:rPr>
                <w:rFonts w:ascii="Arial" w:hAnsi="Arial" w:cs="Arial"/>
              </w:rPr>
            </w:pPr>
            <w:r w:rsidRPr="00191589">
              <w:rPr>
                <w:rFonts w:ascii="Arial" w:hAnsi="Arial" w:cs="Arial"/>
                <w:color w:val="000000"/>
              </w:rPr>
              <w:t xml:space="preserve">The PBAC deferred recommending the listing of </w:t>
            </w:r>
            <w:proofErr w:type="spellStart"/>
            <w:r w:rsidRPr="00191589">
              <w:rPr>
                <w:rFonts w:ascii="Arial" w:hAnsi="Arial" w:cs="Arial"/>
                <w:color w:val="000000"/>
              </w:rPr>
              <w:t>ozanimod</w:t>
            </w:r>
            <w:proofErr w:type="spellEnd"/>
            <w:r w:rsidRPr="00191589">
              <w:rPr>
                <w:rFonts w:ascii="Arial" w:hAnsi="Arial" w:cs="Arial"/>
                <w:color w:val="000000"/>
              </w:rPr>
              <w:t xml:space="preserve"> pending receipt of the TGA Delegate’s Overview, however </w:t>
            </w:r>
            <w:r>
              <w:rPr>
                <w:rFonts w:ascii="Arial" w:hAnsi="Arial" w:cs="Arial"/>
                <w:color w:val="000000"/>
              </w:rPr>
              <w:t xml:space="preserve">was of a mind to recommend </w:t>
            </w:r>
            <w:r w:rsidRPr="00191589">
              <w:rPr>
                <w:rFonts w:ascii="Arial" w:hAnsi="Arial" w:cs="Arial"/>
                <w:color w:val="000000"/>
              </w:rPr>
              <w:t xml:space="preserve">listing on a cost minimisation basis with </w:t>
            </w:r>
            <w:proofErr w:type="spellStart"/>
            <w:r w:rsidRPr="00191589">
              <w:rPr>
                <w:rFonts w:ascii="Arial" w:hAnsi="Arial" w:cs="Arial"/>
                <w:color w:val="000000"/>
              </w:rPr>
              <w:t>fingolimod</w:t>
            </w:r>
            <w:proofErr w:type="spellEnd"/>
            <w:r w:rsidRPr="00191589">
              <w:rPr>
                <w:rFonts w:ascii="Arial" w:hAnsi="Arial" w:cs="Arial"/>
                <w:color w:val="000000"/>
              </w:rPr>
              <w:t>.</w:t>
            </w:r>
          </w:p>
        </w:tc>
      </w:tr>
      <w:tr w:rsidR="00EF18DD" w:rsidRPr="00191589" w14:paraId="4A5FA952" w14:textId="77777777" w:rsidTr="00EF18DD">
        <w:trPr>
          <w:trHeight w:val="477"/>
        </w:trPr>
        <w:tc>
          <w:tcPr>
            <w:tcW w:w="988" w:type="pct"/>
            <w:vMerge/>
            <w:tcMar>
              <w:top w:w="28" w:type="dxa"/>
              <w:bottom w:w="28" w:type="dxa"/>
            </w:tcMar>
          </w:tcPr>
          <w:p w14:paraId="12414D95" w14:textId="77777777" w:rsidR="00EF18DD" w:rsidRPr="00191589" w:rsidRDefault="00EF18DD" w:rsidP="00EF18DD">
            <w:pPr>
              <w:rPr>
                <w:rFonts w:ascii="Arial" w:hAnsi="Arial" w:cs="Arial"/>
                <w:color w:val="000000"/>
              </w:rPr>
            </w:pPr>
          </w:p>
        </w:tc>
        <w:tc>
          <w:tcPr>
            <w:tcW w:w="891" w:type="pct"/>
            <w:vMerge/>
          </w:tcPr>
          <w:p w14:paraId="6E4A1356" w14:textId="77777777" w:rsidR="00EF18DD" w:rsidRPr="00191589" w:rsidRDefault="00EF18DD" w:rsidP="00EF18DD">
            <w:pPr>
              <w:rPr>
                <w:rFonts w:ascii="Arial" w:hAnsi="Arial" w:cs="Arial"/>
                <w:color w:val="000000"/>
              </w:rPr>
            </w:pPr>
          </w:p>
        </w:tc>
        <w:tc>
          <w:tcPr>
            <w:tcW w:w="1390" w:type="pct"/>
            <w:tcMar>
              <w:top w:w="28" w:type="dxa"/>
              <w:bottom w:w="28" w:type="dxa"/>
            </w:tcMar>
          </w:tcPr>
          <w:p w14:paraId="2AD4ABA7" w14:textId="1159D1F2" w:rsidR="00EF18DD" w:rsidRPr="00191589" w:rsidRDefault="00EF18DD" w:rsidP="00EF18DD">
            <w:pPr>
              <w:rPr>
                <w:rFonts w:ascii="Arial" w:hAnsi="Arial" w:cs="Arial"/>
                <w:color w:val="000000"/>
              </w:rPr>
            </w:pPr>
            <w:r>
              <w:rPr>
                <w:rFonts w:ascii="Arial" w:hAnsi="Arial" w:cs="Arial"/>
                <w:color w:val="000000"/>
              </w:rPr>
              <w:t>Sponsor’s Comment:</w:t>
            </w:r>
          </w:p>
        </w:tc>
        <w:tc>
          <w:tcPr>
            <w:tcW w:w="1731" w:type="pct"/>
          </w:tcPr>
          <w:p w14:paraId="3BC9DE3D" w14:textId="3DD7E36B" w:rsidR="00EF18DD" w:rsidRPr="00191589" w:rsidRDefault="00EF18DD" w:rsidP="00EF18DD">
            <w:pPr>
              <w:spacing w:after="120"/>
              <w:rPr>
                <w:rFonts w:ascii="Arial" w:hAnsi="Arial" w:cs="Arial"/>
              </w:rPr>
            </w:pPr>
            <w:r w:rsidRPr="001A18AB">
              <w:rPr>
                <w:rFonts w:ascii="Arial" w:hAnsi="Arial" w:cs="Arial"/>
                <w:color w:val="000000"/>
              </w:rPr>
              <w:t xml:space="preserve">The Sponsor is pleased that the PBAC was of a mind to recommend </w:t>
            </w:r>
            <w:proofErr w:type="spellStart"/>
            <w:r w:rsidRPr="001A18AB">
              <w:rPr>
                <w:rFonts w:ascii="Arial" w:hAnsi="Arial" w:cs="Arial"/>
                <w:color w:val="000000"/>
              </w:rPr>
              <w:t>ozanimod</w:t>
            </w:r>
            <w:proofErr w:type="spellEnd"/>
            <w:r w:rsidRPr="001A18AB">
              <w:rPr>
                <w:rFonts w:ascii="Arial" w:hAnsi="Arial" w:cs="Arial"/>
                <w:color w:val="000000"/>
              </w:rPr>
              <w:t xml:space="preserve"> as a treatment for RRMS and will work with the Department to progress PBS listing as soon as possible following TGA registration.</w:t>
            </w:r>
          </w:p>
        </w:tc>
      </w:tr>
      <w:tr w:rsidR="00EF18DD" w:rsidRPr="00191589" w14:paraId="5BD59067" w14:textId="77777777" w:rsidTr="00EF18DD">
        <w:trPr>
          <w:trHeight w:val="477"/>
        </w:trPr>
        <w:tc>
          <w:tcPr>
            <w:tcW w:w="988" w:type="pct"/>
            <w:vMerge w:val="restart"/>
            <w:tcMar>
              <w:top w:w="28" w:type="dxa"/>
              <w:bottom w:w="28" w:type="dxa"/>
            </w:tcMar>
          </w:tcPr>
          <w:p w14:paraId="4C76D232" w14:textId="77777777" w:rsidR="00EF18DD" w:rsidRPr="00191589" w:rsidRDefault="00EF18DD" w:rsidP="00EF18DD">
            <w:pPr>
              <w:rPr>
                <w:rFonts w:ascii="Arial" w:hAnsi="Arial" w:cs="Arial"/>
                <w:color w:val="000000"/>
              </w:rPr>
            </w:pPr>
            <w:r w:rsidRPr="00191589">
              <w:rPr>
                <w:rFonts w:ascii="Arial" w:hAnsi="Arial" w:cs="Arial"/>
                <w:color w:val="000000"/>
              </w:rPr>
              <w:t>RIVAROXABAN</w:t>
            </w:r>
            <w:r w:rsidRPr="00191589">
              <w:rPr>
                <w:rFonts w:ascii="Arial" w:hAnsi="Arial" w:cs="Arial"/>
                <w:color w:val="000000"/>
              </w:rPr>
              <w:br/>
            </w:r>
            <w:r w:rsidRPr="00191589">
              <w:rPr>
                <w:rFonts w:ascii="Arial" w:hAnsi="Arial" w:cs="Arial"/>
                <w:color w:val="000000"/>
              </w:rPr>
              <w:br/>
              <w:t>Tablet 2.5 mg</w:t>
            </w:r>
            <w:r w:rsidRPr="00191589">
              <w:rPr>
                <w:rFonts w:ascii="Arial" w:hAnsi="Arial" w:cs="Arial"/>
                <w:color w:val="000000"/>
              </w:rPr>
              <w:br/>
            </w:r>
            <w:r w:rsidRPr="00191589">
              <w:rPr>
                <w:rFonts w:ascii="Arial" w:hAnsi="Arial" w:cs="Arial"/>
                <w:color w:val="000000"/>
              </w:rPr>
              <w:br/>
            </w:r>
            <w:proofErr w:type="spellStart"/>
            <w:r w:rsidRPr="00191589">
              <w:rPr>
                <w:rFonts w:ascii="Arial" w:hAnsi="Arial" w:cs="Arial"/>
                <w:color w:val="000000"/>
              </w:rPr>
              <w:t>Xarelto</w:t>
            </w:r>
            <w:proofErr w:type="spellEnd"/>
            <w:r w:rsidRPr="00191589">
              <w:rPr>
                <w:rFonts w:ascii="Arial" w:hAnsi="Arial" w:cs="Arial"/>
                <w:color w:val="000000"/>
              </w:rPr>
              <w:t>®</w:t>
            </w:r>
            <w:r w:rsidRPr="00191589">
              <w:rPr>
                <w:rFonts w:ascii="Arial" w:hAnsi="Arial" w:cs="Arial"/>
                <w:color w:val="000000"/>
              </w:rPr>
              <w:br/>
            </w:r>
            <w:r w:rsidRPr="00191589">
              <w:rPr>
                <w:rFonts w:ascii="Arial" w:hAnsi="Arial" w:cs="Arial"/>
                <w:color w:val="000000"/>
              </w:rPr>
              <w:br/>
              <w:t>Bayer Australia</w:t>
            </w:r>
            <w:r w:rsidRPr="00191589">
              <w:rPr>
                <w:rFonts w:ascii="Arial" w:hAnsi="Arial" w:cs="Arial"/>
                <w:color w:val="000000"/>
              </w:rPr>
              <w:br/>
            </w:r>
            <w:r w:rsidRPr="00191589">
              <w:rPr>
                <w:rFonts w:ascii="Arial" w:hAnsi="Arial" w:cs="Arial"/>
                <w:color w:val="000000"/>
              </w:rPr>
              <w:br/>
              <w:t>New listing</w:t>
            </w:r>
            <w:r w:rsidRPr="00191589">
              <w:rPr>
                <w:rFonts w:ascii="Arial" w:hAnsi="Arial" w:cs="Arial"/>
                <w:color w:val="000000"/>
              </w:rPr>
              <w:br/>
              <w:t>(Major Submission)</w:t>
            </w:r>
          </w:p>
          <w:p w14:paraId="31524ACE" w14:textId="40E4725F" w:rsidR="00EF18DD" w:rsidRPr="00191589" w:rsidRDefault="00EF18DD" w:rsidP="00EF18DD">
            <w:pPr>
              <w:widowControl w:val="0"/>
              <w:rPr>
                <w:rFonts w:ascii="Arial" w:hAnsi="Arial" w:cs="Arial"/>
                <w:snapToGrid w:val="0"/>
                <w:lang w:eastAsia="en-US"/>
              </w:rPr>
            </w:pPr>
          </w:p>
        </w:tc>
        <w:tc>
          <w:tcPr>
            <w:tcW w:w="891" w:type="pct"/>
            <w:vMerge w:val="restart"/>
          </w:tcPr>
          <w:p w14:paraId="690E6A9E" w14:textId="77777777" w:rsidR="00EF18DD" w:rsidRPr="00191589" w:rsidRDefault="00EF18DD" w:rsidP="00EF18DD">
            <w:pPr>
              <w:rPr>
                <w:rFonts w:ascii="Arial" w:hAnsi="Arial" w:cs="Arial"/>
                <w:color w:val="000000"/>
              </w:rPr>
            </w:pPr>
            <w:r w:rsidRPr="00191589">
              <w:rPr>
                <w:rFonts w:ascii="Arial" w:hAnsi="Arial" w:cs="Arial"/>
                <w:color w:val="000000"/>
              </w:rPr>
              <w:t>Coronary Artery Disease (CAD) and Peripheral Artery Disease (PAD)</w:t>
            </w:r>
          </w:p>
          <w:p w14:paraId="3D0C967B" w14:textId="722642FA" w:rsidR="00EF18DD" w:rsidRPr="00191589" w:rsidRDefault="00EF18DD" w:rsidP="00EF18DD">
            <w:pPr>
              <w:rPr>
                <w:rFonts w:ascii="Arial" w:hAnsi="Arial" w:cs="Arial"/>
                <w:snapToGrid w:val="0"/>
                <w:lang w:eastAsia="en-US"/>
              </w:rPr>
            </w:pPr>
          </w:p>
        </w:tc>
        <w:tc>
          <w:tcPr>
            <w:tcW w:w="1390" w:type="pct"/>
            <w:tcMar>
              <w:top w:w="28" w:type="dxa"/>
              <w:bottom w:w="28" w:type="dxa"/>
            </w:tcMar>
          </w:tcPr>
          <w:p w14:paraId="26F5B7C3" w14:textId="324A1B33" w:rsidR="00EF18DD" w:rsidRPr="00191589" w:rsidRDefault="00EF18DD" w:rsidP="00EF18DD">
            <w:pPr>
              <w:rPr>
                <w:rFonts w:ascii="Arial" w:hAnsi="Arial" w:cs="Arial"/>
                <w:color w:val="000000"/>
              </w:rPr>
            </w:pPr>
            <w:r w:rsidRPr="00191589">
              <w:rPr>
                <w:rFonts w:ascii="Arial" w:hAnsi="Arial" w:cs="Arial"/>
                <w:color w:val="000000"/>
              </w:rPr>
              <w:t>Resubmission to request an Authority Required (STREAMLINED) listing for the treatment of patients at high risk of recurrent cardiovascular events with CAD or PAD who meet certain conditions.</w:t>
            </w:r>
          </w:p>
        </w:tc>
        <w:tc>
          <w:tcPr>
            <w:tcW w:w="1731" w:type="pct"/>
          </w:tcPr>
          <w:p w14:paraId="7ACB1445" w14:textId="54C44B2A" w:rsidR="00EF18DD" w:rsidRPr="00191589" w:rsidRDefault="00EF18DD" w:rsidP="00EF18DD">
            <w:pPr>
              <w:spacing w:after="120"/>
              <w:rPr>
                <w:rFonts w:ascii="Arial" w:hAnsi="Arial" w:cs="Arial"/>
              </w:rPr>
            </w:pPr>
            <w:r w:rsidRPr="00191589">
              <w:rPr>
                <w:rFonts w:ascii="Arial" w:hAnsi="Arial" w:cs="Arial"/>
              </w:rPr>
              <w:t xml:space="preserve">The PBAC deferred making a recommendation for </w:t>
            </w:r>
            <w:proofErr w:type="spellStart"/>
            <w:r w:rsidRPr="00191589">
              <w:rPr>
                <w:rFonts w:ascii="Arial" w:hAnsi="Arial" w:cs="Arial"/>
              </w:rPr>
              <w:t>rivaroxaban</w:t>
            </w:r>
            <w:proofErr w:type="spellEnd"/>
            <w:r w:rsidRPr="00191589">
              <w:rPr>
                <w:rFonts w:ascii="Arial" w:hAnsi="Arial" w:cs="Arial"/>
              </w:rPr>
              <w:t xml:space="preserve"> for the prevention of recurrent cardiovascular events in patients with atherosclerotic cardiovascular disease and additional high-risk factors. The PBAC considered there were important clinical benefits associated with </w:t>
            </w:r>
            <w:proofErr w:type="spellStart"/>
            <w:r w:rsidRPr="00191589">
              <w:rPr>
                <w:rFonts w:ascii="Arial" w:hAnsi="Arial" w:cs="Arial"/>
              </w:rPr>
              <w:t>rivaroxaban</w:t>
            </w:r>
            <w:proofErr w:type="spellEnd"/>
            <w:r w:rsidRPr="00191589">
              <w:rPr>
                <w:rFonts w:ascii="Arial" w:hAnsi="Arial" w:cs="Arial"/>
              </w:rPr>
              <w:t xml:space="preserve"> and that the resubmission had appropriately targeted use to a group of patients who are likely to achieve the most favourable risk-benefit profile. The PBAC considered that the claim of superior comparative effectiveness of </w:t>
            </w:r>
            <w:proofErr w:type="spellStart"/>
            <w:r w:rsidRPr="00191589">
              <w:rPr>
                <w:rFonts w:ascii="Arial" w:hAnsi="Arial" w:cs="Arial"/>
              </w:rPr>
              <w:t>rivaroxaban</w:t>
            </w:r>
            <w:proofErr w:type="spellEnd"/>
            <w:r w:rsidRPr="00191589">
              <w:rPr>
                <w:rFonts w:ascii="Arial" w:hAnsi="Arial" w:cs="Arial"/>
              </w:rPr>
              <w:t xml:space="preserve"> in combination with aspirin versus aspirin alone was reasonable.</w:t>
            </w:r>
            <w:r>
              <w:rPr>
                <w:rFonts w:ascii="Arial" w:hAnsi="Arial" w:cs="Arial"/>
              </w:rPr>
              <w:t xml:space="preserve"> However, the incremental cost-effectiveness ratio</w:t>
            </w:r>
            <w:r w:rsidRPr="003343B2">
              <w:rPr>
                <w:rFonts w:ascii="Arial" w:hAnsi="Arial" w:cs="Arial"/>
              </w:rPr>
              <w:t xml:space="preserve"> </w:t>
            </w:r>
            <w:r>
              <w:rPr>
                <w:rFonts w:ascii="Arial" w:hAnsi="Arial" w:cs="Arial"/>
              </w:rPr>
              <w:t>was</w:t>
            </w:r>
            <w:r w:rsidRPr="003343B2">
              <w:rPr>
                <w:rFonts w:ascii="Arial" w:hAnsi="Arial" w:cs="Arial"/>
              </w:rPr>
              <w:t xml:space="preserve"> unacceptably high and </w:t>
            </w:r>
            <w:r>
              <w:rPr>
                <w:rFonts w:ascii="Arial" w:hAnsi="Arial" w:cs="Arial"/>
              </w:rPr>
              <w:t>revision of the</w:t>
            </w:r>
            <w:r w:rsidRPr="003343B2">
              <w:rPr>
                <w:rFonts w:ascii="Arial" w:hAnsi="Arial" w:cs="Arial"/>
              </w:rPr>
              <w:t xml:space="preserve"> financial estimates</w:t>
            </w:r>
            <w:r>
              <w:rPr>
                <w:rFonts w:ascii="Arial" w:hAnsi="Arial" w:cs="Arial"/>
              </w:rPr>
              <w:t xml:space="preserve"> was required</w:t>
            </w:r>
            <w:r w:rsidRPr="003343B2">
              <w:rPr>
                <w:rFonts w:ascii="Arial" w:hAnsi="Arial" w:cs="Arial"/>
              </w:rPr>
              <w:t>.</w:t>
            </w:r>
          </w:p>
        </w:tc>
      </w:tr>
      <w:tr w:rsidR="00EF18DD" w:rsidRPr="00191589" w14:paraId="595F2930" w14:textId="77777777" w:rsidTr="00EF18DD">
        <w:trPr>
          <w:trHeight w:val="612"/>
        </w:trPr>
        <w:tc>
          <w:tcPr>
            <w:tcW w:w="988" w:type="pct"/>
            <w:vMerge/>
            <w:tcMar>
              <w:top w:w="28" w:type="dxa"/>
              <w:bottom w:w="28" w:type="dxa"/>
            </w:tcMar>
          </w:tcPr>
          <w:p w14:paraId="2B11AAA4" w14:textId="77777777" w:rsidR="00EF18DD" w:rsidRPr="00191589" w:rsidRDefault="00EF18DD" w:rsidP="00EF18DD">
            <w:pPr>
              <w:widowControl w:val="0"/>
              <w:rPr>
                <w:rFonts w:ascii="Arial" w:hAnsi="Arial" w:cs="Arial"/>
                <w:snapToGrid w:val="0"/>
                <w:lang w:eastAsia="en-US"/>
              </w:rPr>
            </w:pPr>
          </w:p>
        </w:tc>
        <w:tc>
          <w:tcPr>
            <w:tcW w:w="891" w:type="pct"/>
            <w:vMerge/>
          </w:tcPr>
          <w:p w14:paraId="5FCC2CA5" w14:textId="77777777" w:rsidR="00EF18DD" w:rsidRPr="00191589" w:rsidRDefault="00EF18DD" w:rsidP="00EF18DD">
            <w:pPr>
              <w:widowControl w:val="0"/>
              <w:rPr>
                <w:rFonts w:ascii="Arial" w:hAnsi="Arial" w:cs="Arial"/>
                <w:snapToGrid w:val="0"/>
                <w:lang w:eastAsia="en-US"/>
              </w:rPr>
            </w:pPr>
          </w:p>
        </w:tc>
        <w:tc>
          <w:tcPr>
            <w:tcW w:w="1390" w:type="pct"/>
            <w:tcMar>
              <w:top w:w="28" w:type="dxa"/>
              <w:bottom w:w="28" w:type="dxa"/>
            </w:tcMar>
          </w:tcPr>
          <w:p w14:paraId="36D99254" w14:textId="77777777" w:rsidR="00EF18DD" w:rsidRPr="00191589" w:rsidRDefault="00EF18DD" w:rsidP="00EF18DD">
            <w:pPr>
              <w:widowControl w:val="0"/>
              <w:jc w:val="right"/>
              <w:rPr>
                <w:rFonts w:ascii="Arial" w:hAnsi="Arial" w:cs="Arial"/>
                <w:snapToGrid w:val="0"/>
                <w:lang w:eastAsia="en-US"/>
              </w:rPr>
            </w:pPr>
            <w:r w:rsidRPr="00191589">
              <w:rPr>
                <w:rFonts w:ascii="Arial" w:hAnsi="Arial" w:cs="Arial"/>
                <w:snapToGrid w:val="0"/>
                <w:lang w:eastAsia="en-US"/>
              </w:rPr>
              <w:t>Sponsor’s Comment:</w:t>
            </w:r>
          </w:p>
        </w:tc>
        <w:tc>
          <w:tcPr>
            <w:tcW w:w="1731" w:type="pct"/>
            <w:shd w:val="clear" w:color="auto" w:fill="auto"/>
          </w:tcPr>
          <w:p w14:paraId="53CF78EE" w14:textId="3615BE29" w:rsidR="00EF18DD" w:rsidRPr="00BC6B9E" w:rsidRDefault="00EF18DD" w:rsidP="00EF18DD">
            <w:pPr>
              <w:rPr>
                <w:rFonts w:ascii="Arial" w:hAnsi="Arial" w:cs="Arial"/>
                <w:lang w:val="en-US"/>
              </w:rPr>
            </w:pPr>
            <w:r w:rsidRPr="00BC6B9E">
              <w:rPr>
                <w:rFonts w:ascii="Arial" w:hAnsi="Arial" w:cs="Arial"/>
                <w:lang w:val="en-US"/>
              </w:rPr>
              <w:t>Bayer will continue to work with the PBAC and the Department of Health on th</w:t>
            </w:r>
            <w:r>
              <w:rPr>
                <w:rFonts w:ascii="Arial" w:hAnsi="Arial" w:cs="Arial"/>
                <w:lang w:val="en-US"/>
              </w:rPr>
              <w:t xml:space="preserve">e listing of </w:t>
            </w:r>
            <w:proofErr w:type="spellStart"/>
            <w:r>
              <w:rPr>
                <w:rFonts w:ascii="Arial" w:hAnsi="Arial" w:cs="Arial"/>
                <w:lang w:val="en-US"/>
              </w:rPr>
              <w:t>rivaroxaban</w:t>
            </w:r>
            <w:proofErr w:type="spellEnd"/>
            <w:r>
              <w:rPr>
                <w:rFonts w:ascii="Arial" w:hAnsi="Arial" w:cs="Arial"/>
                <w:lang w:val="en-US"/>
              </w:rPr>
              <w:t xml:space="preserve"> 2.5mg.</w:t>
            </w:r>
          </w:p>
        </w:tc>
      </w:tr>
      <w:tr w:rsidR="002505B4" w:rsidRPr="00191589" w14:paraId="1C0E74D3" w14:textId="77777777" w:rsidTr="002D42AA">
        <w:trPr>
          <w:trHeight w:val="1583"/>
        </w:trPr>
        <w:tc>
          <w:tcPr>
            <w:tcW w:w="988" w:type="pct"/>
            <w:vMerge w:val="restart"/>
            <w:tcMar>
              <w:top w:w="28" w:type="dxa"/>
              <w:bottom w:w="28" w:type="dxa"/>
            </w:tcMar>
          </w:tcPr>
          <w:p w14:paraId="7EEA0F31" w14:textId="2E879617" w:rsidR="002505B4" w:rsidRPr="00191589" w:rsidRDefault="002505B4" w:rsidP="00EF18DD">
            <w:pPr>
              <w:rPr>
                <w:rFonts w:ascii="Arial" w:hAnsi="Arial" w:cs="Arial"/>
                <w:color w:val="000000"/>
              </w:rPr>
            </w:pPr>
            <w:bookmarkStart w:id="0" w:name="_GoBack"/>
            <w:bookmarkEnd w:id="0"/>
            <w:r w:rsidRPr="00191589">
              <w:rPr>
                <w:rFonts w:ascii="Arial" w:hAnsi="Arial" w:cs="Arial"/>
                <w:color w:val="000000"/>
              </w:rPr>
              <w:lastRenderedPageBreak/>
              <w:t>TOFACITINIB</w:t>
            </w:r>
            <w:r w:rsidRPr="00191589">
              <w:rPr>
                <w:rFonts w:ascii="Arial" w:hAnsi="Arial" w:cs="Arial"/>
                <w:color w:val="000000"/>
              </w:rPr>
              <w:br/>
            </w:r>
            <w:r w:rsidRPr="00191589">
              <w:rPr>
                <w:rFonts w:ascii="Arial" w:hAnsi="Arial" w:cs="Arial"/>
                <w:color w:val="000000"/>
              </w:rPr>
              <w:br/>
              <w:t>Tablet 5 mg</w:t>
            </w:r>
            <w:r w:rsidRPr="00191589">
              <w:rPr>
                <w:rFonts w:ascii="Arial" w:hAnsi="Arial" w:cs="Arial"/>
                <w:color w:val="000000"/>
              </w:rPr>
              <w:br/>
            </w:r>
            <w:r w:rsidRPr="00191589">
              <w:rPr>
                <w:rFonts w:ascii="Arial" w:hAnsi="Arial" w:cs="Arial"/>
                <w:color w:val="000000"/>
              </w:rPr>
              <w:br/>
            </w:r>
            <w:proofErr w:type="spellStart"/>
            <w:r w:rsidRPr="00191589">
              <w:rPr>
                <w:rFonts w:ascii="Arial" w:hAnsi="Arial" w:cs="Arial"/>
                <w:color w:val="000000"/>
              </w:rPr>
              <w:t>Xeljanz</w:t>
            </w:r>
            <w:proofErr w:type="spellEnd"/>
            <w:r w:rsidRPr="00191589">
              <w:rPr>
                <w:rFonts w:ascii="Arial" w:hAnsi="Arial" w:cs="Arial"/>
                <w:color w:val="000000"/>
              </w:rPr>
              <w:t>®</w:t>
            </w:r>
            <w:r w:rsidRPr="00191589">
              <w:rPr>
                <w:rFonts w:ascii="Arial" w:hAnsi="Arial" w:cs="Arial"/>
                <w:color w:val="000000"/>
              </w:rPr>
              <w:br/>
            </w:r>
            <w:r w:rsidRPr="00191589">
              <w:rPr>
                <w:rFonts w:ascii="Arial" w:hAnsi="Arial" w:cs="Arial"/>
                <w:color w:val="000000"/>
              </w:rPr>
              <w:br/>
              <w:t>Pfizer Australia Pty Ltd</w:t>
            </w:r>
            <w:r w:rsidRPr="00191589">
              <w:rPr>
                <w:rFonts w:ascii="Arial" w:hAnsi="Arial" w:cs="Arial"/>
                <w:color w:val="000000"/>
              </w:rPr>
              <w:br/>
            </w:r>
            <w:r w:rsidRPr="00191589">
              <w:rPr>
                <w:rFonts w:ascii="Arial" w:hAnsi="Arial" w:cs="Arial"/>
                <w:color w:val="000000"/>
              </w:rPr>
              <w:br/>
              <w:t>Change to recommended listing</w:t>
            </w:r>
            <w:r w:rsidRPr="00191589">
              <w:rPr>
                <w:rFonts w:ascii="Arial" w:hAnsi="Arial" w:cs="Arial"/>
                <w:color w:val="000000"/>
              </w:rPr>
              <w:br/>
              <w:t>(Minor Submission)</w:t>
            </w:r>
          </w:p>
          <w:p w14:paraId="363FBDE3" w14:textId="6AC373A6" w:rsidR="002505B4" w:rsidRPr="00191589" w:rsidRDefault="002505B4" w:rsidP="00EF18DD">
            <w:pPr>
              <w:widowControl w:val="0"/>
              <w:rPr>
                <w:rFonts w:ascii="Arial" w:hAnsi="Arial" w:cs="Arial"/>
                <w:snapToGrid w:val="0"/>
                <w:lang w:eastAsia="en-US"/>
              </w:rPr>
            </w:pPr>
          </w:p>
        </w:tc>
        <w:tc>
          <w:tcPr>
            <w:tcW w:w="891" w:type="pct"/>
            <w:vMerge w:val="restart"/>
          </w:tcPr>
          <w:p w14:paraId="2A8CD691" w14:textId="77777777" w:rsidR="002505B4" w:rsidRPr="00191589" w:rsidRDefault="002505B4" w:rsidP="00EF18DD">
            <w:pPr>
              <w:rPr>
                <w:rFonts w:ascii="Arial" w:hAnsi="Arial" w:cs="Arial"/>
                <w:color w:val="000000"/>
              </w:rPr>
            </w:pPr>
            <w:r w:rsidRPr="00191589">
              <w:rPr>
                <w:rFonts w:ascii="Arial" w:hAnsi="Arial" w:cs="Arial"/>
                <w:color w:val="000000"/>
              </w:rPr>
              <w:t>Chronic plaque psoriasis</w:t>
            </w:r>
            <w:r w:rsidRPr="00191589">
              <w:rPr>
                <w:rFonts w:ascii="Arial" w:hAnsi="Arial" w:cs="Arial"/>
                <w:color w:val="000000"/>
              </w:rPr>
              <w:br/>
              <w:t>Psoriatic arthritis</w:t>
            </w:r>
            <w:r w:rsidRPr="00191589">
              <w:rPr>
                <w:rFonts w:ascii="Arial" w:hAnsi="Arial" w:cs="Arial"/>
                <w:color w:val="000000"/>
              </w:rPr>
              <w:br/>
              <w:t>Rheumatoid arthritis</w:t>
            </w:r>
            <w:r w:rsidRPr="00191589">
              <w:rPr>
                <w:rFonts w:ascii="Arial" w:hAnsi="Arial" w:cs="Arial"/>
                <w:color w:val="000000"/>
              </w:rPr>
              <w:br/>
              <w:t xml:space="preserve">Ulcerative colitis </w:t>
            </w:r>
          </w:p>
          <w:p w14:paraId="46648069" w14:textId="55D86C66" w:rsidR="002505B4" w:rsidRPr="00191589" w:rsidRDefault="002505B4" w:rsidP="00EF18DD">
            <w:pPr>
              <w:rPr>
                <w:rFonts w:ascii="Arial" w:hAnsi="Arial" w:cs="Arial"/>
                <w:snapToGrid w:val="0"/>
                <w:lang w:eastAsia="en-US"/>
              </w:rPr>
            </w:pPr>
          </w:p>
        </w:tc>
        <w:tc>
          <w:tcPr>
            <w:tcW w:w="1390" w:type="pct"/>
            <w:tcMar>
              <w:top w:w="28" w:type="dxa"/>
              <w:bottom w:w="28" w:type="dxa"/>
            </w:tcMar>
          </w:tcPr>
          <w:p w14:paraId="189F18E9" w14:textId="575D6583" w:rsidR="002505B4" w:rsidRPr="00191589" w:rsidRDefault="002505B4" w:rsidP="00EF18DD">
            <w:pPr>
              <w:rPr>
                <w:rFonts w:ascii="Arial" w:hAnsi="Arial" w:cs="Arial"/>
                <w:color w:val="000000"/>
              </w:rPr>
            </w:pPr>
            <w:r w:rsidRPr="00191589">
              <w:rPr>
                <w:rFonts w:ascii="Arial" w:hAnsi="Arial" w:cs="Arial"/>
                <w:color w:val="000000"/>
              </w:rPr>
              <w:t xml:space="preserve">To request that the PBAC review its advice on the interchangeability of tofacitinib on an individual patient basis with other biological disease modifying </w:t>
            </w:r>
            <w:proofErr w:type="spellStart"/>
            <w:r w:rsidRPr="00191589">
              <w:rPr>
                <w:rFonts w:ascii="Arial" w:hAnsi="Arial" w:cs="Arial"/>
                <w:color w:val="000000"/>
              </w:rPr>
              <w:t>antirheumatic</w:t>
            </w:r>
            <w:proofErr w:type="spellEnd"/>
            <w:r w:rsidRPr="00191589">
              <w:rPr>
                <w:rFonts w:ascii="Arial" w:hAnsi="Arial" w:cs="Arial"/>
                <w:color w:val="000000"/>
              </w:rPr>
              <w:t xml:space="preserve"> drugs under Section 101(3BA) of the </w:t>
            </w:r>
            <w:r w:rsidRPr="002C6B5C">
              <w:rPr>
                <w:rFonts w:ascii="Arial" w:hAnsi="Arial" w:cs="Arial"/>
                <w:i/>
                <w:color w:val="000000"/>
              </w:rPr>
              <w:t>National Health</w:t>
            </w:r>
            <w:r>
              <w:rPr>
                <w:rFonts w:ascii="Arial" w:hAnsi="Arial" w:cs="Arial"/>
                <w:i/>
                <w:color w:val="000000"/>
              </w:rPr>
              <w:t xml:space="preserve"> </w:t>
            </w:r>
            <w:r w:rsidRPr="002C6B5C">
              <w:rPr>
                <w:rFonts w:ascii="Arial" w:hAnsi="Arial" w:cs="Arial"/>
                <w:i/>
                <w:color w:val="000000"/>
              </w:rPr>
              <w:t>Act 1953.</w:t>
            </w:r>
          </w:p>
        </w:tc>
        <w:tc>
          <w:tcPr>
            <w:tcW w:w="1731" w:type="pct"/>
          </w:tcPr>
          <w:p w14:paraId="09C9C16F" w14:textId="3CC4583A" w:rsidR="002505B4" w:rsidRPr="00191589" w:rsidRDefault="002505B4" w:rsidP="00EF18DD">
            <w:pPr>
              <w:pStyle w:val="ListParagraph"/>
              <w:spacing w:after="120"/>
              <w:ind w:left="0"/>
              <w:contextualSpacing w:val="0"/>
              <w:rPr>
                <w:rFonts w:ascii="Arial" w:hAnsi="Arial" w:cs="Arial"/>
                <w:sz w:val="20"/>
                <w:szCs w:val="20"/>
              </w:rPr>
            </w:pPr>
            <w:r w:rsidRPr="00191589">
              <w:rPr>
                <w:rFonts w:ascii="Arial" w:hAnsi="Arial" w:cs="Arial"/>
                <w:sz w:val="20"/>
                <w:szCs w:val="20"/>
              </w:rPr>
              <w:t xml:space="preserve">The PBAC deferred the matter of the interchangeability of tofacitinib under Section 101(3BA) of the </w:t>
            </w:r>
            <w:r w:rsidRPr="002C6B5C">
              <w:rPr>
                <w:rFonts w:ascii="Arial" w:hAnsi="Arial" w:cs="Arial"/>
                <w:i/>
                <w:sz w:val="20"/>
                <w:szCs w:val="20"/>
              </w:rPr>
              <w:t>National Health Act 1953</w:t>
            </w:r>
            <w:r w:rsidRPr="00191589">
              <w:rPr>
                <w:rFonts w:ascii="Arial" w:hAnsi="Arial" w:cs="Arial"/>
                <w:sz w:val="20"/>
                <w:szCs w:val="20"/>
              </w:rPr>
              <w:t xml:space="preserve"> to a future meeting to allow further deliberation of the request.</w:t>
            </w:r>
          </w:p>
        </w:tc>
      </w:tr>
      <w:tr w:rsidR="00EF18DD" w:rsidRPr="00191589" w14:paraId="2A29D744" w14:textId="77777777" w:rsidTr="0064343C">
        <w:trPr>
          <w:trHeight w:val="477"/>
        </w:trPr>
        <w:tc>
          <w:tcPr>
            <w:tcW w:w="988" w:type="pct"/>
            <w:vMerge/>
            <w:tcMar>
              <w:top w:w="28" w:type="dxa"/>
              <w:bottom w:w="28" w:type="dxa"/>
            </w:tcMar>
          </w:tcPr>
          <w:p w14:paraId="71A490A6" w14:textId="77777777" w:rsidR="00EF18DD" w:rsidRPr="00191589" w:rsidRDefault="00EF18DD" w:rsidP="00EF18DD">
            <w:pPr>
              <w:widowControl w:val="0"/>
              <w:rPr>
                <w:rFonts w:ascii="Arial" w:hAnsi="Arial" w:cs="Arial"/>
                <w:snapToGrid w:val="0"/>
                <w:lang w:eastAsia="en-US"/>
              </w:rPr>
            </w:pPr>
          </w:p>
        </w:tc>
        <w:tc>
          <w:tcPr>
            <w:tcW w:w="891" w:type="pct"/>
            <w:vMerge/>
          </w:tcPr>
          <w:p w14:paraId="514E33E1" w14:textId="77777777" w:rsidR="00EF18DD" w:rsidRPr="00191589" w:rsidRDefault="00EF18DD" w:rsidP="00EF18DD">
            <w:pPr>
              <w:widowControl w:val="0"/>
              <w:rPr>
                <w:rFonts w:ascii="Arial" w:hAnsi="Arial" w:cs="Arial"/>
                <w:snapToGrid w:val="0"/>
                <w:lang w:eastAsia="en-US"/>
              </w:rPr>
            </w:pPr>
          </w:p>
        </w:tc>
        <w:tc>
          <w:tcPr>
            <w:tcW w:w="1390" w:type="pct"/>
            <w:tcMar>
              <w:top w:w="28" w:type="dxa"/>
              <w:bottom w:w="28" w:type="dxa"/>
            </w:tcMar>
          </w:tcPr>
          <w:p w14:paraId="40291714" w14:textId="77777777" w:rsidR="00EF18DD" w:rsidRPr="00191589" w:rsidRDefault="00EF18DD" w:rsidP="00EF18DD">
            <w:pPr>
              <w:widowControl w:val="0"/>
              <w:jc w:val="right"/>
              <w:rPr>
                <w:rFonts w:ascii="Arial" w:hAnsi="Arial" w:cs="Arial"/>
                <w:snapToGrid w:val="0"/>
                <w:lang w:eastAsia="en-US"/>
              </w:rPr>
            </w:pPr>
            <w:r w:rsidRPr="00191589">
              <w:rPr>
                <w:rFonts w:ascii="Arial" w:hAnsi="Arial" w:cs="Arial"/>
                <w:snapToGrid w:val="0"/>
                <w:lang w:eastAsia="en-US"/>
              </w:rPr>
              <w:t>Sponsor’s Comment:</w:t>
            </w:r>
          </w:p>
        </w:tc>
        <w:tc>
          <w:tcPr>
            <w:tcW w:w="1731" w:type="pct"/>
          </w:tcPr>
          <w:p w14:paraId="03673A07" w14:textId="770DA094" w:rsidR="00EF18DD" w:rsidRPr="00217DCC" w:rsidRDefault="00EF18DD" w:rsidP="00EF18DD">
            <w:pPr>
              <w:pStyle w:val="NormalWeb"/>
              <w:rPr>
                <w:rFonts w:ascii="Arial" w:hAnsi="Arial" w:cs="Arial"/>
                <w:sz w:val="20"/>
                <w:szCs w:val="20"/>
              </w:rPr>
            </w:pPr>
            <w:r w:rsidRPr="00217DCC">
              <w:rPr>
                <w:rFonts w:ascii="Arial" w:hAnsi="Arial" w:cs="Arial"/>
                <w:iCs/>
                <w:sz w:val="20"/>
                <w:szCs w:val="20"/>
              </w:rPr>
              <w:t>Pfizer recognises that this important issue of interchangeability of drugs on an individual patient basis (as opposed to a population basis) necessitates a thorough consideration by the PBAC and looks forward to receiving a timely recommendation in due course.</w:t>
            </w:r>
          </w:p>
        </w:tc>
      </w:tr>
    </w:tbl>
    <w:p w14:paraId="4C6D0016" w14:textId="77777777" w:rsidR="00C26FE5" w:rsidRPr="00191589" w:rsidRDefault="00C26FE5" w:rsidP="0065234B">
      <w:pPr>
        <w:tabs>
          <w:tab w:val="left" w:pos="5210"/>
        </w:tabs>
        <w:rPr>
          <w:rFonts w:ascii="Arial" w:hAnsi="Arial" w:cs="Arial"/>
          <w:lang w:val="en-US"/>
        </w:rPr>
      </w:pPr>
    </w:p>
    <w:sectPr w:rsidR="00C26FE5" w:rsidRPr="00191589" w:rsidSect="00281EE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B9CB" w14:textId="77777777" w:rsidR="00EC7CAC" w:rsidRDefault="00EC7CAC">
      <w:r>
        <w:separator/>
      </w:r>
    </w:p>
  </w:endnote>
  <w:endnote w:type="continuationSeparator" w:id="0">
    <w:p w14:paraId="50CAB0BB" w14:textId="77777777" w:rsidR="00EC7CAC" w:rsidRDefault="00E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6973"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3C6493"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BB92" w14:textId="2EC06F18"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2505B4">
      <w:rPr>
        <w:rStyle w:val="PageNumber"/>
        <w:rFonts w:ascii="Arial" w:hAnsi="Arial" w:cs="Arial"/>
        <w:noProof/>
      </w:rPr>
      <w:t>2</w:t>
    </w:r>
    <w:r w:rsidRPr="00287C89">
      <w:rPr>
        <w:rStyle w:val="PageNumber"/>
        <w:rFonts w:ascii="Arial" w:hAnsi="Arial" w:cs="Arial"/>
      </w:rPr>
      <w:fldChar w:fldCharType="end"/>
    </w:r>
  </w:p>
  <w:p w14:paraId="4895AC47" w14:textId="77777777" w:rsidR="005E1F3B" w:rsidRDefault="005E1F3B"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EF573" w14:textId="77777777" w:rsidR="002E2D3E" w:rsidRDefault="002E2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9C1ED" w14:textId="77777777" w:rsidR="00EC7CAC" w:rsidRDefault="00EC7CAC">
      <w:r>
        <w:separator/>
      </w:r>
    </w:p>
  </w:footnote>
  <w:footnote w:type="continuationSeparator" w:id="0">
    <w:p w14:paraId="34207613" w14:textId="77777777" w:rsidR="00EC7CAC" w:rsidRDefault="00EC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059B" w14:textId="77777777" w:rsidR="002E2D3E" w:rsidRDefault="002E2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9A902" w14:textId="398B4225" w:rsidR="002E2D3E" w:rsidRPr="003C298A" w:rsidRDefault="002E2D3E" w:rsidP="002E2D3E">
    <w:pPr>
      <w:jc w:val="center"/>
      <w:rPr>
        <w:rFonts w:ascii="Arial" w:hAnsi="Arial" w:cs="Arial"/>
        <w:b/>
      </w:rPr>
    </w:pPr>
    <w:r>
      <w:rPr>
        <w:rFonts w:ascii="Arial" w:hAnsi="Arial" w:cs="Arial"/>
        <w:b/>
      </w:rPr>
      <w:t>MARCH 2020</w:t>
    </w:r>
    <w:r w:rsidRPr="003C298A">
      <w:rPr>
        <w:rFonts w:ascii="Arial" w:hAnsi="Arial" w:cs="Arial"/>
        <w:b/>
      </w:rPr>
      <w:t xml:space="preserve"> PBAC OUTCOMES - DEFERRALS</w:t>
    </w:r>
  </w:p>
  <w:p w14:paraId="6D23513F" w14:textId="7B136369" w:rsidR="00BB0500" w:rsidRPr="002E2D3E" w:rsidRDefault="00BB0500" w:rsidP="002E2D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D04C" w14:textId="77777777" w:rsidR="002E2D3E" w:rsidRDefault="002E2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AF13F0"/>
    <w:multiLevelType w:val="hybridMultilevel"/>
    <w:tmpl w:val="04EAFF28"/>
    <w:lvl w:ilvl="0" w:tplc="34EA4568">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2"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10"/>
  </w:num>
  <w:num w:numId="5">
    <w:abstractNumId w:val="6"/>
  </w:num>
  <w:num w:numId="6">
    <w:abstractNumId w:val="2"/>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2"/>
  </w:num>
  <w:num w:numId="12">
    <w:abstractNumId w:val="14"/>
  </w:num>
  <w:num w:numId="13">
    <w:abstractNumId w:val="3"/>
  </w:num>
  <w:num w:numId="14">
    <w:abstractNumId w:val="13"/>
  </w:num>
  <w:num w:numId="15">
    <w:abstractNumId w:val="15"/>
  </w:num>
  <w:num w:numId="16">
    <w:abstractNumId w:val="11"/>
  </w:num>
  <w:num w:numId="17">
    <w:abstractNumId w:val="22"/>
  </w:num>
  <w:num w:numId="18">
    <w:abstractNumId w:val="23"/>
  </w:num>
  <w:num w:numId="19">
    <w:abstractNumId w:val="1"/>
  </w:num>
  <w:num w:numId="20">
    <w:abstractNumId w:val="7"/>
  </w:num>
  <w:num w:numId="21">
    <w:abstractNumId w:val="9"/>
  </w:num>
  <w:num w:numId="22">
    <w:abstractNumId w:val="21"/>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454"/>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E7C"/>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AC9"/>
    <w:rsid w:val="00090385"/>
    <w:rsid w:val="00090D21"/>
    <w:rsid w:val="00090F42"/>
    <w:rsid w:val="00091262"/>
    <w:rsid w:val="00092523"/>
    <w:rsid w:val="00093960"/>
    <w:rsid w:val="0009470A"/>
    <w:rsid w:val="00095C30"/>
    <w:rsid w:val="00096B9F"/>
    <w:rsid w:val="00096E39"/>
    <w:rsid w:val="000972AC"/>
    <w:rsid w:val="00097C0E"/>
    <w:rsid w:val="00097ED4"/>
    <w:rsid w:val="000A08BD"/>
    <w:rsid w:val="000A108A"/>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5C6"/>
    <w:rsid w:val="000B5B24"/>
    <w:rsid w:val="000B6487"/>
    <w:rsid w:val="000B7A91"/>
    <w:rsid w:val="000B7F45"/>
    <w:rsid w:val="000C040A"/>
    <w:rsid w:val="000C0497"/>
    <w:rsid w:val="000C0C68"/>
    <w:rsid w:val="000C0E21"/>
    <w:rsid w:val="000C0F98"/>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5FC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4E02"/>
    <w:rsid w:val="00145D66"/>
    <w:rsid w:val="00146F0E"/>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5F2E"/>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589"/>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279F"/>
    <w:rsid w:val="001A307D"/>
    <w:rsid w:val="001A32DB"/>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107"/>
    <w:rsid w:val="001B54F0"/>
    <w:rsid w:val="001B5950"/>
    <w:rsid w:val="001B6AAD"/>
    <w:rsid w:val="001B71B5"/>
    <w:rsid w:val="001B78E2"/>
    <w:rsid w:val="001B7BF2"/>
    <w:rsid w:val="001B7EED"/>
    <w:rsid w:val="001C0289"/>
    <w:rsid w:val="001C09CA"/>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4BBC"/>
    <w:rsid w:val="001E5979"/>
    <w:rsid w:val="001E5C38"/>
    <w:rsid w:val="001E6C44"/>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2757"/>
    <w:rsid w:val="0020322B"/>
    <w:rsid w:val="002032C8"/>
    <w:rsid w:val="00203A75"/>
    <w:rsid w:val="0020409B"/>
    <w:rsid w:val="002060A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17DCC"/>
    <w:rsid w:val="0022016A"/>
    <w:rsid w:val="00221057"/>
    <w:rsid w:val="002212CB"/>
    <w:rsid w:val="00221B4C"/>
    <w:rsid w:val="0022222B"/>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251"/>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5B4"/>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1EE0"/>
    <w:rsid w:val="00282CDE"/>
    <w:rsid w:val="00283073"/>
    <w:rsid w:val="0028348A"/>
    <w:rsid w:val="0028448C"/>
    <w:rsid w:val="00285478"/>
    <w:rsid w:val="0028663C"/>
    <w:rsid w:val="00287C89"/>
    <w:rsid w:val="002905B5"/>
    <w:rsid w:val="00293203"/>
    <w:rsid w:val="0029329A"/>
    <w:rsid w:val="00293A15"/>
    <w:rsid w:val="00295693"/>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B5C"/>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2D3E"/>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3AAF"/>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FA4"/>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2129"/>
    <w:rsid w:val="0033322F"/>
    <w:rsid w:val="003343B2"/>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B6"/>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5C3"/>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360F"/>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98A"/>
    <w:rsid w:val="003C2F43"/>
    <w:rsid w:val="003C32FC"/>
    <w:rsid w:val="003C49A9"/>
    <w:rsid w:val="003C4EBE"/>
    <w:rsid w:val="003C558C"/>
    <w:rsid w:val="003C56DF"/>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5E8"/>
    <w:rsid w:val="003D5944"/>
    <w:rsid w:val="003D5D05"/>
    <w:rsid w:val="003D5ECA"/>
    <w:rsid w:val="003D5FB6"/>
    <w:rsid w:val="003D6CBF"/>
    <w:rsid w:val="003D72CC"/>
    <w:rsid w:val="003D7D05"/>
    <w:rsid w:val="003E03C3"/>
    <w:rsid w:val="003E067B"/>
    <w:rsid w:val="003E11A4"/>
    <w:rsid w:val="003E1AD1"/>
    <w:rsid w:val="003E236D"/>
    <w:rsid w:val="003E2744"/>
    <w:rsid w:val="003E2E8C"/>
    <w:rsid w:val="003E3009"/>
    <w:rsid w:val="003E308A"/>
    <w:rsid w:val="003E367A"/>
    <w:rsid w:val="003E37A4"/>
    <w:rsid w:val="003E4136"/>
    <w:rsid w:val="003E4E45"/>
    <w:rsid w:val="003E61CB"/>
    <w:rsid w:val="003E728F"/>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1FA"/>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982"/>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28F"/>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DF8"/>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A780D"/>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AFF"/>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3B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23E"/>
    <w:rsid w:val="00507403"/>
    <w:rsid w:val="00507430"/>
    <w:rsid w:val="005101E5"/>
    <w:rsid w:val="00511D75"/>
    <w:rsid w:val="00512232"/>
    <w:rsid w:val="00513B7E"/>
    <w:rsid w:val="00514597"/>
    <w:rsid w:val="005150AB"/>
    <w:rsid w:val="005159D2"/>
    <w:rsid w:val="0051769B"/>
    <w:rsid w:val="0052052F"/>
    <w:rsid w:val="00520571"/>
    <w:rsid w:val="00522017"/>
    <w:rsid w:val="00522C8A"/>
    <w:rsid w:val="00523AF8"/>
    <w:rsid w:val="00523F57"/>
    <w:rsid w:val="00523F8F"/>
    <w:rsid w:val="005248F8"/>
    <w:rsid w:val="00524E1E"/>
    <w:rsid w:val="0052565F"/>
    <w:rsid w:val="005261AC"/>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7DB"/>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1309"/>
    <w:rsid w:val="00552426"/>
    <w:rsid w:val="005529F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4F32"/>
    <w:rsid w:val="00566518"/>
    <w:rsid w:val="005669DA"/>
    <w:rsid w:val="00567613"/>
    <w:rsid w:val="00571640"/>
    <w:rsid w:val="00571902"/>
    <w:rsid w:val="0057194C"/>
    <w:rsid w:val="00571CC5"/>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701"/>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0AA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7EA"/>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6A3"/>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3C"/>
    <w:rsid w:val="00643467"/>
    <w:rsid w:val="00643A31"/>
    <w:rsid w:val="00643AAE"/>
    <w:rsid w:val="00644A9F"/>
    <w:rsid w:val="00644C4D"/>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4B8"/>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2C5A"/>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13E"/>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DDA"/>
    <w:rsid w:val="006F7041"/>
    <w:rsid w:val="006F7C7B"/>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9B9"/>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7B9"/>
    <w:rsid w:val="00735964"/>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083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D82"/>
    <w:rsid w:val="0078647B"/>
    <w:rsid w:val="0078673C"/>
    <w:rsid w:val="00786ED4"/>
    <w:rsid w:val="0078716F"/>
    <w:rsid w:val="007873C8"/>
    <w:rsid w:val="0078793D"/>
    <w:rsid w:val="00790F50"/>
    <w:rsid w:val="00791374"/>
    <w:rsid w:val="00792B66"/>
    <w:rsid w:val="0079352C"/>
    <w:rsid w:val="00793B34"/>
    <w:rsid w:val="00793B84"/>
    <w:rsid w:val="00793D87"/>
    <w:rsid w:val="0079400F"/>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33C"/>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AE7"/>
    <w:rsid w:val="00811B7A"/>
    <w:rsid w:val="00811E77"/>
    <w:rsid w:val="00812638"/>
    <w:rsid w:val="00812720"/>
    <w:rsid w:val="00812AE2"/>
    <w:rsid w:val="00812BC4"/>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73F3"/>
    <w:rsid w:val="00837AC7"/>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1A8"/>
    <w:rsid w:val="00880EFA"/>
    <w:rsid w:val="00881705"/>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86C"/>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2D8D"/>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290"/>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0E43"/>
    <w:rsid w:val="008F142D"/>
    <w:rsid w:val="008F1674"/>
    <w:rsid w:val="008F192D"/>
    <w:rsid w:val="008F2699"/>
    <w:rsid w:val="008F3FE5"/>
    <w:rsid w:val="008F42D7"/>
    <w:rsid w:val="008F4382"/>
    <w:rsid w:val="008F4CE7"/>
    <w:rsid w:val="008F5536"/>
    <w:rsid w:val="008F6537"/>
    <w:rsid w:val="008F7BE4"/>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1E0D"/>
    <w:rsid w:val="00912000"/>
    <w:rsid w:val="009124E6"/>
    <w:rsid w:val="00913944"/>
    <w:rsid w:val="00916440"/>
    <w:rsid w:val="00916748"/>
    <w:rsid w:val="00917332"/>
    <w:rsid w:val="00917344"/>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592D"/>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0D86"/>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321"/>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62D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57E65"/>
    <w:rsid w:val="00A605E1"/>
    <w:rsid w:val="00A6204A"/>
    <w:rsid w:val="00A62093"/>
    <w:rsid w:val="00A6310C"/>
    <w:rsid w:val="00A6316B"/>
    <w:rsid w:val="00A63679"/>
    <w:rsid w:val="00A63A8F"/>
    <w:rsid w:val="00A64389"/>
    <w:rsid w:val="00A64797"/>
    <w:rsid w:val="00A64817"/>
    <w:rsid w:val="00A649F1"/>
    <w:rsid w:val="00A71CDE"/>
    <w:rsid w:val="00A7252E"/>
    <w:rsid w:val="00A72BBC"/>
    <w:rsid w:val="00A72E18"/>
    <w:rsid w:val="00A730F3"/>
    <w:rsid w:val="00A74BE6"/>
    <w:rsid w:val="00A7557C"/>
    <w:rsid w:val="00A758A4"/>
    <w:rsid w:val="00A75BA0"/>
    <w:rsid w:val="00A768A2"/>
    <w:rsid w:val="00A76A55"/>
    <w:rsid w:val="00A773B4"/>
    <w:rsid w:val="00A80948"/>
    <w:rsid w:val="00A81F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1C9"/>
    <w:rsid w:val="00AB0725"/>
    <w:rsid w:val="00AB0807"/>
    <w:rsid w:val="00AB0FB2"/>
    <w:rsid w:val="00AB10E3"/>
    <w:rsid w:val="00AB18AB"/>
    <w:rsid w:val="00AB1FAD"/>
    <w:rsid w:val="00AB2AF8"/>
    <w:rsid w:val="00AB2AF9"/>
    <w:rsid w:val="00AB37FD"/>
    <w:rsid w:val="00AB41AF"/>
    <w:rsid w:val="00AB42BB"/>
    <w:rsid w:val="00AB4B6A"/>
    <w:rsid w:val="00AB50C3"/>
    <w:rsid w:val="00AB57D9"/>
    <w:rsid w:val="00AB5D9F"/>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4FA"/>
    <w:rsid w:val="00AE5C8B"/>
    <w:rsid w:val="00AE65CA"/>
    <w:rsid w:val="00AE6800"/>
    <w:rsid w:val="00AE6CDA"/>
    <w:rsid w:val="00AE72FC"/>
    <w:rsid w:val="00AE751E"/>
    <w:rsid w:val="00AF0B4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2647"/>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407"/>
    <w:rsid w:val="00B2695F"/>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121"/>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19B2"/>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138"/>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4ACF"/>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500"/>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B9E"/>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1B4"/>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2F33"/>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4BD"/>
    <w:rsid w:val="00C24B05"/>
    <w:rsid w:val="00C25D31"/>
    <w:rsid w:val="00C265D0"/>
    <w:rsid w:val="00C26FE5"/>
    <w:rsid w:val="00C3022B"/>
    <w:rsid w:val="00C30723"/>
    <w:rsid w:val="00C30F9A"/>
    <w:rsid w:val="00C31756"/>
    <w:rsid w:val="00C31F7F"/>
    <w:rsid w:val="00C32186"/>
    <w:rsid w:val="00C335AE"/>
    <w:rsid w:val="00C34E1F"/>
    <w:rsid w:val="00C35C7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246"/>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DFB"/>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3AA1"/>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57F7D"/>
    <w:rsid w:val="00D62320"/>
    <w:rsid w:val="00D6248B"/>
    <w:rsid w:val="00D62B5D"/>
    <w:rsid w:val="00D63379"/>
    <w:rsid w:val="00D635B1"/>
    <w:rsid w:val="00D639C5"/>
    <w:rsid w:val="00D63DA7"/>
    <w:rsid w:val="00D63DB5"/>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CB"/>
    <w:rsid w:val="00D74C9E"/>
    <w:rsid w:val="00D75F19"/>
    <w:rsid w:val="00D7779E"/>
    <w:rsid w:val="00D77AD8"/>
    <w:rsid w:val="00D80973"/>
    <w:rsid w:val="00D80BD8"/>
    <w:rsid w:val="00D82561"/>
    <w:rsid w:val="00D82A2B"/>
    <w:rsid w:val="00D8301D"/>
    <w:rsid w:val="00D8473E"/>
    <w:rsid w:val="00D86255"/>
    <w:rsid w:val="00D863D1"/>
    <w:rsid w:val="00D86DEC"/>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29D6"/>
    <w:rsid w:val="00DC399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4C04"/>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875"/>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170"/>
    <w:rsid w:val="00E7757E"/>
    <w:rsid w:val="00E7789E"/>
    <w:rsid w:val="00E77A75"/>
    <w:rsid w:val="00E77B23"/>
    <w:rsid w:val="00E77D56"/>
    <w:rsid w:val="00E80364"/>
    <w:rsid w:val="00E80511"/>
    <w:rsid w:val="00E8108F"/>
    <w:rsid w:val="00E81C1A"/>
    <w:rsid w:val="00E81C1F"/>
    <w:rsid w:val="00E822F5"/>
    <w:rsid w:val="00E836AC"/>
    <w:rsid w:val="00E83C04"/>
    <w:rsid w:val="00E83F2F"/>
    <w:rsid w:val="00E843F7"/>
    <w:rsid w:val="00E846F7"/>
    <w:rsid w:val="00E84FD5"/>
    <w:rsid w:val="00E8551B"/>
    <w:rsid w:val="00E871FB"/>
    <w:rsid w:val="00E878A3"/>
    <w:rsid w:val="00E900A4"/>
    <w:rsid w:val="00E9041B"/>
    <w:rsid w:val="00E91398"/>
    <w:rsid w:val="00E9159F"/>
    <w:rsid w:val="00E91BF4"/>
    <w:rsid w:val="00E91E02"/>
    <w:rsid w:val="00E92398"/>
    <w:rsid w:val="00E92CBF"/>
    <w:rsid w:val="00E92E0A"/>
    <w:rsid w:val="00E9381C"/>
    <w:rsid w:val="00E93CFD"/>
    <w:rsid w:val="00E93FCE"/>
    <w:rsid w:val="00E94584"/>
    <w:rsid w:val="00E95C26"/>
    <w:rsid w:val="00E95CEA"/>
    <w:rsid w:val="00E967F1"/>
    <w:rsid w:val="00E97FE2"/>
    <w:rsid w:val="00EA08E8"/>
    <w:rsid w:val="00EA0F7E"/>
    <w:rsid w:val="00EA1903"/>
    <w:rsid w:val="00EA1A5A"/>
    <w:rsid w:val="00EA2FC0"/>
    <w:rsid w:val="00EA3151"/>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4D77"/>
    <w:rsid w:val="00EC51A1"/>
    <w:rsid w:val="00EC6178"/>
    <w:rsid w:val="00EC65DD"/>
    <w:rsid w:val="00EC6A56"/>
    <w:rsid w:val="00EC7166"/>
    <w:rsid w:val="00EC7CAC"/>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8DD"/>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B22"/>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17526"/>
    <w:rsid w:val="00F2210C"/>
    <w:rsid w:val="00F231FB"/>
    <w:rsid w:val="00F243C4"/>
    <w:rsid w:val="00F243FF"/>
    <w:rsid w:val="00F25199"/>
    <w:rsid w:val="00F254D8"/>
    <w:rsid w:val="00F26A46"/>
    <w:rsid w:val="00F26F86"/>
    <w:rsid w:val="00F274E4"/>
    <w:rsid w:val="00F2780A"/>
    <w:rsid w:val="00F303B6"/>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C84"/>
    <w:rsid w:val="00F55F0A"/>
    <w:rsid w:val="00F5652C"/>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45"/>
    <w:rsid w:val="00F72F51"/>
    <w:rsid w:val="00F73999"/>
    <w:rsid w:val="00F73AB3"/>
    <w:rsid w:val="00F73AB7"/>
    <w:rsid w:val="00F7547C"/>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EA4"/>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5E6A"/>
    <w:rsid w:val="00FE64A9"/>
    <w:rsid w:val="00FE6BD7"/>
    <w:rsid w:val="00FE6C8F"/>
    <w:rsid w:val="00FF0644"/>
    <w:rsid w:val="00FF094E"/>
    <w:rsid w:val="00FF0A66"/>
    <w:rsid w:val="00FF1FCE"/>
    <w:rsid w:val="00FF2234"/>
    <w:rsid w:val="00FF290B"/>
    <w:rsid w:val="00FF320D"/>
    <w:rsid w:val="00FF33BD"/>
    <w:rsid w:val="00FF3C13"/>
    <w:rsid w:val="00FF4167"/>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7D2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9344460">
      <w:bodyDiv w:val="1"/>
      <w:marLeft w:val="0"/>
      <w:marRight w:val="0"/>
      <w:marTop w:val="0"/>
      <w:marBottom w:val="0"/>
      <w:divBdr>
        <w:top w:val="none" w:sz="0" w:space="0" w:color="auto"/>
        <w:left w:val="none" w:sz="0" w:space="0" w:color="auto"/>
        <w:bottom w:val="none" w:sz="0" w:space="0" w:color="auto"/>
        <w:right w:val="none" w:sz="0" w:space="0" w:color="auto"/>
      </w:divBdr>
    </w:div>
    <w:div w:id="225147309">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7588008">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58874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14725438">
      <w:bodyDiv w:val="1"/>
      <w:marLeft w:val="0"/>
      <w:marRight w:val="0"/>
      <w:marTop w:val="0"/>
      <w:marBottom w:val="0"/>
      <w:divBdr>
        <w:top w:val="none" w:sz="0" w:space="0" w:color="auto"/>
        <w:left w:val="none" w:sz="0" w:space="0" w:color="auto"/>
        <w:bottom w:val="none" w:sz="0" w:space="0" w:color="auto"/>
        <w:right w:val="none" w:sz="0" w:space="0" w:color="auto"/>
      </w:divBdr>
    </w:div>
    <w:div w:id="326440692">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82758191">
      <w:bodyDiv w:val="1"/>
      <w:marLeft w:val="0"/>
      <w:marRight w:val="0"/>
      <w:marTop w:val="0"/>
      <w:marBottom w:val="0"/>
      <w:divBdr>
        <w:top w:val="none" w:sz="0" w:space="0" w:color="auto"/>
        <w:left w:val="none" w:sz="0" w:space="0" w:color="auto"/>
        <w:bottom w:val="none" w:sz="0" w:space="0" w:color="auto"/>
        <w:right w:val="none" w:sz="0" w:space="0" w:color="auto"/>
      </w:divBdr>
    </w:div>
    <w:div w:id="596792597">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386918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84692858">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856905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4237491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64042709">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7870914">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195537">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2379559">
      <w:bodyDiv w:val="1"/>
      <w:marLeft w:val="0"/>
      <w:marRight w:val="0"/>
      <w:marTop w:val="0"/>
      <w:marBottom w:val="0"/>
      <w:divBdr>
        <w:top w:val="none" w:sz="0" w:space="0" w:color="auto"/>
        <w:left w:val="none" w:sz="0" w:space="0" w:color="auto"/>
        <w:bottom w:val="none" w:sz="0" w:space="0" w:color="auto"/>
        <w:right w:val="none" w:sz="0" w:space="0" w:color="auto"/>
      </w:divBdr>
    </w:div>
    <w:div w:id="1183860894">
      <w:bodyDiv w:val="1"/>
      <w:marLeft w:val="0"/>
      <w:marRight w:val="0"/>
      <w:marTop w:val="0"/>
      <w:marBottom w:val="0"/>
      <w:divBdr>
        <w:top w:val="none" w:sz="0" w:space="0" w:color="auto"/>
        <w:left w:val="none" w:sz="0" w:space="0" w:color="auto"/>
        <w:bottom w:val="none" w:sz="0" w:space="0" w:color="auto"/>
        <w:right w:val="none" w:sz="0" w:space="0" w:color="auto"/>
      </w:divBdr>
    </w:div>
    <w:div w:id="1190296574">
      <w:bodyDiv w:val="1"/>
      <w:marLeft w:val="0"/>
      <w:marRight w:val="0"/>
      <w:marTop w:val="0"/>
      <w:marBottom w:val="0"/>
      <w:divBdr>
        <w:top w:val="none" w:sz="0" w:space="0" w:color="auto"/>
        <w:left w:val="none" w:sz="0" w:space="0" w:color="auto"/>
        <w:bottom w:val="none" w:sz="0" w:space="0" w:color="auto"/>
        <w:right w:val="none" w:sz="0" w:space="0" w:color="auto"/>
      </w:divBdr>
    </w:div>
    <w:div w:id="1202473056">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2877266">
      <w:bodyDiv w:val="1"/>
      <w:marLeft w:val="0"/>
      <w:marRight w:val="0"/>
      <w:marTop w:val="0"/>
      <w:marBottom w:val="0"/>
      <w:divBdr>
        <w:top w:val="none" w:sz="0" w:space="0" w:color="auto"/>
        <w:left w:val="none" w:sz="0" w:space="0" w:color="auto"/>
        <w:bottom w:val="none" w:sz="0" w:space="0" w:color="auto"/>
        <w:right w:val="none" w:sz="0" w:space="0" w:color="auto"/>
      </w:divBdr>
    </w:div>
    <w:div w:id="1423912042">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62977992">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6740795">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203929">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3230407">
      <w:bodyDiv w:val="1"/>
      <w:marLeft w:val="0"/>
      <w:marRight w:val="0"/>
      <w:marTop w:val="0"/>
      <w:marBottom w:val="0"/>
      <w:divBdr>
        <w:top w:val="none" w:sz="0" w:space="0" w:color="auto"/>
        <w:left w:val="none" w:sz="0" w:space="0" w:color="auto"/>
        <w:bottom w:val="none" w:sz="0" w:space="0" w:color="auto"/>
        <w:right w:val="none" w:sz="0" w:space="0" w:color="auto"/>
      </w:divBdr>
    </w:div>
    <w:div w:id="181352384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2829820">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84311715">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12173092">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9132368">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17515-F058-49BC-A17C-4321C111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2020-04-16T05:11:00Z</dcterms:created>
  <dcterms:modified xsi:type="dcterms:W3CDTF">2020-07-23T00:27:00Z</dcterms:modified>
</cp:coreProperties>
</file>