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2422"/>
        <w:gridCol w:w="3278"/>
        <w:gridCol w:w="6980"/>
      </w:tblGrid>
      <w:tr w:rsidR="00987FDA" w:rsidRPr="00D70F11" w14:paraId="2F780D8A" w14:textId="77777777" w:rsidTr="005F14E9">
        <w:trPr>
          <w:tblHeader/>
        </w:trPr>
        <w:tc>
          <w:tcPr>
            <w:tcW w:w="880" w:type="pct"/>
            <w:tcMar>
              <w:top w:w="28" w:type="dxa"/>
              <w:bottom w:w="28" w:type="dxa"/>
            </w:tcMar>
          </w:tcPr>
          <w:p w14:paraId="58BB41E5" w14:textId="46F847AB" w:rsidR="00257615" w:rsidRPr="00D70F11" w:rsidRDefault="002960C3" w:rsidP="00F10A31">
            <w:pPr>
              <w:widowControl w:val="0"/>
              <w:jc w:val="center"/>
              <w:rPr>
                <w:rFonts w:ascii="Arial" w:hAnsi="Arial" w:cs="Arial"/>
                <w:b/>
              </w:rPr>
            </w:pPr>
            <w:r w:rsidRPr="00D70F11">
              <w:rPr>
                <w:rFonts w:ascii="Arial" w:hAnsi="Arial" w:cs="Arial"/>
                <w:b/>
              </w:rPr>
              <w:t>DRUG NAME, FORM(S), STRENGTH(S), SPONSOR, TYPE OF SUBMISSION</w:t>
            </w:r>
          </w:p>
        </w:tc>
        <w:tc>
          <w:tcPr>
            <w:tcW w:w="787" w:type="pct"/>
            <w:tcMar>
              <w:top w:w="28" w:type="dxa"/>
              <w:bottom w:w="28" w:type="dxa"/>
            </w:tcMar>
          </w:tcPr>
          <w:p w14:paraId="22DBCABB" w14:textId="77777777" w:rsidR="00987FDA" w:rsidRPr="00D70F11" w:rsidRDefault="002960C3" w:rsidP="002960C3">
            <w:pPr>
              <w:widowControl w:val="0"/>
              <w:jc w:val="center"/>
              <w:rPr>
                <w:rFonts w:ascii="Arial" w:hAnsi="Arial" w:cs="Arial"/>
                <w:b/>
                <w:snapToGrid w:val="0"/>
                <w:lang w:eastAsia="en-US"/>
              </w:rPr>
            </w:pPr>
            <w:r w:rsidRPr="00D70F11">
              <w:rPr>
                <w:rFonts w:ascii="Arial" w:hAnsi="Arial" w:cs="Arial"/>
                <w:b/>
                <w:snapToGrid w:val="0"/>
                <w:lang w:eastAsia="en-US"/>
              </w:rPr>
              <w:t>DRUG TYPE AND USE</w:t>
            </w:r>
          </w:p>
          <w:p w14:paraId="64FD3362" w14:textId="77777777" w:rsidR="00987FDA" w:rsidRPr="00D70F11" w:rsidRDefault="00987FDA" w:rsidP="002960C3">
            <w:pPr>
              <w:widowControl w:val="0"/>
              <w:jc w:val="center"/>
              <w:rPr>
                <w:rFonts w:ascii="Arial" w:hAnsi="Arial" w:cs="Arial"/>
                <w:b/>
                <w:snapToGrid w:val="0"/>
                <w:lang w:eastAsia="en-US"/>
              </w:rPr>
            </w:pPr>
          </w:p>
        </w:tc>
        <w:tc>
          <w:tcPr>
            <w:tcW w:w="1065" w:type="pct"/>
            <w:tcMar>
              <w:top w:w="28" w:type="dxa"/>
              <w:bottom w:w="28" w:type="dxa"/>
            </w:tcMar>
          </w:tcPr>
          <w:p w14:paraId="60A9336E" w14:textId="77777777" w:rsidR="00987FDA" w:rsidRPr="00D70F11" w:rsidRDefault="002960C3" w:rsidP="002960C3">
            <w:pPr>
              <w:widowControl w:val="0"/>
              <w:jc w:val="center"/>
              <w:rPr>
                <w:rFonts w:ascii="Arial" w:hAnsi="Arial" w:cs="Arial"/>
                <w:b/>
                <w:snapToGrid w:val="0"/>
                <w:lang w:eastAsia="en-US"/>
              </w:rPr>
            </w:pPr>
            <w:r w:rsidRPr="00D70F11">
              <w:rPr>
                <w:rFonts w:ascii="Arial" w:hAnsi="Arial" w:cs="Arial"/>
                <w:b/>
                <w:snapToGrid w:val="0"/>
                <w:lang w:eastAsia="en-US"/>
              </w:rPr>
              <w:t>LISTING REQUESTED BY SPONSOR / PURPOSE OF SUBMISSION</w:t>
            </w:r>
          </w:p>
        </w:tc>
        <w:tc>
          <w:tcPr>
            <w:tcW w:w="2268" w:type="pct"/>
          </w:tcPr>
          <w:p w14:paraId="5626F454" w14:textId="77777777" w:rsidR="00987FDA" w:rsidRPr="00D70F11" w:rsidRDefault="00987FDA" w:rsidP="00D167D0">
            <w:pPr>
              <w:pStyle w:val="Header"/>
              <w:jc w:val="center"/>
              <w:rPr>
                <w:rFonts w:ascii="Arial" w:hAnsi="Arial" w:cs="Arial"/>
                <w:b/>
                <w:snapToGrid w:val="0"/>
                <w:lang w:eastAsia="en-US"/>
              </w:rPr>
            </w:pPr>
            <w:r w:rsidRPr="00D70F11">
              <w:rPr>
                <w:rFonts w:ascii="Arial" w:hAnsi="Arial" w:cs="Arial"/>
                <w:b/>
                <w:snapToGrid w:val="0"/>
                <w:lang w:eastAsia="en-US"/>
              </w:rPr>
              <w:t xml:space="preserve">PBAC </w:t>
            </w:r>
            <w:r w:rsidR="002960C3" w:rsidRPr="00D70F11">
              <w:rPr>
                <w:rFonts w:ascii="Arial" w:hAnsi="Arial" w:cs="Arial"/>
                <w:b/>
                <w:snapToGrid w:val="0"/>
                <w:lang w:eastAsia="en-US"/>
              </w:rPr>
              <w:t>OUTCOME</w:t>
            </w:r>
          </w:p>
        </w:tc>
      </w:tr>
      <w:tr w:rsidR="004D72CE" w:rsidRPr="00D70F11" w14:paraId="61A413D1" w14:textId="77777777" w:rsidTr="005F14E9">
        <w:trPr>
          <w:cantSplit/>
          <w:trHeight w:val="896"/>
        </w:trPr>
        <w:tc>
          <w:tcPr>
            <w:tcW w:w="880" w:type="pct"/>
            <w:vMerge w:val="restart"/>
            <w:tcMar>
              <w:top w:w="28" w:type="dxa"/>
              <w:bottom w:w="28" w:type="dxa"/>
            </w:tcMar>
          </w:tcPr>
          <w:p w14:paraId="4283E947" w14:textId="77777777" w:rsidR="00E63980" w:rsidRPr="00D70F11" w:rsidRDefault="00E63980" w:rsidP="00E63980">
            <w:pPr>
              <w:rPr>
                <w:rFonts w:ascii="Arial" w:hAnsi="Arial" w:cs="Arial"/>
                <w:color w:val="000000"/>
              </w:rPr>
            </w:pPr>
            <w:r w:rsidRPr="00D70F11">
              <w:rPr>
                <w:rFonts w:ascii="Arial" w:hAnsi="Arial" w:cs="Arial"/>
                <w:color w:val="000000"/>
              </w:rPr>
              <w:t>ATEZOLIZUMAB</w:t>
            </w:r>
            <w:r w:rsidRPr="00D70F11">
              <w:rPr>
                <w:rFonts w:ascii="Arial" w:hAnsi="Arial" w:cs="Arial"/>
                <w:color w:val="000000"/>
              </w:rPr>
              <w:br/>
            </w:r>
            <w:r w:rsidRPr="00D70F11">
              <w:rPr>
                <w:rFonts w:ascii="Arial" w:hAnsi="Arial" w:cs="Arial"/>
                <w:color w:val="000000"/>
              </w:rPr>
              <w:br/>
              <w:t>Solution concentrate for I.V. infusion 840 mg in 14 mL</w:t>
            </w:r>
            <w:r w:rsidRPr="00D70F11">
              <w:rPr>
                <w:rFonts w:ascii="Arial" w:hAnsi="Arial" w:cs="Arial"/>
                <w:color w:val="000000"/>
              </w:rPr>
              <w:br/>
            </w:r>
            <w:r w:rsidRPr="00D70F11">
              <w:rPr>
                <w:rFonts w:ascii="Arial" w:hAnsi="Arial" w:cs="Arial"/>
                <w:color w:val="000000"/>
              </w:rPr>
              <w:br/>
              <w:t>Tecentriq®</w:t>
            </w:r>
            <w:r w:rsidRPr="00D70F11">
              <w:rPr>
                <w:rFonts w:ascii="Arial" w:hAnsi="Arial" w:cs="Arial"/>
                <w:color w:val="000000"/>
              </w:rPr>
              <w:br/>
            </w:r>
            <w:r w:rsidRPr="00D70F11">
              <w:rPr>
                <w:rFonts w:ascii="Arial" w:hAnsi="Arial" w:cs="Arial"/>
                <w:color w:val="000000"/>
              </w:rPr>
              <w:br/>
              <w:t>Roche Products Pty</w:t>
            </w:r>
            <w:bookmarkStart w:id="0" w:name="_GoBack"/>
            <w:bookmarkEnd w:id="0"/>
            <w:r w:rsidRPr="00D70F11">
              <w:rPr>
                <w:rFonts w:ascii="Arial" w:hAnsi="Arial" w:cs="Arial"/>
                <w:color w:val="000000"/>
              </w:rPr>
              <w:t xml:space="preserve"> Ltd</w:t>
            </w:r>
            <w:r w:rsidRPr="00D70F11">
              <w:rPr>
                <w:rFonts w:ascii="Arial" w:hAnsi="Arial" w:cs="Arial"/>
                <w:color w:val="000000"/>
              </w:rPr>
              <w:br/>
            </w:r>
            <w:r w:rsidRPr="00D70F11">
              <w:rPr>
                <w:rFonts w:ascii="Arial" w:hAnsi="Arial" w:cs="Arial"/>
                <w:color w:val="000000"/>
              </w:rPr>
              <w:br/>
              <w:t>Change to listing</w:t>
            </w:r>
            <w:r w:rsidRPr="00D70F11">
              <w:rPr>
                <w:rFonts w:ascii="Arial" w:hAnsi="Arial" w:cs="Arial"/>
                <w:color w:val="000000"/>
              </w:rPr>
              <w:br/>
              <w:t>(Major Submission)</w:t>
            </w:r>
          </w:p>
          <w:p w14:paraId="4FDD9DD9" w14:textId="79AACA4F" w:rsidR="00AE4F14" w:rsidRPr="00D70F11" w:rsidRDefault="00AE4F14" w:rsidP="00AE4F14">
            <w:pPr>
              <w:rPr>
                <w:rFonts w:ascii="Arial" w:hAnsi="Arial" w:cs="Arial"/>
              </w:rPr>
            </w:pPr>
          </w:p>
        </w:tc>
        <w:tc>
          <w:tcPr>
            <w:tcW w:w="787" w:type="pct"/>
            <w:vMerge w:val="restart"/>
          </w:tcPr>
          <w:p w14:paraId="320D6FE8" w14:textId="77777777" w:rsidR="00E63980" w:rsidRPr="00D70F11" w:rsidRDefault="00E63980" w:rsidP="00E63980">
            <w:pPr>
              <w:rPr>
                <w:rFonts w:ascii="Arial" w:hAnsi="Arial" w:cs="Arial"/>
                <w:color w:val="000000"/>
              </w:rPr>
            </w:pPr>
            <w:r w:rsidRPr="00D70F11">
              <w:rPr>
                <w:rFonts w:ascii="Arial" w:hAnsi="Arial" w:cs="Arial"/>
                <w:color w:val="000000"/>
              </w:rPr>
              <w:t>Breast cancer</w:t>
            </w:r>
          </w:p>
          <w:p w14:paraId="03FD619B" w14:textId="7913F8AB" w:rsidR="004D72CE" w:rsidRPr="00D70F11" w:rsidRDefault="004D72CE" w:rsidP="00335779">
            <w:pPr>
              <w:rPr>
                <w:rFonts w:ascii="Arial" w:hAnsi="Arial" w:cs="Arial"/>
              </w:rPr>
            </w:pPr>
          </w:p>
        </w:tc>
        <w:tc>
          <w:tcPr>
            <w:tcW w:w="1065" w:type="pct"/>
            <w:tcMar>
              <w:top w:w="28" w:type="dxa"/>
              <w:bottom w:w="28" w:type="dxa"/>
            </w:tcMar>
          </w:tcPr>
          <w:p w14:paraId="2A962DA2" w14:textId="2B1A0E8B" w:rsidR="004D72CE" w:rsidRPr="00D70F11" w:rsidRDefault="00F10A31" w:rsidP="00555C08">
            <w:pPr>
              <w:rPr>
                <w:rFonts w:ascii="Arial" w:hAnsi="Arial" w:cs="Arial"/>
                <w:color w:val="000000"/>
              </w:rPr>
            </w:pPr>
            <w:r w:rsidRPr="00D70F11">
              <w:rPr>
                <w:rFonts w:ascii="Arial" w:hAnsi="Arial" w:cs="Arial"/>
                <w:color w:val="000000"/>
              </w:rPr>
              <w:t>To request a Section 100 (Efficient Funding of Chemotherapy) Authority Required (STREAMLINED) listing for the first-line treatment of patients with unresectable locally advanced or metastatic triple-negative breast cancer who are programmed death-ligand 1 (PD-L1)-positive.</w:t>
            </w:r>
          </w:p>
        </w:tc>
        <w:tc>
          <w:tcPr>
            <w:tcW w:w="2268" w:type="pct"/>
          </w:tcPr>
          <w:p w14:paraId="2988013C" w14:textId="47046CA3" w:rsidR="00AE0CA2" w:rsidRPr="00D70F11" w:rsidRDefault="008603AA" w:rsidP="009B5722">
            <w:pPr>
              <w:spacing w:after="120"/>
              <w:rPr>
                <w:rFonts w:ascii="Arial" w:hAnsi="Arial" w:cs="Arial"/>
                <w:iCs/>
              </w:rPr>
            </w:pPr>
            <w:r w:rsidRPr="00D70F11">
              <w:rPr>
                <w:rFonts w:ascii="Arial" w:hAnsi="Arial" w:cs="Arial"/>
                <w:iCs/>
              </w:rPr>
              <w:t>The PBAC did not recommend atezolizumab for the first</w:t>
            </w:r>
            <w:r w:rsidR="00214861">
              <w:rPr>
                <w:rFonts w:ascii="Arial" w:hAnsi="Arial" w:cs="Arial"/>
                <w:iCs/>
              </w:rPr>
              <w:t>-</w:t>
            </w:r>
            <w:r w:rsidRPr="00D70F11">
              <w:rPr>
                <w:rFonts w:ascii="Arial" w:hAnsi="Arial" w:cs="Arial"/>
                <w:iCs/>
              </w:rPr>
              <w:t>line treatment of patients with unresectable locally advanced or metastatic triple-negative breast cancer who are PD-L1 positive. The PBAC considered that there was a high clinical need for effective treatments for these patients, but considered that the applicability of the clinical evidence to the relevant patient population was limited and the magnitude of the overall survival benefit claimed was uncertain. The PBAC also noted that the incremental cost-effectiveness ratio was high and likely to be underestimated due to reliance on optimistic assumptions regarding overall survival, which were not sufficiently supported by the clinical evidence. The PBAC also noted that the cost-effectiveness of atezolizumab was likely to be affected by the choice of PD-L1 assay used to determine eligibility to treatment.</w:t>
            </w:r>
          </w:p>
        </w:tc>
      </w:tr>
      <w:tr w:rsidR="004D72CE" w:rsidRPr="00D70F11" w14:paraId="12226BC8" w14:textId="77777777" w:rsidTr="005F14E9">
        <w:trPr>
          <w:cantSplit/>
          <w:trHeight w:val="465"/>
        </w:trPr>
        <w:tc>
          <w:tcPr>
            <w:tcW w:w="880" w:type="pct"/>
            <w:vMerge/>
            <w:tcMar>
              <w:top w:w="28" w:type="dxa"/>
              <w:bottom w:w="28" w:type="dxa"/>
            </w:tcMar>
          </w:tcPr>
          <w:p w14:paraId="6E991B87" w14:textId="77777777" w:rsidR="004D72CE" w:rsidRPr="00D70F11" w:rsidRDefault="004D72CE" w:rsidP="00335779">
            <w:pPr>
              <w:rPr>
                <w:rFonts w:ascii="Arial" w:hAnsi="Arial" w:cs="Arial"/>
              </w:rPr>
            </w:pPr>
          </w:p>
        </w:tc>
        <w:tc>
          <w:tcPr>
            <w:tcW w:w="787" w:type="pct"/>
            <w:vMerge/>
          </w:tcPr>
          <w:p w14:paraId="02C20BBF" w14:textId="77777777" w:rsidR="004D72CE" w:rsidRPr="00D70F11" w:rsidRDefault="004D72CE" w:rsidP="00335779">
            <w:pPr>
              <w:widowControl w:val="0"/>
              <w:rPr>
                <w:rFonts w:ascii="Arial" w:hAnsi="Arial" w:cs="Arial"/>
                <w:snapToGrid w:val="0"/>
                <w:lang w:eastAsia="en-US"/>
              </w:rPr>
            </w:pPr>
          </w:p>
        </w:tc>
        <w:tc>
          <w:tcPr>
            <w:tcW w:w="1065" w:type="pct"/>
            <w:tcMar>
              <w:top w:w="28" w:type="dxa"/>
              <w:bottom w:w="28" w:type="dxa"/>
            </w:tcMar>
          </w:tcPr>
          <w:p w14:paraId="6949620B" w14:textId="16D2271F" w:rsidR="004D72CE" w:rsidRPr="00D70F11" w:rsidRDefault="004D72CE" w:rsidP="00845DB3">
            <w:pPr>
              <w:pStyle w:val="ListParagraph"/>
              <w:ind w:left="0"/>
              <w:jc w:val="right"/>
              <w:rPr>
                <w:rFonts w:ascii="Arial" w:hAnsi="Arial" w:cs="Arial"/>
                <w:snapToGrid w:val="0"/>
                <w:sz w:val="20"/>
                <w:szCs w:val="20"/>
                <w:lang w:eastAsia="en-US"/>
              </w:rPr>
            </w:pPr>
            <w:r w:rsidRPr="00D70F11">
              <w:rPr>
                <w:rFonts w:ascii="Arial" w:hAnsi="Arial" w:cs="Arial"/>
                <w:snapToGrid w:val="0"/>
                <w:sz w:val="20"/>
                <w:szCs w:val="20"/>
                <w:lang w:eastAsia="en-US"/>
              </w:rPr>
              <w:t>Sponsor</w:t>
            </w:r>
            <w:r w:rsidR="0074771E" w:rsidRPr="00D70F11">
              <w:rPr>
                <w:rFonts w:ascii="Arial" w:hAnsi="Arial" w:cs="Arial"/>
                <w:snapToGrid w:val="0"/>
                <w:sz w:val="20"/>
                <w:szCs w:val="20"/>
                <w:lang w:eastAsia="en-US"/>
              </w:rPr>
              <w:t>’s</w:t>
            </w:r>
            <w:r w:rsidR="00EC7272">
              <w:rPr>
                <w:rFonts w:ascii="Arial" w:hAnsi="Arial" w:cs="Arial"/>
                <w:snapToGrid w:val="0"/>
                <w:sz w:val="20"/>
                <w:szCs w:val="20"/>
                <w:lang w:eastAsia="en-US"/>
              </w:rPr>
              <w:t xml:space="preserve"> c</w:t>
            </w:r>
            <w:r w:rsidRPr="00D70F11">
              <w:rPr>
                <w:rFonts w:ascii="Arial" w:hAnsi="Arial" w:cs="Arial"/>
                <w:snapToGrid w:val="0"/>
                <w:sz w:val="20"/>
                <w:szCs w:val="20"/>
                <w:lang w:eastAsia="en-US"/>
              </w:rPr>
              <w:t>omment:</w:t>
            </w:r>
          </w:p>
        </w:tc>
        <w:tc>
          <w:tcPr>
            <w:tcW w:w="2268" w:type="pct"/>
          </w:tcPr>
          <w:p w14:paraId="3F434106" w14:textId="42EBDC2C" w:rsidR="00EA19A5" w:rsidRPr="0040357F" w:rsidRDefault="0040357F" w:rsidP="0040357F">
            <w:pPr>
              <w:pStyle w:val="ListParagraph"/>
              <w:ind w:left="0"/>
              <w:rPr>
                <w:rFonts w:ascii="Arial" w:hAnsi="Arial" w:cs="Arial"/>
                <w:iCs/>
                <w:sz w:val="20"/>
                <w:szCs w:val="20"/>
              </w:rPr>
            </w:pPr>
            <w:r w:rsidRPr="0040357F">
              <w:rPr>
                <w:rFonts w:ascii="Arial" w:hAnsi="Arial" w:cs="Arial"/>
                <w:bCs/>
                <w:iCs/>
                <w:sz w:val="20"/>
                <w:szCs w:val="20"/>
              </w:rPr>
              <w:t>Roche is disappointed with the outcome given the genuine unmet need for a new treatment option in patients with unresectable locally advanced or metastatic triple-negative breast cancer. Roche is committed to working with the PBAC to ensure that Australian patients with unresectable locally advanced or metastatic triple-negative breast cancer who are PD-L1-positive can access atezolizumab at the earliest opportunity. </w:t>
            </w:r>
            <w:r w:rsidRPr="0040357F">
              <w:rPr>
                <w:rFonts w:ascii="Arial" w:hAnsi="Arial" w:cs="Arial"/>
                <w:bCs/>
                <w:sz w:val="20"/>
                <w:szCs w:val="20"/>
              </w:rPr>
              <w:t> </w:t>
            </w:r>
            <w:r w:rsidRPr="0040357F">
              <w:rPr>
                <w:rFonts w:ascii="Arial" w:hAnsi="Arial" w:cs="Arial"/>
                <w:sz w:val="20"/>
                <w:szCs w:val="20"/>
              </w:rPr>
              <w:t>  </w:t>
            </w:r>
          </w:p>
        </w:tc>
      </w:tr>
      <w:tr w:rsidR="002B4D46" w:rsidRPr="00D70F11" w14:paraId="32FFE0DE" w14:textId="77777777" w:rsidTr="005F14E9">
        <w:trPr>
          <w:cantSplit/>
          <w:trHeight w:val="465"/>
        </w:trPr>
        <w:tc>
          <w:tcPr>
            <w:tcW w:w="880" w:type="pct"/>
            <w:vMerge w:val="restart"/>
            <w:tcMar>
              <w:top w:w="28" w:type="dxa"/>
              <w:bottom w:w="28" w:type="dxa"/>
            </w:tcMar>
          </w:tcPr>
          <w:p w14:paraId="37C2E270" w14:textId="675E08ED" w:rsidR="00E63980" w:rsidRPr="00D70F11" w:rsidRDefault="00E63980" w:rsidP="00E63980">
            <w:pPr>
              <w:rPr>
                <w:rFonts w:ascii="Arial" w:hAnsi="Arial" w:cs="Arial"/>
                <w:color w:val="000000"/>
              </w:rPr>
            </w:pPr>
            <w:r w:rsidRPr="00D70F11">
              <w:rPr>
                <w:rFonts w:ascii="Arial" w:hAnsi="Arial" w:cs="Arial"/>
                <w:color w:val="000000"/>
              </w:rPr>
              <w:t>AVELUMAB</w:t>
            </w:r>
            <w:r w:rsidRPr="00D70F11">
              <w:rPr>
                <w:rFonts w:ascii="Arial" w:hAnsi="Arial" w:cs="Arial"/>
                <w:color w:val="000000"/>
              </w:rPr>
              <w:br/>
            </w:r>
            <w:r w:rsidRPr="00D70F11">
              <w:rPr>
                <w:rFonts w:ascii="Arial" w:hAnsi="Arial" w:cs="Arial"/>
                <w:color w:val="000000"/>
              </w:rPr>
              <w:br/>
              <w:t>Solution concentrate for I.V. infusion 200 mg in 10 mL</w:t>
            </w:r>
            <w:r w:rsidRPr="00D70F11">
              <w:rPr>
                <w:rFonts w:ascii="Arial" w:hAnsi="Arial" w:cs="Arial"/>
                <w:color w:val="000000"/>
              </w:rPr>
              <w:br/>
            </w:r>
            <w:r w:rsidRPr="00D70F11">
              <w:rPr>
                <w:rFonts w:ascii="Arial" w:hAnsi="Arial" w:cs="Arial"/>
                <w:color w:val="000000"/>
              </w:rPr>
              <w:br/>
              <w:t>Bavencio®</w:t>
            </w:r>
            <w:r w:rsidRPr="00D70F11">
              <w:rPr>
                <w:rFonts w:ascii="Arial" w:hAnsi="Arial" w:cs="Arial"/>
                <w:color w:val="000000"/>
              </w:rPr>
              <w:br/>
            </w:r>
            <w:r w:rsidRPr="00D70F11">
              <w:rPr>
                <w:rFonts w:ascii="Arial" w:hAnsi="Arial" w:cs="Arial"/>
                <w:color w:val="000000"/>
              </w:rPr>
              <w:br/>
              <w:t>Merck Healthcare Pty Ltd</w:t>
            </w:r>
            <w:r w:rsidRPr="00D70F11">
              <w:rPr>
                <w:rFonts w:ascii="Arial" w:hAnsi="Arial" w:cs="Arial"/>
                <w:color w:val="000000"/>
              </w:rPr>
              <w:br/>
            </w:r>
            <w:r w:rsidRPr="00D70F11">
              <w:rPr>
                <w:rFonts w:ascii="Arial" w:hAnsi="Arial" w:cs="Arial"/>
                <w:color w:val="000000"/>
              </w:rPr>
              <w:br/>
              <w:t>Change to listing</w:t>
            </w:r>
            <w:r w:rsidRPr="00D70F11">
              <w:rPr>
                <w:rFonts w:ascii="Arial" w:hAnsi="Arial" w:cs="Arial"/>
                <w:color w:val="000000"/>
              </w:rPr>
              <w:br/>
              <w:t>(Major Submission)</w:t>
            </w:r>
          </w:p>
          <w:p w14:paraId="0F7E5E7B" w14:textId="74EA26EF" w:rsidR="00AE4F14" w:rsidRPr="00D70F11" w:rsidRDefault="00AE4F14" w:rsidP="00AE4F14">
            <w:pPr>
              <w:rPr>
                <w:rFonts w:ascii="Arial" w:hAnsi="Arial" w:cs="Arial"/>
              </w:rPr>
            </w:pPr>
          </w:p>
        </w:tc>
        <w:tc>
          <w:tcPr>
            <w:tcW w:w="787" w:type="pct"/>
            <w:vMerge w:val="restart"/>
          </w:tcPr>
          <w:p w14:paraId="16C4D7EC" w14:textId="77777777" w:rsidR="00E63980" w:rsidRPr="00D70F11" w:rsidRDefault="00E63980" w:rsidP="00E63980">
            <w:pPr>
              <w:rPr>
                <w:rFonts w:ascii="Arial" w:hAnsi="Arial" w:cs="Arial"/>
                <w:color w:val="000000"/>
              </w:rPr>
            </w:pPr>
            <w:r w:rsidRPr="00D70F11">
              <w:rPr>
                <w:rFonts w:ascii="Arial" w:hAnsi="Arial" w:cs="Arial"/>
                <w:color w:val="000000"/>
              </w:rPr>
              <w:t>Renal cell carcinoma (RCC)</w:t>
            </w:r>
          </w:p>
          <w:p w14:paraId="7DFB4130" w14:textId="23CFC5F6" w:rsidR="002B4D46" w:rsidRPr="00D70F11" w:rsidRDefault="002B4D46" w:rsidP="002B4D46">
            <w:pPr>
              <w:rPr>
                <w:rFonts w:ascii="Arial" w:hAnsi="Arial" w:cs="Arial"/>
              </w:rPr>
            </w:pPr>
          </w:p>
        </w:tc>
        <w:tc>
          <w:tcPr>
            <w:tcW w:w="1065" w:type="pct"/>
            <w:tcMar>
              <w:top w:w="28" w:type="dxa"/>
              <w:bottom w:w="28" w:type="dxa"/>
            </w:tcMar>
          </w:tcPr>
          <w:p w14:paraId="2B00CA98" w14:textId="3DAE45F8" w:rsidR="002B4D46" w:rsidRPr="00D70F11" w:rsidRDefault="00F10A31" w:rsidP="007E2BA4">
            <w:pPr>
              <w:rPr>
                <w:rFonts w:ascii="Arial" w:hAnsi="Arial" w:cs="Arial"/>
                <w:color w:val="000000"/>
              </w:rPr>
            </w:pPr>
            <w:r w:rsidRPr="00D70F11">
              <w:rPr>
                <w:rFonts w:ascii="Arial" w:hAnsi="Arial" w:cs="Arial"/>
                <w:color w:val="000000"/>
              </w:rPr>
              <w:t xml:space="preserve">To request a Section 100 (Efficient Funding of Chemotherapy) Authority Required (STREAMLINED), in combination with axitinib, for the first-line treatment of patients with </w:t>
            </w:r>
            <w:r w:rsidR="009B5722">
              <w:rPr>
                <w:rFonts w:ascii="Arial" w:hAnsi="Arial" w:cs="Arial"/>
                <w:color w:val="000000"/>
              </w:rPr>
              <w:t>advance</w:t>
            </w:r>
            <w:r w:rsidR="00214861">
              <w:rPr>
                <w:rFonts w:ascii="Arial" w:hAnsi="Arial" w:cs="Arial"/>
                <w:color w:val="000000"/>
              </w:rPr>
              <w:t>d</w:t>
            </w:r>
            <w:r w:rsidR="009B5722">
              <w:rPr>
                <w:rFonts w:ascii="Arial" w:hAnsi="Arial" w:cs="Arial"/>
                <w:color w:val="000000"/>
              </w:rPr>
              <w:t xml:space="preserve"> (</w:t>
            </w:r>
            <w:r w:rsidRPr="00D70F11">
              <w:rPr>
                <w:rFonts w:ascii="Arial" w:hAnsi="Arial" w:cs="Arial"/>
                <w:color w:val="000000"/>
              </w:rPr>
              <w:t>Stage IV</w:t>
            </w:r>
            <w:r w:rsidR="009B5722">
              <w:rPr>
                <w:rFonts w:ascii="Arial" w:hAnsi="Arial" w:cs="Arial"/>
                <w:color w:val="000000"/>
              </w:rPr>
              <w:t>)</w:t>
            </w:r>
            <w:r w:rsidRPr="00D70F11">
              <w:rPr>
                <w:rFonts w:ascii="Arial" w:hAnsi="Arial" w:cs="Arial"/>
                <w:color w:val="000000"/>
              </w:rPr>
              <w:t xml:space="preserve"> clear cell variant RCC. </w:t>
            </w:r>
          </w:p>
        </w:tc>
        <w:tc>
          <w:tcPr>
            <w:tcW w:w="2268" w:type="pct"/>
          </w:tcPr>
          <w:p w14:paraId="0BFAE3BF" w14:textId="30EA7035" w:rsidR="002B4D46" w:rsidRPr="00D70F11" w:rsidRDefault="008603AA" w:rsidP="009B5722">
            <w:pPr>
              <w:spacing w:after="120"/>
              <w:rPr>
                <w:rFonts w:ascii="Arial" w:hAnsi="Arial" w:cs="Arial"/>
                <w:iCs/>
              </w:rPr>
            </w:pPr>
            <w:r w:rsidRPr="00D70F11">
              <w:rPr>
                <w:rFonts w:ascii="Arial" w:hAnsi="Arial" w:cs="Arial"/>
                <w:iCs/>
              </w:rPr>
              <w:t xml:space="preserve">The PBAC did not recommend the listing of avelumab in combination with axitinib (AVE + AXI) for the first-line treatment of advanced clear cell variant </w:t>
            </w:r>
            <w:r w:rsidR="009B5722">
              <w:rPr>
                <w:rFonts w:ascii="Arial" w:hAnsi="Arial" w:cs="Arial"/>
                <w:iCs/>
              </w:rPr>
              <w:t>RCC</w:t>
            </w:r>
            <w:r w:rsidRPr="00D70F11">
              <w:rPr>
                <w:rFonts w:ascii="Arial" w:hAnsi="Arial" w:cs="Arial"/>
                <w:iCs/>
              </w:rPr>
              <w:t>. The PBAC noted that AVE + AXI did not demonstrate a statistically significant difference in overall survival versus sunitinib, which was in contrast to the statistically significant overall survival gains reported for</w:t>
            </w:r>
            <w:r w:rsidR="00214861">
              <w:rPr>
                <w:rFonts w:ascii="Arial" w:hAnsi="Arial" w:cs="Arial"/>
                <w:iCs/>
              </w:rPr>
              <w:t xml:space="preserve"> the comparator,</w:t>
            </w:r>
            <w:r w:rsidRPr="00D70F11">
              <w:rPr>
                <w:rFonts w:ascii="Arial" w:hAnsi="Arial" w:cs="Arial"/>
                <w:iCs/>
              </w:rPr>
              <w:t xml:space="preserve"> nivolumab plus ipilimumab (NIVO + IPI)</w:t>
            </w:r>
            <w:r w:rsidR="00214861">
              <w:rPr>
                <w:rFonts w:ascii="Arial" w:hAnsi="Arial" w:cs="Arial"/>
                <w:iCs/>
              </w:rPr>
              <w:t>,</w:t>
            </w:r>
            <w:r w:rsidRPr="00D70F11">
              <w:rPr>
                <w:rFonts w:ascii="Arial" w:hAnsi="Arial" w:cs="Arial"/>
                <w:iCs/>
              </w:rPr>
              <w:t xml:space="preserve"> versus sunitinib. Further, the PBAC considered that progression free survival may not be a reliable measure of the clinical effectiveness of immunotherapies in this setting, and noted that AVE + AXI was not associated with an improvement in quality of life versus sunitinib. Overall, the PBAC considered that the submission had not adequately demonstrated non-inferiority versus NIVO + IPI, but noted that updated overall survival data are likely to be available in the near future.</w:t>
            </w:r>
          </w:p>
        </w:tc>
      </w:tr>
      <w:tr w:rsidR="002B4D46" w:rsidRPr="00D70F11" w14:paraId="10405EE2" w14:textId="77777777" w:rsidTr="005F14E9">
        <w:trPr>
          <w:cantSplit/>
          <w:trHeight w:val="465"/>
        </w:trPr>
        <w:tc>
          <w:tcPr>
            <w:tcW w:w="880" w:type="pct"/>
            <w:vMerge/>
            <w:tcMar>
              <w:top w:w="28" w:type="dxa"/>
              <w:bottom w:w="28" w:type="dxa"/>
            </w:tcMar>
          </w:tcPr>
          <w:p w14:paraId="1D626D42" w14:textId="77777777" w:rsidR="002B4D46" w:rsidRPr="00D70F11" w:rsidRDefault="002B4D46" w:rsidP="002B4D46">
            <w:pPr>
              <w:rPr>
                <w:rFonts w:ascii="Arial" w:hAnsi="Arial" w:cs="Arial"/>
              </w:rPr>
            </w:pPr>
          </w:p>
        </w:tc>
        <w:tc>
          <w:tcPr>
            <w:tcW w:w="787" w:type="pct"/>
            <w:vMerge/>
          </w:tcPr>
          <w:p w14:paraId="640630D3" w14:textId="77777777" w:rsidR="002B4D46" w:rsidRPr="00D70F11" w:rsidRDefault="002B4D46" w:rsidP="002B4D46">
            <w:pPr>
              <w:widowControl w:val="0"/>
              <w:rPr>
                <w:rFonts w:ascii="Arial" w:hAnsi="Arial" w:cs="Arial"/>
                <w:snapToGrid w:val="0"/>
                <w:lang w:eastAsia="en-US"/>
              </w:rPr>
            </w:pPr>
          </w:p>
        </w:tc>
        <w:tc>
          <w:tcPr>
            <w:tcW w:w="1065" w:type="pct"/>
            <w:tcMar>
              <w:top w:w="28" w:type="dxa"/>
              <w:bottom w:w="28" w:type="dxa"/>
            </w:tcMar>
          </w:tcPr>
          <w:p w14:paraId="5C8C032A" w14:textId="4624F225" w:rsidR="002B4D46" w:rsidRPr="00D70F11" w:rsidRDefault="00EC7272" w:rsidP="002B4D46">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2B4D46" w:rsidRPr="00D70F11">
              <w:rPr>
                <w:rFonts w:ascii="Arial" w:hAnsi="Arial" w:cs="Arial"/>
                <w:snapToGrid w:val="0"/>
                <w:sz w:val="20"/>
                <w:szCs w:val="20"/>
                <w:lang w:eastAsia="en-US"/>
              </w:rPr>
              <w:t>omment:</w:t>
            </w:r>
          </w:p>
        </w:tc>
        <w:tc>
          <w:tcPr>
            <w:tcW w:w="2268" w:type="pct"/>
          </w:tcPr>
          <w:p w14:paraId="02624D69" w14:textId="3E501740" w:rsidR="002B4D46" w:rsidRPr="00D70F11" w:rsidRDefault="00513ADC" w:rsidP="00513ADC">
            <w:pPr>
              <w:pStyle w:val="ListParagraph"/>
              <w:ind w:left="0"/>
              <w:jc w:val="both"/>
              <w:rPr>
                <w:rFonts w:ascii="Arial" w:hAnsi="Arial" w:cs="Arial"/>
                <w:iCs/>
                <w:sz w:val="20"/>
                <w:szCs w:val="20"/>
              </w:rPr>
            </w:pPr>
            <w:r w:rsidRPr="00513ADC">
              <w:rPr>
                <w:rFonts w:ascii="Arial" w:hAnsi="Arial" w:cs="Arial"/>
                <w:iCs/>
                <w:sz w:val="20"/>
                <w:szCs w:val="20"/>
              </w:rPr>
              <w:t xml:space="preserve">Merck Healthcare is disappointed with the PBAC decision and will continue to work with the PBAC and the Department of Health to pursue access for Australian patients with advanced </w:t>
            </w:r>
            <w:r>
              <w:rPr>
                <w:rFonts w:ascii="Arial" w:hAnsi="Arial" w:cs="Arial"/>
                <w:iCs/>
                <w:sz w:val="20"/>
                <w:szCs w:val="20"/>
              </w:rPr>
              <w:t>RCC</w:t>
            </w:r>
            <w:r w:rsidRPr="00513ADC">
              <w:rPr>
                <w:rFonts w:ascii="Arial" w:hAnsi="Arial" w:cs="Arial"/>
                <w:iCs/>
                <w:sz w:val="20"/>
                <w:szCs w:val="20"/>
              </w:rPr>
              <w:t>.</w:t>
            </w:r>
          </w:p>
        </w:tc>
      </w:tr>
      <w:tr w:rsidR="002B4D46" w:rsidRPr="00D70F11" w14:paraId="7EC53611" w14:textId="77777777" w:rsidTr="005F14E9">
        <w:trPr>
          <w:cantSplit/>
          <w:trHeight w:val="465"/>
        </w:trPr>
        <w:tc>
          <w:tcPr>
            <w:tcW w:w="880" w:type="pct"/>
            <w:vMerge w:val="restart"/>
            <w:tcMar>
              <w:top w:w="28" w:type="dxa"/>
              <w:bottom w:w="28" w:type="dxa"/>
            </w:tcMar>
          </w:tcPr>
          <w:p w14:paraId="7C205A7E" w14:textId="233D7ACF" w:rsidR="00E63980" w:rsidRPr="00D70F11" w:rsidRDefault="00E63980" w:rsidP="00E63980">
            <w:pPr>
              <w:rPr>
                <w:rFonts w:ascii="Arial" w:hAnsi="Arial" w:cs="Arial"/>
                <w:color w:val="000000"/>
              </w:rPr>
            </w:pPr>
            <w:r w:rsidRPr="00D70F11">
              <w:rPr>
                <w:rFonts w:ascii="Arial" w:hAnsi="Arial" w:cs="Arial"/>
                <w:color w:val="000000"/>
              </w:rPr>
              <w:lastRenderedPageBreak/>
              <w:t>PERTUZUMAB</w:t>
            </w:r>
            <w:r w:rsidRPr="00D70F11">
              <w:rPr>
                <w:rFonts w:ascii="Arial" w:hAnsi="Arial" w:cs="Arial"/>
                <w:color w:val="000000"/>
              </w:rPr>
              <w:br/>
            </w:r>
            <w:r w:rsidRPr="00D70F11">
              <w:rPr>
                <w:rFonts w:ascii="Arial" w:hAnsi="Arial" w:cs="Arial"/>
                <w:color w:val="000000"/>
              </w:rPr>
              <w:br/>
              <w:t>Solution for I.V. infusion 420 mg in 14 mL</w:t>
            </w:r>
            <w:r w:rsidRPr="00D70F11">
              <w:rPr>
                <w:rFonts w:ascii="Arial" w:hAnsi="Arial" w:cs="Arial"/>
                <w:color w:val="000000"/>
              </w:rPr>
              <w:br/>
            </w:r>
            <w:r w:rsidRPr="00D70F11">
              <w:rPr>
                <w:rFonts w:ascii="Arial" w:hAnsi="Arial" w:cs="Arial"/>
                <w:color w:val="000000"/>
              </w:rPr>
              <w:br/>
              <w:t>Perjeta®</w:t>
            </w:r>
            <w:r w:rsidRPr="00D70F11">
              <w:rPr>
                <w:rFonts w:ascii="Arial" w:hAnsi="Arial" w:cs="Arial"/>
                <w:color w:val="000000"/>
              </w:rPr>
              <w:br/>
            </w:r>
            <w:r w:rsidRPr="00D70F11">
              <w:rPr>
                <w:rFonts w:ascii="Arial" w:hAnsi="Arial" w:cs="Arial"/>
                <w:color w:val="000000"/>
              </w:rPr>
              <w:br/>
              <w:t>Roche Products Pty L</w:t>
            </w:r>
            <w:r w:rsidR="00955B61">
              <w:rPr>
                <w:rFonts w:ascii="Arial" w:hAnsi="Arial" w:cs="Arial"/>
                <w:color w:val="000000"/>
              </w:rPr>
              <w:t>td</w:t>
            </w:r>
            <w:r w:rsidRPr="00D70F11">
              <w:rPr>
                <w:rFonts w:ascii="Arial" w:hAnsi="Arial" w:cs="Arial"/>
                <w:color w:val="000000"/>
              </w:rPr>
              <w:br/>
            </w:r>
            <w:r w:rsidRPr="00D70F11">
              <w:rPr>
                <w:rFonts w:ascii="Arial" w:hAnsi="Arial" w:cs="Arial"/>
                <w:color w:val="000000"/>
              </w:rPr>
              <w:br/>
              <w:t>Change to listing</w:t>
            </w:r>
            <w:r w:rsidRPr="00D70F11">
              <w:rPr>
                <w:rFonts w:ascii="Arial" w:hAnsi="Arial" w:cs="Arial"/>
                <w:color w:val="000000"/>
              </w:rPr>
              <w:br/>
              <w:t>(Major Submission)</w:t>
            </w:r>
          </w:p>
          <w:p w14:paraId="54681A04" w14:textId="2595142B" w:rsidR="00AE4F14" w:rsidRPr="00D70F11" w:rsidRDefault="00AE4F14" w:rsidP="00AE4F14">
            <w:pPr>
              <w:rPr>
                <w:rFonts w:ascii="Arial" w:hAnsi="Arial" w:cs="Arial"/>
              </w:rPr>
            </w:pPr>
          </w:p>
        </w:tc>
        <w:tc>
          <w:tcPr>
            <w:tcW w:w="787" w:type="pct"/>
            <w:vMerge w:val="restart"/>
          </w:tcPr>
          <w:p w14:paraId="6220ADA3" w14:textId="77777777" w:rsidR="00E63980" w:rsidRPr="00D70F11" w:rsidRDefault="00E63980" w:rsidP="00E63980">
            <w:pPr>
              <w:rPr>
                <w:rFonts w:ascii="Arial" w:hAnsi="Arial" w:cs="Arial"/>
                <w:color w:val="000000"/>
              </w:rPr>
            </w:pPr>
            <w:r w:rsidRPr="00D70F11">
              <w:rPr>
                <w:rFonts w:ascii="Arial" w:hAnsi="Arial" w:cs="Arial"/>
                <w:color w:val="000000"/>
              </w:rPr>
              <w:t>Breast cancer</w:t>
            </w:r>
          </w:p>
          <w:p w14:paraId="38BAFDF2" w14:textId="61160A46" w:rsidR="002B4D46" w:rsidRPr="00D70F11" w:rsidRDefault="002B4D46" w:rsidP="002B4D46">
            <w:pPr>
              <w:rPr>
                <w:rFonts w:ascii="Arial" w:hAnsi="Arial" w:cs="Arial"/>
              </w:rPr>
            </w:pPr>
          </w:p>
        </w:tc>
        <w:tc>
          <w:tcPr>
            <w:tcW w:w="1065" w:type="pct"/>
            <w:tcMar>
              <w:top w:w="28" w:type="dxa"/>
              <w:bottom w:w="28" w:type="dxa"/>
            </w:tcMar>
          </w:tcPr>
          <w:p w14:paraId="78ACF55E" w14:textId="6AE3AEF0" w:rsidR="002B4D46" w:rsidRPr="00D70F11" w:rsidRDefault="00F10A31" w:rsidP="00555C08">
            <w:pPr>
              <w:rPr>
                <w:rFonts w:ascii="Arial" w:hAnsi="Arial" w:cs="Arial"/>
                <w:color w:val="000000"/>
              </w:rPr>
            </w:pPr>
            <w:r w:rsidRPr="00D70F11">
              <w:rPr>
                <w:rFonts w:ascii="Arial" w:hAnsi="Arial" w:cs="Arial"/>
                <w:color w:val="000000"/>
              </w:rPr>
              <w:t>To request a Section 100 (Efficient Funding of Chemotherapy) Authority Required listing, in combination with trastuzumab and chemotherapy, for the neoadjuvant treatment of patients with human epidermal growth factor receptor-2 positive (HER2+) locally advanced, inflammatory or early stage breast cancer.</w:t>
            </w:r>
          </w:p>
        </w:tc>
        <w:tc>
          <w:tcPr>
            <w:tcW w:w="2268" w:type="pct"/>
          </w:tcPr>
          <w:p w14:paraId="32DA60ED" w14:textId="74C15FCA" w:rsidR="002B4D46" w:rsidRPr="00D70F11" w:rsidRDefault="008603AA" w:rsidP="00214861">
            <w:pPr>
              <w:widowControl w:val="0"/>
              <w:spacing w:after="120"/>
              <w:rPr>
                <w:rFonts w:ascii="Arial" w:hAnsi="Arial" w:cs="Arial"/>
                <w:bCs/>
                <w:snapToGrid w:val="0"/>
                <w:lang w:eastAsia="en-US"/>
              </w:rPr>
            </w:pPr>
            <w:r w:rsidRPr="00D70F11">
              <w:rPr>
                <w:rFonts w:ascii="Arial" w:hAnsi="Arial" w:cs="Arial"/>
                <w:bCs/>
                <w:snapToGrid w:val="0"/>
                <w:lang w:eastAsia="en-US"/>
              </w:rPr>
              <w:t xml:space="preserve">The PBAC did not recommend pertuzumab, in combination with trastuzumab and chemotherapy, for the neoadjuvant treatment of HER2+ locally advanced, inflammatory or early stage (≥2 cm in diameter or node positive) breast cancer. The PBAC considered that there was no evidence that neoadjuvant pertuzumab would improve patient outcomes if it were added to the current clinical algorithm which includes standard chemotherapy in the neoadjuvant setting and for patients who do not achieve a </w:t>
            </w:r>
            <w:r w:rsidR="00214861">
              <w:rPr>
                <w:rFonts w:ascii="Arial" w:hAnsi="Arial" w:cs="Arial"/>
                <w:bCs/>
                <w:snapToGrid w:val="0"/>
                <w:lang w:eastAsia="en-US"/>
              </w:rPr>
              <w:t>pathological complete response</w:t>
            </w:r>
            <w:r w:rsidRPr="00D70F11">
              <w:rPr>
                <w:rFonts w:ascii="Arial" w:hAnsi="Arial" w:cs="Arial"/>
                <w:bCs/>
                <w:snapToGrid w:val="0"/>
                <w:lang w:eastAsia="en-US"/>
              </w:rPr>
              <w:t>, trastuzumab emtansine (T-DM1) in the adjuvant setting. Given the uncertain clinical effectiveness, the PBAC considered that the cost-effectiveness of adding pertuzumab to current therapy was not able to be assessed.</w:t>
            </w:r>
          </w:p>
        </w:tc>
      </w:tr>
      <w:tr w:rsidR="002B4D46" w:rsidRPr="00D70F11" w14:paraId="5C33D51C" w14:textId="77777777" w:rsidTr="005F14E9">
        <w:trPr>
          <w:cantSplit/>
          <w:trHeight w:val="465"/>
        </w:trPr>
        <w:tc>
          <w:tcPr>
            <w:tcW w:w="880" w:type="pct"/>
            <w:vMerge/>
            <w:tcMar>
              <w:top w:w="28" w:type="dxa"/>
              <w:bottom w:w="28" w:type="dxa"/>
            </w:tcMar>
          </w:tcPr>
          <w:p w14:paraId="6EB81F70" w14:textId="77777777" w:rsidR="002B4D46" w:rsidRPr="00D70F11" w:rsidRDefault="002B4D46" w:rsidP="002B4D46">
            <w:pPr>
              <w:rPr>
                <w:rFonts w:ascii="Arial" w:hAnsi="Arial" w:cs="Arial"/>
              </w:rPr>
            </w:pPr>
          </w:p>
        </w:tc>
        <w:tc>
          <w:tcPr>
            <w:tcW w:w="787" w:type="pct"/>
            <w:vMerge/>
          </w:tcPr>
          <w:p w14:paraId="289AEFDE" w14:textId="77777777" w:rsidR="002B4D46" w:rsidRPr="00D70F11" w:rsidRDefault="002B4D46" w:rsidP="002B4D46">
            <w:pPr>
              <w:widowControl w:val="0"/>
              <w:rPr>
                <w:rFonts w:ascii="Arial" w:hAnsi="Arial" w:cs="Arial"/>
                <w:snapToGrid w:val="0"/>
                <w:lang w:eastAsia="en-US"/>
              </w:rPr>
            </w:pPr>
          </w:p>
        </w:tc>
        <w:tc>
          <w:tcPr>
            <w:tcW w:w="1065" w:type="pct"/>
            <w:tcMar>
              <w:top w:w="28" w:type="dxa"/>
              <w:bottom w:w="28" w:type="dxa"/>
            </w:tcMar>
          </w:tcPr>
          <w:p w14:paraId="5AF0EBF1" w14:textId="646740C2" w:rsidR="002B4D46" w:rsidRPr="00D70F11" w:rsidRDefault="002B4D46" w:rsidP="00EC7272">
            <w:pPr>
              <w:pStyle w:val="ListParagraph"/>
              <w:ind w:left="0"/>
              <w:jc w:val="right"/>
              <w:rPr>
                <w:rFonts w:ascii="Arial" w:hAnsi="Arial" w:cs="Arial"/>
                <w:snapToGrid w:val="0"/>
                <w:sz w:val="20"/>
                <w:szCs w:val="20"/>
                <w:lang w:eastAsia="en-US"/>
              </w:rPr>
            </w:pPr>
            <w:r w:rsidRPr="00D70F11">
              <w:rPr>
                <w:rFonts w:ascii="Arial" w:hAnsi="Arial" w:cs="Arial"/>
                <w:snapToGrid w:val="0"/>
                <w:sz w:val="20"/>
                <w:szCs w:val="20"/>
                <w:lang w:eastAsia="en-US"/>
              </w:rPr>
              <w:t xml:space="preserve">Sponsor’s </w:t>
            </w:r>
            <w:r w:rsidR="00EC7272">
              <w:rPr>
                <w:rFonts w:ascii="Arial" w:hAnsi="Arial" w:cs="Arial"/>
                <w:snapToGrid w:val="0"/>
                <w:sz w:val="20"/>
                <w:szCs w:val="20"/>
                <w:lang w:eastAsia="en-US"/>
              </w:rPr>
              <w:t>c</w:t>
            </w:r>
            <w:r w:rsidRPr="00D70F11">
              <w:rPr>
                <w:rFonts w:ascii="Arial" w:hAnsi="Arial" w:cs="Arial"/>
                <w:snapToGrid w:val="0"/>
                <w:sz w:val="20"/>
                <w:szCs w:val="20"/>
                <w:lang w:eastAsia="en-US"/>
              </w:rPr>
              <w:t>omment:</w:t>
            </w:r>
          </w:p>
        </w:tc>
        <w:tc>
          <w:tcPr>
            <w:tcW w:w="2268" w:type="pct"/>
          </w:tcPr>
          <w:p w14:paraId="679863A6" w14:textId="78AA7453" w:rsidR="002B4D46" w:rsidRPr="00B51BC7" w:rsidRDefault="00B51BC7" w:rsidP="00B51BC7">
            <w:pPr>
              <w:rPr>
                <w:rFonts w:ascii="Arial" w:hAnsi="Arial" w:cs="Arial"/>
              </w:rPr>
            </w:pPr>
            <w:r w:rsidRPr="00B51BC7">
              <w:rPr>
                <w:rFonts w:ascii="Arial" w:hAnsi="Arial" w:cs="Arial"/>
                <w:bCs/>
                <w:iCs/>
              </w:rPr>
              <w:t>Roche is disappointed with the outcome and is committed to working with the PBAC to ensure that Australian patients with early breast cancer can access the optimal anti-HER2 neoadjuvant therapy.</w:t>
            </w:r>
          </w:p>
        </w:tc>
      </w:tr>
      <w:tr w:rsidR="002B4D46" w:rsidRPr="00D70F11" w14:paraId="7B638FCA" w14:textId="77777777" w:rsidTr="005F14E9">
        <w:trPr>
          <w:cantSplit/>
          <w:trHeight w:val="3413"/>
        </w:trPr>
        <w:tc>
          <w:tcPr>
            <w:tcW w:w="880" w:type="pct"/>
            <w:vMerge w:val="restart"/>
            <w:tcMar>
              <w:top w:w="28" w:type="dxa"/>
              <w:bottom w:w="28" w:type="dxa"/>
            </w:tcMar>
          </w:tcPr>
          <w:p w14:paraId="6B1014FD" w14:textId="20F83122" w:rsidR="00E63980" w:rsidRPr="00D70F11" w:rsidRDefault="00E63980" w:rsidP="00F10A31">
            <w:pPr>
              <w:rPr>
                <w:rFonts w:ascii="Arial" w:hAnsi="Arial" w:cs="Arial"/>
                <w:color w:val="000000"/>
              </w:rPr>
            </w:pPr>
            <w:r w:rsidRPr="00D70F11">
              <w:rPr>
                <w:rFonts w:ascii="Arial" w:hAnsi="Arial" w:cs="Arial"/>
                <w:color w:val="000000"/>
              </w:rPr>
              <w:t>PROTEIN FORMULA WITH CARBOHYDRATE, FAT, VITAMINS, MINERALS AND TRANSFORMING GROWTH FACTOR BETA-2</w:t>
            </w:r>
            <w:r w:rsidRPr="00D70F11">
              <w:rPr>
                <w:rFonts w:ascii="Arial" w:hAnsi="Arial" w:cs="Arial"/>
                <w:color w:val="000000"/>
              </w:rPr>
              <w:br/>
            </w:r>
            <w:r w:rsidRPr="00D70F11">
              <w:rPr>
                <w:rFonts w:ascii="Arial" w:hAnsi="Arial" w:cs="Arial"/>
                <w:color w:val="000000"/>
              </w:rPr>
              <w:br/>
              <w:t xml:space="preserve">Powder for oral liquid, </w:t>
            </w:r>
            <w:r w:rsidR="00955B61">
              <w:rPr>
                <w:rFonts w:ascii="Arial" w:hAnsi="Arial" w:cs="Arial"/>
                <w:color w:val="000000"/>
              </w:rPr>
              <w:br/>
            </w:r>
            <w:r w:rsidRPr="00D70F11">
              <w:rPr>
                <w:rFonts w:ascii="Arial" w:hAnsi="Arial" w:cs="Arial"/>
                <w:color w:val="000000"/>
              </w:rPr>
              <w:t>400 g, 12</w:t>
            </w:r>
            <w:r w:rsidRPr="00D70F11">
              <w:rPr>
                <w:rFonts w:ascii="Arial" w:hAnsi="Arial" w:cs="Arial"/>
                <w:color w:val="000000"/>
              </w:rPr>
              <w:br/>
            </w:r>
            <w:r w:rsidRPr="00D70F11">
              <w:rPr>
                <w:rFonts w:ascii="Arial" w:hAnsi="Arial" w:cs="Arial"/>
                <w:color w:val="000000"/>
              </w:rPr>
              <w:br/>
              <w:t>Modulen IBD®</w:t>
            </w:r>
            <w:r w:rsidRPr="00D70F11">
              <w:rPr>
                <w:rFonts w:ascii="Arial" w:hAnsi="Arial" w:cs="Arial"/>
                <w:color w:val="000000"/>
              </w:rPr>
              <w:br/>
            </w:r>
            <w:r w:rsidRPr="00D70F11">
              <w:rPr>
                <w:rFonts w:ascii="Arial" w:hAnsi="Arial" w:cs="Arial"/>
                <w:color w:val="000000"/>
              </w:rPr>
              <w:br/>
              <w:t>Nestle Health Science</w:t>
            </w:r>
            <w:r w:rsidRPr="00D70F11">
              <w:rPr>
                <w:rFonts w:ascii="Arial" w:hAnsi="Arial" w:cs="Arial"/>
                <w:color w:val="000000"/>
              </w:rPr>
              <w:br/>
            </w:r>
            <w:r w:rsidRPr="00D70F11">
              <w:rPr>
                <w:rFonts w:ascii="Arial" w:hAnsi="Arial" w:cs="Arial"/>
                <w:color w:val="000000"/>
              </w:rPr>
              <w:br/>
              <w:t>New listing</w:t>
            </w:r>
            <w:r w:rsidRPr="00D70F11">
              <w:rPr>
                <w:rFonts w:ascii="Arial" w:hAnsi="Arial" w:cs="Arial"/>
                <w:color w:val="000000"/>
              </w:rPr>
              <w:br/>
              <w:t>(Minor Submission)</w:t>
            </w:r>
          </w:p>
          <w:p w14:paraId="11651E58" w14:textId="472992D5" w:rsidR="00AE4F14" w:rsidRPr="00D70F11" w:rsidRDefault="00AE4F14" w:rsidP="007E2BA4">
            <w:pPr>
              <w:jc w:val="both"/>
              <w:rPr>
                <w:rFonts w:ascii="Arial" w:hAnsi="Arial" w:cs="Arial"/>
              </w:rPr>
            </w:pPr>
          </w:p>
        </w:tc>
        <w:tc>
          <w:tcPr>
            <w:tcW w:w="787" w:type="pct"/>
            <w:vMerge w:val="restart"/>
          </w:tcPr>
          <w:p w14:paraId="7550A4C1" w14:textId="350E681A" w:rsidR="00E63980" w:rsidRPr="00D70F11" w:rsidRDefault="00E63980" w:rsidP="00E63980">
            <w:pPr>
              <w:rPr>
                <w:rFonts w:ascii="Arial" w:hAnsi="Arial" w:cs="Arial"/>
                <w:color w:val="000000"/>
              </w:rPr>
            </w:pPr>
            <w:r w:rsidRPr="00D70F11">
              <w:rPr>
                <w:rFonts w:ascii="Arial" w:hAnsi="Arial" w:cs="Arial"/>
                <w:color w:val="000000"/>
              </w:rPr>
              <w:t>Crohn disease</w:t>
            </w:r>
            <w:r w:rsidR="00356F70">
              <w:rPr>
                <w:rFonts w:ascii="Arial" w:hAnsi="Arial" w:cs="Arial"/>
                <w:color w:val="000000"/>
              </w:rPr>
              <w:t xml:space="preserve"> (CD)</w:t>
            </w:r>
          </w:p>
          <w:p w14:paraId="6F49D74E" w14:textId="163D426A" w:rsidR="002B4D46" w:rsidRPr="00D70F11" w:rsidRDefault="002B4D46" w:rsidP="002B4D46">
            <w:pPr>
              <w:rPr>
                <w:rFonts w:ascii="Arial" w:hAnsi="Arial" w:cs="Arial"/>
              </w:rPr>
            </w:pPr>
          </w:p>
        </w:tc>
        <w:tc>
          <w:tcPr>
            <w:tcW w:w="1065" w:type="pct"/>
            <w:tcMar>
              <w:top w:w="28" w:type="dxa"/>
              <w:bottom w:w="28" w:type="dxa"/>
            </w:tcMar>
          </w:tcPr>
          <w:p w14:paraId="7ED5B428" w14:textId="70470510" w:rsidR="002B4D46" w:rsidRPr="00D70F11" w:rsidRDefault="00F10A31" w:rsidP="00356F70">
            <w:pPr>
              <w:rPr>
                <w:rFonts w:ascii="Arial" w:hAnsi="Arial" w:cs="Arial"/>
                <w:color w:val="000000"/>
              </w:rPr>
            </w:pPr>
            <w:r w:rsidRPr="00D70F11">
              <w:rPr>
                <w:rFonts w:ascii="Arial" w:hAnsi="Arial" w:cs="Arial"/>
                <w:color w:val="000000"/>
              </w:rPr>
              <w:t>To request a Restricted Benefit listing of Modulen IBD</w:t>
            </w:r>
            <w:r w:rsidR="00955B61" w:rsidRPr="00D70F11">
              <w:rPr>
                <w:rFonts w:ascii="Arial" w:hAnsi="Arial" w:cs="Arial"/>
                <w:color w:val="000000"/>
              </w:rPr>
              <w:t>®</w:t>
            </w:r>
            <w:r w:rsidRPr="00D70F11">
              <w:rPr>
                <w:rFonts w:ascii="Arial" w:hAnsi="Arial" w:cs="Arial"/>
                <w:color w:val="000000"/>
              </w:rPr>
              <w:t xml:space="preserve"> for the dietary management of </w:t>
            </w:r>
            <w:r w:rsidR="00356F70">
              <w:rPr>
                <w:rFonts w:ascii="Arial" w:hAnsi="Arial" w:cs="Arial"/>
                <w:color w:val="000000"/>
              </w:rPr>
              <w:t xml:space="preserve">CD </w:t>
            </w:r>
            <w:r w:rsidRPr="00D70F11">
              <w:rPr>
                <w:rFonts w:ascii="Arial" w:hAnsi="Arial" w:cs="Arial"/>
                <w:color w:val="000000"/>
              </w:rPr>
              <w:t>in patients aged 5 years or older in the active or remission phase of disease.</w:t>
            </w:r>
          </w:p>
        </w:tc>
        <w:tc>
          <w:tcPr>
            <w:tcW w:w="2268" w:type="pct"/>
          </w:tcPr>
          <w:p w14:paraId="6B1E1048" w14:textId="1D6CF9FF" w:rsidR="002B4D46" w:rsidRPr="00D70F11" w:rsidRDefault="005F62E4" w:rsidP="00E37C78">
            <w:pPr>
              <w:rPr>
                <w:rFonts w:ascii="Arial" w:hAnsi="Arial" w:cs="Arial"/>
                <w:iCs/>
              </w:rPr>
            </w:pPr>
            <w:r w:rsidRPr="00D70F11">
              <w:rPr>
                <w:rFonts w:ascii="Arial" w:hAnsi="Arial" w:cs="Arial"/>
                <w:iCs/>
              </w:rPr>
              <w:t>The PBAC did not recommend the PBS listing of Modulen IBD</w:t>
            </w:r>
            <w:r w:rsidR="00955B61" w:rsidRPr="00D70F11">
              <w:rPr>
                <w:rFonts w:ascii="Arial" w:hAnsi="Arial" w:cs="Arial"/>
                <w:color w:val="000000"/>
              </w:rPr>
              <w:t>®</w:t>
            </w:r>
            <w:r w:rsidRPr="00D70F11">
              <w:rPr>
                <w:rFonts w:ascii="Arial" w:hAnsi="Arial" w:cs="Arial"/>
                <w:iCs/>
              </w:rPr>
              <w:t xml:space="preserve"> for the dietary management of CD. </w:t>
            </w:r>
            <w:r w:rsidR="008F1FC4">
              <w:rPr>
                <w:rFonts w:ascii="Arial" w:hAnsi="Arial" w:cs="Arial"/>
                <w:iCs/>
              </w:rPr>
              <w:t>T</w:t>
            </w:r>
            <w:r w:rsidRPr="00D70F11">
              <w:rPr>
                <w:rFonts w:ascii="Arial" w:hAnsi="Arial" w:cs="Arial"/>
                <w:iCs/>
              </w:rPr>
              <w:t xml:space="preserve">he PBAC considered there </w:t>
            </w:r>
            <w:r w:rsidR="008F1FC4">
              <w:rPr>
                <w:rFonts w:ascii="Arial" w:hAnsi="Arial" w:cs="Arial"/>
                <w:iCs/>
              </w:rPr>
              <w:t xml:space="preserve">was </w:t>
            </w:r>
            <w:r w:rsidR="00AF18FB">
              <w:rPr>
                <w:rFonts w:ascii="Arial" w:hAnsi="Arial" w:cs="Arial"/>
                <w:iCs/>
              </w:rPr>
              <w:t>a</w:t>
            </w:r>
            <w:r w:rsidRPr="00D70F11">
              <w:rPr>
                <w:rFonts w:ascii="Arial" w:hAnsi="Arial" w:cs="Arial"/>
                <w:iCs/>
              </w:rPr>
              <w:t>n uncertain clinical need for Modulen IBD</w:t>
            </w:r>
            <w:r w:rsidR="00AF18FB" w:rsidRPr="00D70F11">
              <w:rPr>
                <w:rFonts w:ascii="Arial" w:hAnsi="Arial" w:cs="Arial"/>
                <w:color w:val="000000"/>
              </w:rPr>
              <w:t>®</w:t>
            </w:r>
            <w:r w:rsidRPr="00D70F11">
              <w:rPr>
                <w:rFonts w:ascii="Arial" w:hAnsi="Arial" w:cs="Arial"/>
                <w:iCs/>
              </w:rPr>
              <w:t xml:space="preserve"> (and enteral nutrition more broadly) on the PBS for the management of CD as there are a range of pharmacotherapy treatment options available on the PBS, as well as hospital access programs </w:t>
            </w:r>
            <w:r w:rsidR="008F1FC4">
              <w:rPr>
                <w:rFonts w:ascii="Arial" w:hAnsi="Arial" w:cs="Arial"/>
                <w:iCs/>
              </w:rPr>
              <w:t>for</w:t>
            </w:r>
            <w:r w:rsidRPr="00D70F11">
              <w:rPr>
                <w:rFonts w:ascii="Arial" w:hAnsi="Arial" w:cs="Arial"/>
                <w:iCs/>
              </w:rPr>
              <w:t xml:space="preserve"> enteral nutrition</w:t>
            </w:r>
            <w:r w:rsidR="00AF18FB">
              <w:rPr>
                <w:rFonts w:ascii="Arial" w:hAnsi="Arial" w:cs="Arial"/>
                <w:iCs/>
              </w:rPr>
              <w:t xml:space="preserve">. </w:t>
            </w:r>
            <w:r w:rsidR="00386B36">
              <w:rPr>
                <w:rFonts w:ascii="Arial" w:hAnsi="Arial" w:cs="Arial"/>
                <w:iCs/>
              </w:rPr>
              <w:t>T</w:t>
            </w:r>
            <w:r w:rsidRPr="00D70F11">
              <w:rPr>
                <w:rFonts w:ascii="Arial" w:hAnsi="Arial" w:cs="Arial"/>
                <w:iCs/>
              </w:rPr>
              <w:t xml:space="preserve">he PBAC considered </w:t>
            </w:r>
            <w:r w:rsidR="00AF18FB">
              <w:rPr>
                <w:rFonts w:ascii="Arial" w:hAnsi="Arial" w:cs="Arial"/>
                <w:iCs/>
              </w:rPr>
              <w:t xml:space="preserve">the </w:t>
            </w:r>
            <w:r w:rsidR="00386B36">
              <w:rPr>
                <w:rFonts w:ascii="Arial" w:hAnsi="Arial" w:cs="Arial"/>
                <w:iCs/>
              </w:rPr>
              <w:t>nominated</w:t>
            </w:r>
            <w:r w:rsidR="00AF18FB">
              <w:rPr>
                <w:rFonts w:ascii="Arial" w:hAnsi="Arial" w:cs="Arial"/>
                <w:iCs/>
              </w:rPr>
              <w:t xml:space="preserve"> comparators </w:t>
            </w:r>
            <w:r w:rsidR="00386B36">
              <w:rPr>
                <w:rFonts w:ascii="Arial" w:hAnsi="Arial" w:cs="Arial"/>
                <w:iCs/>
              </w:rPr>
              <w:t xml:space="preserve">to be inappropriate, </w:t>
            </w:r>
            <w:r w:rsidR="00AF18FB">
              <w:rPr>
                <w:rFonts w:ascii="Arial" w:hAnsi="Arial" w:cs="Arial"/>
                <w:iCs/>
              </w:rPr>
              <w:t xml:space="preserve">and </w:t>
            </w:r>
            <w:r w:rsidRPr="00D70F11">
              <w:rPr>
                <w:rFonts w:ascii="Arial" w:hAnsi="Arial" w:cs="Arial"/>
                <w:iCs/>
              </w:rPr>
              <w:t xml:space="preserve">that </w:t>
            </w:r>
            <w:r w:rsidR="00386B36">
              <w:rPr>
                <w:rFonts w:ascii="Arial" w:hAnsi="Arial" w:cs="Arial"/>
                <w:iCs/>
              </w:rPr>
              <w:t xml:space="preserve">the relevant comparators were </w:t>
            </w:r>
            <w:r w:rsidRPr="00D70F11">
              <w:rPr>
                <w:rFonts w:ascii="Arial" w:hAnsi="Arial" w:cs="Arial"/>
                <w:iCs/>
              </w:rPr>
              <w:t xml:space="preserve">standard enteral nutrition formulas for children </w:t>
            </w:r>
            <w:r w:rsidR="00386B36">
              <w:rPr>
                <w:rFonts w:ascii="Arial" w:hAnsi="Arial" w:cs="Arial"/>
                <w:iCs/>
              </w:rPr>
              <w:t>and</w:t>
            </w:r>
            <w:r w:rsidRPr="00D70F11">
              <w:rPr>
                <w:rFonts w:ascii="Arial" w:hAnsi="Arial" w:cs="Arial"/>
                <w:iCs/>
              </w:rPr>
              <w:t xml:space="preserve"> PBS-listed corticosteroids and other pharmacotherapies for CD </w:t>
            </w:r>
            <w:r w:rsidR="00386B36">
              <w:rPr>
                <w:rFonts w:ascii="Arial" w:hAnsi="Arial" w:cs="Arial"/>
                <w:iCs/>
              </w:rPr>
              <w:t>for adults</w:t>
            </w:r>
            <w:r w:rsidR="00AF18FB">
              <w:rPr>
                <w:rFonts w:ascii="Arial" w:hAnsi="Arial" w:cs="Arial"/>
                <w:iCs/>
              </w:rPr>
              <w:t>.</w:t>
            </w:r>
            <w:r w:rsidR="00386B36">
              <w:rPr>
                <w:rFonts w:ascii="Arial" w:hAnsi="Arial" w:cs="Arial"/>
                <w:iCs/>
              </w:rPr>
              <w:t xml:space="preserve"> </w:t>
            </w:r>
            <w:r w:rsidR="00AF18FB">
              <w:rPr>
                <w:rFonts w:ascii="Arial" w:hAnsi="Arial" w:cs="Arial"/>
                <w:iCs/>
              </w:rPr>
              <w:t>The PBAC considered there to be u</w:t>
            </w:r>
            <w:r w:rsidRPr="00D70F11">
              <w:rPr>
                <w:rFonts w:ascii="Arial" w:hAnsi="Arial" w:cs="Arial"/>
                <w:iCs/>
              </w:rPr>
              <w:t>ncertain evidence of clinical benefit</w:t>
            </w:r>
            <w:r w:rsidR="00AF18FB">
              <w:rPr>
                <w:rFonts w:ascii="Arial" w:hAnsi="Arial" w:cs="Arial"/>
                <w:iCs/>
              </w:rPr>
              <w:t xml:space="preserve"> and as such</w:t>
            </w:r>
            <w:r w:rsidRPr="00D70F11">
              <w:rPr>
                <w:rFonts w:ascii="Arial" w:hAnsi="Arial" w:cs="Arial"/>
                <w:iCs/>
              </w:rPr>
              <w:t>, considered it was not possible to evaluate the comparative effectiveness and safety of Modulen IBD</w:t>
            </w:r>
            <w:r w:rsidR="00AF18FB" w:rsidRPr="00D70F11">
              <w:rPr>
                <w:rFonts w:ascii="Arial" w:hAnsi="Arial" w:cs="Arial"/>
                <w:color w:val="000000"/>
              </w:rPr>
              <w:t>®</w:t>
            </w:r>
            <w:r w:rsidRPr="00D70F11">
              <w:rPr>
                <w:rFonts w:ascii="Arial" w:hAnsi="Arial" w:cs="Arial"/>
                <w:iCs/>
              </w:rPr>
              <w:t xml:space="preserve"> with relevant alternatives.</w:t>
            </w:r>
          </w:p>
        </w:tc>
      </w:tr>
      <w:tr w:rsidR="002B4D46" w:rsidRPr="00D70F11" w14:paraId="34B6510D" w14:textId="77777777" w:rsidTr="005F14E9">
        <w:trPr>
          <w:cantSplit/>
          <w:trHeight w:val="465"/>
        </w:trPr>
        <w:tc>
          <w:tcPr>
            <w:tcW w:w="880" w:type="pct"/>
            <w:vMerge/>
            <w:tcMar>
              <w:top w:w="28" w:type="dxa"/>
              <w:bottom w:w="28" w:type="dxa"/>
            </w:tcMar>
          </w:tcPr>
          <w:p w14:paraId="35903F7B" w14:textId="77777777" w:rsidR="002B4D46" w:rsidRPr="00D70F11" w:rsidRDefault="002B4D46" w:rsidP="002B4D46">
            <w:pPr>
              <w:rPr>
                <w:rFonts w:ascii="Arial" w:hAnsi="Arial" w:cs="Arial"/>
              </w:rPr>
            </w:pPr>
          </w:p>
        </w:tc>
        <w:tc>
          <w:tcPr>
            <w:tcW w:w="787" w:type="pct"/>
            <w:vMerge/>
          </w:tcPr>
          <w:p w14:paraId="79E01856" w14:textId="77777777" w:rsidR="002B4D46" w:rsidRPr="00D70F11" w:rsidRDefault="002B4D46" w:rsidP="002B4D46">
            <w:pPr>
              <w:widowControl w:val="0"/>
              <w:rPr>
                <w:rFonts w:ascii="Arial" w:hAnsi="Arial" w:cs="Arial"/>
                <w:snapToGrid w:val="0"/>
                <w:lang w:eastAsia="en-US"/>
              </w:rPr>
            </w:pPr>
          </w:p>
        </w:tc>
        <w:tc>
          <w:tcPr>
            <w:tcW w:w="1065" w:type="pct"/>
            <w:tcMar>
              <w:top w:w="28" w:type="dxa"/>
              <w:bottom w:w="28" w:type="dxa"/>
            </w:tcMar>
          </w:tcPr>
          <w:p w14:paraId="2512A676" w14:textId="349ED874" w:rsidR="002B4D46" w:rsidRPr="00D70F11" w:rsidRDefault="00EC7272" w:rsidP="002B4D46">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2B4D46" w:rsidRPr="00D70F11">
              <w:rPr>
                <w:rFonts w:ascii="Arial" w:hAnsi="Arial" w:cs="Arial"/>
                <w:snapToGrid w:val="0"/>
                <w:sz w:val="20"/>
                <w:szCs w:val="20"/>
                <w:lang w:eastAsia="en-US"/>
              </w:rPr>
              <w:t>omment:</w:t>
            </w:r>
          </w:p>
        </w:tc>
        <w:tc>
          <w:tcPr>
            <w:tcW w:w="2268" w:type="pct"/>
          </w:tcPr>
          <w:p w14:paraId="5788C339" w14:textId="7664611D" w:rsidR="002B4D46" w:rsidRPr="00D70F11" w:rsidRDefault="002B4B34" w:rsidP="002B4D46">
            <w:pPr>
              <w:pStyle w:val="ListParagraph"/>
              <w:ind w:left="0"/>
              <w:jc w:val="both"/>
              <w:rPr>
                <w:rFonts w:ascii="Arial" w:hAnsi="Arial" w:cs="Arial"/>
                <w:iCs/>
                <w:sz w:val="20"/>
                <w:szCs w:val="20"/>
              </w:rPr>
            </w:pPr>
            <w:r>
              <w:rPr>
                <w:rFonts w:ascii="Arial" w:hAnsi="Arial" w:cs="Arial"/>
                <w:iCs/>
                <w:sz w:val="20"/>
                <w:szCs w:val="20"/>
              </w:rPr>
              <w:t>The sponsor had no comment.</w:t>
            </w:r>
          </w:p>
        </w:tc>
      </w:tr>
      <w:tr w:rsidR="00F10A31" w:rsidRPr="00D70F11" w14:paraId="61009ED3" w14:textId="77777777" w:rsidTr="005F14E9">
        <w:trPr>
          <w:cantSplit/>
          <w:trHeight w:val="2343"/>
        </w:trPr>
        <w:tc>
          <w:tcPr>
            <w:tcW w:w="880" w:type="pct"/>
            <w:vMerge w:val="restart"/>
            <w:tcMar>
              <w:top w:w="28" w:type="dxa"/>
              <w:bottom w:w="28" w:type="dxa"/>
            </w:tcMar>
          </w:tcPr>
          <w:p w14:paraId="57986405" w14:textId="3CB8DA4A" w:rsidR="00F10A31" w:rsidRPr="008B7D52" w:rsidRDefault="00F10A31" w:rsidP="00F10A31">
            <w:pPr>
              <w:rPr>
                <w:rFonts w:ascii="Arial" w:hAnsi="Arial" w:cs="Arial"/>
                <w:color w:val="000000"/>
              </w:rPr>
            </w:pPr>
            <w:r w:rsidRPr="00D70F11">
              <w:rPr>
                <w:rFonts w:ascii="Arial" w:hAnsi="Arial" w:cs="Arial"/>
                <w:color w:val="000000"/>
              </w:rPr>
              <w:lastRenderedPageBreak/>
              <w:t>TRIGLYCERIDES MEDIUM CHAIN FORMULA</w:t>
            </w:r>
            <w:r w:rsidRPr="00D70F11">
              <w:rPr>
                <w:rFonts w:ascii="Arial" w:hAnsi="Arial" w:cs="Arial"/>
                <w:color w:val="000000"/>
              </w:rPr>
              <w:br/>
            </w:r>
            <w:r w:rsidRPr="00D70F11">
              <w:rPr>
                <w:rFonts w:ascii="Arial" w:hAnsi="Arial" w:cs="Arial"/>
                <w:color w:val="000000"/>
              </w:rPr>
              <w:br/>
              <w:t>Oral powder 400 g</w:t>
            </w:r>
            <w:r w:rsidRPr="00D70F11">
              <w:rPr>
                <w:rFonts w:ascii="Arial" w:hAnsi="Arial" w:cs="Arial"/>
                <w:color w:val="000000"/>
              </w:rPr>
              <w:br/>
            </w:r>
            <w:r w:rsidRPr="00D70F11">
              <w:rPr>
                <w:rFonts w:ascii="Arial" w:hAnsi="Arial" w:cs="Arial"/>
                <w:color w:val="000000"/>
              </w:rPr>
              <w:br/>
              <w:t>Peptamen Junior®</w:t>
            </w:r>
            <w:r w:rsidRPr="00D70F11">
              <w:rPr>
                <w:rFonts w:ascii="Arial" w:hAnsi="Arial" w:cs="Arial"/>
                <w:color w:val="000000"/>
              </w:rPr>
              <w:br/>
            </w:r>
            <w:r w:rsidRPr="00D70F11">
              <w:rPr>
                <w:rFonts w:ascii="Arial" w:hAnsi="Arial" w:cs="Arial"/>
                <w:color w:val="000000"/>
              </w:rPr>
              <w:br/>
              <w:t>Nestle Health Science</w:t>
            </w:r>
            <w:r w:rsidRPr="00D70F11">
              <w:rPr>
                <w:rFonts w:ascii="Arial" w:hAnsi="Arial" w:cs="Arial"/>
                <w:color w:val="000000"/>
              </w:rPr>
              <w:br/>
            </w:r>
            <w:r w:rsidRPr="00D70F11">
              <w:rPr>
                <w:rFonts w:ascii="Arial" w:hAnsi="Arial" w:cs="Arial"/>
                <w:color w:val="000000"/>
              </w:rPr>
              <w:br/>
              <w:t>Change to listing</w:t>
            </w:r>
            <w:r w:rsidRPr="00D70F11">
              <w:rPr>
                <w:rFonts w:ascii="Arial" w:hAnsi="Arial" w:cs="Arial"/>
                <w:color w:val="000000"/>
              </w:rPr>
              <w:br/>
              <w:t>(Minor Submission)</w:t>
            </w:r>
          </w:p>
        </w:tc>
        <w:tc>
          <w:tcPr>
            <w:tcW w:w="787" w:type="pct"/>
            <w:vMerge w:val="restart"/>
          </w:tcPr>
          <w:p w14:paraId="1ED40A23" w14:textId="77777777" w:rsidR="00F10A31" w:rsidRPr="00D70F11" w:rsidRDefault="00F10A31" w:rsidP="00F10A31">
            <w:pPr>
              <w:rPr>
                <w:rFonts w:ascii="Arial" w:hAnsi="Arial" w:cs="Arial"/>
                <w:color w:val="000000"/>
              </w:rPr>
            </w:pPr>
            <w:r w:rsidRPr="00D70F11">
              <w:rPr>
                <w:rFonts w:ascii="Arial" w:hAnsi="Arial" w:cs="Arial"/>
                <w:color w:val="000000"/>
              </w:rPr>
              <w:t>Dietary management of conditions requiring a source of medium chain triglycerides</w:t>
            </w:r>
          </w:p>
          <w:p w14:paraId="0C41FCA5" w14:textId="64E0316A" w:rsidR="00F10A31" w:rsidRPr="00D70F11" w:rsidRDefault="00F10A31" w:rsidP="00F10A31">
            <w:pPr>
              <w:rPr>
                <w:rFonts w:ascii="Arial" w:hAnsi="Arial" w:cs="Arial"/>
              </w:rPr>
            </w:pPr>
          </w:p>
        </w:tc>
        <w:tc>
          <w:tcPr>
            <w:tcW w:w="1065" w:type="pct"/>
            <w:tcBorders>
              <w:bottom w:val="single" w:sz="4" w:space="0" w:color="auto"/>
            </w:tcBorders>
            <w:tcMar>
              <w:top w:w="28" w:type="dxa"/>
              <w:bottom w:w="28" w:type="dxa"/>
            </w:tcMar>
          </w:tcPr>
          <w:p w14:paraId="5A85FDD6" w14:textId="551FF6E5" w:rsidR="00F10A31" w:rsidRPr="00D70F11" w:rsidRDefault="00F10A31" w:rsidP="00F10A31">
            <w:pPr>
              <w:rPr>
                <w:rFonts w:ascii="Arial" w:hAnsi="Arial" w:cs="Arial"/>
                <w:color w:val="000000"/>
              </w:rPr>
            </w:pPr>
            <w:r w:rsidRPr="00D70F11">
              <w:rPr>
                <w:rFonts w:ascii="Arial" w:hAnsi="Arial" w:cs="Arial"/>
                <w:color w:val="000000"/>
              </w:rPr>
              <w:t>To request an extension of the current Restricted Benefit listing to include critically or chronically ill paediatric patients who are dependent on nutritional support therapy.</w:t>
            </w:r>
          </w:p>
        </w:tc>
        <w:tc>
          <w:tcPr>
            <w:tcW w:w="2268" w:type="pct"/>
            <w:tcBorders>
              <w:bottom w:val="single" w:sz="4" w:space="0" w:color="auto"/>
            </w:tcBorders>
          </w:tcPr>
          <w:p w14:paraId="1F6E2EA8" w14:textId="0E592EF1" w:rsidR="00F10A31" w:rsidRPr="00D70F11" w:rsidRDefault="005F62E4" w:rsidP="00286C93">
            <w:pPr>
              <w:spacing w:after="120"/>
              <w:rPr>
                <w:rFonts w:ascii="Arial" w:hAnsi="Arial" w:cs="Arial"/>
                <w:iCs/>
              </w:rPr>
            </w:pPr>
            <w:r w:rsidRPr="00D70F11">
              <w:rPr>
                <w:rFonts w:ascii="Arial" w:hAnsi="Arial" w:cs="Arial"/>
                <w:iCs/>
              </w:rPr>
              <w:t>The PBAC did not recommend Peptamen Junior</w:t>
            </w:r>
            <w:r w:rsidR="00B75648" w:rsidRPr="00D70F11">
              <w:rPr>
                <w:rFonts w:ascii="Arial" w:hAnsi="Arial" w:cs="Arial"/>
                <w:color w:val="000000"/>
              </w:rPr>
              <w:t>®</w:t>
            </w:r>
            <w:r w:rsidRPr="00D70F11">
              <w:rPr>
                <w:rFonts w:ascii="Arial" w:hAnsi="Arial" w:cs="Arial"/>
                <w:iCs/>
              </w:rPr>
              <w:t xml:space="preserve"> for the dietary management of malnutrition and</w:t>
            </w:r>
            <w:r w:rsidR="00286C93">
              <w:rPr>
                <w:rFonts w:ascii="Arial" w:hAnsi="Arial" w:cs="Arial"/>
                <w:iCs/>
              </w:rPr>
              <w:t>/or</w:t>
            </w:r>
            <w:r w:rsidRPr="00D70F11">
              <w:rPr>
                <w:rFonts w:ascii="Arial" w:hAnsi="Arial" w:cs="Arial"/>
                <w:iCs/>
              </w:rPr>
              <w:t xml:space="preserve"> intolerance to conventional enteral nutrition formulas for critically or chronically ill paediatric patients who are dependent on nutritional therapy due to short bowel syndrome, neurological impairment (e.g. cerebral palsy), cystic fibrosis, Crohn’s disease, malabsorption, chronic diarrhoea, HIV/AIDS, burns </w:t>
            </w:r>
            <w:r w:rsidR="00286C93">
              <w:rPr>
                <w:rFonts w:ascii="Arial" w:hAnsi="Arial" w:cs="Arial"/>
                <w:iCs/>
              </w:rPr>
              <w:t>or</w:t>
            </w:r>
            <w:r w:rsidR="00286C93" w:rsidRPr="00D70F11">
              <w:rPr>
                <w:rFonts w:ascii="Arial" w:hAnsi="Arial" w:cs="Arial"/>
                <w:iCs/>
              </w:rPr>
              <w:t xml:space="preserve"> </w:t>
            </w:r>
            <w:r w:rsidRPr="00D70F11">
              <w:rPr>
                <w:rFonts w:ascii="Arial" w:hAnsi="Arial" w:cs="Arial"/>
                <w:iCs/>
              </w:rPr>
              <w:t>cancer. The PBAC considered that the population was poorly defined</w:t>
            </w:r>
            <w:r w:rsidR="00286C93">
              <w:rPr>
                <w:rFonts w:ascii="Arial" w:hAnsi="Arial" w:cs="Arial"/>
                <w:iCs/>
              </w:rPr>
              <w:t>,</w:t>
            </w:r>
            <w:r w:rsidRPr="00D70F11">
              <w:rPr>
                <w:rFonts w:ascii="Arial" w:hAnsi="Arial" w:cs="Arial"/>
                <w:iCs/>
              </w:rPr>
              <w:t xml:space="preserve"> and that the submission had nominated an </w:t>
            </w:r>
            <w:r w:rsidR="00286C93">
              <w:rPr>
                <w:rFonts w:ascii="Arial" w:hAnsi="Arial" w:cs="Arial"/>
                <w:iCs/>
              </w:rPr>
              <w:t>inappropriate</w:t>
            </w:r>
            <w:r w:rsidR="00286C93" w:rsidRPr="00D70F11">
              <w:rPr>
                <w:rFonts w:ascii="Arial" w:hAnsi="Arial" w:cs="Arial"/>
                <w:iCs/>
              </w:rPr>
              <w:t xml:space="preserve"> </w:t>
            </w:r>
            <w:r w:rsidRPr="00D70F11">
              <w:rPr>
                <w:rFonts w:ascii="Arial" w:hAnsi="Arial" w:cs="Arial"/>
                <w:iCs/>
              </w:rPr>
              <w:t xml:space="preserve">comparator </w:t>
            </w:r>
            <w:r w:rsidR="00286C93">
              <w:rPr>
                <w:rFonts w:ascii="Arial" w:hAnsi="Arial" w:cs="Arial"/>
                <w:iCs/>
              </w:rPr>
              <w:t xml:space="preserve">and </w:t>
            </w:r>
            <w:r w:rsidRPr="00D70F11">
              <w:rPr>
                <w:rFonts w:ascii="Arial" w:hAnsi="Arial" w:cs="Arial"/>
                <w:iCs/>
              </w:rPr>
              <w:t>failed to demonstrate a clinical need for the requested listing.</w:t>
            </w:r>
          </w:p>
        </w:tc>
      </w:tr>
      <w:tr w:rsidR="008B7D52" w:rsidRPr="00D70F11" w14:paraId="4C21C5F8" w14:textId="77777777" w:rsidTr="005F14E9">
        <w:trPr>
          <w:cantSplit/>
          <w:trHeight w:val="224"/>
        </w:trPr>
        <w:tc>
          <w:tcPr>
            <w:tcW w:w="880" w:type="pct"/>
            <w:vMerge/>
            <w:tcMar>
              <w:top w:w="28" w:type="dxa"/>
              <w:bottom w:w="28" w:type="dxa"/>
            </w:tcMar>
          </w:tcPr>
          <w:p w14:paraId="6FD9DC8A" w14:textId="77777777" w:rsidR="008B7D52" w:rsidRPr="00D70F11" w:rsidRDefault="008B7D52" w:rsidP="00F10A31">
            <w:pPr>
              <w:rPr>
                <w:rFonts w:ascii="Arial" w:hAnsi="Arial" w:cs="Arial"/>
              </w:rPr>
            </w:pPr>
          </w:p>
        </w:tc>
        <w:tc>
          <w:tcPr>
            <w:tcW w:w="787" w:type="pct"/>
            <w:vMerge/>
          </w:tcPr>
          <w:p w14:paraId="13EE9CD0" w14:textId="77777777" w:rsidR="008B7D52" w:rsidRPr="00D70F11" w:rsidRDefault="008B7D52" w:rsidP="00F10A31">
            <w:pPr>
              <w:widowControl w:val="0"/>
              <w:rPr>
                <w:rFonts w:ascii="Arial" w:hAnsi="Arial" w:cs="Arial"/>
                <w:snapToGrid w:val="0"/>
                <w:lang w:eastAsia="en-US"/>
              </w:rPr>
            </w:pPr>
          </w:p>
        </w:tc>
        <w:tc>
          <w:tcPr>
            <w:tcW w:w="1065" w:type="pct"/>
            <w:tcMar>
              <w:top w:w="28" w:type="dxa"/>
              <w:bottom w:w="28" w:type="dxa"/>
            </w:tcMar>
          </w:tcPr>
          <w:p w14:paraId="440282A5" w14:textId="37D04533" w:rsidR="008B7D52" w:rsidRPr="00D70F11" w:rsidRDefault="00EC7272" w:rsidP="00F10A31">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8B7D52" w:rsidRPr="00D70F11">
              <w:rPr>
                <w:rFonts w:ascii="Arial" w:hAnsi="Arial" w:cs="Arial"/>
                <w:snapToGrid w:val="0"/>
                <w:sz w:val="20"/>
                <w:szCs w:val="20"/>
                <w:lang w:eastAsia="en-US"/>
              </w:rPr>
              <w:t>omment:</w:t>
            </w:r>
          </w:p>
        </w:tc>
        <w:tc>
          <w:tcPr>
            <w:tcW w:w="2268" w:type="pct"/>
          </w:tcPr>
          <w:p w14:paraId="2F5ADECA" w14:textId="780ED4B6" w:rsidR="008B7D52" w:rsidRPr="00D70F11" w:rsidRDefault="008B7D52" w:rsidP="00F10A31">
            <w:pPr>
              <w:pStyle w:val="ListParagraph"/>
              <w:ind w:left="0"/>
              <w:jc w:val="both"/>
              <w:rPr>
                <w:rFonts w:ascii="Arial" w:hAnsi="Arial" w:cs="Arial"/>
                <w:iCs/>
                <w:sz w:val="20"/>
                <w:szCs w:val="20"/>
              </w:rPr>
            </w:pPr>
            <w:r>
              <w:rPr>
                <w:rFonts w:ascii="Arial" w:hAnsi="Arial" w:cs="Arial"/>
                <w:iCs/>
                <w:sz w:val="20"/>
                <w:szCs w:val="20"/>
              </w:rPr>
              <w:t>The sponsor had no comment.</w:t>
            </w:r>
          </w:p>
        </w:tc>
      </w:tr>
      <w:tr w:rsidR="00F10A31" w:rsidRPr="00D70F11" w14:paraId="3475C0E3" w14:textId="77777777" w:rsidTr="005F14E9">
        <w:trPr>
          <w:cantSplit/>
          <w:trHeight w:val="2341"/>
        </w:trPr>
        <w:tc>
          <w:tcPr>
            <w:tcW w:w="880" w:type="pct"/>
            <w:vMerge w:val="restart"/>
            <w:tcMar>
              <w:top w:w="28" w:type="dxa"/>
              <w:bottom w:w="28" w:type="dxa"/>
            </w:tcMar>
          </w:tcPr>
          <w:p w14:paraId="57C42435" w14:textId="04B247A1" w:rsidR="00F10A31" w:rsidRPr="008B7D52" w:rsidRDefault="00F10A31" w:rsidP="00F10A31">
            <w:pPr>
              <w:rPr>
                <w:rFonts w:ascii="Arial" w:hAnsi="Arial" w:cs="Arial"/>
                <w:color w:val="000000"/>
              </w:rPr>
            </w:pPr>
            <w:r w:rsidRPr="00D70F11">
              <w:rPr>
                <w:rFonts w:ascii="Arial" w:hAnsi="Arial" w:cs="Arial"/>
                <w:color w:val="000000"/>
              </w:rPr>
              <w:t>VENETOCLAX</w:t>
            </w:r>
            <w:r w:rsidRPr="00D70F11">
              <w:rPr>
                <w:rFonts w:ascii="Arial" w:hAnsi="Arial" w:cs="Arial"/>
                <w:color w:val="000000"/>
              </w:rPr>
              <w:br/>
            </w:r>
            <w:r w:rsidRPr="00D70F11">
              <w:rPr>
                <w:rFonts w:ascii="Arial" w:hAnsi="Arial" w:cs="Arial"/>
                <w:color w:val="000000"/>
              </w:rPr>
              <w:br/>
              <w:t>Pack containing 14 tablets venetoclax 10 mg and 7 tablets venetoclax 50 mg and 7 tablets venetoclax 100 mg and 14  tablets venetoclax 100 mg</w:t>
            </w:r>
            <w:r w:rsidRPr="00D70F11">
              <w:rPr>
                <w:rFonts w:ascii="Arial" w:hAnsi="Arial" w:cs="Arial"/>
                <w:color w:val="000000"/>
              </w:rPr>
              <w:br/>
              <w:t>Tablet 10 mg</w:t>
            </w:r>
            <w:r w:rsidRPr="00D70F11">
              <w:rPr>
                <w:rFonts w:ascii="Arial" w:hAnsi="Arial" w:cs="Arial"/>
                <w:color w:val="000000"/>
              </w:rPr>
              <w:br/>
              <w:t>Tablet 50 mg</w:t>
            </w:r>
            <w:r w:rsidRPr="00D70F11">
              <w:rPr>
                <w:rFonts w:ascii="Arial" w:hAnsi="Arial" w:cs="Arial"/>
                <w:color w:val="000000"/>
              </w:rPr>
              <w:br/>
              <w:t>Tablet 100 mg</w:t>
            </w:r>
            <w:r w:rsidRPr="00D70F11">
              <w:rPr>
                <w:rFonts w:ascii="Arial" w:hAnsi="Arial" w:cs="Arial"/>
                <w:color w:val="000000"/>
              </w:rPr>
              <w:br/>
            </w:r>
            <w:r w:rsidRPr="00D70F11">
              <w:rPr>
                <w:rFonts w:ascii="Arial" w:hAnsi="Arial" w:cs="Arial"/>
                <w:color w:val="000000"/>
              </w:rPr>
              <w:br/>
            </w:r>
            <w:r w:rsidRPr="00D70F11">
              <w:rPr>
                <w:rFonts w:ascii="Arial" w:hAnsi="Arial" w:cs="Arial"/>
                <w:color w:val="000000"/>
              </w:rPr>
              <w:br/>
              <w:t>Venclexta®</w:t>
            </w:r>
            <w:r w:rsidRPr="00D70F11">
              <w:rPr>
                <w:rFonts w:ascii="Arial" w:hAnsi="Arial" w:cs="Arial"/>
                <w:color w:val="000000"/>
              </w:rPr>
              <w:br/>
            </w:r>
            <w:r w:rsidRPr="00D70F11">
              <w:rPr>
                <w:rFonts w:ascii="Arial" w:hAnsi="Arial" w:cs="Arial"/>
                <w:color w:val="000000"/>
              </w:rPr>
              <w:br/>
              <w:t>AbbVie Pty Ltd</w:t>
            </w:r>
            <w:r w:rsidRPr="00D70F11">
              <w:rPr>
                <w:rFonts w:ascii="Arial" w:hAnsi="Arial" w:cs="Arial"/>
                <w:color w:val="000000"/>
              </w:rPr>
              <w:br/>
            </w:r>
            <w:r w:rsidRPr="00D70F11">
              <w:rPr>
                <w:rFonts w:ascii="Arial" w:hAnsi="Arial" w:cs="Arial"/>
                <w:color w:val="000000"/>
              </w:rPr>
              <w:br/>
              <w:t>Change to listing</w:t>
            </w:r>
            <w:r w:rsidRPr="00D70F11">
              <w:rPr>
                <w:rFonts w:ascii="Arial" w:hAnsi="Arial" w:cs="Arial"/>
                <w:color w:val="000000"/>
              </w:rPr>
              <w:br/>
              <w:t>(Major Submission)</w:t>
            </w:r>
          </w:p>
        </w:tc>
        <w:tc>
          <w:tcPr>
            <w:tcW w:w="787" w:type="pct"/>
            <w:vMerge w:val="restart"/>
          </w:tcPr>
          <w:p w14:paraId="764D388B" w14:textId="77777777" w:rsidR="00F10A31" w:rsidRPr="00D70F11" w:rsidRDefault="00F10A31" w:rsidP="00F10A31">
            <w:pPr>
              <w:rPr>
                <w:rFonts w:ascii="Arial" w:hAnsi="Arial" w:cs="Arial"/>
                <w:color w:val="000000"/>
              </w:rPr>
            </w:pPr>
            <w:r w:rsidRPr="00D70F11">
              <w:rPr>
                <w:rFonts w:ascii="Arial" w:hAnsi="Arial" w:cs="Arial"/>
                <w:color w:val="000000"/>
              </w:rPr>
              <w:t>Chronic lymphocytic leukaemia (CLL)</w:t>
            </w:r>
          </w:p>
          <w:p w14:paraId="1AADE278" w14:textId="1847AB1B" w:rsidR="00F10A31" w:rsidRPr="00D70F11" w:rsidRDefault="00F10A31" w:rsidP="00F10A31">
            <w:pPr>
              <w:rPr>
                <w:rFonts w:ascii="Arial" w:hAnsi="Arial" w:cs="Arial"/>
              </w:rPr>
            </w:pPr>
          </w:p>
        </w:tc>
        <w:tc>
          <w:tcPr>
            <w:tcW w:w="1065" w:type="pct"/>
            <w:tcBorders>
              <w:top w:val="single" w:sz="4" w:space="0" w:color="auto"/>
            </w:tcBorders>
            <w:tcMar>
              <w:top w:w="28" w:type="dxa"/>
              <w:bottom w:w="28" w:type="dxa"/>
            </w:tcMar>
          </w:tcPr>
          <w:p w14:paraId="569274F8" w14:textId="77777777" w:rsidR="00F10A31" w:rsidRPr="00D70F11" w:rsidRDefault="00F10A31" w:rsidP="00F10A31">
            <w:pPr>
              <w:rPr>
                <w:rFonts w:ascii="Arial" w:hAnsi="Arial" w:cs="Arial"/>
                <w:color w:val="000000"/>
              </w:rPr>
            </w:pPr>
            <w:r w:rsidRPr="00D70F11">
              <w:rPr>
                <w:rFonts w:ascii="Arial" w:hAnsi="Arial" w:cs="Arial"/>
                <w:color w:val="000000"/>
              </w:rPr>
              <w:t>To request an Authority Required (STREAMLINED) listing, in combination with obinutuzumab, for the first-line treatment of patients with CLL who have coexisting conditions and are unsuitable for fludarabine based chemotherapy.</w:t>
            </w:r>
          </w:p>
          <w:p w14:paraId="1BD5C793" w14:textId="1BC96580" w:rsidR="00F10A31" w:rsidRPr="00D70F11" w:rsidRDefault="00F10A31" w:rsidP="00F10A31">
            <w:pPr>
              <w:rPr>
                <w:rFonts w:ascii="Arial" w:hAnsi="Arial" w:cs="Arial"/>
              </w:rPr>
            </w:pPr>
          </w:p>
        </w:tc>
        <w:tc>
          <w:tcPr>
            <w:tcW w:w="2268" w:type="pct"/>
          </w:tcPr>
          <w:p w14:paraId="364FF4F9" w14:textId="456D4146" w:rsidR="00F10A31" w:rsidRPr="00D70F11" w:rsidRDefault="00D70F11" w:rsidP="00CC5F59">
            <w:pPr>
              <w:pStyle w:val="ListParagraph"/>
              <w:spacing w:after="120"/>
              <w:ind w:left="0"/>
              <w:contextualSpacing w:val="0"/>
              <w:rPr>
                <w:rFonts w:ascii="Arial" w:hAnsi="Arial" w:cs="Arial"/>
                <w:iCs/>
                <w:sz w:val="20"/>
                <w:szCs w:val="20"/>
              </w:rPr>
            </w:pPr>
            <w:r w:rsidRPr="00D70F11">
              <w:rPr>
                <w:rFonts w:ascii="Arial" w:hAnsi="Arial" w:cs="Arial"/>
                <w:iCs/>
                <w:sz w:val="20"/>
                <w:szCs w:val="20"/>
              </w:rPr>
              <w:t>The PBAC did not recommend the listing of venetoclax in combination with obinutuzumab for the first-line treatment of patients with CLL who have coexisting conditions and are unsuitable for fludarabine based chemo-immunotherapy. The PBAC accepted that venetoclax + obinutuzumab was clinically superior to current first-line therapy for CLL in delaying progression. However, the PBAC considered that the incremental cost-effectiveness ratio was difficult to ascertain based on the model provided and would need to be revised</w:t>
            </w:r>
            <w:r w:rsidR="00CC5F59">
              <w:rPr>
                <w:rFonts w:ascii="Arial" w:hAnsi="Arial" w:cs="Arial"/>
                <w:iCs/>
                <w:sz w:val="20"/>
                <w:szCs w:val="20"/>
              </w:rPr>
              <w:t>.</w:t>
            </w:r>
            <w:r w:rsidRPr="00D70F11">
              <w:rPr>
                <w:rFonts w:ascii="Arial" w:hAnsi="Arial" w:cs="Arial"/>
                <w:iCs/>
                <w:sz w:val="20"/>
                <w:szCs w:val="20"/>
              </w:rPr>
              <w:t xml:space="preserve"> </w:t>
            </w:r>
            <w:r w:rsidR="00CC5F59">
              <w:rPr>
                <w:rFonts w:ascii="Arial" w:hAnsi="Arial" w:cs="Arial"/>
                <w:iCs/>
                <w:sz w:val="20"/>
                <w:szCs w:val="20"/>
              </w:rPr>
              <w:t xml:space="preserve">Additionally, </w:t>
            </w:r>
            <w:r w:rsidRPr="00D70F11">
              <w:rPr>
                <w:rFonts w:ascii="Arial" w:hAnsi="Arial" w:cs="Arial"/>
                <w:iCs/>
                <w:sz w:val="20"/>
                <w:szCs w:val="20"/>
              </w:rPr>
              <w:t>the financial estimates were highly uncertain.</w:t>
            </w:r>
          </w:p>
        </w:tc>
      </w:tr>
      <w:tr w:rsidR="00F10A31" w:rsidRPr="00D70F11" w14:paraId="5612F91C" w14:textId="77777777" w:rsidTr="005F14E9">
        <w:trPr>
          <w:cantSplit/>
          <w:trHeight w:val="659"/>
        </w:trPr>
        <w:tc>
          <w:tcPr>
            <w:tcW w:w="880" w:type="pct"/>
            <w:vMerge/>
            <w:tcMar>
              <w:top w:w="28" w:type="dxa"/>
              <w:bottom w:w="28" w:type="dxa"/>
            </w:tcMar>
          </w:tcPr>
          <w:p w14:paraId="2475826F" w14:textId="77777777" w:rsidR="00F10A31" w:rsidRPr="00D70F11" w:rsidRDefault="00F10A31" w:rsidP="00F10A31">
            <w:pPr>
              <w:rPr>
                <w:rFonts w:ascii="Arial" w:hAnsi="Arial" w:cs="Arial"/>
              </w:rPr>
            </w:pPr>
          </w:p>
        </w:tc>
        <w:tc>
          <w:tcPr>
            <w:tcW w:w="787" w:type="pct"/>
            <w:vMerge/>
          </w:tcPr>
          <w:p w14:paraId="4B19981E" w14:textId="77777777" w:rsidR="00F10A31" w:rsidRPr="00D70F11" w:rsidRDefault="00F10A31" w:rsidP="00F10A31">
            <w:pPr>
              <w:widowControl w:val="0"/>
              <w:rPr>
                <w:rFonts w:ascii="Arial" w:hAnsi="Arial" w:cs="Arial"/>
                <w:snapToGrid w:val="0"/>
                <w:lang w:eastAsia="en-US"/>
              </w:rPr>
            </w:pPr>
          </w:p>
        </w:tc>
        <w:tc>
          <w:tcPr>
            <w:tcW w:w="1065" w:type="pct"/>
            <w:tcMar>
              <w:top w:w="28" w:type="dxa"/>
              <w:bottom w:w="28" w:type="dxa"/>
            </w:tcMar>
          </w:tcPr>
          <w:p w14:paraId="2FED8ECA" w14:textId="42DFFE0C" w:rsidR="00F10A31" w:rsidRPr="00D70F11" w:rsidRDefault="00EC7272" w:rsidP="00F10A31">
            <w:pPr>
              <w:pStyle w:val="ListParagraph"/>
              <w:ind w:left="0"/>
              <w:jc w:val="right"/>
              <w:rPr>
                <w:rFonts w:ascii="Arial" w:hAnsi="Arial" w:cs="Arial"/>
                <w:snapToGrid w:val="0"/>
                <w:sz w:val="20"/>
                <w:szCs w:val="20"/>
                <w:lang w:eastAsia="en-US"/>
              </w:rPr>
            </w:pPr>
            <w:r>
              <w:rPr>
                <w:rFonts w:ascii="Arial" w:hAnsi="Arial" w:cs="Arial"/>
                <w:snapToGrid w:val="0"/>
                <w:sz w:val="20"/>
                <w:szCs w:val="20"/>
                <w:lang w:eastAsia="en-US"/>
              </w:rPr>
              <w:t>Sponsor’s c</w:t>
            </w:r>
            <w:r w:rsidR="00F10A31" w:rsidRPr="00D70F11">
              <w:rPr>
                <w:rFonts w:ascii="Arial" w:hAnsi="Arial" w:cs="Arial"/>
                <w:snapToGrid w:val="0"/>
                <w:sz w:val="20"/>
                <w:szCs w:val="20"/>
                <w:lang w:eastAsia="en-US"/>
              </w:rPr>
              <w:t>omment:</w:t>
            </w:r>
          </w:p>
        </w:tc>
        <w:tc>
          <w:tcPr>
            <w:tcW w:w="2268" w:type="pct"/>
          </w:tcPr>
          <w:p w14:paraId="478BB7B2" w14:textId="5560C562" w:rsidR="00F10A31" w:rsidRPr="001C1EF9" w:rsidRDefault="001C1EF9" w:rsidP="001C1EF9">
            <w:r>
              <w:rPr>
                <w:rFonts w:ascii="Arial" w:hAnsi="Arial" w:cs="Arial"/>
              </w:rPr>
              <w:t>AbbVie welcomes the PBAC’s acknowledgement that venetoclax + obinutuzumab is clinically superior to current first-line therapy for CLL however is disappointed with the recommendation to reject the submission. AbbVie will continue to work collaboratively with the PBAC to seek access for patients in need</w:t>
            </w:r>
            <w:r>
              <w:t>.</w:t>
            </w:r>
          </w:p>
        </w:tc>
      </w:tr>
    </w:tbl>
    <w:p w14:paraId="4081BEC2" w14:textId="77777777" w:rsidR="00640C80" w:rsidRPr="00D70F11" w:rsidRDefault="00640C80" w:rsidP="00640C80">
      <w:pPr>
        <w:tabs>
          <w:tab w:val="left" w:pos="5210"/>
        </w:tabs>
        <w:rPr>
          <w:rFonts w:ascii="Arial" w:hAnsi="Arial" w:cs="Arial"/>
          <w:lang w:val="en-US"/>
        </w:rPr>
      </w:pPr>
    </w:p>
    <w:sectPr w:rsidR="00640C80" w:rsidRPr="00D70F11"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F910F" w14:textId="77777777" w:rsidR="00AD0404" w:rsidRDefault="00AD0404">
      <w:r>
        <w:separator/>
      </w:r>
    </w:p>
  </w:endnote>
  <w:endnote w:type="continuationSeparator" w:id="0">
    <w:p w14:paraId="0B94B43F"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67BCB"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481329"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9180A" w14:textId="5054F95E"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5F14E9">
      <w:rPr>
        <w:rStyle w:val="PageNumber"/>
        <w:rFonts w:ascii="Arial" w:hAnsi="Arial" w:cs="Arial"/>
        <w:noProof/>
      </w:rPr>
      <w:t>2</w:t>
    </w:r>
    <w:r w:rsidRPr="00287C89">
      <w:rPr>
        <w:rStyle w:val="PageNumber"/>
        <w:rFonts w:ascii="Arial" w:hAnsi="Arial" w:cs="Arial"/>
      </w:rPr>
      <w:fldChar w:fldCharType="end"/>
    </w:r>
  </w:p>
  <w:p w14:paraId="5DEC0542" w14:textId="77777777" w:rsidR="005E1F3B" w:rsidRDefault="005E1F3B" w:rsidP="00FE2A81">
    <w:pPr>
      <w:pStyle w:val="Footer"/>
      <w:ind w:right="360"/>
    </w:pPr>
  </w:p>
  <w:p w14:paraId="429295B6" w14:textId="77777777"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F67AA" w14:textId="77777777" w:rsidR="00824394" w:rsidRDefault="00824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1AF80" w14:textId="77777777" w:rsidR="00AD0404" w:rsidRDefault="00AD0404">
      <w:r>
        <w:separator/>
      </w:r>
    </w:p>
  </w:footnote>
  <w:footnote w:type="continuationSeparator" w:id="0">
    <w:p w14:paraId="7F846E8F"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797BE" w14:textId="77777777" w:rsidR="00824394" w:rsidRDefault="008243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7A53" w14:textId="3D63AAFA" w:rsidR="0071356F" w:rsidRDefault="00824394" w:rsidP="0071356F">
    <w:pPr>
      <w:pStyle w:val="Header"/>
      <w:jc w:val="center"/>
      <w:rPr>
        <w:rFonts w:ascii="Arial" w:hAnsi="Arial" w:cs="Arial"/>
        <w:b/>
      </w:rPr>
    </w:pPr>
    <w:r>
      <w:rPr>
        <w:rFonts w:ascii="Arial" w:hAnsi="Arial" w:cs="Arial"/>
        <w:b/>
      </w:rPr>
      <w:t>MARCH 2020</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71356F" w:rsidRPr="0071356F">
      <w:rPr>
        <w:rFonts w:ascii="Arial" w:hAnsi="Arial" w:cs="Arial"/>
        <w:b/>
      </w:rPr>
      <w:t>1</w:t>
    </w:r>
    <w:r w:rsidR="0071356F" w:rsidRPr="0071356F">
      <w:rPr>
        <w:rFonts w:ascii="Arial" w:hAnsi="Arial" w:cs="Arial"/>
        <w:b/>
        <w:vertAlign w:val="superscript"/>
      </w:rPr>
      <w:t>ST</w:t>
    </w:r>
    <w:r w:rsidR="007F10B5">
      <w:rPr>
        <w:rFonts w:ascii="Arial" w:hAnsi="Arial" w:cs="Arial"/>
        <w:b/>
      </w:rPr>
      <w:t xml:space="preserve"> TIME</w:t>
    </w:r>
    <w:r w:rsidR="0071356F" w:rsidRPr="0071356F">
      <w:rPr>
        <w:rFonts w:ascii="Arial" w:hAnsi="Arial" w:cs="Arial"/>
        <w:b/>
      </w:rPr>
      <w:t xml:space="preserve"> DECISIONS NOT TO RECOMMEND</w:t>
    </w:r>
  </w:p>
  <w:p w14:paraId="0E28AC1B" w14:textId="77777777"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5DE2B" w14:textId="77777777" w:rsidR="00824394" w:rsidRDefault="00824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15:restartNumberingAfterBreak="0">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6" w15:restartNumberingAfterBreak="0">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3" w15:restartNumberingAfterBreak="0">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6" w15:restartNumberingAfterBreak="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1" w15:restartNumberingAfterBreak="0">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4" w15:restartNumberingAfterBreak="0">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7" w15:restartNumberingAfterBreak="0">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27"/>
  </w:num>
  <w:num w:numId="4">
    <w:abstractNumId w:val="21"/>
  </w:num>
  <w:num w:numId="5">
    <w:abstractNumId w:val="11"/>
  </w:num>
  <w:num w:numId="6">
    <w:abstractNumId w:val="6"/>
  </w:num>
  <w:num w:numId="7">
    <w:abstractNumId w:val="29"/>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2"/>
  </w:num>
  <w:num w:numId="11">
    <w:abstractNumId w:val="23"/>
  </w:num>
  <w:num w:numId="12">
    <w:abstractNumId w:val="25"/>
  </w:num>
  <w:num w:numId="13">
    <w:abstractNumId w:val="7"/>
  </w:num>
  <w:num w:numId="14">
    <w:abstractNumId w:val="24"/>
  </w:num>
  <w:num w:numId="15">
    <w:abstractNumId w:val="26"/>
  </w:num>
  <w:num w:numId="16">
    <w:abstractNumId w:val="22"/>
  </w:num>
  <w:num w:numId="17">
    <w:abstractNumId w:val="36"/>
  </w:num>
  <w:num w:numId="18">
    <w:abstractNumId w:val="38"/>
  </w:num>
  <w:num w:numId="19">
    <w:abstractNumId w:val="5"/>
  </w:num>
  <w:num w:numId="20">
    <w:abstractNumId w:val="12"/>
  </w:num>
  <w:num w:numId="21">
    <w:abstractNumId w:val="14"/>
  </w:num>
  <w:num w:numId="22">
    <w:abstractNumId w:val="34"/>
  </w:num>
  <w:num w:numId="23">
    <w:abstractNumId w:val="4"/>
  </w:num>
  <w:num w:numId="24">
    <w:abstractNumId w:val="17"/>
  </w:num>
  <w:num w:numId="25">
    <w:abstractNumId w:val="10"/>
  </w:num>
  <w:num w:numId="26">
    <w:abstractNumId w:val="8"/>
  </w:num>
  <w:num w:numId="27">
    <w:abstractNumId w:val="19"/>
  </w:num>
  <w:num w:numId="28">
    <w:abstractNumId w:val="20"/>
  </w:num>
  <w:num w:numId="29">
    <w:abstractNumId w:val="18"/>
  </w:num>
  <w:num w:numId="30">
    <w:abstractNumId w:val="37"/>
  </w:num>
  <w:num w:numId="31">
    <w:abstractNumId w:val="15"/>
  </w:num>
  <w:num w:numId="32">
    <w:abstractNumId w:val="30"/>
  </w:num>
  <w:num w:numId="33">
    <w:abstractNumId w:val="35"/>
  </w:num>
  <w:num w:numId="34">
    <w:abstractNumId w:val="33"/>
  </w:num>
  <w:num w:numId="35">
    <w:abstractNumId w:val="3"/>
  </w:num>
  <w:num w:numId="36">
    <w:abstractNumId w:val="31"/>
  </w:num>
  <w:num w:numId="37">
    <w:abstractNumId w:val="2"/>
  </w:num>
  <w:num w:numId="38">
    <w:abstractNumId w:val="16"/>
  </w:num>
  <w:num w:numId="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0A49"/>
    <w:rsid w:val="00031946"/>
    <w:rsid w:val="000322EC"/>
    <w:rsid w:val="00032AB9"/>
    <w:rsid w:val="00033D0B"/>
    <w:rsid w:val="00034086"/>
    <w:rsid w:val="00034121"/>
    <w:rsid w:val="000350A9"/>
    <w:rsid w:val="00035472"/>
    <w:rsid w:val="000365B0"/>
    <w:rsid w:val="00036CF7"/>
    <w:rsid w:val="00037F52"/>
    <w:rsid w:val="0004019D"/>
    <w:rsid w:val="000407E0"/>
    <w:rsid w:val="00041467"/>
    <w:rsid w:val="0004160D"/>
    <w:rsid w:val="00041F3D"/>
    <w:rsid w:val="00042593"/>
    <w:rsid w:val="00043C1D"/>
    <w:rsid w:val="00044146"/>
    <w:rsid w:val="00044BB4"/>
    <w:rsid w:val="00046725"/>
    <w:rsid w:val="000468C0"/>
    <w:rsid w:val="00046DA2"/>
    <w:rsid w:val="00050762"/>
    <w:rsid w:val="000507B9"/>
    <w:rsid w:val="00051AF5"/>
    <w:rsid w:val="0005661F"/>
    <w:rsid w:val="00057006"/>
    <w:rsid w:val="000575B4"/>
    <w:rsid w:val="000601EA"/>
    <w:rsid w:val="000603CB"/>
    <w:rsid w:val="0006084C"/>
    <w:rsid w:val="000608FE"/>
    <w:rsid w:val="000615B0"/>
    <w:rsid w:val="00061E01"/>
    <w:rsid w:val="0006239E"/>
    <w:rsid w:val="0006295A"/>
    <w:rsid w:val="000643D0"/>
    <w:rsid w:val="00065195"/>
    <w:rsid w:val="000672D3"/>
    <w:rsid w:val="0006744F"/>
    <w:rsid w:val="00067A06"/>
    <w:rsid w:val="00067E91"/>
    <w:rsid w:val="00070204"/>
    <w:rsid w:val="00070612"/>
    <w:rsid w:val="000714CE"/>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88"/>
    <w:rsid w:val="000B36FE"/>
    <w:rsid w:val="000B372D"/>
    <w:rsid w:val="000B38D3"/>
    <w:rsid w:val="000B5120"/>
    <w:rsid w:val="000B5B24"/>
    <w:rsid w:val="000B6487"/>
    <w:rsid w:val="000B7A91"/>
    <w:rsid w:val="000B7F45"/>
    <w:rsid w:val="000C040A"/>
    <w:rsid w:val="000C0497"/>
    <w:rsid w:val="000C0E21"/>
    <w:rsid w:val="000C1BA1"/>
    <w:rsid w:val="000C219D"/>
    <w:rsid w:val="000C22B0"/>
    <w:rsid w:val="000C2786"/>
    <w:rsid w:val="000C3369"/>
    <w:rsid w:val="000C3CAA"/>
    <w:rsid w:val="000C45E3"/>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E84"/>
    <w:rsid w:val="000E21D8"/>
    <w:rsid w:val="000E2C73"/>
    <w:rsid w:val="000E2C8F"/>
    <w:rsid w:val="000E2EA3"/>
    <w:rsid w:val="000E4B3E"/>
    <w:rsid w:val="000E539F"/>
    <w:rsid w:val="000E6CF9"/>
    <w:rsid w:val="000E73BD"/>
    <w:rsid w:val="000F069C"/>
    <w:rsid w:val="000F0B27"/>
    <w:rsid w:val="000F1D4F"/>
    <w:rsid w:val="000F26BE"/>
    <w:rsid w:val="000F2E82"/>
    <w:rsid w:val="000F305F"/>
    <w:rsid w:val="000F3A4F"/>
    <w:rsid w:val="000F3D50"/>
    <w:rsid w:val="000F40BE"/>
    <w:rsid w:val="000F5D35"/>
    <w:rsid w:val="000F5DDE"/>
    <w:rsid w:val="000F7390"/>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20FAC"/>
    <w:rsid w:val="00121311"/>
    <w:rsid w:val="00121A8E"/>
    <w:rsid w:val="00121BF6"/>
    <w:rsid w:val="00124D80"/>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B3F"/>
    <w:rsid w:val="00136DF8"/>
    <w:rsid w:val="0013745F"/>
    <w:rsid w:val="00137894"/>
    <w:rsid w:val="00137CB8"/>
    <w:rsid w:val="00140035"/>
    <w:rsid w:val="00140465"/>
    <w:rsid w:val="00140E09"/>
    <w:rsid w:val="0014101A"/>
    <w:rsid w:val="0014142D"/>
    <w:rsid w:val="0014148A"/>
    <w:rsid w:val="00141FEB"/>
    <w:rsid w:val="00142EED"/>
    <w:rsid w:val="00143743"/>
    <w:rsid w:val="001437D5"/>
    <w:rsid w:val="00143E66"/>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38B"/>
    <w:rsid w:val="001919D3"/>
    <w:rsid w:val="001925E9"/>
    <w:rsid w:val="00192900"/>
    <w:rsid w:val="00193C35"/>
    <w:rsid w:val="0019441C"/>
    <w:rsid w:val="001950D9"/>
    <w:rsid w:val="00195379"/>
    <w:rsid w:val="00196144"/>
    <w:rsid w:val="001971B1"/>
    <w:rsid w:val="001971EA"/>
    <w:rsid w:val="00197975"/>
    <w:rsid w:val="001A0DC8"/>
    <w:rsid w:val="001A14F5"/>
    <w:rsid w:val="001A1777"/>
    <w:rsid w:val="001A1A8A"/>
    <w:rsid w:val="001A2649"/>
    <w:rsid w:val="001A307D"/>
    <w:rsid w:val="001A3986"/>
    <w:rsid w:val="001A3E19"/>
    <w:rsid w:val="001A4242"/>
    <w:rsid w:val="001A48FD"/>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009"/>
    <w:rsid w:val="001B54F0"/>
    <w:rsid w:val="001B5950"/>
    <w:rsid w:val="001B6AAD"/>
    <w:rsid w:val="001B71B5"/>
    <w:rsid w:val="001B78E2"/>
    <w:rsid w:val="001B7BF2"/>
    <w:rsid w:val="001B7EED"/>
    <w:rsid w:val="001C0289"/>
    <w:rsid w:val="001C181C"/>
    <w:rsid w:val="001C1EF9"/>
    <w:rsid w:val="001C27AF"/>
    <w:rsid w:val="001C3033"/>
    <w:rsid w:val="001C30BA"/>
    <w:rsid w:val="001C3403"/>
    <w:rsid w:val="001C3AAA"/>
    <w:rsid w:val="001C43B3"/>
    <w:rsid w:val="001C4834"/>
    <w:rsid w:val="001C4C95"/>
    <w:rsid w:val="001C5BA6"/>
    <w:rsid w:val="001D0229"/>
    <w:rsid w:val="001D028A"/>
    <w:rsid w:val="001D0868"/>
    <w:rsid w:val="001D1636"/>
    <w:rsid w:val="001D181F"/>
    <w:rsid w:val="001D2755"/>
    <w:rsid w:val="001D2F4D"/>
    <w:rsid w:val="001D39E8"/>
    <w:rsid w:val="001D4075"/>
    <w:rsid w:val="001D600F"/>
    <w:rsid w:val="001D6843"/>
    <w:rsid w:val="001D73EA"/>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C7C"/>
    <w:rsid w:val="002060A5"/>
    <w:rsid w:val="002068F5"/>
    <w:rsid w:val="002070E4"/>
    <w:rsid w:val="0020721C"/>
    <w:rsid w:val="002072C3"/>
    <w:rsid w:val="00207813"/>
    <w:rsid w:val="0020790A"/>
    <w:rsid w:val="00207E86"/>
    <w:rsid w:val="00210594"/>
    <w:rsid w:val="00210F65"/>
    <w:rsid w:val="00212939"/>
    <w:rsid w:val="00212B8B"/>
    <w:rsid w:val="0021371C"/>
    <w:rsid w:val="002139E7"/>
    <w:rsid w:val="002144A1"/>
    <w:rsid w:val="002147A6"/>
    <w:rsid w:val="00214861"/>
    <w:rsid w:val="00214D4B"/>
    <w:rsid w:val="00215739"/>
    <w:rsid w:val="002157B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922"/>
    <w:rsid w:val="00281B0A"/>
    <w:rsid w:val="00282CDE"/>
    <w:rsid w:val="00283073"/>
    <w:rsid w:val="0028348A"/>
    <w:rsid w:val="00285478"/>
    <w:rsid w:val="0028663C"/>
    <w:rsid w:val="00286C93"/>
    <w:rsid w:val="00287C89"/>
    <w:rsid w:val="002905B5"/>
    <w:rsid w:val="002911D8"/>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B34"/>
    <w:rsid w:val="002B4D46"/>
    <w:rsid w:val="002B5625"/>
    <w:rsid w:val="002B5F9C"/>
    <w:rsid w:val="002B614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D17"/>
    <w:rsid w:val="002D42A0"/>
    <w:rsid w:val="002D440D"/>
    <w:rsid w:val="002D4498"/>
    <w:rsid w:val="002D4C8C"/>
    <w:rsid w:val="002D545A"/>
    <w:rsid w:val="002D59E5"/>
    <w:rsid w:val="002D5C23"/>
    <w:rsid w:val="002D5CBC"/>
    <w:rsid w:val="002D5DC3"/>
    <w:rsid w:val="002D6B4D"/>
    <w:rsid w:val="002E0FD6"/>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22B8"/>
    <w:rsid w:val="003023C4"/>
    <w:rsid w:val="003023EB"/>
    <w:rsid w:val="003026B9"/>
    <w:rsid w:val="00302C73"/>
    <w:rsid w:val="003035B2"/>
    <w:rsid w:val="00303733"/>
    <w:rsid w:val="00303A2F"/>
    <w:rsid w:val="00303C94"/>
    <w:rsid w:val="00304BF7"/>
    <w:rsid w:val="00304FE8"/>
    <w:rsid w:val="0030527B"/>
    <w:rsid w:val="00305FA4"/>
    <w:rsid w:val="00310992"/>
    <w:rsid w:val="00311387"/>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50E2"/>
    <w:rsid w:val="0032569E"/>
    <w:rsid w:val="00326522"/>
    <w:rsid w:val="003270BF"/>
    <w:rsid w:val="00327A0C"/>
    <w:rsid w:val="003301A3"/>
    <w:rsid w:val="00330353"/>
    <w:rsid w:val="0033063D"/>
    <w:rsid w:val="00331DCA"/>
    <w:rsid w:val="00332129"/>
    <w:rsid w:val="0033322F"/>
    <w:rsid w:val="00334912"/>
    <w:rsid w:val="00335779"/>
    <w:rsid w:val="00336FF2"/>
    <w:rsid w:val="003376B5"/>
    <w:rsid w:val="003376DF"/>
    <w:rsid w:val="003402DF"/>
    <w:rsid w:val="00340D16"/>
    <w:rsid w:val="00340EB5"/>
    <w:rsid w:val="00341361"/>
    <w:rsid w:val="00343D26"/>
    <w:rsid w:val="00343D77"/>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8D7"/>
    <w:rsid w:val="003548F0"/>
    <w:rsid w:val="00354D94"/>
    <w:rsid w:val="003550C7"/>
    <w:rsid w:val="003566E9"/>
    <w:rsid w:val="00356F70"/>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360"/>
    <w:rsid w:val="0037737B"/>
    <w:rsid w:val="003777B8"/>
    <w:rsid w:val="00377BAD"/>
    <w:rsid w:val="00381DCB"/>
    <w:rsid w:val="00381F87"/>
    <w:rsid w:val="00383FF3"/>
    <w:rsid w:val="00384485"/>
    <w:rsid w:val="00384833"/>
    <w:rsid w:val="00384B1C"/>
    <w:rsid w:val="00384EA5"/>
    <w:rsid w:val="0038505C"/>
    <w:rsid w:val="00385BBE"/>
    <w:rsid w:val="00385D5C"/>
    <w:rsid w:val="00386843"/>
    <w:rsid w:val="00386B36"/>
    <w:rsid w:val="00386C4E"/>
    <w:rsid w:val="00386E5D"/>
    <w:rsid w:val="00387E97"/>
    <w:rsid w:val="003902C1"/>
    <w:rsid w:val="00390919"/>
    <w:rsid w:val="00390A7C"/>
    <w:rsid w:val="00390A91"/>
    <w:rsid w:val="00390AFB"/>
    <w:rsid w:val="0039142B"/>
    <w:rsid w:val="00391A35"/>
    <w:rsid w:val="00391E07"/>
    <w:rsid w:val="00393110"/>
    <w:rsid w:val="00393DD4"/>
    <w:rsid w:val="003946AC"/>
    <w:rsid w:val="00395338"/>
    <w:rsid w:val="00395600"/>
    <w:rsid w:val="00395B97"/>
    <w:rsid w:val="0039604C"/>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AD1"/>
    <w:rsid w:val="003E230A"/>
    <w:rsid w:val="003E236D"/>
    <w:rsid w:val="003E2E8C"/>
    <w:rsid w:val="003E3009"/>
    <w:rsid w:val="003E308A"/>
    <w:rsid w:val="003E367A"/>
    <w:rsid w:val="003E37A4"/>
    <w:rsid w:val="003E4136"/>
    <w:rsid w:val="003E4E45"/>
    <w:rsid w:val="003E61CB"/>
    <w:rsid w:val="003E7AFC"/>
    <w:rsid w:val="003E7C04"/>
    <w:rsid w:val="003E7FDA"/>
    <w:rsid w:val="003F01F7"/>
    <w:rsid w:val="003F0570"/>
    <w:rsid w:val="003F0D15"/>
    <w:rsid w:val="003F1283"/>
    <w:rsid w:val="003F13F6"/>
    <w:rsid w:val="003F174E"/>
    <w:rsid w:val="003F1F13"/>
    <w:rsid w:val="003F2DAF"/>
    <w:rsid w:val="003F2ED2"/>
    <w:rsid w:val="003F3772"/>
    <w:rsid w:val="003F3ED2"/>
    <w:rsid w:val="003F4627"/>
    <w:rsid w:val="003F4ABA"/>
    <w:rsid w:val="003F53B6"/>
    <w:rsid w:val="003F6169"/>
    <w:rsid w:val="003F6645"/>
    <w:rsid w:val="003F72D7"/>
    <w:rsid w:val="003F77DA"/>
    <w:rsid w:val="003F7B2D"/>
    <w:rsid w:val="003F7C7A"/>
    <w:rsid w:val="00400D40"/>
    <w:rsid w:val="004014C9"/>
    <w:rsid w:val="00401DDB"/>
    <w:rsid w:val="00402B5F"/>
    <w:rsid w:val="00402C3D"/>
    <w:rsid w:val="00403087"/>
    <w:rsid w:val="0040357F"/>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B27"/>
    <w:rsid w:val="0043712E"/>
    <w:rsid w:val="004400BC"/>
    <w:rsid w:val="004412E8"/>
    <w:rsid w:val="00441947"/>
    <w:rsid w:val="00443331"/>
    <w:rsid w:val="00443561"/>
    <w:rsid w:val="00443591"/>
    <w:rsid w:val="00444C04"/>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3886"/>
    <w:rsid w:val="00464F36"/>
    <w:rsid w:val="0046568B"/>
    <w:rsid w:val="00466121"/>
    <w:rsid w:val="00466912"/>
    <w:rsid w:val="00467686"/>
    <w:rsid w:val="00467792"/>
    <w:rsid w:val="004679AB"/>
    <w:rsid w:val="00471665"/>
    <w:rsid w:val="0047195F"/>
    <w:rsid w:val="00471A9E"/>
    <w:rsid w:val="00471B86"/>
    <w:rsid w:val="00472227"/>
    <w:rsid w:val="00472E9C"/>
    <w:rsid w:val="004732E6"/>
    <w:rsid w:val="00474927"/>
    <w:rsid w:val="00474FBE"/>
    <w:rsid w:val="0047540F"/>
    <w:rsid w:val="00476F8F"/>
    <w:rsid w:val="004772FF"/>
    <w:rsid w:val="0048048A"/>
    <w:rsid w:val="00481705"/>
    <w:rsid w:val="00481966"/>
    <w:rsid w:val="00482044"/>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7D6"/>
    <w:rsid w:val="004B2EBB"/>
    <w:rsid w:val="004B36DF"/>
    <w:rsid w:val="004B3C81"/>
    <w:rsid w:val="004B47F4"/>
    <w:rsid w:val="004B4E4F"/>
    <w:rsid w:val="004B50CC"/>
    <w:rsid w:val="004B5825"/>
    <w:rsid w:val="004B6415"/>
    <w:rsid w:val="004B64FA"/>
    <w:rsid w:val="004B758A"/>
    <w:rsid w:val="004B7F9F"/>
    <w:rsid w:val="004C06CE"/>
    <w:rsid w:val="004C099B"/>
    <w:rsid w:val="004C0BAC"/>
    <w:rsid w:val="004C0DB4"/>
    <w:rsid w:val="004C16F5"/>
    <w:rsid w:val="004C33E8"/>
    <w:rsid w:val="004C4A96"/>
    <w:rsid w:val="004C4E5F"/>
    <w:rsid w:val="004C5875"/>
    <w:rsid w:val="004C5F28"/>
    <w:rsid w:val="004C6997"/>
    <w:rsid w:val="004C6CDB"/>
    <w:rsid w:val="004C723F"/>
    <w:rsid w:val="004C7C36"/>
    <w:rsid w:val="004C7D16"/>
    <w:rsid w:val="004D0132"/>
    <w:rsid w:val="004D080F"/>
    <w:rsid w:val="004D185E"/>
    <w:rsid w:val="004D29F9"/>
    <w:rsid w:val="004D4B61"/>
    <w:rsid w:val="004D606D"/>
    <w:rsid w:val="004D6B20"/>
    <w:rsid w:val="004D6C2F"/>
    <w:rsid w:val="004D71FE"/>
    <w:rsid w:val="004D72CE"/>
    <w:rsid w:val="004D7A80"/>
    <w:rsid w:val="004D7CA3"/>
    <w:rsid w:val="004E0388"/>
    <w:rsid w:val="004E0894"/>
    <w:rsid w:val="004E135A"/>
    <w:rsid w:val="004E1C50"/>
    <w:rsid w:val="004E20EE"/>
    <w:rsid w:val="004E251F"/>
    <w:rsid w:val="004E2B23"/>
    <w:rsid w:val="004E3390"/>
    <w:rsid w:val="004E416F"/>
    <w:rsid w:val="004E424D"/>
    <w:rsid w:val="004E5F45"/>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ADC"/>
    <w:rsid w:val="00513B7E"/>
    <w:rsid w:val="00514597"/>
    <w:rsid w:val="005150AB"/>
    <w:rsid w:val="0051769B"/>
    <w:rsid w:val="0052052F"/>
    <w:rsid w:val="00520571"/>
    <w:rsid w:val="00522C8A"/>
    <w:rsid w:val="00523AF8"/>
    <w:rsid w:val="00523F57"/>
    <w:rsid w:val="00523F8F"/>
    <w:rsid w:val="005248F8"/>
    <w:rsid w:val="00524E1E"/>
    <w:rsid w:val="005252EA"/>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1957"/>
    <w:rsid w:val="005420CF"/>
    <w:rsid w:val="00542C2A"/>
    <w:rsid w:val="0054337D"/>
    <w:rsid w:val="005438E3"/>
    <w:rsid w:val="00543CAC"/>
    <w:rsid w:val="005440E4"/>
    <w:rsid w:val="00545BEC"/>
    <w:rsid w:val="005468A5"/>
    <w:rsid w:val="00546A1D"/>
    <w:rsid w:val="00546C8E"/>
    <w:rsid w:val="00546CB9"/>
    <w:rsid w:val="00546E83"/>
    <w:rsid w:val="00547725"/>
    <w:rsid w:val="00550292"/>
    <w:rsid w:val="005506E5"/>
    <w:rsid w:val="00551309"/>
    <w:rsid w:val="00552426"/>
    <w:rsid w:val="00552F1A"/>
    <w:rsid w:val="0055363B"/>
    <w:rsid w:val="00553693"/>
    <w:rsid w:val="005536D5"/>
    <w:rsid w:val="00553934"/>
    <w:rsid w:val="00553B71"/>
    <w:rsid w:val="00554C4D"/>
    <w:rsid w:val="00555C08"/>
    <w:rsid w:val="00556A43"/>
    <w:rsid w:val="0056087F"/>
    <w:rsid w:val="0056121A"/>
    <w:rsid w:val="00562195"/>
    <w:rsid w:val="0056261D"/>
    <w:rsid w:val="00562918"/>
    <w:rsid w:val="00563269"/>
    <w:rsid w:val="00564643"/>
    <w:rsid w:val="00564772"/>
    <w:rsid w:val="00566518"/>
    <w:rsid w:val="005669DA"/>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50B2"/>
    <w:rsid w:val="00595154"/>
    <w:rsid w:val="00595296"/>
    <w:rsid w:val="00595917"/>
    <w:rsid w:val="005969F6"/>
    <w:rsid w:val="00596FEB"/>
    <w:rsid w:val="00597A00"/>
    <w:rsid w:val="00597AB3"/>
    <w:rsid w:val="00597DBB"/>
    <w:rsid w:val="005A118A"/>
    <w:rsid w:val="005A1897"/>
    <w:rsid w:val="005A252B"/>
    <w:rsid w:val="005A3B97"/>
    <w:rsid w:val="005A45EC"/>
    <w:rsid w:val="005A4A89"/>
    <w:rsid w:val="005A55F6"/>
    <w:rsid w:val="005A57D4"/>
    <w:rsid w:val="005A5C31"/>
    <w:rsid w:val="005A5DB4"/>
    <w:rsid w:val="005A600A"/>
    <w:rsid w:val="005A74D9"/>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79C6"/>
    <w:rsid w:val="005C04C0"/>
    <w:rsid w:val="005C0912"/>
    <w:rsid w:val="005C1B46"/>
    <w:rsid w:val="005C1F7E"/>
    <w:rsid w:val="005C2057"/>
    <w:rsid w:val="005C20A0"/>
    <w:rsid w:val="005C2EF2"/>
    <w:rsid w:val="005C3AE2"/>
    <w:rsid w:val="005C5258"/>
    <w:rsid w:val="005C57F7"/>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6C4"/>
    <w:rsid w:val="005E6369"/>
    <w:rsid w:val="005E652A"/>
    <w:rsid w:val="005E68B2"/>
    <w:rsid w:val="005E6C14"/>
    <w:rsid w:val="005E6F87"/>
    <w:rsid w:val="005E7038"/>
    <w:rsid w:val="005F043C"/>
    <w:rsid w:val="005F0593"/>
    <w:rsid w:val="005F14E9"/>
    <w:rsid w:val="005F1BE8"/>
    <w:rsid w:val="005F1C1F"/>
    <w:rsid w:val="005F2ABB"/>
    <w:rsid w:val="005F3375"/>
    <w:rsid w:val="005F354A"/>
    <w:rsid w:val="005F62E4"/>
    <w:rsid w:val="005F74BD"/>
    <w:rsid w:val="005F7D2F"/>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30F33"/>
    <w:rsid w:val="006312A4"/>
    <w:rsid w:val="006312F8"/>
    <w:rsid w:val="006313C9"/>
    <w:rsid w:val="006317D2"/>
    <w:rsid w:val="00631C0F"/>
    <w:rsid w:val="006337EA"/>
    <w:rsid w:val="006348ED"/>
    <w:rsid w:val="00635EFB"/>
    <w:rsid w:val="00636A18"/>
    <w:rsid w:val="00636C52"/>
    <w:rsid w:val="0063771E"/>
    <w:rsid w:val="006406A6"/>
    <w:rsid w:val="00640A5A"/>
    <w:rsid w:val="00640C80"/>
    <w:rsid w:val="00640E6C"/>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DB0"/>
    <w:rsid w:val="00675296"/>
    <w:rsid w:val="006766B8"/>
    <w:rsid w:val="00677143"/>
    <w:rsid w:val="006807E1"/>
    <w:rsid w:val="00680DE4"/>
    <w:rsid w:val="0068116A"/>
    <w:rsid w:val="006823D9"/>
    <w:rsid w:val="00682434"/>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1626"/>
    <w:rsid w:val="006936CD"/>
    <w:rsid w:val="0069391C"/>
    <w:rsid w:val="00693EA8"/>
    <w:rsid w:val="0069493D"/>
    <w:rsid w:val="00694C13"/>
    <w:rsid w:val="00694FF9"/>
    <w:rsid w:val="0069620B"/>
    <w:rsid w:val="0069659F"/>
    <w:rsid w:val="00696801"/>
    <w:rsid w:val="00696B27"/>
    <w:rsid w:val="0069758F"/>
    <w:rsid w:val="006978DB"/>
    <w:rsid w:val="00697989"/>
    <w:rsid w:val="006979EF"/>
    <w:rsid w:val="006A049D"/>
    <w:rsid w:val="006A0623"/>
    <w:rsid w:val="006A12AE"/>
    <w:rsid w:val="006A12E9"/>
    <w:rsid w:val="006A1BC6"/>
    <w:rsid w:val="006A272F"/>
    <w:rsid w:val="006A393F"/>
    <w:rsid w:val="006A54EF"/>
    <w:rsid w:val="006A58A2"/>
    <w:rsid w:val="006A5A39"/>
    <w:rsid w:val="006A5C7F"/>
    <w:rsid w:val="006A6263"/>
    <w:rsid w:val="006A6484"/>
    <w:rsid w:val="006A652E"/>
    <w:rsid w:val="006A7EA3"/>
    <w:rsid w:val="006B022C"/>
    <w:rsid w:val="006B07D8"/>
    <w:rsid w:val="006B0CEB"/>
    <w:rsid w:val="006B13C1"/>
    <w:rsid w:val="006B1707"/>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75FA"/>
    <w:rsid w:val="006C7FAC"/>
    <w:rsid w:val="006D002D"/>
    <w:rsid w:val="006D0421"/>
    <w:rsid w:val="006D047B"/>
    <w:rsid w:val="006D1D18"/>
    <w:rsid w:val="006D2594"/>
    <w:rsid w:val="006D2BD4"/>
    <w:rsid w:val="006D3530"/>
    <w:rsid w:val="006D407D"/>
    <w:rsid w:val="006D477F"/>
    <w:rsid w:val="006D47BC"/>
    <w:rsid w:val="006D4ACA"/>
    <w:rsid w:val="006D5843"/>
    <w:rsid w:val="006D6871"/>
    <w:rsid w:val="006D6CA2"/>
    <w:rsid w:val="006D71D3"/>
    <w:rsid w:val="006E1FB4"/>
    <w:rsid w:val="006E24D7"/>
    <w:rsid w:val="006E3415"/>
    <w:rsid w:val="006E3962"/>
    <w:rsid w:val="006E464C"/>
    <w:rsid w:val="006E4970"/>
    <w:rsid w:val="006E4A6B"/>
    <w:rsid w:val="006E4CCB"/>
    <w:rsid w:val="006E4CCC"/>
    <w:rsid w:val="006E516B"/>
    <w:rsid w:val="006E64FC"/>
    <w:rsid w:val="006E6536"/>
    <w:rsid w:val="006E78A4"/>
    <w:rsid w:val="006E7A04"/>
    <w:rsid w:val="006F065D"/>
    <w:rsid w:val="006F0C10"/>
    <w:rsid w:val="006F29B4"/>
    <w:rsid w:val="006F6D3E"/>
    <w:rsid w:val="006F6DDA"/>
    <w:rsid w:val="006F7041"/>
    <w:rsid w:val="006F726F"/>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A2F"/>
    <w:rsid w:val="007472EF"/>
    <w:rsid w:val="00747669"/>
    <w:rsid w:val="0074771E"/>
    <w:rsid w:val="00751097"/>
    <w:rsid w:val="00751E1F"/>
    <w:rsid w:val="0075296E"/>
    <w:rsid w:val="00752F33"/>
    <w:rsid w:val="0075319C"/>
    <w:rsid w:val="007531A5"/>
    <w:rsid w:val="007535E3"/>
    <w:rsid w:val="00753FCB"/>
    <w:rsid w:val="007542B1"/>
    <w:rsid w:val="007550FE"/>
    <w:rsid w:val="00755EE8"/>
    <w:rsid w:val="00756609"/>
    <w:rsid w:val="007566A7"/>
    <w:rsid w:val="00756E30"/>
    <w:rsid w:val="0075707E"/>
    <w:rsid w:val="00757941"/>
    <w:rsid w:val="007639A5"/>
    <w:rsid w:val="00763EE9"/>
    <w:rsid w:val="00764375"/>
    <w:rsid w:val="007653BF"/>
    <w:rsid w:val="00765630"/>
    <w:rsid w:val="00765919"/>
    <w:rsid w:val="007661BB"/>
    <w:rsid w:val="0076653E"/>
    <w:rsid w:val="00766647"/>
    <w:rsid w:val="0076786D"/>
    <w:rsid w:val="00770E63"/>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418"/>
    <w:rsid w:val="007B1C29"/>
    <w:rsid w:val="007B2177"/>
    <w:rsid w:val="007B2FF1"/>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9B7"/>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2BA4"/>
    <w:rsid w:val="007E32D4"/>
    <w:rsid w:val="007E3514"/>
    <w:rsid w:val="007E3829"/>
    <w:rsid w:val="007E402B"/>
    <w:rsid w:val="007E495E"/>
    <w:rsid w:val="007E5FF3"/>
    <w:rsid w:val="007E65FE"/>
    <w:rsid w:val="007E6782"/>
    <w:rsid w:val="007E6B64"/>
    <w:rsid w:val="007E6F9A"/>
    <w:rsid w:val="007E7679"/>
    <w:rsid w:val="007E79F5"/>
    <w:rsid w:val="007E7AF0"/>
    <w:rsid w:val="007F02BF"/>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4892"/>
    <w:rsid w:val="00814D78"/>
    <w:rsid w:val="00815167"/>
    <w:rsid w:val="008151B0"/>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394"/>
    <w:rsid w:val="00824912"/>
    <w:rsid w:val="00824F1A"/>
    <w:rsid w:val="00825B07"/>
    <w:rsid w:val="008265E8"/>
    <w:rsid w:val="00826634"/>
    <w:rsid w:val="00826C0C"/>
    <w:rsid w:val="00827E75"/>
    <w:rsid w:val="00830810"/>
    <w:rsid w:val="008309CF"/>
    <w:rsid w:val="00830AF8"/>
    <w:rsid w:val="00830B5F"/>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584"/>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C8E"/>
    <w:rsid w:val="0085729A"/>
    <w:rsid w:val="008575ED"/>
    <w:rsid w:val="00857F3D"/>
    <w:rsid w:val="008603AA"/>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EFA"/>
    <w:rsid w:val="00881EBC"/>
    <w:rsid w:val="008828DF"/>
    <w:rsid w:val="00882E91"/>
    <w:rsid w:val="00882EA8"/>
    <w:rsid w:val="00883EE1"/>
    <w:rsid w:val="0088421A"/>
    <w:rsid w:val="00884ED2"/>
    <w:rsid w:val="00885317"/>
    <w:rsid w:val="0088567D"/>
    <w:rsid w:val="00885D0E"/>
    <w:rsid w:val="008863EC"/>
    <w:rsid w:val="00887227"/>
    <w:rsid w:val="008900AA"/>
    <w:rsid w:val="00890427"/>
    <w:rsid w:val="0089096B"/>
    <w:rsid w:val="008919D4"/>
    <w:rsid w:val="00892157"/>
    <w:rsid w:val="0089225A"/>
    <w:rsid w:val="00892AC0"/>
    <w:rsid w:val="008934FE"/>
    <w:rsid w:val="00893B5D"/>
    <w:rsid w:val="00893E2F"/>
    <w:rsid w:val="008944DB"/>
    <w:rsid w:val="0089594E"/>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D52"/>
    <w:rsid w:val="008C07A9"/>
    <w:rsid w:val="008C0A39"/>
    <w:rsid w:val="008C1814"/>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2DD0"/>
    <w:rsid w:val="008E3455"/>
    <w:rsid w:val="008E3BFB"/>
    <w:rsid w:val="008E50BD"/>
    <w:rsid w:val="008E5755"/>
    <w:rsid w:val="008E6356"/>
    <w:rsid w:val="008E6529"/>
    <w:rsid w:val="008E6C51"/>
    <w:rsid w:val="008E6F7A"/>
    <w:rsid w:val="008E7734"/>
    <w:rsid w:val="008F07ED"/>
    <w:rsid w:val="008F142D"/>
    <w:rsid w:val="008F1674"/>
    <w:rsid w:val="008F192D"/>
    <w:rsid w:val="008F1FC4"/>
    <w:rsid w:val="008F2699"/>
    <w:rsid w:val="008F3FE5"/>
    <w:rsid w:val="008F42D7"/>
    <w:rsid w:val="008F4382"/>
    <w:rsid w:val="008F4CE7"/>
    <w:rsid w:val="008F5536"/>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D77"/>
    <w:rsid w:val="00951F1A"/>
    <w:rsid w:val="00953586"/>
    <w:rsid w:val="0095377C"/>
    <w:rsid w:val="00953A0D"/>
    <w:rsid w:val="00954532"/>
    <w:rsid w:val="00954C5C"/>
    <w:rsid w:val="00954D4A"/>
    <w:rsid w:val="009552E3"/>
    <w:rsid w:val="00955B61"/>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0FF"/>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722"/>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76A3"/>
    <w:rsid w:val="009C79E5"/>
    <w:rsid w:val="009C7ACB"/>
    <w:rsid w:val="009C7C85"/>
    <w:rsid w:val="009D03F6"/>
    <w:rsid w:val="009D6353"/>
    <w:rsid w:val="009D6CF0"/>
    <w:rsid w:val="009D6E22"/>
    <w:rsid w:val="009D75A9"/>
    <w:rsid w:val="009E0A40"/>
    <w:rsid w:val="009E153F"/>
    <w:rsid w:val="009E19AE"/>
    <w:rsid w:val="009E1E60"/>
    <w:rsid w:val="009E1F8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20573"/>
    <w:rsid w:val="00A207FA"/>
    <w:rsid w:val="00A20C94"/>
    <w:rsid w:val="00A21C4C"/>
    <w:rsid w:val="00A220B7"/>
    <w:rsid w:val="00A227D6"/>
    <w:rsid w:val="00A227E7"/>
    <w:rsid w:val="00A22A71"/>
    <w:rsid w:val="00A22D55"/>
    <w:rsid w:val="00A22F6E"/>
    <w:rsid w:val="00A239DB"/>
    <w:rsid w:val="00A24008"/>
    <w:rsid w:val="00A24078"/>
    <w:rsid w:val="00A2475E"/>
    <w:rsid w:val="00A250CC"/>
    <w:rsid w:val="00A258E0"/>
    <w:rsid w:val="00A25FCF"/>
    <w:rsid w:val="00A269B5"/>
    <w:rsid w:val="00A26A3F"/>
    <w:rsid w:val="00A2726D"/>
    <w:rsid w:val="00A30627"/>
    <w:rsid w:val="00A30B6C"/>
    <w:rsid w:val="00A31D99"/>
    <w:rsid w:val="00A3244C"/>
    <w:rsid w:val="00A32E59"/>
    <w:rsid w:val="00A33017"/>
    <w:rsid w:val="00A333C1"/>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FE5"/>
    <w:rsid w:val="00A93154"/>
    <w:rsid w:val="00A93214"/>
    <w:rsid w:val="00A93C27"/>
    <w:rsid w:val="00A93C2B"/>
    <w:rsid w:val="00A94D8C"/>
    <w:rsid w:val="00A96FC0"/>
    <w:rsid w:val="00A97BFA"/>
    <w:rsid w:val="00AA007C"/>
    <w:rsid w:val="00AA0B30"/>
    <w:rsid w:val="00AA25C9"/>
    <w:rsid w:val="00AA3676"/>
    <w:rsid w:val="00AA3726"/>
    <w:rsid w:val="00AA40AA"/>
    <w:rsid w:val="00AA4F09"/>
    <w:rsid w:val="00AA7A72"/>
    <w:rsid w:val="00AA7DCE"/>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BDA"/>
    <w:rsid w:val="00AC6E20"/>
    <w:rsid w:val="00AC7A38"/>
    <w:rsid w:val="00AD0404"/>
    <w:rsid w:val="00AD07F1"/>
    <w:rsid w:val="00AD20E0"/>
    <w:rsid w:val="00AD2BE1"/>
    <w:rsid w:val="00AD3C49"/>
    <w:rsid w:val="00AD3D21"/>
    <w:rsid w:val="00AD68F8"/>
    <w:rsid w:val="00AD692B"/>
    <w:rsid w:val="00AE0B68"/>
    <w:rsid w:val="00AE0CA2"/>
    <w:rsid w:val="00AE10CD"/>
    <w:rsid w:val="00AE1499"/>
    <w:rsid w:val="00AE2D0A"/>
    <w:rsid w:val="00AE3725"/>
    <w:rsid w:val="00AE448F"/>
    <w:rsid w:val="00AE4E58"/>
    <w:rsid w:val="00AE4F14"/>
    <w:rsid w:val="00AE5139"/>
    <w:rsid w:val="00AE54FA"/>
    <w:rsid w:val="00AE5C8B"/>
    <w:rsid w:val="00AE65CA"/>
    <w:rsid w:val="00AE6800"/>
    <w:rsid w:val="00AE6CDA"/>
    <w:rsid w:val="00AE72FC"/>
    <w:rsid w:val="00AE751E"/>
    <w:rsid w:val="00AF16A0"/>
    <w:rsid w:val="00AF18FB"/>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1D6E"/>
    <w:rsid w:val="00B22C39"/>
    <w:rsid w:val="00B22DE0"/>
    <w:rsid w:val="00B23D2D"/>
    <w:rsid w:val="00B24FEA"/>
    <w:rsid w:val="00B2540B"/>
    <w:rsid w:val="00B25521"/>
    <w:rsid w:val="00B25B94"/>
    <w:rsid w:val="00B25FE6"/>
    <w:rsid w:val="00B2603E"/>
    <w:rsid w:val="00B26397"/>
    <w:rsid w:val="00B26407"/>
    <w:rsid w:val="00B26CD6"/>
    <w:rsid w:val="00B27255"/>
    <w:rsid w:val="00B2749B"/>
    <w:rsid w:val="00B2763A"/>
    <w:rsid w:val="00B27A0A"/>
    <w:rsid w:val="00B30160"/>
    <w:rsid w:val="00B3068C"/>
    <w:rsid w:val="00B317DC"/>
    <w:rsid w:val="00B31A2F"/>
    <w:rsid w:val="00B31E48"/>
    <w:rsid w:val="00B327F4"/>
    <w:rsid w:val="00B32D08"/>
    <w:rsid w:val="00B32F4E"/>
    <w:rsid w:val="00B3322F"/>
    <w:rsid w:val="00B334B1"/>
    <w:rsid w:val="00B33E53"/>
    <w:rsid w:val="00B3426C"/>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1BC7"/>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9F1"/>
    <w:rsid w:val="00B7300C"/>
    <w:rsid w:val="00B7321F"/>
    <w:rsid w:val="00B73222"/>
    <w:rsid w:val="00B74D56"/>
    <w:rsid w:val="00B75648"/>
    <w:rsid w:val="00B75CCA"/>
    <w:rsid w:val="00B768A7"/>
    <w:rsid w:val="00B76970"/>
    <w:rsid w:val="00B76F65"/>
    <w:rsid w:val="00B7738B"/>
    <w:rsid w:val="00B77E9E"/>
    <w:rsid w:val="00B80406"/>
    <w:rsid w:val="00B80A5E"/>
    <w:rsid w:val="00B80F1F"/>
    <w:rsid w:val="00B813C8"/>
    <w:rsid w:val="00B8146F"/>
    <w:rsid w:val="00B8167D"/>
    <w:rsid w:val="00B82C49"/>
    <w:rsid w:val="00B82D90"/>
    <w:rsid w:val="00B82FB4"/>
    <w:rsid w:val="00B83B69"/>
    <w:rsid w:val="00B83DFC"/>
    <w:rsid w:val="00B86B7E"/>
    <w:rsid w:val="00B87DD5"/>
    <w:rsid w:val="00B90F96"/>
    <w:rsid w:val="00B9219F"/>
    <w:rsid w:val="00B926CB"/>
    <w:rsid w:val="00B933B2"/>
    <w:rsid w:val="00B936CB"/>
    <w:rsid w:val="00B93CAF"/>
    <w:rsid w:val="00B941B6"/>
    <w:rsid w:val="00B94A06"/>
    <w:rsid w:val="00B952E7"/>
    <w:rsid w:val="00B95B2F"/>
    <w:rsid w:val="00B95E21"/>
    <w:rsid w:val="00B97356"/>
    <w:rsid w:val="00B97A6D"/>
    <w:rsid w:val="00BA0391"/>
    <w:rsid w:val="00BA060B"/>
    <w:rsid w:val="00BA0DCD"/>
    <w:rsid w:val="00BA2423"/>
    <w:rsid w:val="00BA34B1"/>
    <w:rsid w:val="00BA382E"/>
    <w:rsid w:val="00BA3830"/>
    <w:rsid w:val="00BA41E7"/>
    <w:rsid w:val="00BA42E0"/>
    <w:rsid w:val="00BA5792"/>
    <w:rsid w:val="00BA7701"/>
    <w:rsid w:val="00BA7BAB"/>
    <w:rsid w:val="00BA7C02"/>
    <w:rsid w:val="00BA7C73"/>
    <w:rsid w:val="00BB00C3"/>
    <w:rsid w:val="00BB01F3"/>
    <w:rsid w:val="00BB0741"/>
    <w:rsid w:val="00BB17AD"/>
    <w:rsid w:val="00BB292D"/>
    <w:rsid w:val="00BB300F"/>
    <w:rsid w:val="00BB369B"/>
    <w:rsid w:val="00BB3919"/>
    <w:rsid w:val="00BB3A56"/>
    <w:rsid w:val="00BB3E2E"/>
    <w:rsid w:val="00BB49CB"/>
    <w:rsid w:val="00BB4CAE"/>
    <w:rsid w:val="00BB67F1"/>
    <w:rsid w:val="00BB79C2"/>
    <w:rsid w:val="00BB7F0F"/>
    <w:rsid w:val="00BC0EC7"/>
    <w:rsid w:val="00BC1722"/>
    <w:rsid w:val="00BC194A"/>
    <w:rsid w:val="00BC2214"/>
    <w:rsid w:val="00BC2825"/>
    <w:rsid w:val="00BC2E96"/>
    <w:rsid w:val="00BC365F"/>
    <w:rsid w:val="00BC406F"/>
    <w:rsid w:val="00BC4C88"/>
    <w:rsid w:val="00BC59CA"/>
    <w:rsid w:val="00BC6970"/>
    <w:rsid w:val="00BC6BA8"/>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7E"/>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6C42"/>
    <w:rsid w:val="00C073DA"/>
    <w:rsid w:val="00C07C15"/>
    <w:rsid w:val="00C10B9B"/>
    <w:rsid w:val="00C10C30"/>
    <w:rsid w:val="00C1104C"/>
    <w:rsid w:val="00C11577"/>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052"/>
    <w:rsid w:val="00C25D31"/>
    <w:rsid w:val="00C265D0"/>
    <w:rsid w:val="00C26FE5"/>
    <w:rsid w:val="00C3022B"/>
    <w:rsid w:val="00C30723"/>
    <w:rsid w:val="00C31756"/>
    <w:rsid w:val="00C31F7F"/>
    <w:rsid w:val="00C32186"/>
    <w:rsid w:val="00C335AE"/>
    <w:rsid w:val="00C34E1F"/>
    <w:rsid w:val="00C35C70"/>
    <w:rsid w:val="00C35E26"/>
    <w:rsid w:val="00C3626A"/>
    <w:rsid w:val="00C36684"/>
    <w:rsid w:val="00C36F0A"/>
    <w:rsid w:val="00C36F4F"/>
    <w:rsid w:val="00C372CB"/>
    <w:rsid w:val="00C4067A"/>
    <w:rsid w:val="00C41480"/>
    <w:rsid w:val="00C44052"/>
    <w:rsid w:val="00C44368"/>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9C3"/>
    <w:rsid w:val="00C72DD5"/>
    <w:rsid w:val="00C733A6"/>
    <w:rsid w:val="00C737B0"/>
    <w:rsid w:val="00C73D39"/>
    <w:rsid w:val="00C7675A"/>
    <w:rsid w:val="00C76E9D"/>
    <w:rsid w:val="00C816DF"/>
    <w:rsid w:val="00C820EE"/>
    <w:rsid w:val="00C82CD4"/>
    <w:rsid w:val="00C84713"/>
    <w:rsid w:val="00C84758"/>
    <w:rsid w:val="00C853AB"/>
    <w:rsid w:val="00C85F72"/>
    <w:rsid w:val="00C86896"/>
    <w:rsid w:val="00C876E1"/>
    <w:rsid w:val="00C90162"/>
    <w:rsid w:val="00C908A9"/>
    <w:rsid w:val="00C908BE"/>
    <w:rsid w:val="00C91507"/>
    <w:rsid w:val="00C940C2"/>
    <w:rsid w:val="00C952E9"/>
    <w:rsid w:val="00C95AC8"/>
    <w:rsid w:val="00C95E95"/>
    <w:rsid w:val="00C9760B"/>
    <w:rsid w:val="00C976E0"/>
    <w:rsid w:val="00C9796B"/>
    <w:rsid w:val="00C97C19"/>
    <w:rsid w:val="00CA0174"/>
    <w:rsid w:val="00CA018B"/>
    <w:rsid w:val="00CA0C53"/>
    <w:rsid w:val="00CA1AE4"/>
    <w:rsid w:val="00CA1E0C"/>
    <w:rsid w:val="00CA1FA7"/>
    <w:rsid w:val="00CA20E3"/>
    <w:rsid w:val="00CA245C"/>
    <w:rsid w:val="00CA26EC"/>
    <w:rsid w:val="00CA423D"/>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270"/>
    <w:rsid w:val="00CC3277"/>
    <w:rsid w:val="00CC385B"/>
    <w:rsid w:val="00CC4207"/>
    <w:rsid w:val="00CC5222"/>
    <w:rsid w:val="00CC5775"/>
    <w:rsid w:val="00CC5F59"/>
    <w:rsid w:val="00CC62CD"/>
    <w:rsid w:val="00CC6C6A"/>
    <w:rsid w:val="00CC7881"/>
    <w:rsid w:val="00CC7971"/>
    <w:rsid w:val="00CD0422"/>
    <w:rsid w:val="00CD0982"/>
    <w:rsid w:val="00CD124B"/>
    <w:rsid w:val="00CD19CF"/>
    <w:rsid w:val="00CD2987"/>
    <w:rsid w:val="00CD2A22"/>
    <w:rsid w:val="00CD2A3D"/>
    <w:rsid w:val="00CD2EE0"/>
    <w:rsid w:val="00CD3DD5"/>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23D"/>
    <w:rsid w:val="00D35597"/>
    <w:rsid w:val="00D35689"/>
    <w:rsid w:val="00D365FA"/>
    <w:rsid w:val="00D37093"/>
    <w:rsid w:val="00D40425"/>
    <w:rsid w:val="00D40BC3"/>
    <w:rsid w:val="00D40D6B"/>
    <w:rsid w:val="00D4129E"/>
    <w:rsid w:val="00D418A3"/>
    <w:rsid w:val="00D41AB6"/>
    <w:rsid w:val="00D42946"/>
    <w:rsid w:val="00D43984"/>
    <w:rsid w:val="00D4459D"/>
    <w:rsid w:val="00D45A14"/>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C38"/>
    <w:rsid w:val="00D70F11"/>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000"/>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C00C2"/>
    <w:rsid w:val="00DC01DD"/>
    <w:rsid w:val="00DC29D6"/>
    <w:rsid w:val="00DC2F60"/>
    <w:rsid w:val="00DC430F"/>
    <w:rsid w:val="00DC43B0"/>
    <w:rsid w:val="00DC478C"/>
    <w:rsid w:val="00DC47BF"/>
    <w:rsid w:val="00DC4CEC"/>
    <w:rsid w:val="00DC5F0A"/>
    <w:rsid w:val="00DC6348"/>
    <w:rsid w:val="00DC6447"/>
    <w:rsid w:val="00DC6F43"/>
    <w:rsid w:val="00DD0C80"/>
    <w:rsid w:val="00DD2409"/>
    <w:rsid w:val="00DD2798"/>
    <w:rsid w:val="00DD2A6B"/>
    <w:rsid w:val="00DD3A79"/>
    <w:rsid w:val="00DD4174"/>
    <w:rsid w:val="00DD418A"/>
    <w:rsid w:val="00DD452E"/>
    <w:rsid w:val="00DD4929"/>
    <w:rsid w:val="00DD6998"/>
    <w:rsid w:val="00DD7C32"/>
    <w:rsid w:val="00DE00A7"/>
    <w:rsid w:val="00DE0A7D"/>
    <w:rsid w:val="00DE0DC9"/>
    <w:rsid w:val="00DE12EF"/>
    <w:rsid w:val="00DE19AA"/>
    <w:rsid w:val="00DE367F"/>
    <w:rsid w:val="00DE3E2A"/>
    <w:rsid w:val="00DE5469"/>
    <w:rsid w:val="00DE5D83"/>
    <w:rsid w:val="00DE7DBA"/>
    <w:rsid w:val="00DE7FB5"/>
    <w:rsid w:val="00DF0953"/>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06D"/>
    <w:rsid w:val="00E06510"/>
    <w:rsid w:val="00E072B0"/>
    <w:rsid w:val="00E07C90"/>
    <w:rsid w:val="00E111E7"/>
    <w:rsid w:val="00E111F8"/>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20164"/>
    <w:rsid w:val="00E21AA6"/>
    <w:rsid w:val="00E223DC"/>
    <w:rsid w:val="00E2304B"/>
    <w:rsid w:val="00E2320D"/>
    <w:rsid w:val="00E23447"/>
    <w:rsid w:val="00E23F6C"/>
    <w:rsid w:val="00E23FBF"/>
    <w:rsid w:val="00E24A35"/>
    <w:rsid w:val="00E24B61"/>
    <w:rsid w:val="00E24E2E"/>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699"/>
    <w:rsid w:val="00E31B79"/>
    <w:rsid w:val="00E32715"/>
    <w:rsid w:val="00E32D36"/>
    <w:rsid w:val="00E334B8"/>
    <w:rsid w:val="00E33C3F"/>
    <w:rsid w:val="00E3511E"/>
    <w:rsid w:val="00E36F8A"/>
    <w:rsid w:val="00E37A6A"/>
    <w:rsid w:val="00E37C78"/>
    <w:rsid w:val="00E37CC3"/>
    <w:rsid w:val="00E40479"/>
    <w:rsid w:val="00E40FB5"/>
    <w:rsid w:val="00E41884"/>
    <w:rsid w:val="00E4192C"/>
    <w:rsid w:val="00E41DF6"/>
    <w:rsid w:val="00E420CB"/>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3980"/>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903"/>
    <w:rsid w:val="00EA19A5"/>
    <w:rsid w:val="00EA1A5A"/>
    <w:rsid w:val="00EA2FC0"/>
    <w:rsid w:val="00EA3F5C"/>
    <w:rsid w:val="00EA4397"/>
    <w:rsid w:val="00EA499D"/>
    <w:rsid w:val="00EA4FFF"/>
    <w:rsid w:val="00EA54AD"/>
    <w:rsid w:val="00EA58A0"/>
    <w:rsid w:val="00EA5AE3"/>
    <w:rsid w:val="00EA5C8C"/>
    <w:rsid w:val="00EA5ECB"/>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51A1"/>
    <w:rsid w:val="00EC6178"/>
    <w:rsid w:val="00EC65DD"/>
    <w:rsid w:val="00EC6A56"/>
    <w:rsid w:val="00EC7166"/>
    <w:rsid w:val="00EC7272"/>
    <w:rsid w:val="00EC75D3"/>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433B"/>
    <w:rsid w:val="00EE46D0"/>
    <w:rsid w:val="00EE476D"/>
    <w:rsid w:val="00EE49A6"/>
    <w:rsid w:val="00EE4C73"/>
    <w:rsid w:val="00EE5C23"/>
    <w:rsid w:val="00EE67FE"/>
    <w:rsid w:val="00EE703E"/>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555"/>
    <w:rsid w:val="00F04D9B"/>
    <w:rsid w:val="00F0588E"/>
    <w:rsid w:val="00F05AB5"/>
    <w:rsid w:val="00F05BC9"/>
    <w:rsid w:val="00F0608B"/>
    <w:rsid w:val="00F0659C"/>
    <w:rsid w:val="00F06776"/>
    <w:rsid w:val="00F06CDD"/>
    <w:rsid w:val="00F06D5D"/>
    <w:rsid w:val="00F10A31"/>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F86"/>
    <w:rsid w:val="00F2780A"/>
    <w:rsid w:val="00F30B28"/>
    <w:rsid w:val="00F314EF"/>
    <w:rsid w:val="00F3167E"/>
    <w:rsid w:val="00F332B2"/>
    <w:rsid w:val="00F33DD2"/>
    <w:rsid w:val="00F33E94"/>
    <w:rsid w:val="00F33F0D"/>
    <w:rsid w:val="00F352BD"/>
    <w:rsid w:val="00F3589E"/>
    <w:rsid w:val="00F35DAE"/>
    <w:rsid w:val="00F368F2"/>
    <w:rsid w:val="00F3715D"/>
    <w:rsid w:val="00F37A09"/>
    <w:rsid w:val="00F404BF"/>
    <w:rsid w:val="00F405B4"/>
    <w:rsid w:val="00F40EB5"/>
    <w:rsid w:val="00F40F31"/>
    <w:rsid w:val="00F41380"/>
    <w:rsid w:val="00F41421"/>
    <w:rsid w:val="00F41886"/>
    <w:rsid w:val="00F419C3"/>
    <w:rsid w:val="00F41A80"/>
    <w:rsid w:val="00F41C4B"/>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D31"/>
    <w:rsid w:val="00F666A7"/>
    <w:rsid w:val="00F66A2E"/>
    <w:rsid w:val="00F67F09"/>
    <w:rsid w:val="00F706A0"/>
    <w:rsid w:val="00F709F5"/>
    <w:rsid w:val="00F717CC"/>
    <w:rsid w:val="00F72F11"/>
    <w:rsid w:val="00F72F51"/>
    <w:rsid w:val="00F73999"/>
    <w:rsid w:val="00F73AB3"/>
    <w:rsid w:val="00F73AB7"/>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E64"/>
    <w:rsid w:val="00F960B8"/>
    <w:rsid w:val="00F9649D"/>
    <w:rsid w:val="00F96A46"/>
    <w:rsid w:val="00F96BB8"/>
    <w:rsid w:val="00F97647"/>
    <w:rsid w:val="00F97A19"/>
    <w:rsid w:val="00FA068B"/>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664D"/>
    <w:rsid w:val="00FC737A"/>
    <w:rsid w:val="00FC7844"/>
    <w:rsid w:val="00FD0A8B"/>
    <w:rsid w:val="00FD1512"/>
    <w:rsid w:val="00FD1AB4"/>
    <w:rsid w:val="00FD1DDF"/>
    <w:rsid w:val="00FD28E8"/>
    <w:rsid w:val="00FD3330"/>
    <w:rsid w:val="00FD3355"/>
    <w:rsid w:val="00FD3CF7"/>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3CEA"/>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2BC28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link w:val="ListParagraph"/>
    <w:uiPriority w:val="72"/>
    <w:rsid w:val="001E35D6"/>
    <w:rPr>
      <w:rFonts w:eastAsia="SimSun"/>
      <w:sz w:val="24"/>
      <w:szCs w:val="24"/>
    </w:rPr>
  </w:style>
  <w:style w:type="character" w:customStyle="1" w:styleId="CommentTextChar">
    <w:name w:val="Comment Text Char"/>
    <w:basedOn w:val="DefaultParagraphFont"/>
    <w:link w:val="CommentText"/>
    <w:rsid w:val="0037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848">
      <w:bodyDiv w:val="1"/>
      <w:marLeft w:val="0"/>
      <w:marRight w:val="0"/>
      <w:marTop w:val="0"/>
      <w:marBottom w:val="0"/>
      <w:divBdr>
        <w:top w:val="none" w:sz="0" w:space="0" w:color="auto"/>
        <w:left w:val="none" w:sz="0" w:space="0" w:color="auto"/>
        <w:bottom w:val="none" w:sz="0" w:space="0" w:color="auto"/>
        <w:right w:val="none" w:sz="0" w:space="0" w:color="auto"/>
      </w:divBdr>
    </w:div>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8602948">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4387919">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197739570">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50309872">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61110226">
      <w:bodyDiv w:val="1"/>
      <w:marLeft w:val="0"/>
      <w:marRight w:val="0"/>
      <w:marTop w:val="0"/>
      <w:marBottom w:val="0"/>
      <w:divBdr>
        <w:top w:val="none" w:sz="0" w:space="0" w:color="auto"/>
        <w:left w:val="none" w:sz="0" w:space="0" w:color="auto"/>
        <w:bottom w:val="none" w:sz="0" w:space="0" w:color="auto"/>
        <w:right w:val="none" w:sz="0" w:space="0" w:color="auto"/>
      </w:divBdr>
    </w:div>
    <w:div w:id="261182678">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5866709">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6277435">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867935">
      <w:bodyDiv w:val="1"/>
      <w:marLeft w:val="0"/>
      <w:marRight w:val="0"/>
      <w:marTop w:val="0"/>
      <w:marBottom w:val="0"/>
      <w:divBdr>
        <w:top w:val="none" w:sz="0" w:space="0" w:color="auto"/>
        <w:left w:val="none" w:sz="0" w:space="0" w:color="auto"/>
        <w:bottom w:val="none" w:sz="0" w:space="0" w:color="auto"/>
        <w:right w:val="none" w:sz="0" w:space="0" w:color="auto"/>
      </w:divBdr>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520806">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488139631">
      <w:bodyDiv w:val="1"/>
      <w:marLeft w:val="0"/>
      <w:marRight w:val="0"/>
      <w:marTop w:val="0"/>
      <w:marBottom w:val="0"/>
      <w:divBdr>
        <w:top w:val="none" w:sz="0" w:space="0" w:color="auto"/>
        <w:left w:val="none" w:sz="0" w:space="0" w:color="auto"/>
        <w:bottom w:val="none" w:sz="0" w:space="0" w:color="auto"/>
        <w:right w:val="none" w:sz="0" w:space="0" w:color="auto"/>
      </w:divBdr>
    </w:div>
    <w:div w:id="502014915">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17888676">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0385049">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39971603">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41663667">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778257922">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2867782">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0477946">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356849">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4238514">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2434101">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087383105">
      <w:bodyDiv w:val="1"/>
      <w:marLeft w:val="0"/>
      <w:marRight w:val="0"/>
      <w:marTop w:val="0"/>
      <w:marBottom w:val="0"/>
      <w:divBdr>
        <w:top w:val="none" w:sz="0" w:space="0" w:color="auto"/>
        <w:left w:val="none" w:sz="0" w:space="0" w:color="auto"/>
        <w:bottom w:val="none" w:sz="0" w:space="0" w:color="auto"/>
        <w:right w:val="none" w:sz="0" w:space="0" w:color="auto"/>
      </w:divBdr>
    </w:div>
    <w:div w:id="1099563873">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87907883">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77716168">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11180418">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56345269">
      <w:bodyDiv w:val="1"/>
      <w:marLeft w:val="0"/>
      <w:marRight w:val="0"/>
      <w:marTop w:val="0"/>
      <w:marBottom w:val="0"/>
      <w:divBdr>
        <w:top w:val="none" w:sz="0" w:space="0" w:color="auto"/>
        <w:left w:val="none" w:sz="0" w:space="0" w:color="auto"/>
        <w:bottom w:val="none" w:sz="0" w:space="0" w:color="auto"/>
        <w:right w:val="none" w:sz="0" w:space="0" w:color="auto"/>
      </w:divBdr>
    </w:div>
    <w:div w:id="136000633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75618002">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07798390">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52961696">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422453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236571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7367833">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88630482">
      <w:bodyDiv w:val="1"/>
      <w:marLeft w:val="0"/>
      <w:marRight w:val="0"/>
      <w:marTop w:val="0"/>
      <w:marBottom w:val="0"/>
      <w:divBdr>
        <w:top w:val="none" w:sz="0" w:space="0" w:color="auto"/>
        <w:left w:val="none" w:sz="0" w:space="0" w:color="auto"/>
        <w:bottom w:val="none" w:sz="0" w:space="0" w:color="auto"/>
        <w:right w:val="none" w:sz="0" w:space="0" w:color="auto"/>
      </w:divBdr>
    </w:div>
    <w:div w:id="169649475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39547031">
      <w:bodyDiv w:val="1"/>
      <w:marLeft w:val="0"/>
      <w:marRight w:val="0"/>
      <w:marTop w:val="0"/>
      <w:marBottom w:val="0"/>
      <w:divBdr>
        <w:top w:val="none" w:sz="0" w:space="0" w:color="auto"/>
        <w:left w:val="none" w:sz="0" w:space="0" w:color="auto"/>
        <w:bottom w:val="none" w:sz="0" w:space="0" w:color="auto"/>
        <w:right w:val="none" w:sz="0" w:space="0" w:color="auto"/>
      </w:divBdr>
    </w:div>
    <w:div w:id="1771505373">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17529058">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3066006">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3230768">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00633936">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25937613">
      <w:bodyDiv w:val="1"/>
      <w:marLeft w:val="0"/>
      <w:marRight w:val="0"/>
      <w:marTop w:val="0"/>
      <w:marBottom w:val="0"/>
      <w:divBdr>
        <w:top w:val="none" w:sz="0" w:space="0" w:color="auto"/>
        <w:left w:val="none" w:sz="0" w:space="0" w:color="auto"/>
        <w:bottom w:val="none" w:sz="0" w:space="0" w:color="auto"/>
        <w:right w:val="none" w:sz="0" w:space="0" w:color="auto"/>
      </w:divBdr>
    </w:div>
    <w:div w:id="2047875883">
      <w:bodyDiv w:val="1"/>
      <w:marLeft w:val="0"/>
      <w:marRight w:val="0"/>
      <w:marTop w:val="0"/>
      <w:marBottom w:val="0"/>
      <w:divBdr>
        <w:top w:val="none" w:sz="0" w:space="0" w:color="auto"/>
        <w:left w:val="none" w:sz="0" w:space="0" w:color="auto"/>
        <w:bottom w:val="none" w:sz="0" w:space="0" w:color="auto"/>
        <w:right w:val="none" w:sz="0" w:space="0" w:color="auto"/>
      </w:divBdr>
    </w:div>
    <w:div w:id="2063744031">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75467349">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3490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D526B-6FB6-46C6-8E18-43AF3FCFD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1241</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2020-04-16T07:00:00Z</dcterms:created>
  <dcterms:modified xsi:type="dcterms:W3CDTF">2020-04-23T05:53:00Z</dcterms:modified>
</cp:coreProperties>
</file>